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3600D01F" w14:textId="77777777" w:rsidTr="00281242">
        <w:trPr>
          <w:trHeight w:hRule="exact" w:val="851"/>
        </w:trPr>
        <w:tc>
          <w:tcPr>
            <w:tcW w:w="1274" w:type="dxa"/>
            <w:tcBorders>
              <w:bottom w:val="single" w:sz="4" w:space="0" w:color="auto"/>
            </w:tcBorders>
            <w:shd w:val="clear" w:color="auto" w:fill="auto"/>
          </w:tcPr>
          <w:p w14:paraId="1810DF34"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5A4F8AA8" w14:textId="77777777"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14:paraId="388734C9" w14:textId="77777777" w:rsidR="006B3E27" w:rsidRPr="00281242" w:rsidRDefault="00A01C7E" w:rsidP="007A1A5B">
            <w:pPr>
              <w:bidi w:val="0"/>
              <w:spacing w:after="20"/>
              <w:jc w:val="left"/>
              <w:rPr>
                <w:szCs w:val="20"/>
              </w:rPr>
            </w:pPr>
            <w:r w:rsidRPr="00A01C7E">
              <w:rPr>
                <w:sz w:val="40"/>
                <w:szCs w:val="20"/>
              </w:rPr>
              <w:t>A</w:t>
            </w:r>
            <w:r>
              <w:rPr>
                <w:szCs w:val="20"/>
              </w:rPr>
              <w:t>/HRC/RES/</w:t>
            </w:r>
            <w:r w:rsidRPr="00EC6849">
              <w:rPr>
                <w:szCs w:val="20"/>
              </w:rPr>
              <w:t>45</w:t>
            </w:r>
            <w:r>
              <w:rPr>
                <w:szCs w:val="20"/>
              </w:rPr>
              <w:t>/</w:t>
            </w:r>
            <w:r w:rsidRPr="00EC6849">
              <w:rPr>
                <w:szCs w:val="20"/>
              </w:rPr>
              <w:t>10</w:t>
            </w:r>
          </w:p>
        </w:tc>
      </w:tr>
      <w:tr w:rsidR="006B3E27" w:rsidRPr="00ED7442" w14:paraId="5DC15A86" w14:textId="77777777" w:rsidTr="00281242">
        <w:trPr>
          <w:trHeight w:hRule="exact" w:val="2835"/>
        </w:trPr>
        <w:tc>
          <w:tcPr>
            <w:tcW w:w="1274" w:type="dxa"/>
            <w:tcBorders>
              <w:top w:val="single" w:sz="4" w:space="0" w:color="auto"/>
              <w:bottom w:val="single" w:sz="12" w:space="0" w:color="auto"/>
            </w:tcBorders>
            <w:shd w:val="clear" w:color="auto" w:fill="auto"/>
          </w:tcPr>
          <w:p w14:paraId="583D0B94" w14:textId="0B640D7B" w:rsidR="006B3E27" w:rsidRPr="00281242" w:rsidRDefault="000773B5" w:rsidP="00281242">
            <w:pPr>
              <w:jc w:val="center"/>
              <w:rPr>
                <w:sz w:val="56"/>
                <w:szCs w:val="56"/>
                <w:rtl/>
              </w:rPr>
            </w:pPr>
            <w:r>
              <w:rPr>
                <w:noProof/>
                <w:sz w:val="56"/>
                <w:szCs w:val="56"/>
              </w:rPr>
              <w:drawing>
                <wp:inline distT="0" distB="0" distL="0" distR="0" wp14:anchorId="0FB66DD0" wp14:editId="61C63174">
                  <wp:extent cx="628015" cy="615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15950"/>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38F21032" w14:textId="77777777"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3964296D" w14:textId="77777777" w:rsidR="006B3E27" w:rsidRDefault="007A1A5B" w:rsidP="007A1A5B">
            <w:pPr>
              <w:bidi w:val="0"/>
              <w:spacing w:before="240"/>
              <w:jc w:val="left"/>
              <w:rPr>
                <w:szCs w:val="20"/>
              </w:rPr>
            </w:pPr>
            <w:r>
              <w:rPr>
                <w:szCs w:val="20"/>
              </w:rPr>
              <w:t>Distr.: General</w:t>
            </w:r>
          </w:p>
          <w:p w14:paraId="52961D94" w14:textId="77777777" w:rsidR="007A1A5B" w:rsidRDefault="007A1A5B" w:rsidP="007A1A5B">
            <w:pPr>
              <w:bidi w:val="0"/>
              <w:jc w:val="left"/>
              <w:rPr>
                <w:szCs w:val="20"/>
              </w:rPr>
            </w:pPr>
            <w:r w:rsidRPr="00EC6849">
              <w:rPr>
                <w:szCs w:val="20"/>
              </w:rPr>
              <w:t>12</w:t>
            </w:r>
            <w:r>
              <w:rPr>
                <w:szCs w:val="20"/>
              </w:rPr>
              <w:t xml:space="preserve"> October </w:t>
            </w:r>
            <w:r w:rsidRPr="00EC6849">
              <w:rPr>
                <w:szCs w:val="20"/>
              </w:rPr>
              <w:t>2020</w:t>
            </w:r>
          </w:p>
          <w:p w14:paraId="63F98E94" w14:textId="77777777" w:rsidR="007A1A5B" w:rsidRDefault="007A1A5B" w:rsidP="007A1A5B">
            <w:pPr>
              <w:bidi w:val="0"/>
              <w:jc w:val="left"/>
              <w:rPr>
                <w:szCs w:val="20"/>
              </w:rPr>
            </w:pPr>
            <w:r>
              <w:rPr>
                <w:szCs w:val="20"/>
              </w:rPr>
              <w:t>Arabic</w:t>
            </w:r>
          </w:p>
          <w:p w14:paraId="77DFBF78" w14:textId="77777777" w:rsidR="007A1A5B" w:rsidRPr="00281242" w:rsidRDefault="007A1A5B" w:rsidP="007A1A5B">
            <w:pPr>
              <w:bidi w:val="0"/>
              <w:jc w:val="left"/>
              <w:rPr>
                <w:szCs w:val="20"/>
              </w:rPr>
            </w:pPr>
            <w:r>
              <w:rPr>
                <w:szCs w:val="20"/>
              </w:rPr>
              <w:t>Original: English</w:t>
            </w:r>
          </w:p>
        </w:tc>
      </w:tr>
    </w:tbl>
    <w:p w14:paraId="5DBAB14D" w14:textId="77777777" w:rsidR="007A1A5B" w:rsidRDefault="00673245" w:rsidP="007A1A5B">
      <w:pPr>
        <w:pStyle w:val="SingleTxtGA"/>
        <w:spacing w:before="120" w:after="0"/>
        <w:ind w:left="0" w:right="1253"/>
        <w:rPr>
          <w:b/>
          <w:bCs/>
          <w:sz w:val="36"/>
          <w:szCs w:val="36"/>
          <w:rtl/>
        </w:rPr>
      </w:pPr>
      <w:r w:rsidRPr="00673245">
        <w:rPr>
          <w:rFonts w:hint="cs"/>
          <w:b/>
          <w:bCs/>
          <w:sz w:val="36"/>
          <w:szCs w:val="36"/>
          <w:rtl/>
        </w:rPr>
        <w:t>مجلس حقوق الإنسان</w:t>
      </w:r>
    </w:p>
    <w:p w14:paraId="5AFF6ABD" w14:textId="77777777" w:rsidR="007A1A5B" w:rsidRPr="00C90ACC" w:rsidRDefault="007A1A5B" w:rsidP="00AA7AE4">
      <w:pPr>
        <w:pStyle w:val="SingleTxtGA"/>
        <w:spacing w:after="0"/>
        <w:ind w:left="0"/>
        <w:rPr>
          <w:b/>
          <w:bCs/>
          <w:rtl/>
        </w:rPr>
      </w:pPr>
      <w:r w:rsidRPr="00C90ACC">
        <w:rPr>
          <w:b/>
          <w:bCs/>
          <w:rtl/>
          <w:lang w:bidi="ar-EG"/>
        </w:rPr>
        <w:t>الدورة ال</w:t>
      </w:r>
      <w:r>
        <w:rPr>
          <w:rFonts w:hint="cs"/>
          <w:b/>
          <w:bCs/>
          <w:rtl/>
        </w:rPr>
        <w:t>خامسة والأربعون</w:t>
      </w:r>
    </w:p>
    <w:p w14:paraId="13AECD5F" w14:textId="77777777" w:rsidR="007A1A5B" w:rsidRPr="00EE06CD" w:rsidRDefault="007A1A5B" w:rsidP="00AA7AE4">
      <w:pPr>
        <w:spacing w:line="360" w:lineRule="exact"/>
        <w:textDirection w:val="tbRlV"/>
        <w:rPr>
          <w:szCs w:val="20"/>
          <w:lang w:val="ar-SA" w:eastAsia="zh-TW" w:bidi="en-GB"/>
        </w:rPr>
      </w:pPr>
      <w:r w:rsidRPr="00EC6849">
        <w:rPr>
          <w:rFonts w:ascii="Traditional Arabic"/>
          <w:szCs w:val="20"/>
          <w:rtl/>
        </w:rPr>
        <w:t>14</w:t>
      </w:r>
      <w:r>
        <w:rPr>
          <w:rtl/>
        </w:rPr>
        <w:t xml:space="preserve"> أيلول/سبتمبر - </w:t>
      </w:r>
      <w:r w:rsidRPr="00EC6849">
        <w:rPr>
          <w:rFonts w:ascii="Traditional Arabic"/>
          <w:szCs w:val="20"/>
          <w:rtl/>
        </w:rPr>
        <w:t>7</w:t>
      </w:r>
      <w:r>
        <w:rPr>
          <w:rtl/>
        </w:rPr>
        <w:t xml:space="preserve"> تشرين الأول/أكتوبر </w:t>
      </w:r>
      <w:r w:rsidRPr="00EC6849">
        <w:rPr>
          <w:rFonts w:ascii="Traditional Arabic"/>
          <w:szCs w:val="20"/>
          <w:rtl/>
        </w:rPr>
        <w:t>2020</w:t>
      </w:r>
    </w:p>
    <w:p w14:paraId="340980E4" w14:textId="77777777" w:rsidR="007A1A5B" w:rsidRPr="00467A0F" w:rsidRDefault="007A1A5B" w:rsidP="00AA7AE4">
      <w:pPr>
        <w:spacing w:line="360" w:lineRule="exact"/>
        <w:textDirection w:val="tbRlV"/>
        <w:rPr>
          <w:szCs w:val="20"/>
          <w:rtl/>
          <w:lang w:val="fr-CH" w:eastAsia="zh-TW"/>
        </w:rPr>
      </w:pPr>
      <w:r>
        <w:rPr>
          <w:rtl/>
        </w:rPr>
        <w:t xml:space="preserve">البند </w:t>
      </w:r>
      <w:r w:rsidRPr="00EC6849">
        <w:rPr>
          <w:rFonts w:ascii="Traditional Arabic"/>
          <w:szCs w:val="20"/>
          <w:rtl/>
        </w:rPr>
        <w:t>3</w:t>
      </w:r>
      <w:r>
        <w:rPr>
          <w:rtl/>
        </w:rPr>
        <w:t xml:space="preserve"> من جدول الأعمال</w:t>
      </w:r>
    </w:p>
    <w:p w14:paraId="6BA27A53" w14:textId="77777777" w:rsidR="007A1A5B" w:rsidRDefault="007A1A5B" w:rsidP="00AA7AE4">
      <w:pPr>
        <w:spacing w:after="240" w:line="360" w:lineRule="exact"/>
        <w:ind w:right="4766"/>
        <w:textDirection w:val="tbRlV"/>
        <w:rPr>
          <w:b/>
          <w:bCs/>
          <w:rtl/>
        </w:rPr>
      </w:pPr>
      <w:r>
        <w:rPr>
          <w:b/>
          <w:bCs/>
          <w:rtl/>
        </w:rPr>
        <w:t>تعزيز وحماية جميع حقوق الإنسان، المدنية والسياسية</w:t>
      </w:r>
      <w:r>
        <w:rPr>
          <w:rFonts w:hint="cs"/>
          <w:b/>
          <w:bCs/>
          <w:rtl/>
        </w:rPr>
        <w:t xml:space="preserve"> </w:t>
      </w:r>
      <w:r>
        <w:rPr>
          <w:b/>
          <w:bCs/>
          <w:rtl/>
        </w:rPr>
        <w:t>والاقتصادية والاجتماعية والثقافية، بما في ذلك الحق في التنمية</w:t>
      </w:r>
    </w:p>
    <w:p w14:paraId="3500E13A" w14:textId="77777777" w:rsidR="007A1A5B" w:rsidRDefault="007A1A5B" w:rsidP="007A1A5B">
      <w:pPr>
        <w:pStyle w:val="HChGA"/>
        <w:rPr>
          <w:rtl/>
        </w:rPr>
      </w:pPr>
      <w:r>
        <w:rPr>
          <w:lang w:bidi="ar-EG"/>
        </w:rPr>
        <w:tab/>
      </w:r>
      <w:r>
        <w:rPr>
          <w:lang w:bidi="ar-EG"/>
        </w:rPr>
        <w:tab/>
      </w:r>
      <w:r>
        <w:rPr>
          <w:rtl/>
          <w:lang w:bidi="ar-EG"/>
        </w:rPr>
        <w:t>قرا</w:t>
      </w:r>
      <w:r>
        <w:rPr>
          <w:rFonts w:hint="cs"/>
          <w:rtl/>
          <w:lang w:bidi="ar-EG"/>
        </w:rPr>
        <w:t xml:space="preserve">ر اعتمده مجلس حقوق الإنسان في </w:t>
      </w:r>
      <w:r w:rsidRPr="00EC6849">
        <w:rPr>
          <w:rFonts w:hint="cs"/>
          <w:szCs w:val="28"/>
          <w:rtl/>
          <w:lang w:bidi="ar-EG"/>
        </w:rPr>
        <w:t>6</w:t>
      </w:r>
      <w:r>
        <w:rPr>
          <w:rFonts w:hint="cs"/>
          <w:rtl/>
          <w:lang w:bidi="ar-EG"/>
        </w:rPr>
        <w:t xml:space="preserve"> تشرين الأول/أكتوبر </w:t>
      </w:r>
      <w:r w:rsidRPr="00EC6849">
        <w:rPr>
          <w:rFonts w:hint="cs"/>
          <w:szCs w:val="28"/>
          <w:rtl/>
          <w:lang w:bidi="ar-EG"/>
        </w:rPr>
        <w:t>2020</w:t>
      </w:r>
      <w:r>
        <w:rPr>
          <w:lang w:bidi="ar-EG"/>
        </w:rPr>
        <w:t xml:space="preserve"> </w:t>
      </w:r>
    </w:p>
    <w:p w14:paraId="7DCD2EF4" w14:textId="7A10F359" w:rsidR="007A1A5B" w:rsidRPr="00161784" w:rsidRDefault="007A1A5B" w:rsidP="00AA7AE4">
      <w:pPr>
        <w:pStyle w:val="H1GA"/>
        <w:spacing w:after="480"/>
        <w:ind w:left="1253" w:right="1253" w:hanging="1253"/>
        <w:rPr>
          <w:rtl/>
          <w:lang w:val="fr-CH"/>
        </w:rPr>
      </w:pPr>
      <w:r>
        <w:rPr>
          <w:sz w:val="16"/>
          <w:szCs w:val="24"/>
          <w:lang w:val="fr-CH"/>
        </w:rPr>
        <w:tab/>
      </w:r>
      <w:r w:rsidRPr="00EC6849">
        <w:rPr>
          <w:rFonts w:hint="cs"/>
          <w:sz w:val="16"/>
          <w:szCs w:val="24"/>
          <w:rtl/>
          <w:lang w:val="fr-CH"/>
        </w:rPr>
        <w:t>45</w:t>
      </w:r>
      <w:r w:rsidRPr="00161784">
        <w:rPr>
          <w:sz w:val="16"/>
          <w:szCs w:val="26"/>
          <w:rtl/>
          <w:lang w:val="fr-CH"/>
        </w:rPr>
        <w:t>/</w:t>
      </w:r>
      <w:r w:rsidRPr="00EC6849">
        <w:rPr>
          <w:rFonts w:hint="cs"/>
          <w:sz w:val="16"/>
          <w:szCs w:val="24"/>
          <w:rtl/>
          <w:lang w:val="fr-CH"/>
        </w:rPr>
        <w:t>10</w:t>
      </w:r>
      <w:r w:rsidR="00EC6849" w:rsidRPr="00EC6849">
        <w:rPr>
          <w:rFonts w:ascii="Traditional Arabic" w:hAnsi="Traditional Arabic"/>
          <w:sz w:val="34"/>
          <w:lang w:val="fr-CH"/>
        </w:rPr>
        <w:t>-</w:t>
      </w:r>
      <w:r w:rsidRPr="00161784">
        <w:rPr>
          <w:rtl/>
          <w:lang w:val="fr-CH"/>
        </w:rPr>
        <w:tab/>
        <w:t>المقرر الخاص المعني بتعزيز الحقيقة والعدالة والجبر وضمانات عدم التكرار</w:t>
      </w:r>
    </w:p>
    <w:p w14:paraId="438F5262" w14:textId="77777777" w:rsidR="007A1A5B" w:rsidRPr="005E7F65" w:rsidRDefault="007A1A5B" w:rsidP="00AA7AE4">
      <w:pPr>
        <w:pStyle w:val="SingleTxtGA"/>
        <w:spacing w:line="370" w:lineRule="exact"/>
        <w:ind w:left="1253" w:right="1253"/>
        <w:rPr>
          <w:i/>
          <w:iCs/>
          <w:rtl/>
          <w:lang w:bidi="ar-EG"/>
        </w:rPr>
      </w:pPr>
      <w:r w:rsidRPr="005E7F65">
        <w:rPr>
          <w:i/>
          <w:iCs/>
          <w:rtl/>
          <w:lang w:bidi="ar-EG"/>
        </w:rPr>
        <w:tab/>
        <w:t>إن مجلس حقوق الإنسان،</w:t>
      </w:r>
    </w:p>
    <w:p w14:paraId="6C584A4C" w14:textId="77777777" w:rsidR="007A1A5B" w:rsidRDefault="007A1A5B" w:rsidP="00AA7AE4">
      <w:pPr>
        <w:pStyle w:val="SingleTxtGA"/>
        <w:spacing w:line="370" w:lineRule="exact"/>
        <w:ind w:left="1253" w:right="1253"/>
        <w:rPr>
          <w:lang w:bidi="ar-EG"/>
        </w:rPr>
      </w:pPr>
      <w:r>
        <w:rPr>
          <w:rtl/>
          <w:lang w:bidi="ar-EG"/>
        </w:rPr>
        <w:tab/>
      </w:r>
      <w:r w:rsidRPr="009C77D9">
        <w:rPr>
          <w:i/>
          <w:iCs/>
          <w:rtl/>
          <w:lang w:bidi="ar-EG"/>
        </w:rPr>
        <w:t>إذ يسترشد</w:t>
      </w:r>
      <w:r>
        <w:rPr>
          <w:rtl/>
          <w:lang w:bidi="ar-EG"/>
        </w:rPr>
        <w:t xml:space="preserve"> بمقاصد ميثاق الأمم المتحدة ومبادئه،</w:t>
      </w:r>
    </w:p>
    <w:p w14:paraId="12273781" w14:textId="77777777" w:rsidR="007A1A5B" w:rsidRPr="00D3276C" w:rsidRDefault="007A1A5B" w:rsidP="00AA7AE4">
      <w:pPr>
        <w:pStyle w:val="SingleTxtGA"/>
        <w:spacing w:line="370" w:lineRule="exact"/>
        <w:ind w:left="1253" w:right="1253"/>
        <w:rPr>
          <w:lang w:bidi="ar-EG"/>
        </w:rPr>
      </w:pPr>
      <w:r w:rsidRPr="005E7F65">
        <w:rPr>
          <w:i/>
          <w:iCs/>
          <w:spacing w:val="-4"/>
          <w:lang w:bidi="ar-EG"/>
        </w:rPr>
        <w:tab/>
      </w:r>
      <w:r w:rsidRPr="005E7F65">
        <w:rPr>
          <w:i/>
          <w:iCs/>
          <w:spacing w:val="-4"/>
          <w:rtl/>
          <w:lang w:bidi="ar-EG"/>
        </w:rPr>
        <w:t xml:space="preserve">وإذ </w:t>
      </w:r>
      <w:r w:rsidRPr="00D3276C">
        <w:rPr>
          <w:i/>
          <w:iCs/>
          <w:rtl/>
          <w:lang w:bidi="ar-EG"/>
        </w:rPr>
        <w:t>يؤكد من جديد</w:t>
      </w:r>
      <w:r w:rsidRPr="00D3276C">
        <w:rPr>
          <w:rtl/>
          <w:lang w:bidi="ar-EG"/>
        </w:rPr>
        <w:t xml:space="preserve"> الإعلان العالمي لحقوق الإنسان، والعهد الدولي الخاص بالحقوق الاقتصادية والاجتماعية والثقافية‏، والعهد الدولي الخاص بالحقوق المدنية والسياسية، وإعلان وبرنامج عمل فيينا، واتفاقيات جنيف المؤرخة </w:t>
      </w:r>
      <w:r w:rsidRPr="00D3276C">
        <w:rPr>
          <w:szCs w:val="20"/>
          <w:rtl/>
          <w:lang w:bidi="ar-EG"/>
        </w:rPr>
        <w:t>12</w:t>
      </w:r>
      <w:r w:rsidRPr="00D3276C">
        <w:rPr>
          <w:rtl/>
          <w:lang w:bidi="ar-EG"/>
        </w:rPr>
        <w:t xml:space="preserve"> آب/أغسطس </w:t>
      </w:r>
      <w:r w:rsidRPr="00D3276C">
        <w:rPr>
          <w:szCs w:val="20"/>
          <w:rtl/>
          <w:lang w:bidi="ar-EG"/>
        </w:rPr>
        <w:t>1949</w:t>
      </w:r>
      <w:r w:rsidRPr="00D3276C">
        <w:rPr>
          <w:rtl/>
          <w:lang w:bidi="ar-EG"/>
        </w:rPr>
        <w:t xml:space="preserve"> وبروتوكوليها الإضافيين المؤرخين </w:t>
      </w:r>
      <w:r w:rsidRPr="00D3276C">
        <w:rPr>
          <w:szCs w:val="20"/>
          <w:rtl/>
          <w:lang w:bidi="ar-EG"/>
        </w:rPr>
        <w:t>8</w:t>
      </w:r>
      <w:r w:rsidRPr="00D3276C">
        <w:rPr>
          <w:rtl/>
          <w:lang w:bidi="ar-EG"/>
        </w:rPr>
        <w:t xml:space="preserve"> حزيران/يونيه </w:t>
      </w:r>
      <w:r w:rsidRPr="00D3276C">
        <w:rPr>
          <w:szCs w:val="20"/>
          <w:rtl/>
          <w:lang w:bidi="ar-EG"/>
        </w:rPr>
        <w:t>1977</w:t>
      </w:r>
      <w:r w:rsidRPr="00D3276C">
        <w:rPr>
          <w:rtl/>
          <w:lang w:bidi="ar-EG"/>
        </w:rPr>
        <w:t>، وغير ذلك من صكوك القانون الدولي لحقوق الإنسان والقانون الدولي الإنساني ذات الصلة</w:t>
      </w:r>
      <w:r w:rsidRPr="00D3276C">
        <w:rPr>
          <w:rFonts w:hint="cs"/>
          <w:rtl/>
          <w:lang w:bidi="ar-EG"/>
        </w:rPr>
        <w:t>،</w:t>
      </w:r>
    </w:p>
    <w:p w14:paraId="058906F1" w14:textId="77777777" w:rsidR="007A1A5B" w:rsidRPr="00D3276C" w:rsidRDefault="007A1A5B" w:rsidP="00AA7AE4">
      <w:pPr>
        <w:pStyle w:val="SingleTxtGA"/>
        <w:spacing w:line="370" w:lineRule="exact"/>
        <w:ind w:left="1253" w:right="1253"/>
        <w:rPr>
          <w:rtl/>
          <w:lang w:bidi="ar-EG"/>
        </w:rPr>
      </w:pPr>
      <w:r w:rsidRPr="00D3276C">
        <w:rPr>
          <w:lang w:bidi="ar-EG"/>
        </w:rPr>
        <w:tab/>
      </w:r>
      <w:r w:rsidRPr="00D3276C">
        <w:rPr>
          <w:i/>
          <w:iCs/>
          <w:rtl/>
          <w:lang w:bidi="ar-EG"/>
        </w:rPr>
        <w:t>وإذ يؤكد من جديد أيضاً</w:t>
      </w:r>
      <w:r w:rsidRPr="00D3276C">
        <w:rPr>
          <w:rtl/>
          <w:lang w:bidi="ar-EG"/>
        </w:rPr>
        <w:t xml:space="preserve"> أهمية اتفاقية منع جريمة الإبادة الجماعية والمعاقبة عليها، وإذ</w:t>
      </w:r>
      <w:r w:rsidRPr="00D3276C">
        <w:rPr>
          <w:rFonts w:hint="cs"/>
          <w:rtl/>
          <w:lang w:bidi="ar-EG"/>
        </w:rPr>
        <w:t> </w:t>
      </w:r>
      <w:r w:rsidRPr="00D3276C">
        <w:rPr>
          <w:rtl/>
          <w:lang w:bidi="ar-EG"/>
        </w:rPr>
        <w:t>يشير في هذا الصدد إلى اتفاقية عدم تقادم جرائم الحرب والجرائم المرتكبة ضد الإنسانية، باعتبارهما صكين دوليين فعالين لمنع جريمة الإبادة الجماعية وجرائم الحرب والجرائم ضد الإنسانية والمعاقبة عليها،</w:t>
      </w:r>
    </w:p>
    <w:p w14:paraId="74DBEC11" w14:textId="77777777" w:rsidR="007A1A5B" w:rsidRPr="00D3276C" w:rsidRDefault="007A1A5B" w:rsidP="00AA7AE4">
      <w:pPr>
        <w:pStyle w:val="SingleTxtGA"/>
        <w:spacing w:line="370" w:lineRule="exact"/>
        <w:rPr>
          <w:lang w:bidi="ar-EG"/>
        </w:rPr>
      </w:pPr>
      <w:r w:rsidRPr="00D3276C">
        <w:rPr>
          <w:i/>
          <w:iCs/>
          <w:lang w:bidi="ar-EG"/>
        </w:rPr>
        <w:tab/>
      </w:r>
      <w:r w:rsidRPr="00D3276C">
        <w:rPr>
          <w:i/>
          <w:iCs/>
          <w:rtl/>
          <w:lang w:bidi="ar-EG"/>
        </w:rPr>
        <w:t>وإذ يشير</w:t>
      </w:r>
      <w:r w:rsidRPr="00D3276C">
        <w:rPr>
          <w:rtl/>
          <w:lang w:bidi="ar-EG"/>
        </w:rPr>
        <w:t xml:space="preserve"> إلى الاتفاقية الدولية لحماية جميع الأشخاص من الاختفاء القسري التي اعتمدتها الجمعية العامة في قرارها </w:t>
      </w:r>
      <w:r w:rsidRPr="00D3276C">
        <w:rPr>
          <w:szCs w:val="20"/>
          <w:rtl/>
          <w:lang w:bidi="ar-EG"/>
        </w:rPr>
        <w:t>61</w:t>
      </w:r>
      <w:r w:rsidRPr="00D3276C">
        <w:rPr>
          <w:rtl/>
          <w:lang w:bidi="ar-EG"/>
        </w:rPr>
        <w:t>/</w:t>
      </w:r>
      <w:r w:rsidRPr="00D3276C">
        <w:rPr>
          <w:szCs w:val="20"/>
          <w:rtl/>
          <w:lang w:bidi="ar-EG"/>
        </w:rPr>
        <w:t>177</w:t>
      </w:r>
      <w:r w:rsidRPr="00D3276C">
        <w:rPr>
          <w:rtl/>
          <w:lang w:bidi="ar-EG"/>
        </w:rPr>
        <w:t xml:space="preserve"> المؤرخ </w:t>
      </w:r>
      <w:r w:rsidRPr="00D3276C">
        <w:rPr>
          <w:szCs w:val="20"/>
          <w:rtl/>
          <w:lang w:bidi="ar-EG"/>
        </w:rPr>
        <w:t>20</w:t>
      </w:r>
      <w:r w:rsidRPr="00D3276C">
        <w:rPr>
          <w:rtl/>
          <w:lang w:bidi="ar-EG"/>
        </w:rPr>
        <w:t xml:space="preserve"> كانون الأول/ديسمبر </w:t>
      </w:r>
      <w:r w:rsidRPr="00D3276C">
        <w:rPr>
          <w:szCs w:val="20"/>
          <w:rtl/>
          <w:lang w:bidi="ar-EG"/>
        </w:rPr>
        <w:t>2006</w:t>
      </w:r>
      <w:r w:rsidRPr="00D3276C">
        <w:rPr>
          <w:rtl/>
          <w:lang w:bidi="ar-EG"/>
        </w:rPr>
        <w:t xml:space="preserve">، والتي تنص الفقرة </w:t>
      </w:r>
      <w:r w:rsidRPr="00D3276C">
        <w:rPr>
          <w:szCs w:val="20"/>
          <w:rtl/>
          <w:lang w:bidi="ar-EG"/>
        </w:rPr>
        <w:t>2</w:t>
      </w:r>
      <w:r w:rsidRPr="00D3276C">
        <w:rPr>
          <w:rtl/>
          <w:lang w:bidi="ar-EG"/>
        </w:rPr>
        <w:t xml:space="preserve"> من مادتها </w:t>
      </w:r>
      <w:r w:rsidRPr="00D3276C">
        <w:rPr>
          <w:szCs w:val="20"/>
          <w:rtl/>
          <w:lang w:bidi="ar-EG"/>
        </w:rPr>
        <w:t>24</w:t>
      </w:r>
      <w:r w:rsidRPr="00D3276C">
        <w:rPr>
          <w:rtl/>
          <w:lang w:bidi="ar-EG"/>
        </w:rPr>
        <w:t xml:space="preserve"> على حق الضحايا في معرفة الحقيقة المتعلقة بظروف الاختفاء القسري وسير التحقيق ونتائجه ومصير الشخص المختفي، وعلى التزامات الدول الأطراف باتخاذ التدابير المناسبة في هذا الصدد، والتي تؤكد ديباجتها م</w:t>
      </w:r>
      <w:r w:rsidRPr="00D3276C">
        <w:rPr>
          <w:rFonts w:hint="cs"/>
          <w:rtl/>
          <w:lang w:bidi="ar-EG"/>
        </w:rPr>
        <w:t>جدداً</w:t>
      </w:r>
      <w:r w:rsidRPr="00D3276C">
        <w:rPr>
          <w:rtl/>
          <w:lang w:bidi="ar-EG"/>
        </w:rPr>
        <w:t xml:space="preserve"> على الحق في حرية جمع المعلومات وتلقيها ونشرها لذلك الغرض،</w:t>
      </w:r>
    </w:p>
    <w:p w14:paraId="33FC41EF" w14:textId="24EFF08E" w:rsidR="007A1A5B" w:rsidRDefault="007A1A5B" w:rsidP="00AA7AE4">
      <w:pPr>
        <w:pStyle w:val="SingleTxtGA"/>
        <w:spacing w:line="370" w:lineRule="exact"/>
        <w:rPr>
          <w:lang w:bidi="ar-EG"/>
        </w:rPr>
      </w:pPr>
      <w:r>
        <w:rPr>
          <w:rtl/>
          <w:lang w:bidi="ar-EG"/>
        </w:rPr>
        <w:lastRenderedPageBreak/>
        <w:tab/>
      </w:r>
      <w:r w:rsidRPr="009C77D9">
        <w:rPr>
          <w:i/>
          <w:iCs/>
          <w:rtl/>
          <w:lang w:bidi="ar-EG"/>
        </w:rPr>
        <w:t>وإذ يشير أيض</w:t>
      </w:r>
      <w:r>
        <w:rPr>
          <w:i/>
          <w:iCs/>
          <w:rtl/>
          <w:lang w:bidi="ar-EG"/>
        </w:rPr>
        <w:t xml:space="preserve">اً </w:t>
      </w:r>
      <w:r>
        <w:rPr>
          <w:rtl/>
          <w:lang w:bidi="ar-EG"/>
        </w:rPr>
        <w:t xml:space="preserve">إلى مجموعة المبادئ المتعلقة بحماية حقوق الإنسان وتعزيزها </w:t>
      </w:r>
      <w:r>
        <w:rPr>
          <w:rFonts w:hint="cs"/>
          <w:rtl/>
          <w:lang w:bidi="ar-EG"/>
        </w:rPr>
        <w:t>عن طريق</w:t>
      </w:r>
      <w:r>
        <w:rPr>
          <w:rtl/>
          <w:lang w:bidi="ar-EG"/>
        </w:rPr>
        <w:t xml:space="preserve"> اتخاذ</w:t>
      </w:r>
      <w:r w:rsidR="00AA7AE4">
        <w:rPr>
          <w:vertAlign w:val="superscript"/>
          <w:lang w:bidi="ar-EG"/>
        </w:rPr>
        <w:t xml:space="preserve"> </w:t>
      </w:r>
      <w:r>
        <w:rPr>
          <w:rtl/>
          <w:lang w:bidi="ar-EG"/>
        </w:rPr>
        <w:t>إجراءات لمكافحة الإفلات من العقاب</w:t>
      </w:r>
      <w:r>
        <w:rPr>
          <w:vertAlign w:val="superscript"/>
          <w:rtl/>
          <w:lang w:bidi="ar-EG"/>
        </w:rPr>
        <w:t>(</w:t>
      </w:r>
      <w:r w:rsidRPr="00EC6849">
        <w:rPr>
          <w:rStyle w:val="FootnoteReference"/>
          <w:rFonts w:ascii="Times New Roman" w:hAnsi="Times New Roman" w:cs="Times New Roman"/>
          <w:b w:val="0"/>
          <w:position w:val="4"/>
          <w:sz w:val="20"/>
          <w:lang w:bidi="ar-EG"/>
        </w:rPr>
        <w:footnoteReference w:id="1"/>
      </w:r>
      <w:r>
        <w:rPr>
          <w:vertAlign w:val="superscript"/>
          <w:rtl/>
          <w:lang w:bidi="ar-EG"/>
        </w:rPr>
        <w:t>)</w:t>
      </w:r>
      <w:r>
        <w:rPr>
          <w:rtl/>
          <w:lang w:bidi="ar-EG"/>
        </w:rPr>
        <w:t>، والنسخة المست</w:t>
      </w:r>
      <w:r>
        <w:rPr>
          <w:rFonts w:hint="cs"/>
          <w:rtl/>
          <w:lang w:bidi="ar-EG"/>
        </w:rPr>
        <w:t>كملة</w:t>
      </w:r>
      <w:r>
        <w:rPr>
          <w:rtl/>
          <w:lang w:bidi="ar-EG"/>
        </w:rPr>
        <w:t xml:space="preserve"> من تلك المبادئ</w:t>
      </w:r>
      <w:r>
        <w:rPr>
          <w:vertAlign w:val="superscript"/>
          <w:rtl/>
          <w:lang w:bidi="ar-EG"/>
        </w:rPr>
        <w:t>(</w:t>
      </w:r>
      <w:r w:rsidRPr="00EC6849">
        <w:rPr>
          <w:rStyle w:val="FootnoteReference"/>
          <w:rFonts w:ascii="Times New Roman" w:hAnsi="Times New Roman" w:cs="Times New Roman"/>
          <w:b w:val="0"/>
          <w:position w:val="4"/>
          <w:sz w:val="20"/>
          <w:lang w:bidi="ar-EG"/>
        </w:rPr>
        <w:footnoteReference w:id="2"/>
      </w:r>
      <w:r>
        <w:rPr>
          <w:vertAlign w:val="superscript"/>
          <w:rtl/>
          <w:lang w:bidi="ar-EG"/>
        </w:rPr>
        <w:t>)</w:t>
      </w:r>
      <w:r>
        <w:rPr>
          <w:rtl/>
          <w:lang w:bidi="ar-EG"/>
        </w:rPr>
        <w:t xml:space="preserve">، </w:t>
      </w:r>
    </w:p>
    <w:p w14:paraId="6F7A4E1B" w14:textId="77777777" w:rsidR="007A1A5B" w:rsidRPr="005524AA" w:rsidRDefault="007A1A5B" w:rsidP="007A1A5B">
      <w:pPr>
        <w:pStyle w:val="SingleTxtGA"/>
        <w:rPr>
          <w:spacing w:val="-4"/>
          <w:lang w:bidi="ar-EG"/>
        </w:rPr>
      </w:pPr>
      <w:r w:rsidRPr="005524AA">
        <w:rPr>
          <w:i/>
          <w:iCs/>
          <w:spacing w:val="-4"/>
          <w:lang w:bidi="ar-EG"/>
        </w:rPr>
        <w:tab/>
      </w:r>
      <w:r w:rsidRPr="005524AA">
        <w:rPr>
          <w:i/>
          <w:iCs/>
          <w:spacing w:val="-4"/>
          <w:rtl/>
          <w:lang w:bidi="ar-EG"/>
        </w:rPr>
        <w:t>وإذ يشير كذلك</w:t>
      </w:r>
      <w:r w:rsidRPr="005524AA">
        <w:rPr>
          <w:spacing w:val="-4"/>
          <w:rtl/>
          <w:lang w:bidi="ar-EG"/>
        </w:rPr>
        <w:t xml:space="preserve"> إلى قرار الجمعية العامة رقم </w:t>
      </w:r>
      <w:r w:rsidRPr="00EC6849">
        <w:rPr>
          <w:spacing w:val="-4"/>
          <w:szCs w:val="20"/>
          <w:rtl/>
          <w:lang w:bidi="ar-EG"/>
        </w:rPr>
        <w:t>60</w:t>
      </w:r>
      <w:r w:rsidRPr="005524AA">
        <w:rPr>
          <w:spacing w:val="-4"/>
          <w:rtl/>
          <w:lang w:bidi="ar-EG"/>
        </w:rPr>
        <w:t>/</w:t>
      </w:r>
      <w:r w:rsidRPr="00EC6849">
        <w:rPr>
          <w:spacing w:val="-4"/>
          <w:szCs w:val="20"/>
          <w:rtl/>
          <w:lang w:bidi="ar-EG"/>
        </w:rPr>
        <w:t>147</w:t>
      </w:r>
      <w:r w:rsidRPr="005524AA">
        <w:rPr>
          <w:spacing w:val="-4"/>
          <w:rtl/>
          <w:lang w:bidi="ar-EG"/>
        </w:rPr>
        <w:t xml:space="preserve"> المؤرخ </w:t>
      </w:r>
      <w:r w:rsidRPr="00EC6849">
        <w:rPr>
          <w:spacing w:val="-4"/>
          <w:szCs w:val="20"/>
          <w:rtl/>
          <w:lang w:bidi="ar-EG"/>
        </w:rPr>
        <w:t>16</w:t>
      </w:r>
      <w:r w:rsidRPr="005524AA">
        <w:rPr>
          <w:spacing w:val="-4"/>
          <w:rtl/>
          <w:lang w:bidi="ar-EG"/>
        </w:rPr>
        <w:t xml:space="preserve"> كانون الأول/ديسمبر </w:t>
      </w:r>
      <w:r w:rsidRPr="00EC6849">
        <w:rPr>
          <w:spacing w:val="-4"/>
          <w:szCs w:val="20"/>
          <w:rtl/>
          <w:lang w:bidi="ar-EG"/>
        </w:rPr>
        <w:t>2005</w:t>
      </w:r>
      <w:r w:rsidRPr="005524AA">
        <w:rPr>
          <w:spacing w:val="-4"/>
          <w:rtl/>
          <w:lang w:bidi="ar-EG"/>
        </w:rPr>
        <w:t xml:space="preserve">، الذي اعتمدت فيه الجمعية المبادئ الأساسية والمبادئ التوجيهية بشأن الحق في الانتصاف والجبر لضحايا الانتهاكات الجسيمة للقانون الدولي لحقوق الإنسان والانتهاكات الخطيرة للقانون الدولي الإنساني، </w:t>
      </w:r>
    </w:p>
    <w:p w14:paraId="42134B4F" w14:textId="2FA8570C" w:rsidR="007A1A5B" w:rsidRPr="00D3276C" w:rsidRDefault="007A1A5B" w:rsidP="007A1A5B">
      <w:pPr>
        <w:pStyle w:val="SingleTxtGA"/>
        <w:rPr>
          <w:rtl/>
          <w:lang w:bidi="ar-EG"/>
        </w:rPr>
      </w:pPr>
      <w:r w:rsidRPr="005524AA">
        <w:rPr>
          <w:i/>
          <w:iCs/>
          <w:spacing w:val="-2"/>
          <w:lang w:bidi="ar-EG"/>
        </w:rPr>
        <w:tab/>
      </w:r>
      <w:r w:rsidRPr="00D3276C">
        <w:rPr>
          <w:i/>
          <w:iCs/>
          <w:rtl/>
          <w:lang w:bidi="ar-EG"/>
        </w:rPr>
        <w:t>وإذ يشير</w:t>
      </w:r>
      <w:r w:rsidRPr="00D3276C">
        <w:rPr>
          <w:rtl/>
          <w:lang w:bidi="ar-EG"/>
        </w:rPr>
        <w:t xml:space="preserve"> إلى قرارات لجنة حقوق الإنسان </w:t>
      </w:r>
      <w:r w:rsidRPr="00D3276C">
        <w:rPr>
          <w:szCs w:val="20"/>
          <w:rtl/>
          <w:lang w:bidi="ar-EG"/>
        </w:rPr>
        <w:t>2005</w:t>
      </w:r>
      <w:r w:rsidRPr="00D3276C">
        <w:rPr>
          <w:rtl/>
          <w:lang w:bidi="ar-EG"/>
        </w:rPr>
        <w:t>/</w:t>
      </w:r>
      <w:r w:rsidRPr="00D3276C">
        <w:rPr>
          <w:szCs w:val="20"/>
          <w:rtl/>
          <w:lang w:bidi="ar-EG"/>
        </w:rPr>
        <w:t>70</w:t>
      </w:r>
      <w:r w:rsidRPr="00D3276C">
        <w:rPr>
          <w:rtl/>
          <w:lang w:bidi="ar-EG"/>
        </w:rPr>
        <w:t xml:space="preserve"> المؤرخ </w:t>
      </w:r>
      <w:r w:rsidRPr="00D3276C">
        <w:rPr>
          <w:szCs w:val="20"/>
          <w:rtl/>
          <w:lang w:bidi="ar-EG"/>
        </w:rPr>
        <w:t>20</w:t>
      </w:r>
      <w:r w:rsidRPr="00D3276C">
        <w:rPr>
          <w:rtl/>
          <w:lang w:bidi="ar-EG"/>
        </w:rPr>
        <w:t xml:space="preserve"> نيسان/أبريل </w:t>
      </w:r>
      <w:r w:rsidRPr="00D3276C">
        <w:rPr>
          <w:szCs w:val="20"/>
          <w:rtl/>
          <w:lang w:bidi="ar-EG"/>
        </w:rPr>
        <w:t>2005</w:t>
      </w:r>
      <w:r w:rsidRPr="00D3276C">
        <w:rPr>
          <w:rtl/>
          <w:lang w:bidi="ar-EG"/>
        </w:rPr>
        <w:t xml:space="preserve"> بشأن حقوق الإنسان والعدالة الانتقالية، و</w:t>
      </w:r>
      <w:r w:rsidRPr="00D3276C">
        <w:rPr>
          <w:szCs w:val="20"/>
          <w:rtl/>
          <w:lang w:bidi="ar-EG"/>
        </w:rPr>
        <w:t>2005</w:t>
      </w:r>
      <w:r w:rsidRPr="00D3276C">
        <w:rPr>
          <w:rtl/>
          <w:lang w:bidi="ar-EG"/>
        </w:rPr>
        <w:t>/</w:t>
      </w:r>
      <w:r w:rsidRPr="00D3276C">
        <w:rPr>
          <w:szCs w:val="20"/>
          <w:rtl/>
          <w:lang w:bidi="ar-EG"/>
        </w:rPr>
        <w:t>81</w:t>
      </w:r>
      <w:r w:rsidRPr="00D3276C">
        <w:rPr>
          <w:rtl/>
          <w:lang w:bidi="ar-EG"/>
        </w:rPr>
        <w:t xml:space="preserve"> المؤرخ </w:t>
      </w:r>
      <w:r w:rsidRPr="00D3276C">
        <w:rPr>
          <w:szCs w:val="20"/>
          <w:rtl/>
          <w:lang w:bidi="ar-EG"/>
        </w:rPr>
        <w:t>21</w:t>
      </w:r>
      <w:r w:rsidRPr="00D3276C">
        <w:rPr>
          <w:rtl/>
          <w:lang w:bidi="ar-EG"/>
        </w:rPr>
        <w:t xml:space="preserve"> نيسان/أبريل </w:t>
      </w:r>
      <w:r w:rsidRPr="00D3276C">
        <w:rPr>
          <w:szCs w:val="20"/>
          <w:rtl/>
          <w:lang w:bidi="ar-EG"/>
        </w:rPr>
        <w:t>2005</w:t>
      </w:r>
      <w:r w:rsidRPr="00D3276C">
        <w:rPr>
          <w:rtl/>
          <w:lang w:bidi="ar-EG"/>
        </w:rPr>
        <w:t xml:space="preserve"> بشأن الإفلات من العقاب، و</w:t>
      </w:r>
      <w:r w:rsidRPr="00D3276C">
        <w:rPr>
          <w:szCs w:val="20"/>
          <w:rtl/>
          <w:lang w:bidi="ar-EG"/>
        </w:rPr>
        <w:t>2005</w:t>
      </w:r>
      <w:r w:rsidRPr="00D3276C">
        <w:rPr>
          <w:rtl/>
          <w:lang w:bidi="ar-EG"/>
        </w:rPr>
        <w:t>/</w:t>
      </w:r>
      <w:r w:rsidRPr="00D3276C">
        <w:rPr>
          <w:szCs w:val="20"/>
          <w:rtl/>
          <w:lang w:bidi="ar-EG"/>
        </w:rPr>
        <w:t>66</w:t>
      </w:r>
      <w:r w:rsidRPr="00D3276C">
        <w:rPr>
          <w:rtl/>
          <w:lang w:bidi="ar-EG"/>
        </w:rPr>
        <w:t xml:space="preserve"> المؤرخ </w:t>
      </w:r>
      <w:r w:rsidRPr="00D3276C">
        <w:rPr>
          <w:szCs w:val="20"/>
          <w:rtl/>
          <w:lang w:bidi="ar-EG"/>
        </w:rPr>
        <w:t>20</w:t>
      </w:r>
      <w:r w:rsidRPr="00D3276C">
        <w:rPr>
          <w:rtl/>
          <w:lang w:bidi="ar-EG"/>
        </w:rPr>
        <w:t xml:space="preserve"> نيسان/أبريل </w:t>
      </w:r>
      <w:r w:rsidRPr="00D3276C">
        <w:rPr>
          <w:szCs w:val="20"/>
          <w:rtl/>
          <w:lang w:bidi="ar-EG"/>
        </w:rPr>
        <w:t>2005</w:t>
      </w:r>
      <w:r w:rsidRPr="00D3276C">
        <w:rPr>
          <w:rtl/>
          <w:lang w:bidi="ar-EG"/>
        </w:rPr>
        <w:t xml:space="preserve"> بشأن الحق في معرفة الحقيقة، وقرارات مجلس حقوق الإنسان</w:t>
      </w:r>
      <w:r w:rsidR="00D3276C" w:rsidRPr="00D3276C">
        <w:rPr>
          <w:lang w:bidi="ar-EG"/>
        </w:rPr>
        <w:t> </w:t>
      </w:r>
      <w:r w:rsidRPr="00D3276C">
        <w:rPr>
          <w:szCs w:val="20"/>
          <w:rtl/>
          <w:lang w:bidi="ar-EG"/>
        </w:rPr>
        <w:t>9</w:t>
      </w:r>
      <w:r w:rsidRPr="00D3276C">
        <w:rPr>
          <w:rtl/>
          <w:lang w:bidi="ar-EG"/>
        </w:rPr>
        <w:t>/</w:t>
      </w:r>
      <w:r w:rsidRPr="00D3276C">
        <w:rPr>
          <w:szCs w:val="20"/>
          <w:rtl/>
          <w:lang w:bidi="ar-EG"/>
        </w:rPr>
        <w:t>10</w:t>
      </w:r>
      <w:r w:rsidRPr="00D3276C">
        <w:rPr>
          <w:rtl/>
          <w:lang w:bidi="ar-EG"/>
        </w:rPr>
        <w:t xml:space="preserve"> المؤرخ </w:t>
      </w:r>
      <w:r w:rsidRPr="00D3276C">
        <w:rPr>
          <w:szCs w:val="20"/>
          <w:rtl/>
          <w:lang w:bidi="ar-EG"/>
        </w:rPr>
        <w:t>24</w:t>
      </w:r>
      <w:r w:rsidRPr="00D3276C">
        <w:rPr>
          <w:rtl/>
          <w:lang w:bidi="ar-EG"/>
        </w:rPr>
        <w:t xml:space="preserve"> أيلول/سبتمبر </w:t>
      </w:r>
      <w:r w:rsidRPr="00D3276C">
        <w:rPr>
          <w:szCs w:val="20"/>
          <w:rtl/>
          <w:lang w:bidi="ar-EG"/>
        </w:rPr>
        <w:t>2008</w:t>
      </w:r>
      <w:r w:rsidRPr="00D3276C">
        <w:rPr>
          <w:rtl/>
          <w:lang w:bidi="ar-EG"/>
        </w:rPr>
        <w:t>، و</w:t>
      </w:r>
      <w:r w:rsidRPr="00D3276C">
        <w:rPr>
          <w:szCs w:val="20"/>
          <w:rtl/>
          <w:lang w:bidi="ar-EG"/>
        </w:rPr>
        <w:t>12</w:t>
      </w:r>
      <w:r w:rsidRPr="00D3276C">
        <w:rPr>
          <w:rtl/>
          <w:lang w:bidi="ar-EG"/>
        </w:rPr>
        <w:t>/</w:t>
      </w:r>
      <w:r w:rsidRPr="00D3276C">
        <w:rPr>
          <w:szCs w:val="20"/>
          <w:rtl/>
          <w:lang w:bidi="ar-EG"/>
        </w:rPr>
        <w:t>11</w:t>
      </w:r>
      <w:r w:rsidRPr="00D3276C">
        <w:rPr>
          <w:rtl/>
          <w:lang w:bidi="ar-EG"/>
        </w:rPr>
        <w:t xml:space="preserve"> المؤرخ </w:t>
      </w:r>
      <w:r w:rsidRPr="00D3276C">
        <w:rPr>
          <w:szCs w:val="20"/>
          <w:rtl/>
          <w:lang w:bidi="ar-EG"/>
        </w:rPr>
        <w:t>1</w:t>
      </w:r>
      <w:r w:rsidRPr="00D3276C">
        <w:rPr>
          <w:rtl/>
          <w:lang w:bidi="ar-EG"/>
        </w:rPr>
        <w:t xml:space="preserve"> تشرين الأول/أكتوبر </w:t>
      </w:r>
      <w:r w:rsidRPr="00D3276C">
        <w:rPr>
          <w:szCs w:val="20"/>
          <w:rtl/>
          <w:lang w:bidi="ar-EG"/>
        </w:rPr>
        <w:t>2009</w:t>
      </w:r>
      <w:r w:rsidRPr="00D3276C">
        <w:rPr>
          <w:rtl/>
          <w:lang w:bidi="ar-EG"/>
        </w:rPr>
        <w:t>، و</w:t>
      </w:r>
      <w:r w:rsidRPr="00D3276C">
        <w:rPr>
          <w:szCs w:val="20"/>
          <w:rtl/>
          <w:lang w:bidi="ar-EG"/>
        </w:rPr>
        <w:t>21</w:t>
      </w:r>
      <w:r w:rsidRPr="00D3276C">
        <w:rPr>
          <w:rtl/>
          <w:lang w:bidi="ar-EG"/>
        </w:rPr>
        <w:t>/</w:t>
      </w:r>
      <w:r w:rsidRPr="00D3276C">
        <w:rPr>
          <w:szCs w:val="20"/>
          <w:rtl/>
          <w:lang w:bidi="ar-EG"/>
        </w:rPr>
        <w:t>15</w:t>
      </w:r>
      <w:r w:rsidRPr="00D3276C">
        <w:rPr>
          <w:rtl/>
          <w:lang w:bidi="ar-EG"/>
        </w:rPr>
        <w:t xml:space="preserve"> المؤرخ </w:t>
      </w:r>
      <w:r w:rsidRPr="00D3276C">
        <w:rPr>
          <w:szCs w:val="20"/>
          <w:rtl/>
          <w:lang w:bidi="ar-EG"/>
        </w:rPr>
        <w:t>27</w:t>
      </w:r>
      <w:r w:rsidRPr="00D3276C">
        <w:rPr>
          <w:rtl/>
          <w:lang w:bidi="ar-EG"/>
        </w:rPr>
        <w:t xml:space="preserve"> أيلول/سبتمبر </w:t>
      </w:r>
      <w:r w:rsidRPr="00D3276C">
        <w:rPr>
          <w:szCs w:val="20"/>
          <w:rtl/>
          <w:lang w:bidi="ar-EG"/>
        </w:rPr>
        <w:t>2012</w:t>
      </w:r>
      <w:r w:rsidRPr="00D3276C">
        <w:rPr>
          <w:rtl/>
          <w:lang w:bidi="ar-EG"/>
        </w:rPr>
        <w:t>، و</w:t>
      </w:r>
      <w:r w:rsidRPr="00D3276C">
        <w:rPr>
          <w:szCs w:val="20"/>
          <w:rtl/>
          <w:lang w:bidi="ar-EG"/>
        </w:rPr>
        <w:t>33</w:t>
      </w:r>
      <w:r w:rsidRPr="00D3276C">
        <w:rPr>
          <w:rtl/>
          <w:lang w:bidi="ar-EG"/>
        </w:rPr>
        <w:t>/</w:t>
      </w:r>
      <w:r w:rsidRPr="00D3276C">
        <w:rPr>
          <w:szCs w:val="20"/>
          <w:rtl/>
          <w:lang w:bidi="ar-EG"/>
        </w:rPr>
        <w:t>19</w:t>
      </w:r>
      <w:r w:rsidRPr="00D3276C">
        <w:rPr>
          <w:rtl/>
          <w:lang w:bidi="ar-EG"/>
        </w:rPr>
        <w:t xml:space="preserve"> المؤرخ </w:t>
      </w:r>
      <w:r w:rsidRPr="00D3276C">
        <w:rPr>
          <w:szCs w:val="20"/>
          <w:rtl/>
          <w:lang w:bidi="ar-EG"/>
        </w:rPr>
        <w:t>30</w:t>
      </w:r>
      <w:r w:rsidRPr="00D3276C">
        <w:rPr>
          <w:rtl/>
          <w:lang w:bidi="ar-EG"/>
        </w:rPr>
        <w:t xml:space="preserve"> أيلول/سبتمبر </w:t>
      </w:r>
      <w:r w:rsidRPr="00D3276C">
        <w:rPr>
          <w:szCs w:val="20"/>
          <w:rtl/>
          <w:lang w:bidi="ar-EG"/>
        </w:rPr>
        <w:t>2016</w:t>
      </w:r>
      <w:r w:rsidRPr="00D3276C">
        <w:rPr>
          <w:rFonts w:hint="cs"/>
          <w:rtl/>
        </w:rPr>
        <w:t xml:space="preserve"> و</w:t>
      </w:r>
      <w:r w:rsidRPr="00D3276C">
        <w:rPr>
          <w:rFonts w:hint="cs"/>
          <w:szCs w:val="20"/>
          <w:rtl/>
        </w:rPr>
        <w:t>42</w:t>
      </w:r>
      <w:r w:rsidRPr="00D3276C">
        <w:rPr>
          <w:rFonts w:hint="cs"/>
          <w:rtl/>
        </w:rPr>
        <w:t>/</w:t>
      </w:r>
      <w:r w:rsidRPr="00D3276C">
        <w:rPr>
          <w:rFonts w:hint="cs"/>
          <w:szCs w:val="20"/>
          <w:rtl/>
        </w:rPr>
        <w:t>17</w:t>
      </w:r>
      <w:r w:rsidRPr="00D3276C">
        <w:rPr>
          <w:rFonts w:hint="cs"/>
          <w:rtl/>
        </w:rPr>
        <w:t xml:space="preserve"> المؤرخ </w:t>
      </w:r>
      <w:r w:rsidRPr="00D3276C">
        <w:rPr>
          <w:rFonts w:hint="cs"/>
          <w:szCs w:val="20"/>
          <w:rtl/>
        </w:rPr>
        <w:t>26</w:t>
      </w:r>
      <w:r w:rsidRPr="00D3276C">
        <w:rPr>
          <w:rFonts w:hint="cs"/>
          <w:rtl/>
        </w:rPr>
        <w:t xml:space="preserve"> أيلول/سبتمبر </w:t>
      </w:r>
      <w:r w:rsidRPr="00D3276C">
        <w:rPr>
          <w:rFonts w:hint="cs"/>
          <w:szCs w:val="20"/>
          <w:rtl/>
        </w:rPr>
        <w:t>2019</w:t>
      </w:r>
      <w:r w:rsidRPr="00D3276C">
        <w:rPr>
          <w:rtl/>
          <w:lang w:bidi="ar-EG"/>
        </w:rPr>
        <w:t xml:space="preserve"> بشأن حقوق الإنسان والعدالة الانتقالية، و</w:t>
      </w:r>
      <w:r w:rsidRPr="00D3276C">
        <w:rPr>
          <w:szCs w:val="20"/>
          <w:rtl/>
          <w:lang w:bidi="ar-EG"/>
        </w:rPr>
        <w:t>9</w:t>
      </w:r>
      <w:r w:rsidRPr="00D3276C">
        <w:rPr>
          <w:rtl/>
          <w:lang w:bidi="ar-EG"/>
        </w:rPr>
        <w:t>/</w:t>
      </w:r>
      <w:r w:rsidRPr="00D3276C">
        <w:rPr>
          <w:szCs w:val="20"/>
          <w:rtl/>
          <w:lang w:bidi="ar-EG"/>
        </w:rPr>
        <w:t>11</w:t>
      </w:r>
      <w:r w:rsidRPr="00D3276C">
        <w:rPr>
          <w:rtl/>
          <w:lang w:bidi="ar-EG"/>
        </w:rPr>
        <w:t xml:space="preserve"> المؤرخ </w:t>
      </w:r>
      <w:r w:rsidRPr="00D3276C">
        <w:rPr>
          <w:szCs w:val="20"/>
          <w:rtl/>
          <w:lang w:bidi="ar-EG"/>
        </w:rPr>
        <w:t>18</w:t>
      </w:r>
      <w:r w:rsidRPr="00D3276C">
        <w:rPr>
          <w:rtl/>
          <w:lang w:bidi="ar-EG"/>
        </w:rPr>
        <w:t xml:space="preserve"> أيلول/سبتمبر </w:t>
      </w:r>
      <w:r w:rsidRPr="00D3276C">
        <w:rPr>
          <w:szCs w:val="20"/>
          <w:rtl/>
          <w:lang w:bidi="ar-EG"/>
        </w:rPr>
        <w:t>2008</w:t>
      </w:r>
      <w:r w:rsidRPr="00D3276C">
        <w:rPr>
          <w:rtl/>
          <w:lang w:bidi="ar-EG"/>
        </w:rPr>
        <w:t>، و</w:t>
      </w:r>
      <w:r w:rsidRPr="00D3276C">
        <w:rPr>
          <w:szCs w:val="20"/>
          <w:rtl/>
          <w:lang w:bidi="ar-EG"/>
        </w:rPr>
        <w:t>12</w:t>
      </w:r>
      <w:r w:rsidRPr="00D3276C">
        <w:rPr>
          <w:rtl/>
          <w:lang w:bidi="ar-EG"/>
        </w:rPr>
        <w:t>/</w:t>
      </w:r>
      <w:r w:rsidRPr="00D3276C">
        <w:rPr>
          <w:szCs w:val="20"/>
          <w:rtl/>
          <w:lang w:bidi="ar-EG"/>
        </w:rPr>
        <w:t>12</w:t>
      </w:r>
      <w:r w:rsidRPr="00D3276C">
        <w:rPr>
          <w:rtl/>
          <w:lang w:bidi="ar-EG"/>
        </w:rPr>
        <w:t xml:space="preserve"> المؤرخ </w:t>
      </w:r>
      <w:r w:rsidRPr="00D3276C">
        <w:rPr>
          <w:szCs w:val="20"/>
          <w:rtl/>
          <w:lang w:bidi="ar-EG"/>
        </w:rPr>
        <w:t>1</w:t>
      </w:r>
      <w:r w:rsidRPr="00D3276C">
        <w:rPr>
          <w:rtl/>
          <w:lang w:bidi="ar-EG"/>
        </w:rPr>
        <w:t xml:space="preserve"> تشرين الأول/أكتوبر </w:t>
      </w:r>
      <w:r w:rsidRPr="00D3276C">
        <w:rPr>
          <w:szCs w:val="20"/>
          <w:rtl/>
          <w:lang w:bidi="ar-EG"/>
        </w:rPr>
        <w:t>2009</w:t>
      </w:r>
      <w:r w:rsidRPr="00D3276C">
        <w:rPr>
          <w:rtl/>
          <w:lang w:bidi="ar-EG"/>
        </w:rPr>
        <w:t>، و</w:t>
      </w:r>
      <w:r w:rsidRPr="00D3276C">
        <w:rPr>
          <w:szCs w:val="20"/>
          <w:rtl/>
          <w:lang w:bidi="ar-EG"/>
        </w:rPr>
        <w:t>21</w:t>
      </w:r>
      <w:r w:rsidRPr="00D3276C">
        <w:rPr>
          <w:rtl/>
          <w:lang w:bidi="ar-EG"/>
        </w:rPr>
        <w:t>/</w:t>
      </w:r>
      <w:r w:rsidRPr="00D3276C">
        <w:rPr>
          <w:szCs w:val="20"/>
          <w:rtl/>
          <w:lang w:bidi="ar-EG"/>
        </w:rPr>
        <w:t>7</w:t>
      </w:r>
      <w:r w:rsidRPr="00D3276C">
        <w:rPr>
          <w:rtl/>
          <w:lang w:bidi="ar-EG"/>
        </w:rPr>
        <w:t xml:space="preserve"> المؤرخ </w:t>
      </w:r>
      <w:r w:rsidRPr="00D3276C">
        <w:rPr>
          <w:szCs w:val="20"/>
          <w:rtl/>
          <w:lang w:bidi="ar-EG"/>
        </w:rPr>
        <w:t>27</w:t>
      </w:r>
      <w:r w:rsidRPr="00D3276C">
        <w:rPr>
          <w:rtl/>
          <w:lang w:bidi="ar-EG"/>
        </w:rPr>
        <w:t xml:space="preserve"> أيلول/سبتمبر </w:t>
      </w:r>
      <w:r w:rsidRPr="00D3276C">
        <w:rPr>
          <w:szCs w:val="20"/>
          <w:rtl/>
          <w:lang w:bidi="ar-EG"/>
        </w:rPr>
        <w:t>2012</w:t>
      </w:r>
      <w:r w:rsidRPr="00D3276C">
        <w:rPr>
          <w:rtl/>
          <w:lang w:bidi="ar-EG"/>
        </w:rPr>
        <w:t xml:space="preserve"> بشأن الحق في معرفة الحقيقة، و</w:t>
      </w:r>
      <w:r w:rsidRPr="00D3276C">
        <w:rPr>
          <w:szCs w:val="20"/>
          <w:rtl/>
          <w:lang w:bidi="ar-EG"/>
        </w:rPr>
        <w:t>10</w:t>
      </w:r>
      <w:r w:rsidRPr="00D3276C">
        <w:rPr>
          <w:rtl/>
          <w:lang w:bidi="ar-EG"/>
        </w:rPr>
        <w:t>/</w:t>
      </w:r>
      <w:r w:rsidRPr="00D3276C">
        <w:rPr>
          <w:szCs w:val="20"/>
          <w:rtl/>
          <w:lang w:bidi="ar-EG"/>
        </w:rPr>
        <w:t>26</w:t>
      </w:r>
      <w:r w:rsidRPr="00D3276C">
        <w:rPr>
          <w:rtl/>
          <w:lang w:bidi="ar-EG"/>
        </w:rPr>
        <w:t xml:space="preserve"> المؤرخ </w:t>
      </w:r>
      <w:r w:rsidRPr="00D3276C">
        <w:rPr>
          <w:szCs w:val="20"/>
          <w:rtl/>
          <w:lang w:bidi="ar-EG"/>
        </w:rPr>
        <w:t>27</w:t>
      </w:r>
      <w:r w:rsidRPr="00D3276C">
        <w:rPr>
          <w:rtl/>
          <w:lang w:bidi="ar-EG"/>
        </w:rPr>
        <w:t xml:space="preserve"> آذار/مارس </w:t>
      </w:r>
      <w:r w:rsidRPr="00D3276C">
        <w:rPr>
          <w:szCs w:val="20"/>
          <w:rtl/>
          <w:lang w:bidi="ar-EG"/>
        </w:rPr>
        <w:t>2009</w:t>
      </w:r>
      <w:r w:rsidRPr="00D3276C">
        <w:rPr>
          <w:rtl/>
          <w:lang w:bidi="ar-EG"/>
        </w:rPr>
        <w:t>، و</w:t>
      </w:r>
      <w:r w:rsidRPr="00D3276C">
        <w:rPr>
          <w:szCs w:val="20"/>
          <w:rtl/>
          <w:lang w:bidi="ar-EG"/>
        </w:rPr>
        <w:t>15</w:t>
      </w:r>
      <w:r w:rsidRPr="00D3276C">
        <w:rPr>
          <w:rtl/>
          <w:lang w:bidi="ar-EG"/>
        </w:rPr>
        <w:t>/</w:t>
      </w:r>
      <w:r w:rsidRPr="00D3276C">
        <w:rPr>
          <w:szCs w:val="20"/>
          <w:rtl/>
          <w:lang w:bidi="ar-EG"/>
        </w:rPr>
        <w:t>5</w:t>
      </w:r>
      <w:r w:rsidRPr="00D3276C">
        <w:rPr>
          <w:rtl/>
          <w:lang w:bidi="ar-EG"/>
        </w:rPr>
        <w:t xml:space="preserve"> المؤرخ </w:t>
      </w:r>
      <w:r w:rsidRPr="00D3276C">
        <w:rPr>
          <w:szCs w:val="20"/>
          <w:rtl/>
          <w:lang w:bidi="ar-EG"/>
        </w:rPr>
        <w:t>29</w:t>
      </w:r>
      <w:r w:rsidRPr="00D3276C">
        <w:rPr>
          <w:rtl/>
          <w:lang w:bidi="ar-EG"/>
        </w:rPr>
        <w:t xml:space="preserve"> أيلول/سبتمبر </w:t>
      </w:r>
      <w:r w:rsidRPr="00D3276C">
        <w:rPr>
          <w:szCs w:val="20"/>
          <w:rtl/>
          <w:lang w:bidi="ar-EG"/>
        </w:rPr>
        <w:t>2010</w:t>
      </w:r>
      <w:r w:rsidRPr="00D3276C">
        <w:rPr>
          <w:rtl/>
          <w:lang w:bidi="ar-EG"/>
        </w:rPr>
        <w:t xml:space="preserve"> بشأن</w:t>
      </w:r>
      <w:r w:rsidR="00D3276C">
        <w:rPr>
          <w:lang w:bidi="ar-EG"/>
        </w:rPr>
        <w:t> </w:t>
      </w:r>
      <w:r w:rsidRPr="00D3276C">
        <w:rPr>
          <w:rtl/>
          <w:lang w:bidi="ar-EG"/>
        </w:rPr>
        <w:t>علم الطب الشرعي الوراثي وحقوق الإنسان، ومقررَي</w:t>
      </w:r>
      <w:r w:rsidRPr="00D3276C">
        <w:rPr>
          <w:rFonts w:hint="cs"/>
          <w:rtl/>
          <w:lang w:bidi="ar-EG"/>
        </w:rPr>
        <w:t>ْ</w:t>
      </w:r>
      <w:r w:rsidRPr="00D3276C">
        <w:rPr>
          <w:rtl/>
          <w:lang w:bidi="ar-EG"/>
        </w:rPr>
        <w:t xml:space="preserve"> المجلس </w:t>
      </w:r>
      <w:r w:rsidRPr="00D3276C">
        <w:rPr>
          <w:szCs w:val="20"/>
          <w:rtl/>
          <w:lang w:bidi="ar-EG"/>
        </w:rPr>
        <w:t>2</w:t>
      </w:r>
      <w:r w:rsidRPr="00D3276C">
        <w:rPr>
          <w:rtl/>
          <w:lang w:bidi="ar-EG"/>
        </w:rPr>
        <w:t>/</w:t>
      </w:r>
      <w:r w:rsidRPr="00D3276C">
        <w:rPr>
          <w:szCs w:val="20"/>
          <w:rtl/>
          <w:lang w:bidi="ar-EG"/>
        </w:rPr>
        <w:t>105</w:t>
      </w:r>
      <w:r w:rsidRPr="00D3276C">
        <w:rPr>
          <w:rtl/>
          <w:lang w:bidi="ar-EG"/>
        </w:rPr>
        <w:t xml:space="preserve"> المؤرخ </w:t>
      </w:r>
      <w:r w:rsidRPr="00D3276C">
        <w:rPr>
          <w:szCs w:val="20"/>
          <w:rtl/>
          <w:lang w:bidi="ar-EG"/>
        </w:rPr>
        <w:t>27</w:t>
      </w:r>
      <w:r w:rsidRPr="00D3276C">
        <w:rPr>
          <w:rtl/>
          <w:lang w:bidi="ar-EG"/>
        </w:rPr>
        <w:t xml:space="preserve"> تشرين الثاني/</w:t>
      </w:r>
      <w:r w:rsidR="00D3276C">
        <w:rPr>
          <w:lang w:bidi="ar-EG"/>
        </w:rPr>
        <w:t xml:space="preserve"> </w:t>
      </w:r>
      <w:r w:rsidRPr="00D3276C">
        <w:rPr>
          <w:rtl/>
          <w:lang w:bidi="ar-EG"/>
        </w:rPr>
        <w:t xml:space="preserve">نوفمبر </w:t>
      </w:r>
      <w:r w:rsidRPr="00D3276C">
        <w:rPr>
          <w:szCs w:val="20"/>
          <w:rtl/>
          <w:lang w:bidi="ar-EG"/>
        </w:rPr>
        <w:t>2006</w:t>
      </w:r>
      <w:r w:rsidRPr="00D3276C">
        <w:rPr>
          <w:rtl/>
          <w:lang w:bidi="ar-EG"/>
        </w:rPr>
        <w:t xml:space="preserve"> بشأن الحق في معرفة الحقيقة، و</w:t>
      </w:r>
      <w:r w:rsidRPr="00D3276C">
        <w:rPr>
          <w:szCs w:val="20"/>
          <w:rtl/>
          <w:lang w:bidi="ar-EG"/>
        </w:rPr>
        <w:t>4</w:t>
      </w:r>
      <w:r w:rsidRPr="00D3276C">
        <w:rPr>
          <w:rtl/>
          <w:lang w:bidi="ar-EG"/>
        </w:rPr>
        <w:t>/</w:t>
      </w:r>
      <w:r w:rsidRPr="00D3276C">
        <w:rPr>
          <w:szCs w:val="20"/>
          <w:rtl/>
          <w:lang w:bidi="ar-EG"/>
        </w:rPr>
        <w:t>102</w:t>
      </w:r>
      <w:r w:rsidRPr="00D3276C">
        <w:rPr>
          <w:rtl/>
          <w:lang w:bidi="ar-EG"/>
        </w:rPr>
        <w:t xml:space="preserve"> المؤرخ </w:t>
      </w:r>
      <w:r w:rsidRPr="00D3276C">
        <w:rPr>
          <w:szCs w:val="20"/>
          <w:rtl/>
          <w:lang w:bidi="ar-EG"/>
        </w:rPr>
        <w:t>23</w:t>
      </w:r>
      <w:r w:rsidRPr="00D3276C">
        <w:rPr>
          <w:rtl/>
          <w:lang w:bidi="ar-EG"/>
        </w:rPr>
        <w:t xml:space="preserve"> آذار/مارس </w:t>
      </w:r>
      <w:r w:rsidRPr="00D3276C">
        <w:rPr>
          <w:szCs w:val="20"/>
          <w:rtl/>
          <w:lang w:bidi="ar-EG"/>
        </w:rPr>
        <w:t>2007</w:t>
      </w:r>
      <w:r w:rsidRPr="00D3276C">
        <w:rPr>
          <w:rtl/>
          <w:lang w:bidi="ar-EG"/>
        </w:rPr>
        <w:t xml:space="preserve"> بشأن العدالة الانتقالية، وقرار الجمعية العامة</w:t>
      </w:r>
      <w:r w:rsidRPr="00D3276C">
        <w:rPr>
          <w:rFonts w:hint="cs"/>
          <w:rtl/>
          <w:lang w:bidi="ar-EG"/>
        </w:rPr>
        <w:t> </w:t>
      </w:r>
      <w:r w:rsidRPr="00D3276C">
        <w:rPr>
          <w:szCs w:val="20"/>
          <w:rtl/>
          <w:lang w:bidi="ar-EG"/>
        </w:rPr>
        <w:t>68</w:t>
      </w:r>
      <w:r w:rsidRPr="00D3276C">
        <w:rPr>
          <w:rtl/>
          <w:lang w:bidi="ar-EG"/>
        </w:rPr>
        <w:t>/</w:t>
      </w:r>
      <w:r w:rsidRPr="00D3276C">
        <w:rPr>
          <w:szCs w:val="20"/>
          <w:rtl/>
          <w:lang w:bidi="ar-EG"/>
        </w:rPr>
        <w:t>165</w:t>
      </w:r>
      <w:r w:rsidRPr="00D3276C">
        <w:rPr>
          <w:rtl/>
          <w:lang w:bidi="ar-EG"/>
        </w:rPr>
        <w:t xml:space="preserve"> المؤرخ </w:t>
      </w:r>
      <w:r w:rsidRPr="00D3276C">
        <w:rPr>
          <w:szCs w:val="20"/>
          <w:rtl/>
          <w:lang w:bidi="ar-EG"/>
        </w:rPr>
        <w:t>18</w:t>
      </w:r>
      <w:r w:rsidRPr="00D3276C">
        <w:rPr>
          <w:rtl/>
          <w:lang w:bidi="ar-EG"/>
        </w:rPr>
        <w:t xml:space="preserve"> كانون الأول/ديسمبر </w:t>
      </w:r>
      <w:r w:rsidRPr="00D3276C">
        <w:rPr>
          <w:szCs w:val="20"/>
          <w:rtl/>
          <w:lang w:bidi="ar-EG"/>
        </w:rPr>
        <w:t>2013</w:t>
      </w:r>
      <w:r w:rsidRPr="00D3276C">
        <w:rPr>
          <w:rtl/>
          <w:lang w:bidi="ar-EG"/>
        </w:rPr>
        <w:t xml:space="preserve"> بشأن الحق في معرفة الحقيقة،</w:t>
      </w:r>
    </w:p>
    <w:p w14:paraId="793CE5F2" w14:textId="77777777" w:rsidR="007A1A5B" w:rsidRDefault="007A1A5B" w:rsidP="007A1A5B">
      <w:pPr>
        <w:pStyle w:val="SingleTxtGA"/>
        <w:rPr>
          <w:rtl/>
          <w:lang w:bidi="ar-EG"/>
        </w:rPr>
      </w:pPr>
      <w:r>
        <w:rPr>
          <w:i/>
          <w:iCs/>
          <w:spacing w:val="-4"/>
          <w:rtl/>
          <w:lang w:bidi="ar-EG"/>
        </w:rPr>
        <w:tab/>
      </w:r>
      <w:r w:rsidRPr="00CD38E4">
        <w:rPr>
          <w:i/>
          <w:iCs/>
          <w:spacing w:val="-4"/>
          <w:rtl/>
          <w:lang w:bidi="ar-EG"/>
        </w:rPr>
        <w:t>وإذ يؤكد من جديد</w:t>
      </w:r>
      <w:r w:rsidRPr="00CD38E4">
        <w:rPr>
          <w:spacing w:val="-4"/>
          <w:rtl/>
          <w:lang w:bidi="ar-EG"/>
        </w:rPr>
        <w:t xml:space="preserve"> قرار مجلس حقوق الإنسان </w:t>
      </w:r>
      <w:r w:rsidRPr="00EC6849">
        <w:rPr>
          <w:spacing w:val="-4"/>
          <w:szCs w:val="20"/>
          <w:rtl/>
          <w:lang w:bidi="ar-EG"/>
        </w:rPr>
        <w:t>18</w:t>
      </w:r>
      <w:r w:rsidRPr="00CD38E4">
        <w:rPr>
          <w:spacing w:val="-4"/>
          <w:rtl/>
          <w:lang w:bidi="ar-EG"/>
        </w:rPr>
        <w:t>/</w:t>
      </w:r>
      <w:r w:rsidRPr="00EC6849">
        <w:rPr>
          <w:spacing w:val="-4"/>
          <w:szCs w:val="20"/>
          <w:rtl/>
          <w:lang w:bidi="ar-EG"/>
        </w:rPr>
        <w:t>7</w:t>
      </w:r>
      <w:r w:rsidRPr="00CD38E4">
        <w:rPr>
          <w:spacing w:val="-4"/>
          <w:rtl/>
          <w:lang w:bidi="ar-EG"/>
        </w:rPr>
        <w:t xml:space="preserve"> المؤرخ </w:t>
      </w:r>
      <w:r w:rsidRPr="00EC6849">
        <w:rPr>
          <w:spacing w:val="-4"/>
          <w:szCs w:val="20"/>
          <w:rtl/>
          <w:lang w:bidi="ar-EG"/>
        </w:rPr>
        <w:t>29</w:t>
      </w:r>
      <w:r w:rsidRPr="00CD38E4">
        <w:rPr>
          <w:spacing w:val="-4"/>
          <w:rtl/>
          <w:lang w:bidi="ar-EG"/>
        </w:rPr>
        <w:t xml:space="preserve"> أيلول/سبتمبر </w:t>
      </w:r>
      <w:r w:rsidRPr="00EC6849">
        <w:rPr>
          <w:spacing w:val="-4"/>
          <w:szCs w:val="20"/>
          <w:rtl/>
          <w:lang w:bidi="ar-EG"/>
        </w:rPr>
        <w:t>2011</w:t>
      </w:r>
      <w:r>
        <w:rPr>
          <w:rtl/>
          <w:lang w:bidi="ar-EG"/>
        </w:rPr>
        <w:t xml:space="preserve"> الذي قرر المجلس بموجبه إنشاء ولاية المقرر الخاص المعني بتعزيز الحقيقة والعدالة والجبر وضمانات عدم التكرار،</w:t>
      </w:r>
    </w:p>
    <w:p w14:paraId="304E635C" w14:textId="77777777" w:rsidR="007A1A5B" w:rsidRDefault="007A1A5B" w:rsidP="007A1A5B">
      <w:pPr>
        <w:pStyle w:val="SingleTxtGA"/>
        <w:rPr>
          <w:rtl/>
          <w:lang w:bidi="ar-EG"/>
        </w:rPr>
      </w:pPr>
      <w:r>
        <w:rPr>
          <w:i/>
          <w:iCs/>
          <w:rtl/>
          <w:lang w:bidi="ar-EG"/>
        </w:rPr>
        <w:tab/>
      </w:r>
      <w:r w:rsidRPr="009C77D9">
        <w:rPr>
          <w:i/>
          <w:iCs/>
          <w:rtl/>
          <w:lang w:bidi="ar-EG"/>
        </w:rPr>
        <w:t>وإذ يشير</w:t>
      </w:r>
      <w:r>
        <w:rPr>
          <w:rtl/>
          <w:lang w:bidi="ar-EG"/>
        </w:rPr>
        <w:t xml:space="preserve"> إلى تقرير الأمين العام عن سيادة القانون والعدالة الانتقالية في مجتمعات النزاع ومجتمعات ما بعد النزاع</w:t>
      </w:r>
      <w:r>
        <w:rPr>
          <w:vertAlign w:val="superscript"/>
          <w:rtl/>
          <w:lang w:bidi="ar-EG"/>
        </w:rPr>
        <w:t>(</w:t>
      </w:r>
      <w:r w:rsidRPr="00EC6849">
        <w:rPr>
          <w:rStyle w:val="FootnoteReference"/>
          <w:rFonts w:ascii="Times New Roman" w:hAnsi="Times New Roman" w:cs="Times New Roman"/>
          <w:b w:val="0"/>
          <w:position w:val="4"/>
          <w:sz w:val="20"/>
          <w:lang w:bidi="ar-EG"/>
        </w:rPr>
        <w:footnoteReference w:id="3"/>
      </w:r>
      <w:r>
        <w:rPr>
          <w:vertAlign w:val="superscript"/>
          <w:rtl/>
          <w:lang w:bidi="ar-EG"/>
        </w:rPr>
        <w:t>)</w:t>
      </w:r>
      <w:r>
        <w:rPr>
          <w:rtl/>
          <w:lang w:bidi="ar-EG"/>
        </w:rPr>
        <w:t xml:space="preserve">، وتقرير المتابعة الذي قدمه في عام </w:t>
      </w:r>
      <w:r w:rsidRPr="00EC6849">
        <w:rPr>
          <w:szCs w:val="20"/>
          <w:rtl/>
          <w:lang w:bidi="ar-EG"/>
        </w:rPr>
        <w:t>2011</w:t>
      </w:r>
      <w:r>
        <w:rPr>
          <w:rtl/>
          <w:lang w:bidi="ar-EG"/>
        </w:rPr>
        <w:t xml:space="preserve"> بشأن الموضوع نفسه</w:t>
      </w:r>
      <w:r>
        <w:rPr>
          <w:vertAlign w:val="superscript"/>
          <w:rtl/>
          <w:lang w:bidi="ar-EG"/>
        </w:rPr>
        <w:t>(</w:t>
      </w:r>
      <w:r w:rsidRPr="00EC6849">
        <w:rPr>
          <w:rStyle w:val="FootnoteReference"/>
          <w:rFonts w:ascii="Times New Roman" w:hAnsi="Times New Roman" w:cs="Times New Roman"/>
          <w:b w:val="0"/>
          <w:position w:val="4"/>
          <w:sz w:val="20"/>
          <w:lang w:bidi="ar-EG"/>
        </w:rPr>
        <w:footnoteReference w:id="4"/>
      </w:r>
      <w:r>
        <w:rPr>
          <w:vertAlign w:val="superscript"/>
          <w:rtl/>
          <w:lang w:bidi="ar-EG"/>
        </w:rPr>
        <w:t>)</w:t>
      </w:r>
      <w:r>
        <w:rPr>
          <w:rtl/>
          <w:lang w:bidi="ar-EG"/>
        </w:rPr>
        <w:t xml:space="preserve">، </w:t>
      </w:r>
      <w:r w:rsidRPr="00CD38E4">
        <w:rPr>
          <w:spacing w:val="-4"/>
          <w:rtl/>
          <w:lang w:bidi="ar-EG"/>
        </w:rPr>
        <w:t xml:space="preserve">بما في ذلك التوصيات ذات الصلة الواردة فيهما، وتقاريره الصادرة في الأعوام </w:t>
      </w:r>
      <w:r w:rsidRPr="00EC6849">
        <w:rPr>
          <w:rFonts w:hint="cs"/>
          <w:spacing w:val="-4"/>
          <w:szCs w:val="20"/>
          <w:rtl/>
          <w:lang w:bidi="ar-EG"/>
        </w:rPr>
        <w:t>2006</w:t>
      </w:r>
      <w:r>
        <w:rPr>
          <w:rFonts w:hint="cs"/>
          <w:spacing w:val="-4"/>
          <w:rtl/>
          <w:lang w:bidi="ar-EG"/>
        </w:rPr>
        <w:t xml:space="preserve"> و</w:t>
      </w:r>
      <w:r w:rsidRPr="00EC6849">
        <w:rPr>
          <w:rFonts w:hint="cs"/>
          <w:spacing w:val="-4"/>
          <w:szCs w:val="20"/>
          <w:rtl/>
          <w:lang w:bidi="ar-EG"/>
        </w:rPr>
        <w:t>2012</w:t>
      </w:r>
      <w:r>
        <w:rPr>
          <w:rFonts w:hint="cs"/>
          <w:spacing w:val="-4"/>
          <w:rtl/>
          <w:lang w:bidi="ar-EG"/>
        </w:rPr>
        <w:t xml:space="preserve"> و</w:t>
      </w:r>
      <w:r w:rsidRPr="00EC6849">
        <w:rPr>
          <w:rFonts w:hint="cs"/>
          <w:spacing w:val="-4"/>
          <w:szCs w:val="20"/>
          <w:rtl/>
          <w:lang w:bidi="ar-EG"/>
        </w:rPr>
        <w:t>2013</w:t>
      </w:r>
      <w:r>
        <w:rPr>
          <w:rFonts w:hint="cs"/>
          <w:spacing w:val="-4"/>
          <w:rtl/>
          <w:lang w:bidi="ar-EG"/>
        </w:rPr>
        <w:t xml:space="preserve"> و</w:t>
      </w:r>
      <w:r w:rsidRPr="00EC6849">
        <w:rPr>
          <w:rFonts w:hint="cs"/>
          <w:spacing w:val="-4"/>
          <w:szCs w:val="20"/>
          <w:rtl/>
          <w:lang w:bidi="ar-EG"/>
        </w:rPr>
        <w:t>2014</w:t>
      </w:r>
      <w:r w:rsidRPr="00CD38E4">
        <w:rPr>
          <w:spacing w:val="-4"/>
          <w:vertAlign w:val="superscript"/>
          <w:rtl/>
          <w:lang w:bidi="ar-EG"/>
        </w:rPr>
        <w:t>(</w:t>
      </w:r>
      <w:r w:rsidRPr="00EC6849">
        <w:rPr>
          <w:rStyle w:val="FootnoteReference"/>
          <w:rFonts w:ascii="Times New Roman" w:hAnsi="Times New Roman" w:cs="Times New Roman"/>
          <w:b w:val="0"/>
          <w:spacing w:val="-4"/>
          <w:position w:val="4"/>
          <w:sz w:val="20"/>
          <w:lang w:bidi="ar-EG"/>
        </w:rPr>
        <w:footnoteReference w:id="5"/>
      </w:r>
      <w:r w:rsidRPr="00CD38E4">
        <w:rPr>
          <w:spacing w:val="-4"/>
          <w:vertAlign w:val="superscript"/>
          <w:rtl/>
          <w:lang w:bidi="ar-EG"/>
        </w:rPr>
        <w:t>)</w:t>
      </w:r>
      <w:r>
        <w:rPr>
          <w:rtl/>
          <w:lang w:bidi="ar-EG"/>
        </w:rPr>
        <w:t xml:space="preserve"> التي تحدد ملامح برنامج عمل لتحسين فعالية الدعم</w:t>
      </w:r>
      <w:r>
        <w:rPr>
          <w:rFonts w:hint="cs"/>
          <w:rtl/>
          <w:lang w:bidi="ar-EG"/>
        </w:rPr>
        <w:t xml:space="preserve"> </w:t>
      </w:r>
      <w:r>
        <w:rPr>
          <w:rtl/>
          <w:lang w:bidi="ar-EG"/>
        </w:rPr>
        <w:t>الذي تقدمه منظومة الأمم المتحدة من أجل تعزيز سيادة القانون في حالات النزاع وما</w:t>
      </w:r>
      <w:r>
        <w:rPr>
          <w:rFonts w:hint="cs"/>
          <w:rtl/>
          <w:lang w:bidi="ar-EG"/>
        </w:rPr>
        <w:t> </w:t>
      </w:r>
      <w:r>
        <w:rPr>
          <w:rtl/>
          <w:lang w:bidi="ar-EG"/>
        </w:rPr>
        <w:t>بعد النزاع،</w:t>
      </w:r>
    </w:p>
    <w:p w14:paraId="4A46905F" w14:textId="77777777" w:rsidR="007A1A5B" w:rsidRDefault="007A1A5B" w:rsidP="007A1A5B">
      <w:pPr>
        <w:pStyle w:val="SingleTxtGA"/>
        <w:rPr>
          <w:rtl/>
          <w:lang w:bidi="ar-EG"/>
        </w:rPr>
      </w:pPr>
      <w:r>
        <w:rPr>
          <w:i/>
          <w:iCs/>
          <w:rtl/>
          <w:lang w:bidi="ar-EG"/>
        </w:rPr>
        <w:tab/>
      </w:r>
      <w:r w:rsidRPr="009C77D9">
        <w:rPr>
          <w:i/>
          <w:iCs/>
          <w:rtl/>
          <w:lang w:bidi="ar-EG"/>
        </w:rPr>
        <w:t>وإذ يسلم</w:t>
      </w:r>
      <w:r>
        <w:rPr>
          <w:rtl/>
          <w:lang w:bidi="ar-EG"/>
        </w:rPr>
        <w:t xml:space="preserve"> بأن</w:t>
      </w:r>
      <w:r>
        <w:rPr>
          <w:rFonts w:hint="cs"/>
          <w:rtl/>
          <w:lang w:bidi="ar-EG"/>
        </w:rPr>
        <w:t xml:space="preserve"> من شأن</w:t>
      </w:r>
      <w:r>
        <w:rPr>
          <w:rtl/>
          <w:lang w:bidi="ar-EG"/>
        </w:rPr>
        <w:t xml:space="preserve"> مكافحة الإفلات من العقاب وإعمال آليات العدالة الانتقالية، بما في ذلك تعزيز الحقيقة والعدالة والجبر وضمانات عدم التكرار، أن يمنعا تكرار الانتهاكات الجسيمة لحقوق الإنسان والانتهاكات الخطيرة للقانون الدولي الإنساني،</w:t>
      </w:r>
    </w:p>
    <w:p w14:paraId="101D5F16" w14:textId="77777777" w:rsidR="007A1A5B" w:rsidRDefault="007A1A5B" w:rsidP="007A1A5B">
      <w:pPr>
        <w:pStyle w:val="SingleTxtGA"/>
        <w:rPr>
          <w:rtl/>
          <w:lang w:bidi="ar-EG"/>
        </w:rPr>
      </w:pPr>
      <w:r>
        <w:rPr>
          <w:i/>
          <w:iCs/>
          <w:rtl/>
          <w:lang w:bidi="ar-EG"/>
        </w:rPr>
        <w:tab/>
      </w:r>
      <w:r w:rsidRPr="009C77D9">
        <w:rPr>
          <w:i/>
          <w:iCs/>
          <w:rtl/>
          <w:lang w:bidi="ar-EG"/>
        </w:rPr>
        <w:t>وإذ يشير</w:t>
      </w:r>
      <w:r>
        <w:rPr>
          <w:rtl/>
          <w:lang w:bidi="ar-EG"/>
        </w:rPr>
        <w:t xml:space="preserve"> إلى قرار الجمعية العامة </w:t>
      </w:r>
      <w:r w:rsidRPr="00EC6849">
        <w:rPr>
          <w:szCs w:val="20"/>
          <w:rtl/>
          <w:lang w:bidi="ar-EG"/>
        </w:rPr>
        <w:t>70</w:t>
      </w:r>
      <w:r>
        <w:rPr>
          <w:rtl/>
          <w:lang w:bidi="ar-EG"/>
        </w:rPr>
        <w:t>/</w:t>
      </w:r>
      <w:r w:rsidRPr="00EC6849">
        <w:rPr>
          <w:szCs w:val="20"/>
          <w:rtl/>
          <w:lang w:bidi="ar-EG"/>
        </w:rPr>
        <w:t>262</w:t>
      </w:r>
      <w:r>
        <w:rPr>
          <w:rtl/>
          <w:lang w:bidi="ar-EG"/>
        </w:rPr>
        <w:t xml:space="preserve"> المؤرخ </w:t>
      </w:r>
      <w:r w:rsidRPr="00EC6849">
        <w:rPr>
          <w:szCs w:val="20"/>
          <w:rtl/>
          <w:lang w:bidi="ar-EG"/>
        </w:rPr>
        <w:t>27</w:t>
      </w:r>
      <w:r>
        <w:rPr>
          <w:rtl/>
          <w:lang w:bidi="ar-EG"/>
        </w:rPr>
        <w:t xml:space="preserve"> نيسان/أبريل </w:t>
      </w:r>
      <w:r w:rsidRPr="00EC6849">
        <w:rPr>
          <w:szCs w:val="20"/>
          <w:rtl/>
          <w:lang w:bidi="ar-EG"/>
        </w:rPr>
        <w:t>2016</w:t>
      </w:r>
      <w:r>
        <w:rPr>
          <w:rtl/>
          <w:lang w:bidi="ar-EG"/>
        </w:rPr>
        <w:t xml:space="preserve"> بشأن استعراض هيكل الأمم المتحدة لبناء السلام وقرار مجلس الأمن </w:t>
      </w:r>
      <w:r w:rsidRPr="00EC6849">
        <w:rPr>
          <w:szCs w:val="20"/>
          <w:rtl/>
          <w:lang w:bidi="ar-EG"/>
        </w:rPr>
        <w:t>2282</w:t>
      </w:r>
      <w:r>
        <w:rPr>
          <w:rtl/>
          <w:lang w:bidi="ar-EG"/>
        </w:rPr>
        <w:t>(</w:t>
      </w:r>
      <w:r w:rsidRPr="00EC6849">
        <w:rPr>
          <w:szCs w:val="20"/>
          <w:rtl/>
          <w:lang w:bidi="ar-EG"/>
        </w:rPr>
        <w:t>2016</w:t>
      </w:r>
      <w:r>
        <w:rPr>
          <w:rtl/>
          <w:lang w:bidi="ar-EG"/>
        </w:rPr>
        <w:t xml:space="preserve">) المؤرخ </w:t>
      </w:r>
      <w:r w:rsidRPr="00EC6849">
        <w:rPr>
          <w:szCs w:val="20"/>
          <w:rtl/>
          <w:lang w:bidi="ar-EG"/>
        </w:rPr>
        <w:t>27</w:t>
      </w:r>
      <w:r>
        <w:rPr>
          <w:rtl/>
          <w:lang w:bidi="ar-EG"/>
        </w:rPr>
        <w:t xml:space="preserve"> نيسان/أبريل </w:t>
      </w:r>
      <w:r w:rsidRPr="00EC6849">
        <w:rPr>
          <w:szCs w:val="20"/>
          <w:rtl/>
          <w:lang w:bidi="ar-EG"/>
        </w:rPr>
        <w:t>2016</w:t>
      </w:r>
      <w:r>
        <w:rPr>
          <w:rFonts w:hint="cs"/>
          <w:szCs w:val="20"/>
          <w:rtl/>
          <w:lang w:bidi="ar-EG"/>
        </w:rPr>
        <w:t>،</w:t>
      </w:r>
      <w:r>
        <w:rPr>
          <w:rtl/>
          <w:lang w:bidi="ar-EG"/>
        </w:rPr>
        <w:t xml:space="preserve"> حيث شدد كل من الجمعية والمجلس على جملة أمور منها أن اتباع نهج شامل إزاء العدالة الانتقالية، بما في ذلك تعزيز التعافي والمصالحة، وجعل قطاع الأمن قطاعاً مهنياً وفعالاً وخاضعاً للمساءلة، بما في ذلك من خلال إصلاحه، ووضع برامج شاملة وفعالة للتسريح ونزع السلاح وإعادة الإدماج، بما </w:t>
      </w:r>
      <w:r>
        <w:rPr>
          <w:rFonts w:hint="cs"/>
          <w:rtl/>
          <w:lang w:bidi="ar-EG"/>
        </w:rPr>
        <w:t>يشمل</w:t>
      </w:r>
      <w:r>
        <w:rPr>
          <w:rtl/>
          <w:lang w:bidi="ar-EG"/>
        </w:rPr>
        <w:t xml:space="preserve"> </w:t>
      </w:r>
      <w:r>
        <w:rPr>
          <w:rtl/>
          <w:lang w:bidi="ar-EG"/>
        </w:rPr>
        <w:lastRenderedPageBreak/>
        <w:t xml:space="preserve">الانتقال من التسريح ونزع السلاح إلى إعادة الإدماج، هي مسائل حاسمة </w:t>
      </w:r>
      <w:r>
        <w:rPr>
          <w:rFonts w:hint="cs"/>
          <w:rtl/>
          <w:lang w:bidi="ar-EG"/>
        </w:rPr>
        <w:t>ل</w:t>
      </w:r>
      <w:r>
        <w:rPr>
          <w:rtl/>
          <w:lang w:bidi="ar-EG"/>
        </w:rPr>
        <w:t>توطيد السلام والاستقرار، وتعزيز الحد من الفقر وسيادة القانون وإمكانية اللجوء إلى القضاء والحكم الرشيد، مما يزيد من بسط سلطة الدولة الشرعية ويحول دون وقوع البلدان في النزاع أو العودة إليه،</w:t>
      </w:r>
    </w:p>
    <w:p w14:paraId="51D588E9" w14:textId="77777777" w:rsidR="007A1A5B" w:rsidRDefault="007A1A5B" w:rsidP="007A1A5B">
      <w:pPr>
        <w:pStyle w:val="SingleTxtGA"/>
        <w:rPr>
          <w:rtl/>
          <w:lang w:bidi="ar-EG"/>
        </w:rPr>
      </w:pPr>
      <w:r>
        <w:rPr>
          <w:i/>
          <w:iCs/>
          <w:rtl/>
          <w:lang w:bidi="ar-EG"/>
        </w:rPr>
        <w:tab/>
      </w:r>
      <w:r w:rsidRPr="009C77D9">
        <w:rPr>
          <w:i/>
          <w:iCs/>
          <w:rtl/>
          <w:lang w:bidi="ar-EG"/>
        </w:rPr>
        <w:t>وإذ يلاحظ</w:t>
      </w:r>
      <w:r>
        <w:rPr>
          <w:rtl/>
          <w:lang w:bidi="ar-EG"/>
        </w:rPr>
        <w:t xml:space="preserve"> </w:t>
      </w:r>
      <w:r w:rsidRPr="00161784">
        <w:rPr>
          <w:i/>
          <w:iCs/>
          <w:rtl/>
          <w:lang w:bidi="ar-EG"/>
        </w:rPr>
        <w:t>مع التقدير</w:t>
      </w:r>
      <w:r>
        <w:rPr>
          <w:rtl/>
          <w:lang w:bidi="ar-EG"/>
        </w:rPr>
        <w:t xml:space="preserve"> المشاركة النشطة للأمم المتحدة، بما في</w:t>
      </w:r>
      <w:r>
        <w:rPr>
          <w:rFonts w:hint="cs"/>
          <w:rtl/>
          <w:lang w:bidi="ar-EG"/>
        </w:rPr>
        <w:t xml:space="preserve"> ذلك</w:t>
      </w:r>
      <w:r>
        <w:rPr>
          <w:rtl/>
          <w:lang w:bidi="ar-EG"/>
        </w:rPr>
        <w:t xml:space="preserve"> مفوضية الأمم المتحدة السامية لحقوق الإنسان، في مساعدة الدول على التصدي للانتهاكات الجسيمة لحقوق الإنسان والانتهاكات الخطيرة للقانون الدولي الإنساني بالتعاون مع الدول وبناء</w:t>
      </w:r>
      <w:r>
        <w:rPr>
          <w:rFonts w:hint="cs"/>
          <w:rtl/>
          <w:lang w:bidi="ar-EG"/>
        </w:rPr>
        <w:t>ً</w:t>
      </w:r>
      <w:r>
        <w:rPr>
          <w:rtl/>
          <w:lang w:bidi="ar-EG"/>
        </w:rPr>
        <w:t xml:space="preserve"> على طلبها،</w:t>
      </w:r>
    </w:p>
    <w:p w14:paraId="07F23C26" w14:textId="77777777" w:rsidR="007A1A5B" w:rsidRDefault="007A1A5B" w:rsidP="007A1A5B">
      <w:pPr>
        <w:pStyle w:val="SingleTxtGA"/>
        <w:rPr>
          <w:rtl/>
          <w:lang w:bidi="ar-EG"/>
        </w:rPr>
      </w:pPr>
      <w:r>
        <w:rPr>
          <w:rtl/>
          <w:lang w:bidi="ar-EG"/>
        </w:rPr>
        <w:tab/>
      </w:r>
      <w:r w:rsidRPr="009C77D9">
        <w:rPr>
          <w:i/>
          <w:iCs/>
          <w:rtl/>
          <w:lang w:bidi="ar-EG"/>
        </w:rPr>
        <w:t>وإذ يشير</w:t>
      </w:r>
      <w:r>
        <w:rPr>
          <w:rtl/>
          <w:lang w:bidi="ar-EG"/>
        </w:rPr>
        <w:t xml:space="preserve"> إلى قراري مجلس حقوق الإنسان </w:t>
      </w:r>
      <w:r w:rsidRPr="00EC6849">
        <w:rPr>
          <w:szCs w:val="20"/>
          <w:rtl/>
          <w:lang w:bidi="ar-EG"/>
        </w:rPr>
        <w:t>5</w:t>
      </w:r>
      <w:r>
        <w:rPr>
          <w:rtl/>
          <w:lang w:bidi="ar-EG"/>
        </w:rPr>
        <w:t>/</w:t>
      </w:r>
      <w:r w:rsidRPr="00EC6849">
        <w:rPr>
          <w:szCs w:val="20"/>
          <w:rtl/>
          <w:lang w:bidi="ar-EG"/>
        </w:rPr>
        <w:t>1</w:t>
      </w:r>
      <w:r>
        <w:rPr>
          <w:rtl/>
          <w:lang w:bidi="ar-EG"/>
        </w:rPr>
        <w:t xml:space="preserve"> بشأن بناء مؤسسات المجلس، و</w:t>
      </w:r>
      <w:r w:rsidRPr="00EC6849">
        <w:rPr>
          <w:szCs w:val="20"/>
          <w:rtl/>
          <w:lang w:bidi="ar-EG"/>
        </w:rPr>
        <w:t>5</w:t>
      </w:r>
      <w:r>
        <w:rPr>
          <w:rtl/>
          <w:lang w:bidi="ar-EG"/>
        </w:rPr>
        <w:t>/</w:t>
      </w:r>
      <w:r w:rsidRPr="00EC6849">
        <w:rPr>
          <w:szCs w:val="20"/>
          <w:rtl/>
          <w:lang w:bidi="ar-EG"/>
        </w:rPr>
        <w:t>2</w:t>
      </w:r>
      <w:r>
        <w:rPr>
          <w:rtl/>
          <w:lang w:bidi="ar-EG"/>
        </w:rPr>
        <w:t xml:space="preserve"> </w:t>
      </w:r>
      <w:r w:rsidRPr="00973DAA">
        <w:rPr>
          <w:spacing w:val="-4"/>
          <w:rtl/>
          <w:lang w:bidi="ar-EG"/>
        </w:rPr>
        <w:t>بشأن مدونة قواعد السلوك للمكلفين</w:t>
      </w:r>
      <w:r>
        <w:rPr>
          <w:rFonts w:hint="cs"/>
          <w:spacing w:val="-4"/>
          <w:rtl/>
          <w:lang w:bidi="ar-EG"/>
        </w:rPr>
        <w:t xml:space="preserve"> والمكلفات</w:t>
      </w:r>
      <w:r w:rsidRPr="00973DAA">
        <w:rPr>
          <w:spacing w:val="-4"/>
          <w:rtl/>
          <w:lang w:bidi="ar-EG"/>
        </w:rPr>
        <w:t xml:space="preserve"> بولايات في إطار الإجراءات الخاصة للمجلس، المؤرخين </w:t>
      </w:r>
      <w:r w:rsidRPr="00EC6849">
        <w:rPr>
          <w:spacing w:val="-4"/>
          <w:szCs w:val="20"/>
          <w:rtl/>
          <w:lang w:bidi="ar-EG"/>
        </w:rPr>
        <w:t>18</w:t>
      </w:r>
      <w:r>
        <w:rPr>
          <w:rtl/>
          <w:lang w:bidi="ar-EG"/>
        </w:rPr>
        <w:t xml:space="preserve"> حزيران/يونيه </w:t>
      </w:r>
      <w:r w:rsidRPr="00EC6849">
        <w:rPr>
          <w:szCs w:val="20"/>
          <w:rtl/>
          <w:lang w:bidi="ar-EG"/>
        </w:rPr>
        <w:t>2007</w:t>
      </w:r>
      <w:r>
        <w:rPr>
          <w:rtl/>
          <w:lang w:bidi="ar-EG"/>
        </w:rPr>
        <w:t>، وإذ يشدد على أن يضطلع المكلف</w:t>
      </w:r>
      <w:r>
        <w:rPr>
          <w:rFonts w:hint="cs"/>
          <w:rtl/>
          <w:lang w:bidi="ar-EG"/>
        </w:rPr>
        <w:t>/المكلفة</w:t>
      </w:r>
      <w:r>
        <w:rPr>
          <w:rtl/>
          <w:lang w:bidi="ar-EG"/>
        </w:rPr>
        <w:t xml:space="preserve"> بالولاية بواجباته</w:t>
      </w:r>
      <w:r>
        <w:rPr>
          <w:rFonts w:hint="cs"/>
          <w:rtl/>
          <w:lang w:bidi="ar-EG"/>
        </w:rPr>
        <w:t>/بواجباتها</w:t>
      </w:r>
      <w:r>
        <w:rPr>
          <w:rtl/>
          <w:lang w:bidi="ar-EG"/>
        </w:rPr>
        <w:t xml:space="preserve"> وفقاً لهذين القرارين</w:t>
      </w:r>
      <w:r>
        <w:rPr>
          <w:rFonts w:hint="cs"/>
          <w:rtl/>
          <w:lang w:bidi="ar-EG"/>
        </w:rPr>
        <w:t> </w:t>
      </w:r>
      <w:r>
        <w:rPr>
          <w:rtl/>
          <w:lang w:bidi="ar-EG"/>
        </w:rPr>
        <w:t>ومرفقيهما،</w:t>
      </w:r>
    </w:p>
    <w:p w14:paraId="72FA27B0" w14:textId="77777777" w:rsidR="007A1A5B" w:rsidRDefault="007A1A5B" w:rsidP="007A1A5B">
      <w:pPr>
        <w:pStyle w:val="SingleTxtGA"/>
        <w:rPr>
          <w:rtl/>
          <w:lang w:bidi="ar-EG"/>
        </w:rPr>
      </w:pPr>
      <w:r>
        <w:rPr>
          <w:i/>
          <w:iCs/>
          <w:rtl/>
          <w:lang w:bidi="ar-EG"/>
        </w:rPr>
        <w:tab/>
      </w:r>
      <w:r w:rsidRPr="009C77D9">
        <w:rPr>
          <w:i/>
          <w:iCs/>
          <w:rtl/>
          <w:lang w:bidi="ar-EG"/>
        </w:rPr>
        <w:t>وإذ يُسلّم</w:t>
      </w:r>
      <w:r>
        <w:rPr>
          <w:rtl/>
          <w:lang w:bidi="ar-EG"/>
        </w:rPr>
        <w:t xml:space="preserve"> بأن المقرر الخاص المعني بتعزيز الحقيقة والعدالة والجبر وضمانات عدم التكرار سيواصل معالجة الحالات التي ارتُكبت فيها انتهاكات جسيمة لحقوق الإنسان وانتهاكات خطيرة للقانون الدولي الإنساني</w:t>
      </w:r>
      <w:r>
        <w:rPr>
          <w:rFonts w:hint="cs"/>
          <w:rtl/>
          <w:lang w:bidi="ar-EG"/>
        </w:rPr>
        <w:t>،</w:t>
      </w:r>
    </w:p>
    <w:p w14:paraId="01D17963" w14:textId="77777777" w:rsidR="007A1A5B" w:rsidRPr="005E7F65" w:rsidRDefault="007A1A5B" w:rsidP="007A1A5B">
      <w:pPr>
        <w:pStyle w:val="SingleTxtGA"/>
        <w:rPr>
          <w:spacing w:val="-2"/>
          <w:rtl/>
          <w:lang w:bidi="ar-EG"/>
        </w:rPr>
      </w:pPr>
      <w:r w:rsidRPr="005E7F65">
        <w:rPr>
          <w:spacing w:val="-2"/>
          <w:rtl/>
          <w:lang w:bidi="ar-EG"/>
        </w:rPr>
        <w:tab/>
      </w:r>
      <w:r w:rsidRPr="005E7F65">
        <w:rPr>
          <w:i/>
          <w:iCs/>
          <w:spacing w:val="-2"/>
          <w:rtl/>
          <w:lang w:bidi="ar-EG"/>
        </w:rPr>
        <w:t>وإذ يشدد</w:t>
      </w:r>
      <w:r w:rsidRPr="005E7F65">
        <w:rPr>
          <w:spacing w:val="-2"/>
          <w:rtl/>
          <w:lang w:bidi="ar-EG"/>
        </w:rPr>
        <w:t xml:space="preserve"> على أنه، عند تصميم وتنفيذ استراتيجيات وسياسات وتدابير من أجل التصدي للانتهاكات الجسيمة لحقوق الإنسان والانتهاكات الخطيرة للقانون الدولي الإنساني، يجب مراعاة السياق المحدد لكل حالة بهدف منع تكرار الأزمات وانتهاكات حقوق الإنسان في المستقبل، وضمان التلاحم الاجتماعي وبناء الدولة وامتلاك زمام الأمور والشمول على الصعيدين الوطني والمحلي، وتعزيز المصالحة،</w:t>
      </w:r>
    </w:p>
    <w:p w14:paraId="5C2A748C" w14:textId="77777777" w:rsidR="007A1A5B" w:rsidRDefault="007A1A5B" w:rsidP="007A1A5B">
      <w:pPr>
        <w:pStyle w:val="SingleTxtGA"/>
        <w:rPr>
          <w:lang w:bidi="ar-EG"/>
        </w:rPr>
      </w:pPr>
      <w:r>
        <w:rPr>
          <w:i/>
          <w:iCs/>
          <w:rtl/>
          <w:lang w:bidi="ar-EG"/>
        </w:rPr>
        <w:tab/>
      </w:r>
      <w:r w:rsidRPr="009C77D9">
        <w:rPr>
          <w:i/>
          <w:iCs/>
          <w:rtl/>
          <w:lang w:bidi="ar-EG"/>
        </w:rPr>
        <w:t>وإذ يشدد</w:t>
      </w:r>
      <w:r>
        <w:rPr>
          <w:rtl/>
          <w:lang w:bidi="ar-EG"/>
        </w:rPr>
        <w:t xml:space="preserve"> على أهمية اتباع نهج شامل يضم كامل نطاق التدابير القضائية وغير القضائية، بما</w:t>
      </w:r>
      <w:r>
        <w:rPr>
          <w:rFonts w:hint="cs"/>
          <w:rtl/>
          <w:lang w:bidi="ar-EG"/>
        </w:rPr>
        <w:t> </w:t>
      </w:r>
      <w:r>
        <w:rPr>
          <w:rtl/>
          <w:lang w:bidi="ar-EG"/>
        </w:rPr>
        <w:t>يشمل أموراً من بينها الملاحقات القضائية الفردية، وعمليات الجبر، وتقصي الحقائق، والإصلاح المؤسسي، والتدقيق في اختيار الموظفين والمسؤولين العموميين، ومبادرات تخليد الذكرى، وعمليات التوصل إلى روايات سردية مشتركة، أو مزيجاً من هذه التدابير يجري تصوُّره على نحو مناسب لتحقيق أمور من بينها ضمان المساءلة، وخدمة العدالة، وتوفير سبل الانتصاف للضحايا، وتعزيز التعافي والمصالحة، وإقامة رقابة مستقلة على النظام الأمني، واستعادة الثقة بمؤسسات الدولة، وتعزيز سيادة القانون وفقاً للقانون الدولي لحقوق الإنسان،</w:t>
      </w:r>
    </w:p>
    <w:p w14:paraId="63C617CB" w14:textId="77777777" w:rsidR="007A1A5B" w:rsidRDefault="007A1A5B" w:rsidP="007A1A5B">
      <w:pPr>
        <w:pStyle w:val="SingleTxtGA"/>
        <w:rPr>
          <w:lang w:bidi="ar-EG"/>
        </w:rPr>
      </w:pPr>
      <w:r w:rsidRPr="00161784">
        <w:rPr>
          <w:rtl/>
          <w:lang w:bidi="ar-EG"/>
        </w:rPr>
        <w:tab/>
      </w:r>
      <w:r w:rsidRPr="00EC6849">
        <w:rPr>
          <w:rFonts w:hint="cs"/>
          <w:szCs w:val="20"/>
          <w:rtl/>
          <w:lang w:bidi="ar-EG"/>
        </w:rPr>
        <w:t>1</w:t>
      </w:r>
      <w:r w:rsidRPr="00161784">
        <w:rPr>
          <w:rFonts w:hint="cs"/>
          <w:rtl/>
          <w:lang w:bidi="ar-EG"/>
        </w:rPr>
        <w:t>-</w:t>
      </w:r>
      <w:r w:rsidRPr="00161784">
        <w:rPr>
          <w:rtl/>
          <w:lang w:bidi="ar-EG"/>
        </w:rPr>
        <w:tab/>
      </w:r>
      <w:r w:rsidRPr="00C90ACC">
        <w:rPr>
          <w:i/>
          <w:iCs/>
          <w:rtl/>
          <w:lang w:bidi="ar-EG"/>
        </w:rPr>
        <w:t xml:space="preserve">يحيط </w:t>
      </w:r>
      <w:r w:rsidRPr="00B04D46">
        <w:rPr>
          <w:i/>
          <w:iCs/>
          <w:rtl/>
          <w:lang w:bidi="ar-EG"/>
        </w:rPr>
        <w:t>علماً مع التقدير</w:t>
      </w:r>
      <w:r>
        <w:rPr>
          <w:rtl/>
          <w:lang w:bidi="ar-EG"/>
        </w:rPr>
        <w:t xml:space="preserve"> بالتقارير التي قدّمها المقرر الخاص المعني بتعزيز الحقيقة والعدالة والجبر وضمانات عدم التكرار إلى مجلس حقوق الإنسان في دوراته </w:t>
      </w:r>
      <w:r>
        <w:rPr>
          <w:rFonts w:hint="cs"/>
          <w:rtl/>
        </w:rPr>
        <w:t>التاسعة و</w:t>
      </w:r>
      <w:r>
        <w:rPr>
          <w:rtl/>
          <w:lang w:bidi="ar-EG"/>
        </w:rPr>
        <w:t>الثلاثين</w:t>
      </w:r>
      <w:r>
        <w:rPr>
          <w:rFonts w:hint="cs"/>
          <w:rtl/>
          <w:lang w:bidi="ar-EG"/>
        </w:rPr>
        <w:t xml:space="preserve"> والثانية والأربعين والخامسة والأربعين</w:t>
      </w:r>
      <w:r>
        <w:rPr>
          <w:vertAlign w:val="superscript"/>
          <w:rtl/>
          <w:lang w:bidi="ar-EG"/>
        </w:rPr>
        <w:t>(</w:t>
      </w:r>
      <w:r w:rsidRPr="00EC6849">
        <w:rPr>
          <w:rStyle w:val="FootnoteReference"/>
          <w:rFonts w:ascii="Times New Roman" w:hAnsi="Times New Roman" w:cs="Times New Roman"/>
          <w:b w:val="0"/>
          <w:position w:val="4"/>
          <w:sz w:val="20"/>
          <w:lang w:bidi="ar-EG"/>
        </w:rPr>
        <w:footnoteReference w:id="6"/>
      </w:r>
      <w:r>
        <w:rPr>
          <w:vertAlign w:val="superscript"/>
          <w:rtl/>
          <w:lang w:bidi="ar-EG"/>
        </w:rPr>
        <w:t>)</w:t>
      </w:r>
      <w:r>
        <w:rPr>
          <w:rFonts w:hint="cs"/>
          <w:rtl/>
          <w:lang w:bidi="ar-EG"/>
        </w:rPr>
        <w:t xml:space="preserve"> </w:t>
      </w:r>
      <w:r>
        <w:rPr>
          <w:rtl/>
          <w:lang w:bidi="ar-EG"/>
        </w:rPr>
        <w:t>وكذلك بتقاريره المقدمة إلى الجمعية العامة في دوراتها ال</w:t>
      </w:r>
      <w:r>
        <w:rPr>
          <w:rFonts w:hint="cs"/>
          <w:rtl/>
          <w:lang w:bidi="ar-EG"/>
        </w:rPr>
        <w:t>ثانية والسبعين والثالثة والسبعين والرابعة والسبعين</w:t>
      </w:r>
      <w:r>
        <w:rPr>
          <w:vertAlign w:val="superscript"/>
          <w:rtl/>
          <w:lang w:bidi="ar-EG"/>
        </w:rPr>
        <w:t>(</w:t>
      </w:r>
      <w:r w:rsidRPr="00EC6849">
        <w:rPr>
          <w:rStyle w:val="FootnoteReference"/>
          <w:rFonts w:ascii="Times New Roman" w:hAnsi="Times New Roman" w:cs="Times New Roman"/>
          <w:b w:val="0"/>
          <w:position w:val="4"/>
          <w:sz w:val="20"/>
          <w:lang w:bidi="ar-EG"/>
        </w:rPr>
        <w:footnoteReference w:id="7"/>
      </w:r>
      <w:r>
        <w:rPr>
          <w:vertAlign w:val="superscript"/>
          <w:rtl/>
          <w:lang w:bidi="ar-EG"/>
        </w:rPr>
        <w:t>)</w:t>
      </w:r>
      <w:r>
        <w:rPr>
          <w:rFonts w:hint="cs"/>
          <w:rtl/>
          <w:lang w:bidi="ar-EG"/>
        </w:rPr>
        <w:t xml:space="preserve"> </w:t>
      </w:r>
      <w:r>
        <w:rPr>
          <w:rtl/>
          <w:lang w:bidi="ar-EG"/>
        </w:rPr>
        <w:t xml:space="preserve">ويطلب إلى الدول إيلاء الاعتبار الواجب للتوصيات الواردة في هذه التقارير عند تصميم وتنفيذ استراتيجيات وسياسات وتدابير للتصدي للانتهاكات الجسيمة لحقوق الإنسان والانتهاكات الخطيرة للقانون الدولي الإنساني ضمن سياقها الوطني؛ </w:t>
      </w:r>
    </w:p>
    <w:p w14:paraId="418BBE08" w14:textId="77777777" w:rsidR="007A1A5B" w:rsidRDefault="007A1A5B" w:rsidP="007A1A5B">
      <w:pPr>
        <w:pStyle w:val="SingleTxtGA"/>
        <w:rPr>
          <w:lang w:bidi="ar-EG"/>
        </w:rPr>
      </w:pPr>
      <w:r w:rsidRPr="00161784">
        <w:rPr>
          <w:rtl/>
          <w:lang w:bidi="ar-EG"/>
        </w:rPr>
        <w:tab/>
      </w:r>
      <w:r w:rsidRPr="00EC6849">
        <w:rPr>
          <w:rFonts w:hint="cs"/>
          <w:szCs w:val="20"/>
          <w:rtl/>
          <w:lang w:bidi="ar-EG"/>
        </w:rPr>
        <w:t>2</w:t>
      </w:r>
      <w:r w:rsidRPr="00161784">
        <w:rPr>
          <w:rFonts w:hint="cs"/>
          <w:rtl/>
          <w:lang w:bidi="ar-EG"/>
        </w:rPr>
        <w:t>-</w:t>
      </w:r>
      <w:r>
        <w:rPr>
          <w:i/>
          <w:iCs/>
          <w:rtl/>
          <w:lang w:bidi="ar-EG"/>
        </w:rPr>
        <w:tab/>
      </w:r>
      <w:r w:rsidRPr="00C90ACC">
        <w:rPr>
          <w:i/>
          <w:iCs/>
          <w:rtl/>
          <w:lang w:bidi="ar-EG"/>
        </w:rPr>
        <w:t xml:space="preserve">يحيط </w:t>
      </w:r>
      <w:r w:rsidRPr="00B04D46">
        <w:rPr>
          <w:i/>
          <w:iCs/>
          <w:rtl/>
          <w:lang w:bidi="ar-EG"/>
        </w:rPr>
        <w:t>علماً مع التقدير</w:t>
      </w:r>
      <w:r>
        <w:rPr>
          <w:rFonts w:hint="cs"/>
          <w:i/>
          <w:iCs/>
          <w:rtl/>
          <w:lang w:bidi="ar-EG"/>
        </w:rPr>
        <w:t xml:space="preserve"> أيضاً </w:t>
      </w:r>
      <w:r>
        <w:rPr>
          <w:rFonts w:hint="cs"/>
          <w:rtl/>
          <w:lang w:eastAsia="zh-TW"/>
        </w:rPr>
        <w:t>بالد</w:t>
      </w:r>
      <w:r>
        <w:rPr>
          <w:rtl/>
          <w:lang w:eastAsia="zh-TW"/>
        </w:rPr>
        <w:t xml:space="preserve">راسة </w:t>
      </w:r>
      <w:r>
        <w:rPr>
          <w:rFonts w:hint="cs"/>
          <w:rtl/>
          <w:lang w:eastAsia="zh-TW"/>
        </w:rPr>
        <w:t>ال</w:t>
      </w:r>
      <w:r>
        <w:rPr>
          <w:rtl/>
          <w:lang w:eastAsia="zh-TW"/>
        </w:rPr>
        <w:t>مشتركة عن مساهمة العدالة الانتقالية في منع الانتهاكات والتجاوزات الجسيمة لحقوق الإنسان والانتهاكات الخطيرة للقانون الدولي الإنساني، بما في ذلك جرائم الإبادة الجماعية وجرائم الحرب وجرائم التطهير ال</w:t>
      </w:r>
      <w:r>
        <w:rPr>
          <w:rFonts w:hint="cs"/>
          <w:rtl/>
          <w:lang w:eastAsia="zh-TW"/>
        </w:rPr>
        <w:t>إثني</w:t>
      </w:r>
      <w:r>
        <w:rPr>
          <w:rtl/>
          <w:lang w:eastAsia="zh-TW"/>
        </w:rPr>
        <w:t xml:space="preserve"> والجرائم ضد الإنسانية، ومنع تكرارها</w:t>
      </w:r>
      <w:r>
        <w:rPr>
          <w:rFonts w:hint="cs"/>
          <w:rtl/>
          <w:lang w:eastAsia="zh-TW"/>
        </w:rPr>
        <w:t>،</w:t>
      </w:r>
      <w:r w:rsidRPr="00A64FAE">
        <w:rPr>
          <w:rFonts w:hint="cs"/>
          <w:rtl/>
          <w:lang w:eastAsia="zh-TW"/>
        </w:rPr>
        <w:t xml:space="preserve"> </w:t>
      </w:r>
      <w:r>
        <w:rPr>
          <w:rFonts w:hint="cs"/>
          <w:rtl/>
          <w:lang w:eastAsia="zh-TW"/>
        </w:rPr>
        <w:lastRenderedPageBreak/>
        <w:t xml:space="preserve">التي أعدها </w:t>
      </w:r>
      <w:r>
        <w:rPr>
          <w:rtl/>
          <w:lang w:eastAsia="zh-TW"/>
        </w:rPr>
        <w:t>المقرر الخاص والمستشار الخاص للأمين العام المعني بمنع الإبادة الجماعية</w:t>
      </w:r>
      <w:r>
        <w:rPr>
          <w:rFonts w:hint="cs"/>
          <w:rtl/>
          <w:lang w:eastAsia="zh-TW"/>
        </w:rPr>
        <w:t xml:space="preserve"> </w:t>
      </w:r>
      <w:r>
        <w:rPr>
          <w:vertAlign w:val="superscript"/>
          <w:rtl/>
          <w:lang w:bidi="ar-EG"/>
        </w:rPr>
        <w:t>(</w:t>
      </w:r>
      <w:r w:rsidRPr="00EC6849">
        <w:rPr>
          <w:rStyle w:val="FootnoteReference"/>
          <w:rFonts w:ascii="Times New Roman" w:hAnsi="Times New Roman" w:cs="Times New Roman"/>
          <w:b w:val="0"/>
          <w:position w:val="4"/>
          <w:sz w:val="20"/>
          <w:lang w:bidi="ar-EG"/>
        </w:rPr>
        <w:footnoteReference w:id="8"/>
      </w:r>
      <w:r>
        <w:rPr>
          <w:vertAlign w:val="superscript"/>
          <w:rtl/>
          <w:lang w:bidi="ar-EG"/>
        </w:rPr>
        <w:t>)</w:t>
      </w:r>
      <w:r>
        <w:rPr>
          <w:lang w:eastAsia="zh-TW"/>
        </w:rPr>
        <w:t xml:space="preserve"> </w:t>
      </w:r>
      <w:r>
        <w:rPr>
          <w:rFonts w:hint="cs"/>
          <w:rtl/>
          <w:lang w:eastAsia="zh-TW"/>
        </w:rPr>
        <w:t>والتي قُدمت إلى مجلس حقوق الإنسان في دورته السابعة والثلاثين، وبالاستنتاجات والتوصيات الواردة فيها؛</w:t>
      </w:r>
    </w:p>
    <w:p w14:paraId="29061957" w14:textId="77777777" w:rsidR="007A1A5B" w:rsidRDefault="007A1A5B" w:rsidP="007A1A5B">
      <w:pPr>
        <w:pStyle w:val="SingleTxtGA"/>
        <w:rPr>
          <w:lang w:bidi="ar-EG"/>
        </w:rPr>
      </w:pPr>
      <w:r w:rsidRPr="00161784">
        <w:rPr>
          <w:rtl/>
          <w:lang w:bidi="ar-EG"/>
        </w:rPr>
        <w:tab/>
      </w:r>
      <w:r w:rsidRPr="00EC6849">
        <w:rPr>
          <w:rFonts w:hint="cs"/>
          <w:szCs w:val="20"/>
          <w:rtl/>
          <w:lang w:bidi="ar-EG"/>
        </w:rPr>
        <w:t>3</w:t>
      </w:r>
      <w:r w:rsidRPr="00161784">
        <w:rPr>
          <w:rFonts w:hint="cs"/>
          <w:rtl/>
          <w:lang w:bidi="ar-EG"/>
        </w:rPr>
        <w:t>-</w:t>
      </w:r>
      <w:r>
        <w:rPr>
          <w:i/>
          <w:iCs/>
          <w:rtl/>
          <w:lang w:bidi="ar-EG"/>
        </w:rPr>
        <w:tab/>
      </w:r>
      <w:r w:rsidRPr="00C90ACC">
        <w:rPr>
          <w:i/>
          <w:iCs/>
          <w:rtl/>
          <w:lang w:bidi="ar-EG"/>
        </w:rPr>
        <w:t>يرحب</w:t>
      </w:r>
      <w:r>
        <w:rPr>
          <w:rtl/>
          <w:lang w:bidi="ar-EG"/>
        </w:rPr>
        <w:t xml:space="preserve"> بالعمل الذي يضطلع به المقرر الخاص لأداء مهام ولايته، والمشاورات الشاملة والشفافة والجا</w:t>
      </w:r>
      <w:r>
        <w:rPr>
          <w:rFonts w:hint="cs"/>
          <w:rtl/>
          <w:lang w:bidi="ar-EG"/>
        </w:rPr>
        <w:t>م</w:t>
      </w:r>
      <w:r>
        <w:rPr>
          <w:rtl/>
          <w:lang w:bidi="ar-EG"/>
        </w:rPr>
        <w:t>عة التي يجريها مع الجهات الفاعلة المعنية من جميع المناطق لغرض إعداد تقاريره المواضيعية، وقيامه بزيارات قطرية؛</w:t>
      </w:r>
    </w:p>
    <w:p w14:paraId="6A06EFAD" w14:textId="77777777" w:rsidR="007A1A5B" w:rsidRDefault="007A1A5B" w:rsidP="007A1A5B">
      <w:pPr>
        <w:pStyle w:val="SingleTxtGA"/>
        <w:rPr>
          <w:lang w:bidi="ar-EG"/>
        </w:rPr>
      </w:pPr>
      <w:r w:rsidRPr="00161784">
        <w:rPr>
          <w:rtl/>
          <w:lang w:bidi="ar-EG"/>
        </w:rPr>
        <w:tab/>
      </w:r>
      <w:r w:rsidRPr="00EC6849">
        <w:rPr>
          <w:rFonts w:hint="cs"/>
          <w:szCs w:val="20"/>
          <w:rtl/>
          <w:lang w:bidi="ar-EG"/>
        </w:rPr>
        <w:t>4</w:t>
      </w:r>
      <w:r w:rsidRPr="00161784">
        <w:rPr>
          <w:rFonts w:hint="cs"/>
          <w:rtl/>
          <w:lang w:bidi="ar-EG"/>
        </w:rPr>
        <w:t>-</w:t>
      </w:r>
      <w:r>
        <w:rPr>
          <w:i/>
          <w:iCs/>
          <w:rtl/>
          <w:lang w:bidi="ar-EG"/>
        </w:rPr>
        <w:tab/>
      </w:r>
      <w:r w:rsidRPr="00C90ACC">
        <w:rPr>
          <w:i/>
          <w:iCs/>
          <w:rtl/>
          <w:lang w:bidi="ar-EG"/>
        </w:rPr>
        <w:t>يرحب أيضاً</w:t>
      </w:r>
      <w:r>
        <w:rPr>
          <w:rtl/>
          <w:lang w:bidi="ar-EG"/>
        </w:rPr>
        <w:t xml:space="preserve"> بتعاون الدول التي استقبلت المقرر الخاص في بلدانها، وتلك التي قبلت طلبات للقيام بزيارات</w:t>
      </w:r>
      <w:r>
        <w:rPr>
          <w:rFonts w:hint="cs"/>
          <w:rtl/>
          <w:lang w:bidi="ar-EG"/>
        </w:rPr>
        <w:t xml:space="preserve"> المقرر الخاص</w:t>
      </w:r>
      <w:r>
        <w:rPr>
          <w:rtl/>
          <w:lang w:bidi="ar-EG"/>
        </w:rPr>
        <w:t xml:space="preserve"> إلى بلدانها، وتلك التي وجهت إل</w:t>
      </w:r>
      <w:r>
        <w:rPr>
          <w:rFonts w:hint="cs"/>
          <w:rtl/>
          <w:lang w:bidi="ar-EG"/>
        </w:rPr>
        <w:t>ى المقرر الخاص</w:t>
      </w:r>
      <w:r>
        <w:rPr>
          <w:rtl/>
          <w:lang w:bidi="ar-EG"/>
        </w:rPr>
        <w:t xml:space="preserve"> دعوات لزيارتها، وكذلك التي استجابت لطلباته المتعلقة بالحصول على معلومات؛</w:t>
      </w:r>
    </w:p>
    <w:p w14:paraId="2725AE38" w14:textId="77777777" w:rsidR="007A1A5B" w:rsidRDefault="007A1A5B" w:rsidP="007A1A5B">
      <w:pPr>
        <w:pStyle w:val="SingleTxtGA"/>
        <w:rPr>
          <w:lang w:bidi="ar-EG"/>
        </w:rPr>
      </w:pPr>
      <w:r w:rsidRPr="00161784">
        <w:rPr>
          <w:rtl/>
          <w:lang w:bidi="ar-EG"/>
        </w:rPr>
        <w:tab/>
      </w:r>
      <w:r w:rsidRPr="00EC6849">
        <w:rPr>
          <w:rFonts w:hint="cs"/>
          <w:szCs w:val="20"/>
          <w:rtl/>
          <w:lang w:bidi="ar-EG"/>
        </w:rPr>
        <w:t>5</w:t>
      </w:r>
      <w:r w:rsidRPr="00161784">
        <w:rPr>
          <w:rFonts w:hint="cs"/>
          <w:rtl/>
          <w:lang w:bidi="ar-EG"/>
        </w:rPr>
        <w:t>-</w:t>
      </w:r>
      <w:r>
        <w:rPr>
          <w:i/>
          <w:iCs/>
          <w:rtl/>
          <w:lang w:bidi="ar-EG"/>
        </w:rPr>
        <w:tab/>
      </w:r>
      <w:r w:rsidRPr="00C90ACC">
        <w:rPr>
          <w:i/>
          <w:iCs/>
          <w:rtl/>
          <w:lang w:bidi="ar-EG"/>
        </w:rPr>
        <w:t>يقرر</w:t>
      </w:r>
      <w:r>
        <w:rPr>
          <w:rtl/>
          <w:lang w:bidi="ar-EG"/>
        </w:rPr>
        <w:t xml:space="preserve"> تمديد ولاية المقرر الخاص المعني بتعزيز الحقيقة والعدالة والجبر وضمانات عدم التكرار لمدة ثلاث سنوات، حيث ستشمل مهامه ما يلي:</w:t>
      </w:r>
    </w:p>
    <w:p w14:paraId="6B99632C" w14:textId="77777777" w:rsidR="007A1A5B" w:rsidRDefault="007A1A5B" w:rsidP="007A1A5B">
      <w:pPr>
        <w:pStyle w:val="SingleTxtGA"/>
        <w:rPr>
          <w:rtl/>
          <w:lang w:bidi="ar-EG"/>
        </w:rPr>
      </w:pPr>
      <w:r>
        <w:rPr>
          <w:rtl/>
          <w:lang w:bidi="ar-EG"/>
        </w:rPr>
        <w:tab/>
      </w:r>
      <w:r>
        <w:rPr>
          <w:rFonts w:hint="cs"/>
          <w:rtl/>
          <w:lang w:bidi="ar-EG"/>
        </w:rPr>
        <w:t>(أ)</w:t>
      </w:r>
      <w:r>
        <w:rPr>
          <w:rtl/>
          <w:lang w:bidi="ar-EG"/>
        </w:rPr>
        <w:tab/>
        <w:t>القيام</w:t>
      </w:r>
      <w:r>
        <w:rPr>
          <w:rFonts w:hint="cs"/>
          <w:rtl/>
          <w:lang w:bidi="ar-EG"/>
        </w:rPr>
        <w:t>،</w:t>
      </w:r>
      <w:r>
        <w:rPr>
          <w:rtl/>
          <w:lang w:bidi="ar-EG"/>
        </w:rPr>
        <w:t xml:space="preserve"> </w:t>
      </w:r>
      <w:r>
        <w:rPr>
          <w:rFonts w:hint="cs"/>
          <w:rtl/>
          <w:lang w:bidi="ar-EG"/>
        </w:rPr>
        <w:t>بناء على</w:t>
      </w:r>
      <w:r>
        <w:rPr>
          <w:rtl/>
          <w:lang w:bidi="ar-EG"/>
        </w:rPr>
        <w:t xml:space="preserve"> الطلب</w:t>
      </w:r>
      <w:r>
        <w:rPr>
          <w:rFonts w:hint="cs"/>
          <w:rtl/>
          <w:lang w:bidi="ar-EG"/>
        </w:rPr>
        <w:t>،</w:t>
      </w:r>
      <w:r>
        <w:rPr>
          <w:rtl/>
          <w:lang w:bidi="ar-EG"/>
        </w:rPr>
        <w:t xml:space="preserve"> بالإسهام في توفير المساعدة التقنية أو الخدمات الاستشارية بشأن المسائل المتعلقة بالولاية، وبتيسير ذلك </w:t>
      </w:r>
      <w:r>
        <w:rPr>
          <w:rFonts w:hint="cs"/>
          <w:rtl/>
          <w:lang w:bidi="ar-EG"/>
        </w:rPr>
        <w:t>عند</w:t>
      </w:r>
      <w:r>
        <w:rPr>
          <w:rtl/>
          <w:lang w:bidi="ar-EG"/>
        </w:rPr>
        <w:t xml:space="preserve"> الاقتضاء؛</w:t>
      </w:r>
    </w:p>
    <w:p w14:paraId="767E7E1A" w14:textId="77777777" w:rsidR="007A1A5B" w:rsidRDefault="007A1A5B" w:rsidP="007A1A5B">
      <w:pPr>
        <w:pStyle w:val="SingleTxtGA"/>
        <w:rPr>
          <w:lang w:bidi="ar-EG"/>
        </w:rPr>
      </w:pPr>
      <w:r>
        <w:rPr>
          <w:rtl/>
          <w:lang w:bidi="ar-EG"/>
        </w:rPr>
        <w:tab/>
      </w:r>
      <w:r>
        <w:rPr>
          <w:rFonts w:hint="cs"/>
          <w:rtl/>
          <w:lang w:bidi="ar-EG"/>
        </w:rPr>
        <w:t>(ب)</w:t>
      </w:r>
      <w:r>
        <w:rPr>
          <w:rtl/>
          <w:lang w:bidi="ar-EG"/>
        </w:rPr>
        <w:tab/>
        <w:t xml:space="preserve">جمع المعلومات ذات الصلة </w:t>
      </w:r>
      <w:r>
        <w:rPr>
          <w:rFonts w:hint="cs"/>
          <w:rtl/>
          <w:lang w:bidi="ar-EG"/>
        </w:rPr>
        <w:t>بشأن</w:t>
      </w:r>
      <w:r>
        <w:rPr>
          <w:rtl/>
          <w:lang w:bidi="ar-EG"/>
        </w:rPr>
        <w:t xml:space="preserve"> الأوضاع الوطنية، بما في ذلك عن الأطر المعيارية والممارسات والخبرات الوطنية، مثل لجان تقصي الحقائق والمصالحة والآليات الأخرى المتصلة بتعزيز الحقيقة والعدالة والجبر وضمانات عدم التكرار، في سياق التصدي للانتهاكات الجسيمة لحقوق الإنسان والانتهاكات الخطيرة للقانون الدولي الإنساني</w:t>
      </w:r>
      <w:r>
        <w:rPr>
          <w:rFonts w:hint="cs"/>
          <w:rtl/>
          <w:lang w:bidi="ar-EG"/>
        </w:rPr>
        <w:t>،</w:t>
      </w:r>
      <w:r>
        <w:rPr>
          <w:rtl/>
          <w:lang w:bidi="ar-EG"/>
        </w:rPr>
        <w:t xml:space="preserve"> ودراسة الاتجاهات والتطورات والتحديات، وتقديم توصيات بشأنها؛</w:t>
      </w:r>
    </w:p>
    <w:p w14:paraId="6DB893AB" w14:textId="77777777" w:rsidR="007A1A5B" w:rsidRDefault="007A1A5B" w:rsidP="007A1A5B">
      <w:pPr>
        <w:pStyle w:val="SingleTxtGA"/>
        <w:rPr>
          <w:rtl/>
          <w:lang w:bidi="ar-EG"/>
        </w:rPr>
      </w:pPr>
      <w:r>
        <w:rPr>
          <w:rtl/>
          <w:lang w:bidi="ar-EG"/>
        </w:rPr>
        <w:tab/>
      </w:r>
      <w:r>
        <w:rPr>
          <w:rFonts w:hint="cs"/>
          <w:rtl/>
          <w:lang w:bidi="ar-EG"/>
        </w:rPr>
        <w:t>(ج)</w:t>
      </w:r>
      <w:r>
        <w:rPr>
          <w:rtl/>
          <w:lang w:bidi="ar-EG"/>
        </w:rPr>
        <w:tab/>
        <w:t xml:space="preserve">تحديد الممارسات الجيدة والدروس المستفادة وتبادلها وتعزيزها، وكذلك تحديد العناصر الإضافية المحتملة </w:t>
      </w:r>
      <w:r>
        <w:rPr>
          <w:rFonts w:hint="cs"/>
          <w:rtl/>
          <w:lang w:bidi="ar-EG"/>
        </w:rPr>
        <w:t>من أجل</w:t>
      </w:r>
      <w:r>
        <w:rPr>
          <w:rtl/>
          <w:lang w:bidi="ar-EG"/>
        </w:rPr>
        <w:t xml:space="preserve"> التوصية بسبل ووسائل لتحسين وتقوية تعزيز الحقيقة والعدالة والجبر وضمانات عدم التكرار؛</w:t>
      </w:r>
    </w:p>
    <w:p w14:paraId="5D05FA6F" w14:textId="77777777" w:rsidR="007A1A5B" w:rsidRDefault="007A1A5B" w:rsidP="007A1A5B">
      <w:pPr>
        <w:pStyle w:val="SingleTxtGA"/>
        <w:rPr>
          <w:rtl/>
          <w:lang w:bidi="ar-EG"/>
        </w:rPr>
      </w:pPr>
      <w:r>
        <w:rPr>
          <w:rtl/>
          <w:lang w:bidi="ar-EG"/>
        </w:rPr>
        <w:tab/>
        <w:t>(د)</w:t>
      </w:r>
      <w:r>
        <w:rPr>
          <w:rtl/>
          <w:lang w:bidi="ar-EG"/>
        </w:rPr>
        <w:tab/>
        <w:t>إقامة حوار منتظم وتعاون مع جهات من</w:t>
      </w:r>
      <w:r>
        <w:rPr>
          <w:rFonts w:hint="cs"/>
          <w:rtl/>
          <w:lang w:bidi="ar-EG"/>
        </w:rPr>
        <w:t>ها</w:t>
      </w:r>
      <w:r>
        <w:rPr>
          <w:rtl/>
          <w:lang w:bidi="ar-EG"/>
        </w:rPr>
        <w:t xml:space="preserve"> الحكومات، والمنظمات الدولية والإقليمية، والمؤسسات الوطنية لحقوق الإنسان، والمنظمات غير الحكومية، وهيئات الأمم المتحدة وآلياتها المعنية؛</w:t>
      </w:r>
    </w:p>
    <w:p w14:paraId="49656325" w14:textId="77777777" w:rsidR="007A1A5B" w:rsidRDefault="007A1A5B" w:rsidP="007A1A5B">
      <w:pPr>
        <w:pStyle w:val="SingleTxtGA"/>
        <w:rPr>
          <w:rtl/>
          <w:lang w:bidi="ar-EG"/>
        </w:rPr>
      </w:pPr>
      <w:r>
        <w:rPr>
          <w:rtl/>
          <w:lang w:bidi="ar-EG"/>
        </w:rPr>
        <w:tab/>
        <w:t>(هـ)</w:t>
      </w:r>
      <w:r>
        <w:rPr>
          <w:rtl/>
          <w:lang w:bidi="ar-EG"/>
        </w:rPr>
        <w:tab/>
        <w:t>تقديم توصيات بشأن جملة أمور منها ما يُتخذ من تدابير قضائية وغير قضائية عند تصميم وتنفيذ استراتيجيات وسياسات وتدابير للتصدي للانتهاكات الجسيمة لحقوق الإنسان والانتهاكات الخطيرة للقانون الدولي الإنساني؛</w:t>
      </w:r>
    </w:p>
    <w:p w14:paraId="51994EB8" w14:textId="77777777" w:rsidR="007A1A5B" w:rsidRDefault="007A1A5B" w:rsidP="007A1A5B">
      <w:pPr>
        <w:pStyle w:val="SingleTxtGA"/>
        <w:rPr>
          <w:rtl/>
          <w:lang w:bidi="ar-EG"/>
        </w:rPr>
      </w:pPr>
      <w:r>
        <w:rPr>
          <w:rtl/>
          <w:lang w:bidi="ar-EG"/>
        </w:rPr>
        <w:tab/>
      </w:r>
      <w:r>
        <w:rPr>
          <w:rFonts w:hint="cs"/>
          <w:rtl/>
          <w:lang w:bidi="ar-EG"/>
        </w:rPr>
        <w:t>(و)</w:t>
      </w:r>
      <w:r>
        <w:rPr>
          <w:rtl/>
          <w:lang w:bidi="ar-EG"/>
        </w:rPr>
        <w:tab/>
        <w:t>مواصلة دراسة إسهام العدالة الانتقالية في منع الانتهاكات الجسيمة لحقوق الإنسان والانتهاكات الخطيرة للقانون الدولي الإنساني، بما في ذلك الإبادة الجماعية وجرائم الحرب والتطهير ال</w:t>
      </w:r>
      <w:r>
        <w:rPr>
          <w:rFonts w:hint="cs"/>
          <w:rtl/>
          <w:lang w:bidi="ar-EG"/>
        </w:rPr>
        <w:t>إثني</w:t>
      </w:r>
      <w:r>
        <w:rPr>
          <w:rtl/>
          <w:lang w:bidi="ar-EG"/>
        </w:rPr>
        <w:t xml:space="preserve"> والجرائم ضد الإنسانية، ومنع تكرارها؛</w:t>
      </w:r>
    </w:p>
    <w:p w14:paraId="016DBF3D" w14:textId="77777777" w:rsidR="007A1A5B" w:rsidRDefault="007A1A5B" w:rsidP="007A1A5B">
      <w:pPr>
        <w:pStyle w:val="SingleTxtGA"/>
        <w:rPr>
          <w:rtl/>
          <w:lang w:bidi="ar-EG"/>
        </w:rPr>
      </w:pPr>
      <w:r>
        <w:rPr>
          <w:rtl/>
          <w:lang w:bidi="ar-EG"/>
        </w:rPr>
        <w:tab/>
        <w:t>(ز)</w:t>
      </w:r>
      <w:r>
        <w:rPr>
          <w:rtl/>
          <w:lang w:bidi="ar-EG"/>
        </w:rPr>
        <w:tab/>
        <w:t>إجراء زيارات قطرية والاستجابة فوراً للدعوات الموجهة من الدول؛</w:t>
      </w:r>
    </w:p>
    <w:p w14:paraId="6A4E4B31" w14:textId="77777777" w:rsidR="007A1A5B" w:rsidRDefault="007A1A5B" w:rsidP="007A1A5B">
      <w:pPr>
        <w:pStyle w:val="SingleTxtGA"/>
        <w:rPr>
          <w:rtl/>
          <w:lang w:bidi="ar-EG"/>
        </w:rPr>
      </w:pPr>
      <w:r>
        <w:rPr>
          <w:rtl/>
          <w:lang w:bidi="ar-EG"/>
        </w:rPr>
        <w:tab/>
        <w:t>(ح)</w:t>
      </w:r>
      <w:r>
        <w:rPr>
          <w:rtl/>
          <w:lang w:bidi="ar-EG"/>
        </w:rPr>
        <w:tab/>
        <w:t>المشاركة والإسهام في المؤتمرات وال</w:t>
      </w:r>
      <w:r>
        <w:rPr>
          <w:rFonts w:hint="cs"/>
          <w:rtl/>
          <w:lang w:bidi="ar-EG"/>
        </w:rPr>
        <w:t>مناسبات</w:t>
      </w:r>
      <w:r>
        <w:rPr>
          <w:rtl/>
          <w:lang w:bidi="ar-EG"/>
        </w:rPr>
        <w:t xml:space="preserve"> الدولية ذات الصلة بهدف تعزيز اتباع نهج منتظم ومتسق إزاء القضايا المتصلة بالولاية؛</w:t>
      </w:r>
    </w:p>
    <w:p w14:paraId="58A7944E" w14:textId="77777777" w:rsidR="007A1A5B" w:rsidRPr="00161784" w:rsidRDefault="007A1A5B" w:rsidP="007A1A5B">
      <w:pPr>
        <w:pStyle w:val="SingleTxtGA"/>
        <w:rPr>
          <w:spacing w:val="-2"/>
          <w:rtl/>
          <w:lang w:bidi="ar-EG"/>
        </w:rPr>
      </w:pPr>
      <w:r w:rsidRPr="00161784">
        <w:rPr>
          <w:spacing w:val="-2"/>
          <w:rtl/>
          <w:lang w:bidi="ar-EG"/>
        </w:rPr>
        <w:lastRenderedPageBreak/>
        <w:tab/>
        <w:t>(ط)</w:t>
      </w:r>
      <w:r w:rsidRPr="00161784">
        <w:rPr>
          <w:spacing w:val="-2"/>
          <w:rtl/>
          <w:lang w:bidi="ar-EG"/>
        </w:rPr>
        <w:tab/>
        <w:t>إذكاء الوعي بشأن قيمة اتباع نهج منتظم ومتسق عند التصدي للانتهاكات الجسيمة لحقوق الإنسان والانتهاكات الخطيرة للقانون الدولي الإنساني وتقديم توصيات في هذا الصدد؛</w:t>
      </w:r>
    </w:p>
    <w:p w14:paraId="2FF16328" w14:textId="77777777" w:rsidR="007A1A5B" w:rsidRDefault="007A1A5B" w:rsidP="007A1A5B">
      <w:pPr>
        <w:pStyle w:val="SingleTxtGA"/>
        <w:rPr>
          <w:rtl/>
          <w:lang w:bidi="ar-EG"/>
        </w:rPr>
      </w:pPr>
      <w:r>
        <w:rPr>
          <w:rtl/>
          <w:lang w:bidi="ar-EG"/>
        </w:rPr>
        <w:tab/>
        <w:t>(ي)</w:t>
      </w:r>
      <w:r>
        <w:rPr>
          <w:rtl/>
          <w:lang w:bidi="ar-EG"/>
        </w:rPr>
        <w:tab/>
        <w:t xml:space="preserve">دمج منظور جنساني في جميع الأعمال التي تدخل </w:t>
      </w:r>
      <w:r>
        <w:rPr>
          <w:rFonts w:hint="cs"/>
          <w:rtl/>
          <w:lang w:bidi="ar-EG"/>
        </w:rPr>
        <w:t>ضمن</w:t>
      </w:r>
      <w:r>
        <w:rPr>
          <w:rtl/>
          <w:lang w:bidi="ar-EG"/>
        </w:rPr>
        <w:t xml:space="preserve"> إطار الولاية؛ </w:t>
      </w:r>
    </w:p>
    <w:p w14:paraId="5A75C1CF" w14:textId="77777777" w:rsidR="007A1A5B" w:rsidRDefault="007A1A5B" w:rsidP="007A1A5B">
      <w:pPr>
        <w:pStyle w:val="SingleTxtGA"/>
        <w:rPr>
          <w:rtl/>
          <w:lang w:bidi="ar-EG"/>
        </w:rPr>
      </w:pPr>
      <w:r>
        <w:rPr>
          <w:rtl/>
          <w:lang w:bidi="ar-EG"/>
        </w:rPr>
        <w:tab/>
        <w:t>(ك)</w:t>
      </w:r>
      <w:r>
        <w:rPr>
          <w:rtl/>
          <w:lang w:bidi="ar-EG"/>
        </w:rPr>
        <w:tab/>
        <w:t xml:space="preserve">دمج نهج يركز على الضحايا في جميع الأعمال التي تدخل </w:t>
      </w:r>
      <w:r>
        <w:rPr>
          <w:rFonts w:hint="cs"/>
          <w:rtl/>
          <w:lang w:bidi="ar-EG"/>
        </w:rPr>
        <w:t>ضمن</w:t>
      </w:r>
      <w:r>
        <w:rPr>
          <w:rtl/>
          <w:lang w:bidi="ar-EG"/>
        </w:rPr>
        <w:t xml:space="preserve"> إطار الولاية؛</w:t>
      </w:r>
    </w:p>
    <w:p w14:paraId="7298F897" w14:textId="77777777" w:rsidR="007A1A5B" w:rsidRDefault="007A1A5B" w:rsidP="007A1A5B">
      <w:pPr>
        <w:pStyle w:val="SingleTxtGA"/>
        <w:rPr>
          <w:lang w:bidi="ar-EG"/>
        </w:rPr>
      </w:pPr>
      <w:r>
        <w:rPr>
          <w:rtl/>
          <w:lang w:bidi="ar-EG"/>
        </w:rPr>
        <w:tab/>
      </w:r>
      <w:r w:rsidRPr="00CD38E4">
        <w:rPr>
          <w:rtl/>
          <w:lang w:bidi="ar-EG"/>
        </w:rPr>
        <w:t>(ل)</w:t>
      </w:r>
      <w:r w:rsidRPr="00CD38E4">
        <w:rPr>
          <w:rtl/>
          <w:lang w:bidi="ar-EG"/>
        </w:rPr>
        <w:tab/>
        <w:t>العمل بتنسيق وثيق مع مفوضية الأمم المتحدة السامية لحقوق الإنسان و</w:t>
      </w:r>
      <w:r>
        <w:rPr>
          <w:rFonts w:hint="cs"/>
          <w:rtl/>
          <w:lang w:bidi="ar-EG"/>
        </w:rPr>
        <w:t>سائر</w:t>
      </w:r>
      <w:r w:rsidRPr="00CD38E4">
        <w:rPr>
          <w:rtl/>
          <w:lang w:bidi="ar-EG"/>
        </w:rPr>
        <w:t xml:space="preserve"> الكيانات المعنية التابعة للأمانة العامة للأمم المتحدة، ووكالات الأمم المتحدة وصناديقها وبرامجها ذات الصلة، والمنظمات الحكومية الدولية والمنظمات غير الحكومية وغيرها من الإجراءات الخاصة التابعة لمجلس حقوق الإنسان، والجهات الفاعلة الأخرى ذات الصلة، </w:t>
      </w:r>
      <w:r>
        <w:rPr>
          <w:rFonts w:hint="cs"/>
          <w:rtl/>
          <w:lang w:bidi="ar-EG"/>
        </w:rPr>
        <w:t>و</w:t>
      </w:r>
      <w:r w:rsidRPr="00CD38E4">
        <w:rPr>
          <w:rtl/>
          <w:lang w:bidi="ar-EG"/>
        </w:rPr>
        <w:t>تجنب الازدواج غير المبرر في العمل؛</w:t>
      </w:r>
    </w:p>
    <w:p w14:paraId="7185A340" w14:textId="77777777" w:rsidR="007A1A5B" w:rsidRDefault="007A1A5B" w:rsidP="007A1A5B">
      <w:pPr>
        <w:pStyle w:val="SingleTxtGA"/>
        <w:rPr>
          <w:rtl/>
          <w:lang w:bidi="ar-EG"/>
        </w:rPr>
      </w:pPr>
      <w:r>
        <w:rPr>
          <w:spacing w:val="-2"/>
          <w:lang w:bidi="ar-EG"/>
        </w:rPr>
        <w:tab/>
      </w:r>
      <w:r w:rsidRPr="00EC6849">
        <w:rPr>
          <w:rFonts w:hint="cs"/>
          <w:spacing w:val="-2"/>
          <w:szCs w:val="20"/>
          <w:rtl/>
        </w:rPr>
        <w:t>6</w:t>
      </w:r>
      <w:r>
        <w:rPr>
          <w:rFonts w:hint="cs"/>
          <w:spacing w:val="-2"/>
          <w:rtl/>
        </w:rPr>
        <w:t>-</w:t>
      </w:r>
      <w:r>
        <w:rPr>
          <w:spacing w:val="-2"/>
          <w:rtl/>
        </w:rPr>
        <w:tab/>
      </w:r>
      <w:r w:rsidRPr="00C90ACC">
        <w:rPr>
          <w:i/>
          <w:iCs/>
          <w:rtl/>
          <w:lang w:bidi="ar-EG"/>
        </w:rPr>
        <w:t>يحث</w:t>
      </w:r>
      <w:r>
        <w:rPr>
          <w:rtl/>
          <w:lang w:bidi="ar-EG"/>
        </w:rPr>
        <w:t xml:space="preserve"> جميع الدول على التعاون مع المقرر الخاص ومساعدته </w:t>
      </w:r>
      <w:r>
        <w:rPr>
          <w:rFonts w:hint="cs"/>
          <w:rtl/>
          <w:lang w:bidi="ar-EG"/>
        </w:rPr>
        <w:t xml:space="preserve">كي </w:t>
      </w:r>
      <w:r>
        <w:rPr>
          <w:rtl/>
          <w:lang w:bidi="ar-EG"/>
        </w:rPr>
        <w:t xml:space="preserve">يتسنى لـه الاضطلاع بولايته بفعالية، بطرق منها الرد على طلبات الزيارة رداً إيجابياً وسريعاً، </w:t>
      </w:r>
      <w:r>
        <w:rPr>
          <w:rFonts w:hint="cs"/>
          <w:rtl/>
          <w:lang w:bidi="ar-EG"/>
        </w:rPr>
        <w:t xml:space="preserve">مع الأخذ </w:t>
      </w:r>
      <w:r>
        <w:rPr>
          <w:rtl/>
          <w:lang w:bidi="ar-EG"/>
        </w:rPr>
        <w:t>في الاعتبار أن الزيارات القطرية تعد من الأدوات الأساسية لوفاء المقرر الخاص بولايته</w:t>
      </w:r>
      <w:r>
        <w:rPr>
          <w:rFonts w:hint="cs"/>
          <w:rtl/>
          <w:lang w:bidi="ar-EG"/>
        </w:rPr>
        <w:t>،</w:t>
      </w:r>
      <w:r>
        <w:rPr>
          <w:rtl/>
          <w:lang w:bidi="ar-EG"/>
        </w:rPr>
        <w:t xml:space="preserve"> وتزويده في الوقت المناسب بجميع المعلومات الضرورية التي يطلبها؛</w:t>
      </w:r>
    </w:p>
    <w:p w14:paraId="2ED4CBC2" w14:textId="77777777" w:rsidR="007A1A5B" w:rsidRDefault="007A1A5B" w:rsidP="007A1A5B">
      <w:pPr>
        <w:pStyle w:val="SingleTxtGA"/>
        <w:rPr>
          <w:lang w:bidi="ar-EG"/>
        </w:rPr>
      </w:pPr>
      <w:r w:rsidRPr="00161784">
        <w:rPr>
          <w:rtl/>
          <w:lang w:bidi="ar-EG"/>
        </w:rPr>
        <w:tab/>
      </w:r>
      <w:r w:rsidRPr="00EC6849">
        <w:rPr>
          <w:rFonts w:hint="cs"/>
          <w:szCs w:val="20"/>
          <w:rtl/>
          <w:lang w:bidi="ar-EG"/>
        </w:rPr>
        <w:t>7</w:t>
      </w:r>
      <w:r w:rsidRPr="00161784">
        <w:rPr>
          <w:rFonts w:hint="cs"/>
          <w:rtl/>
          <w:lang w:bidi="ar-EG"/>
        </w:rPr>
        <w:t>-</w:t>
      </w:r>
      <w:r w:rsidRPr="00161784">
        <w:rPr>
          <w:rtl/>
          <w:lang w:bidi="ar-EG"/>
        </w:rPr>
        <w:tab/>
      </w:r>
      <w:r w:rsidRPr="00C90ACC">
        <w:rPr>
          <w:i/>
          <w:iCs/>
          <w:rtl/>
          <w:lang w:bidi="ar-EG"/>
        </w:rPr>
        <w:t>يطلب</w:t>
      </w:r>
      <w:r>
        <w:rPr>
          <w:rtl/>
          <w:lang w:bidi="ar-EG"/>
        </w:rPr>
        <w:t xml:space="preserve"> إلى المقرر الخاص أن يواصل تقديم تقارير سنوية إلى مجلس حقوق الإنسان وإلى الجمعية العامة؛</w:t>
      </w:r>
    </w:p>
    <w:p w14:paraId="34998E8B" w14:textId="77777777" w:rsidR="007A1A5B" w:rsidRPr="005C3AD8" w:rsidRDefault="007A1A5B" w:rsidP="007A1A5B">
      <w:pPr>
        <w:pStyle w:val="SingleTxtGA"/>
        <w:rPr>
          <w:lang w:bidi="ar-EG"/>
        </w:rPr>
      </w:pPr>
      <w:r w:rsidRPr="00161784">
        <w:rPr>
          <w:rtl/>
          <w:lang w:bidi="ar-EG"/>
        </w:rPr>
        <w:tab/>
      </w:r>
      <w:r w:rsidRPr="00EC6849">
        <w:rPr>
          <w:rFonts w:hint="cs"/>
          <w:szCs w:val="20"/>
          <w:rtl/>
          <w:lang w:bidi="ar-EG"/>
        </w:rPr>
        <w:t>8</w:t>
      </w:r>
      <w:r w:rsidRPr="00161784">
        <w:rPr>
          <w:rFonts w:hint="cs"/>
          <w:rtl/>
          <w:lang w:bidi="ar-EG"/>
        </w:rPr>
        <w:t>-</w:t>
      </w:r>
      <w:r w:rsidRPr="00161784">
        <w:rPr>
          <w:rtl/>
          <w:lang w:bidi="ar-EG"/>
        </w:rPr>
        <w:tab/>
      </w:r>
      <w:r w:rsidRPr="00BB5FDB">
        <w:rPr>
          <w:i/>
          <w:iCs/>
          <w:rtl/>
          <w:lang w:bidi="ar-EG"/>
        </w:rPr>
        <w:t>يطلب</w:t>
      </w:r>
      <w:r w:rsidRPr="00BB5FDB">
        <w:rPr>
          <w:rtl/>
          <w:lang w:bidi="ar-EG"/>
        </w:rPr>
        <w:t xml:space="preserve"> إلى الأمين العام ومفوض</w:t>
      </w:r>
      <w:r>
        <w:rPr>
          <w:rFonts w:hint="cs"/>
          <w:rtl/>
          <w:lang w:bidi="ar-EG"/>
        </w:rPr>
        <w:t>ة</w:t>
      </w:r>
      <w:r w:rsidRPr="00BB5FDB">
        <w:rPr>
          <w:rtl/>
          <w:lang w:bidi="ar-EG"/>
        </w:rPr>
        <w:t xml:space="preserve"> الأمم المتحدة السامي</w:t>
      </w:r>
      <w:r>
        <w:rPr>
          <w:rFonts w:hint="cs"/>
          <w:rtl/>
          <w:lang w:bidi="ar-EG"/>
        </w:rPr>
        <w:t>ة</w:t>
      </w:r>
      <w:r w:rsidRPr="00BB5FDB">
        <w:rPr>
          <w:rtl/>
          <w:lang w:bidi="ar-EG"/>
        </w:rPr>
        <w:t xml:space="preserve"> لحقوق الإنسان أن يقدما إلى المقرر الخاص كل ما يلزم من مساعدة بشرية وتقنية ومالية </w:t>
      </w:r>
      <w:r>
        <w:rPr>
          <w:rFonts w:hint="cs"/>
          <w:rtl/>
          <w:lang w:bidi="ar-EG"/>
        </w:rPr>
        <w:t>من أجل ا</w:t>
      </w:r>
      <w:r w:rsidRPr="00BB5FDB">
        <w:rPr>
          <w:rtl/>
          <w:lang w:bidi="ar-EG"/>
        </w:rPr>
        <w:t>لاضطلاع ب</w:t>
      </w:r>
      <w:r>
        <w:rPr>
          <w:rFonts w:hint="cs"/>
          <w:rtl/>
          <w:lang w:bidi="ar-EG"/>
        </w:rPr>
        <w:t>الولاية</w:t>
      </w:r>
      <w:r w:rsidRPr="00BB5FDB">
        <w:rPr>
          <w:rtl/>
          <w:lang w:bidi="ar-EG"/>
        </w:rPr>
        <w:t xml:space="preserve"> على نحو فعال؛</w:t>
      </w:r>
    </w:p>
    <w:p w14:paraId="01FE45C3" w14:textId="77777777" w:rsidR="007A1A5B" w:rsidRDefault="007A1A5B" w:rsidP="007A1A5B">
      <w:pPr>
        <w:pStyle w:val="SingleTxtGA"/>
        <w:rPr>
          <w:rtl/>
          <w:lang w:bidi="ar-EG"/>
        </w:rPr>
      </w:pPr>
      <w:r w:rsidRPr="00161784">
        <w:rPr>
          <w:rtl/>
          <w:lang w:bidi="ar-EG"/>
        </w:rPr>
        <w:tab/>
      </w:r>
      <w:r w:rsidRPr="00EC6849">
        <w:rPr>
          <w:rFonts w:hint="cs"/>
          <w:szCs w:val="20"/>
          <w:rtl/>
          <w:lang w:bidi="ar-EG"/>
        </w:rPr>
        <w:t>9</w:t>
      </w:r>
      <w:r w:rsidRPr="00161784">
        <w:rPr>
          <w:rFonts w:hint="cs"/>
          <w:rtl/>
          <w:lang w:bidi="ar-EG"/>
        </w:rPr>
        <w:t>-</w:t>
      </w:r>
      <w:r w:rsidRPr="00161784">
        <w:rPr>
          <w:rtl/>
          <w:lang w:bidi="ar-EG"/>
        </w:rPr>
        <w:tab/>
      </w:r>
      <w:r w:rsidRPr="00C90ACC">
        <w:rPr>
          <w:i/>
          <w:iCs/>
          <w:rtl/>
          <w:lang w:bidi="ar-EG"/>
        </w:rPr>
        <w:t>يقرر</w:t>
      </w:r>
      <w:r>
        <w:rPr>
          <w:rtl/>
          <w:lang w:bidi="ar-EG"/>
        </w:rPr>
        <w:t xml:space="preserve"> أن يواصل نظر</w:t>
      </w:r>
      <w:r>
        <w:rPr>
          <w:rFonts w:hint="cs"/>
          <w:rtl/>
          <w:lang w:bidi="ar-EG"/>
        </w:rPr>
        <w:t>ه</w:t>
      </w:r>
      <w:r>
        <w:rPr>
          <w:rtl/>
          <w:lang w:bidi="ar-EG"/>
        </w:rPr>
        <w:t xml:space="preserve"> في هذه المسألة في إطار البند نفسه من جدول الأعمال ووفقاً لبرنامج عمله.</w:t>
      </w:r>
    </w:p>
    <w:p w14:paraId="1F13CC23" w14:textId="095E3399" w:rsidR="007A1A5B" w:rsidRPr="00D150FD" w:rsidRDefault="007A1A5B" w:rsidP="00AA7AE4">
      <w:pPr>
        <w:pStyle w:val="SingleTxtGA"/>
        <w:jc w:val="right"/>
        <w:rPr>
          <w:i/>
          <w:iCs/>
          <w:rtl/>
          <w:lang w:bidi="ar-EG"/>
        </w:rPr>
      </w:pPr>
      <w:r w:rsidRPr="00D150FD">
        <w:rPr>
          <w:rFonts w:hint="cs"/>
          <w:i/>
          <w:iCs/>
          <w:rtl/>
          <w:lang w:bidi="ar-EG"/>
        </w:rPr>
        <w:t xml:space="preserve">الجلسة </w:t>
      </w:r>
      <w:r w:rsidRPr="00EC6849">
        <w:rPr>
          <w:rFonts w:hint="cs"/>
          <w:i/>
          <w:iCs/>
          <w:szCs w:val="20"/>
          <w:rtl/>
          <w:lang w:bidi="ar-EG"/>
        </w:rPr>
        <w:t>36</w:t>
      </w:r>
      <w:r w:rsidR="00AA7AE4">
        <w:rPr>
          <w:i/>
          <w:iCs/>
          <w:lang w:bidi="ar-EG"/>
        </w:rPr>
        <w:br/>
      </w:r>
      <w:r w:rsidRPr="00EC6849">
        <w:rPr>
          <w:rFonts w:hint="cs"/>
          <w:i/>
          <w:iCs/>
          <w:szCs w:val="20"/>
          <w:rtl/>
          <w:lang w:bidi="ar-EG"/>
        </w:rPr>
        <w:t>6</w:t>
      </w:r>
      <w:r w:rsidRPr="00D150FD">
        <w:rPr>
          <w:rFonts w:hint="cs"/>
          <w:i/>
          <w:iCs/>
          <w:rtl/>
          <w:lang w:bidi="ar-EG"/>
        </w:rPr>
        <w:t xml:space="preserve"> تشرين الأول/أكتوبر </w:t>
      </w:r>
      <w:r w:rsidRPr="00EC6849">
        <w:rPr>
          <w:rFonts w:hint="cs"/>
          <w:i/>
          <w:iCs/>
          <w:szCs w:val="20"/>
          <w:rtl/>
          <w:lang w:bidi="ar-EG"/>
        </w:rPr>
        <w:t>2020</w:t>
      </w:r>
    </w:p>
    <w:p w14:paraId="558B275E" w14:textId="7DEE1CD1" w:rsidR="007A1A5B" w:rsidRDefault="007A1A5B" w:rsidP="00AA7AE4">
      <w:pPr>
        <w:pStyle w:val="SingleTxtGA"/>
        <w:rPr>
          <w:lang w:bidi="ar-EG"/>
        </w:rPr>
      </w:pPr>
      <w:r>
        <w:rPr>
          <w:rFonts w:hint="cs"/>
          <w:rtl/>
          <w:lang w:bidi="ar-EG"/>
        </w:rPr>
        <w:t>[اعتُمد من دون تصويت.]</w:t>
      </w:r>
      <w:bookmarkStart w:id="0" w:name="_GoBack"/>
      <w:bookmarkEnd w:id="0"/>
    </w:p>
    <w:p w14:paraId="32D46C85" w14:textId="1A54080E" w:rsidR="00AA7AE4" w:rsidRPr="00AA7AE4" w:rsidRDefault="00AA7AE4" w:rsidP="00AA7AE4">
      <w:pPr>
        <w:spacing w:before="120"/>
        <w:jc w:val="center"/>
        <w:rPr>
          <w:u w:val="single"/>
          <w:rtl/>
          <w:lang w:bidi="ar-EG"/>
        </w:rPr>
      </w:pPr>
      <w:r>
        <w:rPr>
          <w:u w:val="single"/>
          <w:rtl/>
          <w:lang w:bidi="ar-EG"/>
        </w:rPr>
        <w:tab/>
      </w:r>
      <w:r>
        <w:rPr>
          <w:u w:val="single"/>
          <w:rtl/>
          <w:lang w:bidi="ar-EG"/>
        </w:rPr>
        <w:tab/>
      </w:r>
      <w:r>
        <w:rPr>
          <w:u w:val="single"/>
          <w:rtl/>
          <w:lang w:bidi="ar-EG"/>
        </w:rPr>
        <w:tab/>
      </w:r>
    </w:p>
    <w:sectPr w:rsidR="00AA7AE4" w:rsidRPr="00AA7AE4" w:rsidSect="00A01C7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8EC43" w14:textId="77777777" w:rsidR="008C751B" w:rsidRPr="002901D9" w:rsidRDefault="008C751B" w:rsidP="002901D9">
      <w:pPr>
        <w:spacing w:after="60" w:line="240" w:lineRule="auto"/>
        <w:rPr>
          <w:i/>
          <w:iCs/>
        </w:rPr>
      </w:pPr>
      <w:r>
        <w:rPr>
          <w:rFonts w:hint="cs"/>
          <w:i/>
          <w:iCs/>
          <w:rtl/>
        </w:rPr>
        <w:t>الحواشي</w:t>
      </w:r>
    </w:p>
  </w:endnote>
  <w:endnote w:type="continuationSeparator" w:id="0">
    <w:p w14:paraId="58D5158D" w14:textId="77777777" w:rsidR="008C751B" w:rsidRDefault="008C751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B01FB" w14:textId="77777777" w:rsidR="00A01C7E" w:rsidRPr="007A1A5B" w:rsidRDefault="007A1A5B" w:rsidP="007A1A5B">
    <w:pPr>
      <w:pStyle w:val="Footer"/>
      <w:tabs>
        <w:tab w:val="right" w:pos="9598"/>
      </w:tabs>
      <w:rPr>
        <w:sz w:val="17"/>
      </w:rPr>
    </w:pPr>
    <w:r>
      <w:rPr>
        <w:sz w:val="17"/>
      </w:rPr>
      <w:t>GE.20-13213</w:t>
    </w:r>
    <w:r>
      <w:rPr>
        <w:sz w:val="17"/>
      </w:rPr>
      <w:tab/>
    </w:r>
    <w:r w:rsidRPr="007A1A5B">
      <w:rPr>
        <w:b/>
        <w:sz w:val="18"/>
      </w:rPr>
      <w:fldChar w:fldCharType="begin"/>
    </w:r>
    <w:r w:rsidRPr="007A1A5B">
      <w:rPr>
        <w:b/>
        <w:sz w:val="18"/>
      </w:rPr>
      <w:instrText xml:space="preserve"> PAGE  \* MERGEFORMAT </w:instrText>
    </w:r>
    <w:r w:rsidRPr="007A1A5B">
      <w:rPr>
        <w:b/>
        <w:sz w:val="18"/>
      </w:rPr>
      <w:fldChar w:fldCharType="separate"/>
    </w:r>
    <w:r>
      <w:rPr>
        <w:b/>
        <w:sz w:val="18"/>
      </w:rPr>
      <w:t>2</w:t>
    </w:r>
    <w:r w:rsidRPr="007A1A5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31419" w14:textId="77777777" w:rsidR="006959B0" w:rsidRPr="007A1A5B" w:rsidRDefault="007A1A5B" w:rsidP="006959B0">
    <w:pPr>
      <w:pStyle w:val="Footer"/>
      <w:tabs>
        <w:tab w:val="right" w:pos="9599"/>
      </w:tabs>
      <w:jc w:val="left"/>
      <w:rPr>
        <w:b/>
        <w:sz w:val="18"/>
        <w:lang w:val="en-US"/>
      </w:rPr>
    </w:pPr>
    <w:r w:rsidRPr="007A1A5B">
      <w:rPr>
        <w:b/>
        <w:sz w:val="18"/>
        <w:lang w:val="en-US"/>
      </w:rPr>
      <w:fldChar w:fldCharType="begin"/>
    </w:r>
    <w:r w:rsidRPr="007A1A5B">
      <w:rPr>
        <w:b/>
        <w:sz w:val="18"/>
        <w:lang w:val="en-US"/>
      </w:rPr>
      <w:instrText xml:space="preserve"> PAGE  \* MERGEFORMAT </w:instrText>
    </w:r>
    <w:r w:rsidRPr="007A1A5B">
      <w:rPr>
        <w:b/>
        <w:sz w:val="18"/>
        <w:lang w:val="en-US"/>
      </w:rPr>
      <w:fldChar w:fldCharType="separate"/>
    </w:r>
    <w:r w:rsidRPr="007A1A5B">
      <w:rPr>
        <w:b/>
        <w:noProof/>
        <w:sz w:val="18"/>
        <w:lang w:val="en-US"/>
      </w:rPr>
      <w:t>3</w:t>
    </w:r>
    <w:r w:rsidRPr="007A1A5B">
      <w:rPr>
        <w:b/>
        <w:sz w:val="18"/>
        <w:lang w:val="en-US"/>
      </w:rPr>
      <w:fldChar w:fldCharType="end"/>
    </w:r>
    <w:r>
      <w:rPr>
        <w:b/>
        <w:sz w:val="18"/>
        <w:lang w:val="en-US"/>
      </w:rPr>
      <w:tab/>
    </w:r>
    <w:r>
      <w:rPr>
        <w:sz w:val="17"/>
        <w:lang w:val="en-US"/>
      </w:rPr>
      <w:t>GE.20-13213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1F810" w14:textId="4FCA8E4B" w:rsidR="00FD4BC9" w:rsidRDefault="00A01C7E" w:rsidP="00F6741C">
    <w:pPr>
      <w:pStyle w:val="Footer"/>
      <w:spacing w:before="360"/>
      <w:jc w:val="right"/>
      <w:rPr>
        <w:sz w:val="20"/>
        <w:szCs w:val="20"/>
      </w:rPr>
    </w:pPr>
    <w:r>
      <w:rPr>
        <w:sz w:val="20"/>
        <w:szCs w:val="20"/>
      </w:rPr>
      <w:t>GE.20-13213</w:t>
    </w:r>
    <w:r w:rsidR="000773B5">
      <w:rPr>
        <w:noProof/>
      </w:rPr>
      <w:drawing>
        <wp:anchor distT="0" distB="0" distL="114300" distR="114300" simplePos="0" relativeHeight="251657728" behindDoc="1" locked="1" layoutInCell="0" allowOverlap="1" wp14:anchorId="4853385E" wp14:editId="78898BF1">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6A763F73" w14:textId="4D4A9ACA" w:rsidR="00A01C7E" w:rsidRPr="00A01C7E" w:rsidRDefault="00A01C7E" w:rsidP="00A01C7E">
    <w:pPr>
      <w:pStyle w:val="Footer"/>
      <w:jc w:val="right"/>
      <w:rPr>
        <w:rFonts w:ascii="C39T30Lfz" w:hAnsi="C39T30Lfz"/>
        <w:sz w:val="56"/>
        <w:szCs w:val="20"/>
      </w:rPr>
    </w:pPr>
    <w:r>
      <w:rPr>
        <w:rFonts w:ascii="C39T30Lfz" w:hAnsi="C39T30Lfz"/>
        <w:sz w:val="56"/>
        <w:szCs w:val="20"/>
      </w:rPr>
      <w:t>*2013213*</w:t>
    </w:r>
    <w:r w:rsidR="000773B5">
      <w:rPr>
        <w:noProof/>
      </w:rPr>
      <w:drawing>
        <wp:anchor distT="0" distB="0" distL="114300" distR="114300" simplePos="0" relativeHeight="251659776" behindDoc="0" locked="0" layoutInCell="1" allowOverlap="1" wp14:anchorId="3BA652DA" wp14:editId="3EE75F95">
          <wp:simplePos x="0" y="0"/>
          <wp:positionH relativeFrom="page">
            <wp:posOffset>719455</wp:posOffset>
          </wp:positionH>
          <wp:positionV relativeFrom="page">
            <wp:posOffset>9611995</wp:posOffset>
          </wp:positionV>
          <wp:extent cx="560705" cy="5607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05BAF" w14:textId="77777777" w:rsidR="008C751B" w:rsidRPr="0054762C" w:rsidRDefault="008C751B" w:rsidP="000E524A">
      <w:pPr>
        <w:pStyle w:val="Footer"/>
        <w:bidi/>
        <w:spacing w:after="80" w:line="200" w:lineRule="exact"/>
        <w:ind w:left="680"/>
      </w:pPr>
      <w:r>
        <w:rPr>
          <w:rtl/>
        </w:rPr>
        <w:t>__________</w:t>
      </w:r>
    </w:p>
  </w:footnote>
  <w:footnote w:type="continuationSeparator" w:id="0">
    <w:p w14:paraId="735CD412" w14:textId="77777777" w:rsidR="008C751B" w:rsidRDefault="008C751B" w:rsidP="00656392">
      <w:pPr>
        <w:spacing w:line="240" w:lineRule="auto"/>
      </w:pPr>
      <w:r>
        <w:continuationSeparator/>
      </w:r>
    </w:p>
  </w:footnote>
  <w:footnote w:id="1">
    <w:p w14:paraId="77870EAF" w14:textId="77777777" w:rsidR="007A1A5B" w:rsidRPr="00D96FDA" w:rsidRDefault="007A1A5B" w:rsidP="00EC6849">
      <w:pPr>
        <w:pStyle w:val="FootnoteText1"/>
      </w:pPr>
      <w:r w:rsidRPr="00D96FDA">
        <w:rPr>
          <w:rtl/>
        </w:rPr>
        <w:t>(</w:t>
      </w:r>
      <w:r w:rsidRPr="00AA7AE4">
        <w:rPr>
          <w:sz w:val="10"/>
          <w:szCs w:val="18"/>
          <w:rtl/>
        </w:rPr>
        <w:footnoteRef/>
      </w:r>
      <w:r w:rsidRPr="00D96FDA">
        <w:rPr>
          <w:rtl/>
        </w:rPr>
        <w:t>)</w:t>
      </w:r>
      <w:r w:rsidRPr="00D96FDA">
        <w:rPr>
          <w:rtl/>
        </w:rPr>
        <w:tab/>
      </w:r>
      <w:r w:rsidRPr="001C4D84">
        <w:rPr>
          <w:rFonts w:eastAsia="SimSun"/>
          <w:lang w:val="es-ES"/>
        </w:rPr>
        <w:t>E/CN.</w:t>
      </w:r>
      <w:r w:rsidRPr="00EC6849">
        <w:rPr>
          <w:rFonts w:eastAsia="SimSun"/>
          <w:szCs w:val="18"/>
          <w:lang w:val="es-ES"/>
        </w:rPr>
        <w:t>4</w:t>
      </w:r>
      <w:r w:rsidRPr="001C4D84">
        <w:rPr>
          <w:rFonts w:eastAsia="SimSun"/>
          <w:lang w:val="es-ES"/>
        </w:rPr>
        <w:t>/Sub.</w:t>
      </w:r>
      <w:r w:rsidRPr="00EC6849">
        <w:rPr>
          <w:rFonts w:eastAsia="SimSun"/>
          <w:szCs w:val="18"/>
          <w:lang w:val="es-ES"/>
        </w:rPr>
        <w:t>2</w:t>
      </w:r>
      <w:r w:rsidRPr="001C4D84">
        <w:rPr>
          <w:rFonts w:eastAsia="SimSun"/>
          <w:lang w:val="es-ES"/>
        </w:rPr>
        <w:t>/</w:t>
      </w:r>
      <w:r w:rsidRPr="00EC6849">
        <w:rPr>
          <w:rFonts w:eastAsia="SimSun"/>
          <w:szCs w:val="18"/>
          <w:lang w:val="es-ES"/>
        </w:rPr>
        <w:t>1997</w:t>
      </w:r>
      <w:r w:rsidRPr="001C4D84">
        <w:rPr>
          <w:rFonts w:eastAsia="SimSun"/>
          <w:lang w:val="es-ES"/>
        </w:rPr>
        <w:t>/</w:t>
      </w:r>
      <w:r w:rsidRPr="00EC6849">
        <w:rPr>
          <w:rFonts w:eastAsia="SimSun"/>
          <w:szCs w:val="18"/>
          <w:lang w:val="es-ES"/>
        </w:rPr>
        <w:t>20</w:t>
      </w:r>
      <w:r w:rsidRPr="001C4D84">
        <w:rPr>
          <w:rFonts w:eastAsia="SimSun"/>
          <w:lang w:val="es-ES"/>
        </w:rPr>
        <w:t>/Rev.</w:t>
      </w:r>
      <w:r w:rsidRPr="00EC6849">
        <w:rPr>
          <w:rFonts w:eastAsia="SimSun"/>
          <w:szCs w:val="18"/>
          <w:lang w:val="es-ES"/>
        </w:rPr>
        <w:t>1</w:t>
      </w:r>
      <w:r>
        <w:rPr>
          <w:rFonts w:hint="cs"/>
          <w:rtl/>
        </w:rPr>
        <w:t>، المرفق الثاني.</w:t>
      </w:r>
      <w:r w:rsidRPr="00D96FDA">
        <w:rPr>
          <w:rtl/>
        </w:rPr>
        <w:t xml:space="preserve"> </w:t>
      </w:r>
    </w:p>
  </w:footnote>
  <w:footnote w:id="2">
    <w:p w14:paraId="134B47B0" w14:textId="6FB6C144" w:rsidR="007A1A5B" w:rsidRPr="00D96FDA" w:rsidRDefault="007A1A5B" w:rsidP="00EC6849">
      <w:pPr>
        <w:pStyle w:val="FootnoteText1"/>
      </w:pPr>
      <w:r w:rsidRPr="00D96FDA">
        <w:rPr>
          <w:rtl/>
        </w:rPr>
        <w:t>(</w:t>
      </w:r>
      <w:r w:rsidR="00AA7AE4" w:rsidRPr="00AA7AE4">
        <w:rPr>
          <w:sz w:val="10"/>
          <w:szCs w:val="18"/>
          <w:rtl/>
        </w:rPr>
        <w:footnoteRef/>
      </w:r>
      <w:r w:rsidRPr="00D96FDA">
        <w:rPr>
          <w:rtl/>
        </w:rPr>
        <w:t>)</w:t>
      </w:r>
      <w:r w:rsidRPr="00D96FDA">
        <w:rPr>
          <w:rtl/>
        </w:rPr>
        <w:tab/>
      </w:r>
      <w:r w:rsidRPr="00764CBE">
        <w:rPr>
          <w:rFonts w:eastAsia="SimSun"/>
        </w:rPr>
        <w:t>E/CN.</w:t>
      </w:r>
      <w:r w:rsidRPr="00EC6849">
        <w:rPr>
          <w:rFonts w:eastAsia="SimSun"/>
          <w:szCs w:val="18"/>
        </w:rPr>
        <w:t>4</w:t>
      </w:r>
      <w:r w:rsidRPr="00764CBE">
        <w:rPr>
          <w:rFonts w:eastAsia="SimSun"/>
        </w:rPr>
        <w:t>/</w:t>
      </w:r>
      <w:r w:rsidRPr="00EC6849">
        <w:rPr>
          <w:rFonts w:eastAsia="SimSun"/>
          <w:szCs w:val="18"/>
        </w:rPr>
        <w:t>2005</w:t>
      </w:r>
      <w:r w:rsidRPr="00764CBE">
        <w:rPr>
          <w:rFonts w:eastAsia="SimSun"/>
        </w:rPr>
        <w:t>/</w:t>
      </w:r>
      <w:r w:rsidRPr="00EC6849">
        <w:rPr>
          <w:rFonts w:eastAsia="SimSun"/>
          <w:szCs w:val="18"/>
        </w:rPr>
        <w:t>102</w:t>
      </w:r>
      <w:r w:rsidRPr="00764CBE">
        <w:rPr>
          <w:rFonts w:eastAsia="SimSun"/>
        </w:rPr>
        <w:t>/Add.</w:t>
      </w:r>
      <w:r w:rsidRPr="00EC6849">
        <w:rPr>
          <w:rFonts w:eastAsia="SimSun"/>
          <w:szCs w:val="18"/>
        </w:rPr>
        <w:t>1</w:t>
      </w:r>
      <w:r>
        <w:rPr>
          <w:rFonts w:hint="cs"/>
          <w:rtl/>
        </w:rPr>
        <w:t>.</w:t>
      </w:r>
      <w:r w:rsidRPr="00D96FDA">
        <w:rPr>
          <w:rtl/>
        </w:rPr>
        <w:t xml:space="preserve"> </w:t>
      </w:r>
    </w:p>
  </w:footnote>
  <w:footnote w:id="3">
    <w:p w14:paraId="4A09E502" w14:textId="01809F74" w:rsidR="007A1A5B" w:rsidRPr="00D96FDA" w:rsidRDefault="007A1A5B" w:rsidP="00EC6849">
      <w:pPr>
        <w:pStyle w:val="FootnoteText1"/>
      </w:pPr>
      <w:r w:rsidRPr="00D96FDA">
        <w:rPr>
          <w:rtl/>
        </w:rPr>
        <w:t>(</w:t>
      </w:r>
      <w:r w:rsidR="00AA7AE4" w:rsidRPr="00AA7AE4">
        <w:rPr>
          <w:sz w:val="10"/>
          <w:szCs w:val="18"/>
          <w:rtl/>
        </w:rPr>
        <w:footnoteRef/>
      </w:r>
      <w:r w:rsidRPr="00D96FDA">
        <w:rPr>
          <w:rtl/>
        </w:rPr>
        <w:t>)</w:t>
      </w:r>
      <w:r w:rsidRPr="00D96FDA">
        <w:rPr>
          <w:rtl/>
        </w:rPr>
        <w:tab/>
      </w:r>
      <w:r w:rsidRPr="00C11792">
        <w:t>S/</w:t>
      </w:r>
      <w:r w:rsidRPr="00EC6849">
        <w:rPr>
          <w:szCs w:val="18"/>
        </w:rPr>
        <w:t>2004</w:t>
      </w:r>
      <w:r w:rsidRPr="00C11792">
        <w:t>/</w:t>
      </w:r>
      <w:r w:rsidRPr="00EC6849">
        <w:rPr>
          <w:szCs w:val="18"/>
        </w:rPr>
        <w:t>616</w:t>
      </w:r>
      <w:r>
        <w:rPr>
          <w:rFonts w:hint="cs"/>
          <w:rtl/>
        </w:rPr>
        <w:t>.</w:t>
      </w:r>
      <w:r w:rsidRPr="00D96FDA">
        <w:rPr>
          <w:rtl/>
        </w:rPr>
        <w:t xml:space="preserve"> </w:t>
      </w:r>
    </w:p>
  </w:footnote>
  <w:footnote w:id="4">
    <w:p w14:paraId="78A34ECC" w14:textId="321F8519" w:rsidR="007A1A5B" w:rsidRPr="00D96FDA" w:rsidRDefault="007A1A5B" w:rsidP="00EC6849">
      <w:pPr>
        <w:pStyle w:val="FootnoteText1"/>
      </w:pPr>
      <w:r w:rsidRPr="00D96FDA">
        <w:rPr>
          <w:rtl/>
        </w:rPr>
        <w:t>(</w:t>
      </w:r>
      <w:r w:rsidR="00AA7AE4" w:rsidRPr="00AA7AE4">
        <w:rPr>
          <w:sz w:val="10"/>
          <w:szCs w:val="18"/>
          <w:rtl/>
        </w:rPr>
        <w:footnoteRef/>
      </w:r>
      <w:r w:rsidRPr="00D96FDA">
        <w:rPr>
          <w:rtl/>
        </w:rPr>
        <w:t>)</w:t>
      </w:r>
      <w:r w:rsidRPr="00D96FDA">
        <w:rPr>
          <w:rtl/>
        </w:rPr>
        <w:tab/>
      </w:r>
      <w:r w:rsidRPr="00C52AEF">
        <w:rPr>
          <w:szCs w:val="18"/>
        </w:rPr>
        <w:t>S/</w:t>
      </w:r>
      <w:r w:rsidRPr="00EC6849">
        <w:rPr>
          <w:szCs w:val="18"/>
        </w:rPr>
        <w:t>2011</w:t>
      </w:r>
      <w:r w:rsidRPr="00C52AEF">
        <w:rPr>
          <w:szCs w:val="18"/>
        </w:rPr>
        <w:t>/</w:t>
      </w:r>
      <w:r w:rsidRPr="00EC6849">
        <w:rPr>
          <w:szCs w:val="18"/>
        </w:rPr>
        <w:t>634</w:t>
      </w:r>
      <w:r>
        <w:rPr>
          <w:rFonts w:hint="cs"/>
          <w:rtl/>
        </w:rPr>
        <w:t>.</w:t>
      </w:r>
      <w:r w:rsidRPr="00D96FDA">
        <w:rPr>
          <w:rtl/>
        </w:rPr>
        <w:t xml:space="preserve"> </w:t>
      </w:r>
    </w:p>
  </w:footnote>
  <w:footnote w:id="5">
    <w:p w14:paraId="2C12D67B" w14:textId="3E033F16" w:rsidR="007A1A5B" w:rsidRPr="00D96FDA" w:rsidRDefault="007A1A5B" w:rsidP="00EC6849">
      <w:pPr>
        <w:pStyle w:val="FootnoteText1"/>
        <w:rPr>
          <w:rtl/>
        </w:rPr>
      </w:pPr>
      <w:r w:rsidRPr="00D96FDA">
        <w:rPr>
          <w:rtl/>
        </w:rPr>
        <w:t>(</w:t>
      </w:r>
      <w:r w:rsidR="00AA7AE4" w:rsidRPr="00AA7AE4">
        <w:rPr>
          <w:sz w:val="10"/>
          <w:szCs w:val="18"/>
          <w:rtl/>
        </w:rPr>
        <w:footnoteRef/>
      </w:r>
      <w:r w:rsidRPr="00D96FDA">
        <w:rPr>
          <w:rtl/>
        </w:rPr>
        <w:t>)</w:t>
      </w:r>
      <w:r w:rsidRPr="00D96FDA">
        <w:rPr>
          <w:rtl/>
        </w:rPr>
        <w:tab/>
      </w:r>
      <w:r w:rsidRPr="00C52AEF">
        <w:rPr>
          <w:szCs w:val="18"/>
        </w:rPr>
        <w:t>A/</w:t>
      </w:r>
      <w:r w:rsidRPr="00EC6849">
        <w:rPr>
          <w:szCs w:val="18"/>
        </w:rPr>
        <w:t>61</w:t>
      </w:r>
      <w:r w:rsidRPr="00C52AEF">
        <w:rPr>
          <w:szCs w:val="18"/>
        </w:rPr>
        <w:t>/</w:t>
      </w:r>
      <w:r w:rsidRPr="00EC6849">
        <w:rPr>
          <w:szCs w:val="18"/>
        </w:rPr>
        <w:t>636</w:t>
      </w:r>
      <w:r w:rsidRPr="00C52AEF">
        <w:rPr>
          <w:szCs w:val="18"/>
        </w:rPr>
        <w:t>-S/</w:t>
      </w:r>
      <w:r w:rsidRPr="00EC6849">
        <w:rPr>
          <w:szCs w:val="18"/>
        </w:rPr>
        <w:t>2006</w:t>
      </w:r>
      <w:r w:rsidRPr="00C52AEF">
        <w:rPr>
          <w:szCs w:val="18"/>
        </w:rPr>
        <w:t>/</w:t>
      </w:r>
      <w:r w:rsidRPr="00EC6849">
        <w:rPr>
          <w:szCs w:val="18"/>
        </w:rPr>
        <w:t>980</w:t>
      </w:r>
      <w:r w:rsidRPr="00D96FDA">
        <w:rPr>
          <w:rtl/>
        </w:rPr>
        <w:t xml:space="preserve"> </w:t>
      </w:r>
      <w:r>
        <w:rPr>
          <w:rFonts w:hint="cs"/>
          <w:rtl/>
        </w:rPr>
        <w:t>و</w:t>
      </w:r>
      <w:r w:rsidRPr="00396C71">
        <w:rPr>
          <w:szCs w:val="18"/>
        </w:rPr>
        <w:t>Corr.</w:t>
      </w:r>
      <w:r w:rsidRPr="00EC6849">
        <w:rPr>
          <w:szCs w:val="18"/>
        </w:rPr>
        <w:t>1</w:t>
      </w:r>
      <w:r>
        <w:rPr>
          <w:rFonts w:hint="cs"/>
          <w:szCs w:val="18"/>
          <w:rtl/>
        </w:rPr>
        <w:t>،</w:t>
      </w:r>
      <w:r>
        <w:rPr>
          <w:rFonts w:hint="cs"/>
          <w:rtl/>
        </w:rPr>
        <w:t xml:space="preserve"> و</w:t>
      </w:r>
      <w:r w:rsidRPr="00583A06">
        <w:t>A/</w:t>
      </w:r>
      <w:r w:rsidRPr="00EC6849">
        <w:rPr>
          <w:szCs w:val="18"/>
        </w:rPr>
        <w:t>66</w:t>
      </w:r>
      <w:r w:rsidRPr="00583A06">
        <w:t>/</w:t>
      </w:r>
      <w:r w:rsidRPr="00EC6849">
        <w:rPr>
          <w:szCs w:val="18"/>
        </w:rPr>
        <w:t>749</w:t>
      </w:r>
      <w:r>
        <w:rPr>
          <w:rFonts w:hint="cs"/>
          <w:szCs w:val="18"/>
          <w:rtl/>
        </w:rPr>
        <w:t>،</w:t>
      </w:r>
      <w:r>
        <w:rPr>
          <w:rFonts w:hint="cs"/>
          <w:rtl/>
        </w:rPr>
        <w:t xml:space="preserve"> و</w:t>
      </w:r>
      <w:r w:rsidRPr="00583A06">
        <w:t>S/</w:t>
      </w:r>
      <w:r w:rsidRPr="00EC6849">
        <w:rPr>
          <w:szCs w:val="18"/>
        </w:rPr>
        <w:t>2013</w:t>
      </w:r>
      <w:r w:rsidRPr="00583A06">
        <w:t>/</w:t>
      </w:r>
      <w:r w:rsidRPr="00EC6849">
        <w:rPr>
          <w:szCs w:val="18"/>
        </w:rPr>
        <w:t>341</w:t>
      </w:r>
      <w:r>
        <w:rPr>
          <w:rFonts w:hint="cs"/>
          <w:szCs w:val="18"/>
          <w:rtl/>
        </w:rPr>
        <w:t>،</w:t>
      </w:r>
      <w:r>
        <w:rPr>
          <w:rFonts w:hint="cs"/>
          <w:rtl/>
        </w:rPr>
        <w:t xml:space="preserve"> و</w:t>
      </w:r>
      <w:r w:rsidRPr="00583A06">
        <w:t>A/</w:t>
      </w:r>
      <w:r w:rsidRPr="00EC6849">
        <w:rPr>
          <w:szCs w:val="18"/>
        </w:rPr>
        <w:t>68</w:t>
      </w:r>
      <w:r w:rsidRPr="00583A06">
        <w:t>/</w:t>
      </w:r>
      <w:r w:rsidRPr="00EC6849">
        <w:rPr>
          <w:szCs w:val="18"/>
        </w:rPr>
        <w:t>213</w:t>
      </w:r>
      <w:r w:rsidRPr="00583A06">
        <w:t>/Add.</w:t>
      </w:r>
      <w:r w:rsidRPr="00EC6849">
        <w:rPr>
          <w:szCs w:val="18"/>
        </w:rPr>
        <w:t>1</w:t>
      </w:r>
      <w:r>
        <w:rPr>
          <w:rFonts w:hint="cs"/>
          <w:szCs w:val="18"/>
          <w:rtl/>
        </w:rPr>
        <w:t>،</w:t>
      </w:r>
      <w:r>
        <w:rPr>
          <w:rFonts w:hint="cs"/>
          <w:rtl/>
        </w:rPr>
        <w:t xml:space="preserve"> و</w:t>
      </w:r>
      <w:r w:rsidRPr="00583A06">
        <w:t>A/</w:t>
      </w:r>
      <w:r w:rsidRPr="00EC6849">
        <w:rPr>
          <w:szCs w:val="18"/>
        </w:rPr>
        <w:t>69</w:t>
      </w:r>
      <w:r w:rsidRPr="00583A06">
        <w:t>/</w:t>
      </w:r>
      <w:r w:rsidRPr="00EC6849">
        <w:rPr>
          <w:szCs w:val="18"/>
        </w:rPr>
        <w:t>181</w:t>
      </w:r>
      <w:r>
        <w:rPr>
          <w:rFonts w:hint="cs"/>
          <w:rtl/>
        </w:rPr>
        <w:t>.</w:t>
      </w:r>
    </w:p>
  </w:footnote>
  <w:footnote w:id="6">
    <w:p w14:paraId="69BAF596" w14:textId="695BCA4B" w:rsidR="007A1A5B" w:rsidRPr="00D96FDA" w:rsidRDefault="007A1A5B" w:rsidP="00EC6849">
      <w:pPr>
        <w:pStyle w:val="FootnoteText1"/>
        <w:rPr>
          <w:rtl/>
        </w:rPr>
      </w:pPr>
      <w:r w:rsidRPr="00D96FDA">
        <w:rPr>
          <w:rtl/>
        </w:rPr>
        <w:t>(</w:t>
      </w:r>
      <w:r w:rsidR="00AA7AE4" w:rsidRPr="00AA7AE4">
        <w:rPr>
          <w:sz w:val="10"/>
          <w:szCs w:val="18"/>
          <w:rtl/>
        </w:rPr>
        <w:footnoteRef/>
      </w:r>
      <w:r w:rsidRPr="00D96FDA">
        <w:rPr>
          <w:rtl/>
        </w:rPr>
        <w:t>)</w:t>
      </w:r>
      <w:r w:rsidRPr="00D96FDA">
        <w:rPr>
          <w:rtl/>
        </w:rPr>
        <w:tab/>
      </w:r>
      <w:r>
        <w:t>A/HRC/</w:t>
      </w:r>
      <w:r w:rsidRPr="00EC6849">
        <w:rPr>
          <w:szCs w:val="18"/>
        </w:rPr>
        <w:t>39</w:t>
      </w:r>
      <w:r>
        <w:t>/</w:t>
      </w:r>
      <w:r w:rsidRPr="00EC6849">
        <w:rPr>
          <w:szCs w:val="18"/>
        </w:rPr>
        <w:t>53</w:t>
      </w:r>
      <w:r>
        <w:rPr>
          <w:rFonts w:hint="cs"/>
          <w:rtl/>
        </w:rPr>
        <w:t xml:space="preserve"> و</w:t>
      </w:r>
      <w:hyperlink r:id="rId1" w:history="1">
        <w:r w:rsidRPr="005A2F56">
          <w:rPr>
            <w:rStyle w:val="Hyperlink"/>
          </w:rPr>
          <w:t>A/HRC/</w:t>
        </w:r>
        <w:r w:rsidRPr="00EC6849">
          <w:rPr>
            <w:rStyle w:val="Hyperlink"/>
            <w:szCs w:val="18"/>
          </w:rPr>
          <w:t>42</w:t>
        </w:r>
        <w:r w:rsidRPr="005A2F56">
          <w:rPr>
            <w:rStyle w:val="Hyperlink"/>
          </w:rPr>
          <w:t>/</w:t>
        </w:r>
        <w:r w:rsidRPr="00EC6849">
          <w:rPr>
            <w:rStyle w:val="Hyperlink"/>
            <w:szCs w:val="18"/>
          </w:rPr>
          <w:t>45</w:t>
        </w:r>
      </w:hyperlink>
      <w:r>
        <w:rPr>
          <w:rStyle w:val="Hyperlink"/>
          <w:rFonts w:hint="cs"/>
          <w:rtl/>
        </w:rPr>
        <w:t xml:space="preserve"> و</w:t>
      </w:r>
      <w:r w:rsidRPr="008E6527">
        <w:t>A/HRC/</w:t>
      </w:r>
      <w:r w:rsidRPr="00EC6849">
        <w:rPr>
          <w:szCs w:val="18"/>
        </w:rPr>
        <w:t>45</w:t>
      </w:r>
      <w:r w:rsidRPr="008E6527">
        <w:t>/</w:t>
      </w:r>
      <w:r w:rsidRPr="00EC6849">
        <w:rPr>
          <w:szCs w:val="18"/>
        </w:rPr>
        <w:t>45</w:t>
      </w:r>
      <w:r>
        <w:rPr>
          <w:rFonts w:hint="cs"/>
          <w:rtl/>
        </w:rPr>
        <w:t xml:space="preserve"> و</w:t>
      </w:r>
      <w:r>
        <w:t>Add.</w:t>
      </w:r>
      <w:r w:rsidRPr="00EC6849">
        <w:rPr>
          <w:szCs w:val="18"/>
        </w:rPr>
        <w:t>1</w:t>
      </w:r>
      <w:r>
        <w:t>–</w:t>
      </w:r>
      <w:r w:rsidRPr="00EC6849">
        <w:rPr>
          <w:szCs w:val="18"/>
        </w:rPr>
        <w:t>3</w:t>
      </w:r>
      <w:r>
        <w:rPr>
          <w:rFonts w:hint="cs"/>
          <w:rtl/>
        </w:rPr>
        <w:t>.</w:t>
      </w:r>
    </w:p>
  </w:footnote>
  <w:footnote w:id="7">
    <w:p w14:paraId="446C7194" w14:textId="3EC0955D" w:rsidR="007A1A5B" w:rsidRPr="00D96FDA" w:rsidRDefault="007A1A5B" w:rsidP="00EC6849">
      <w:pPr>
        <w:pStyle w:val="FootnoteText1"/>
      </w:pPr>
      <w:r w:rsidRPr="00D96FDA">
        <w:rPr>
          <w:rtl/>
        </w:rPr>
        <w:t>(</w:t>
      </w:r>
      <w:r w:rsidR="00AA7AE4" w:rsidRPr="00AA7AE4">
        <w:rPr>
          <w:sz w:val="10"/>
          <w:szCs w:val="18"/>
          <w:rtl/>
        </w:rPr>
        <w:footnoteRef/>
      </w:r>
      <w:r w:rsidRPr="00D96FDA">
        <w:rPr>
          <w:rtl/>
        </w:rPr>
        <w:t>)</w:t>
      </w:r>
      <w:r w:rsidRPr="00D96FDA">
        <w:rPr>
          <w:rtl/>
        </w:rPr>
        <w:tab/>
      </w:r>
      <w:r>
        <w:rPr>
          <w:rFonts w:hint="cs"/>
          <w:rtl/>
        </w:rPr>
        <w:t xml:space="preserve">انظر </w:t>
      </w:r>
      <w:hyperlink r:id="rId2" w:history="1">
        <w:r w:rsidRPr="005A2F56">
          <w:rPr>
            <w:rStyle w:val="Hyperlink"/>
          </w:rPr>
          <w:t>A/</w:t>
        </w:r>
        <w:r w:rsidRPr="00EC6849">
          <w:rPr>
            <w:rStyle w:val="Hyperlink"/>
            <w:szCs w:val="18"/>
          </w:rPr>
          <w:t>72</w:t>
        </w:r>
        <w:r w:rsidRPr="005A2F56">
          <w:rPr>
            <w:rStyle w:val="Hyperlink"/>
          </w:rPr>
          <w:t>/</w:t>
        </w:r>
        <w:r w:rsidRPr="00EC6849">
          <w:rPr>
            <w:rStyle w:val="Hyperlink"/>
            <w:szCs w:val="18"/>
          </w:rPr>
          <w:t>523</w:t>
        </w:r>
      </w:hyperlink>
      <w:r>
        <w:rPr>
          <w:rStyle w:val="Hyperlink"/>
          <w:rFonts w:hint="cs"/>
          <w:rtl/>
        </w:rPr>
        <w:t xml:space="preserve"> و</w:t>
      </w:r>
      <w:hyperlink r:id="rId3" w:tgtFrame="_blank" w:history="1">
        <w:r w:rsidRPr="005A2F56">
          <w:rPr>
            <w:rStyle w:val="Hyperlink"/>
          </w:rPr>
          <w:t>A/</w:t>
        </w:r>
        <w:r w:rsidRPr="00EC6849">
          <w:rPr>
            <w:rStyle w:val="Hyperlink"/>
            <w:szCs w:val="18"/>
          </w:rPr>
          <w:t>73</w:t>
        </w:r>
        <w:r w:rsidRPr="005A2F56">
          <w:rPr>
            <w:rStyle w:val="Hyperlink"/>
          </w:rPr>
          <w:t>/</w:t>
        </w:r>
        <w:r w:rsidRPr="00EC6849">
          <w:rPr>
            <w:rStyle w:val="Hyperlink"/>
            <w:szCs w:val="18"/>
          </w:rPr>
          <w:t>336</w:t>
        </w:r>
      </w:hyperlink>
      <w:r>
        <w:rPr>
          <w:rStyle w:val="Hyperlink"/>
          <w:rFonts w:hint="cs"/>
          <w:rtl/>
        </w:rPr>
        <w:t xml:space="preserve"> و</w:t>
      </w:r>
      <w:hyperlink r:id="rId4" w:history="1">
        <w:r w:rsidRPr="005A2F56">
          <w:rPr>
            <w:rStyle w:val="Hyperlink"/>
          </w:rPr>
          <w:t>A/</w:t>
        </w:r>
        <w:r w:rsidRPr="00EC6849">
          <w:rPr>
            <w:rStyle w:val="Hyperlink"/>
            <w:szCs w:val="18"/>
          </w:rPr>
          <w:t>74</w:t>
        </w:r>
        <w:r w:rsidRPr="005A2F56">
          <w:rPr>
            <w:rStyle w:val="Hyperlink"/>
          </w:rPr>
          <w:t>/</w:t>
        </w:r>
        <w:r w:rsidRPr="00EC6849">
          <w:rPr>
            <w:rStyle w:val="Hyperlink"/>
            <w:szCs w:val="18"/>
          </w:rPr>
          <w:t>147</w:t>
        </w:r>
      </w:hyperlink>
      <w:r>
        <w:rPr>
          <w:rStyle w:val="Hyperlink"/>
          <w:rFonts w:hint="cs"/>
          <w:rtl/>
        </w:rPr>
        <w:t>.</w:t>
      </w:r>
    </w:p>
  </w:footnote>
  <w:footnote w:id="8">
    <w:p w14:paraId="0F4E1ECC" w14:textId="0C53549C" w:rsidR="007A1A5B" w:rsidRPr="00D96FDA" w:rsidRDefault="007A1A5B" w:rsidP="00EC6849">
      <w:pPr>
        <w:pStyle w:val="FootnoteText1"/>
      </w:pPr>
      <w:r w:rsidRPr="00D96FDA">
        <w:rPr>
          <w:rtl/>
        </w:rPr>
        <w:t>(</w:t>
      </w:r>
      <w:r w:rsidR="00AA7AE4" w:rsidRPr="00AA7AE4">
        <w:rPr>
          <w:sz w:val="10"/>
          <w:szCs w:val="18"/>
          <w:rtl/>
        </w:rPr>
        <w:footnoteRef/>
      </w:r>
      <w:r w:rsidRPr="00D96FDA">
        <w:rPr>
          <w:rtl/>
        </w:rPr>
        <w:t>)</w:t>
      </w:r>
      <w:r w:rsidRPr="00D96FDA">
        <w:rPr>
          <w:rtl/>
        </w:rPr>
        <w:tab/>
      </w:r>
      <w:hyperlink r:id="rId5" w:history="1">
        <w:r w:rsidRPr="005A2F56">
          <w:rPr>
            <w:rStyle w:val="Hyperlink"/>
          </w:rPr>
          <w:t>A/HRC/</w:t>
        </w:r>
        <w:r w:rsidRPr="00EC6849">
          <w:rPr>
            <w:rStyle w:val="Hyperlink"/>
            <w:szCs w:val="18"/>
          </w:rPr>
          <w:t>37</w:t>
        </w:r>
        <w:r w:rsidRPr="005A2F56">
          <w:rPr>
            <w:rStyle w:val="Hyperlink"/>
          </w:rPr>
          <w:t>/</w:t>
        </w:r>
        <w:r w:rsidRPr="00EC6849">
          <w:rPr>
            <w:rStyle w:val="Hyperlink"/>
            <w:szCs w:val="18"/>
          </w:rPr>
          <w:t>65</w:t>
        </w:r>
      </w:hyperlink>
      <w:r>
        <w:rPr>
          <w:rStyle w:val="Hyperlink"/>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2CBA2" w14:textId="77777777" w:rsidR="00A01C7E" w:rsidRPr="007A1A5B" w:rsidRDefault="007A1A5B" w:rsidP="007A1A5B">
    <w:pPr>
      <w:pStyle w:val="Header"/>
      <w:jc w:val="right"/>
    </w:pPr>
    <w:r w:rsidRPr="007A1A5B">
      <w:t>A/HRC/RES/45/10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D169B" w14:textId="77777777" w:rsidR="00A01C7E" w:rsidRPr="007A1A5B" w:rsidRDefault="007A1A5B" w:rsidP="007A1A5B">
    <w:pPr>
      <w:pStyle w:val="Header"/>
      <w:jc w:val="left"/>
    </w:pPr>
    <w:r w:rsidRPr="007A1A5B">
      <w:t>A/HRC/RES/45/10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8C751B"/>
    <w:rsid w:val="000076D5"/>
    <w:rsid w:val="00043663"/>
    <w:rsid w:val="000505CF"/>
    <w:rsid w:val="000773B5"/>
    <w:rsid w:val="000D701C"/>
    <w:rsid w:val="000E2A71"/>
    <w:rsid w:val="000E524A"/>
    <w:rsid w:val="000F4D63"/>
    <w:rsid w:val="00160263"/>
    <w:rsid w:val="001773DB"/>
    <w:rsid w:val="00181F96"/>
    <w:rsid w:val="001A1371"/>
    <w:rsid w:val="001B346A"/>
    <w:rsid w:val="001E1CAD"/>
    <w:rsid w:val="001E290D"/>
    <w:rsid w:val="002144FA"/>
    <w:rsid w:val="0023469A"/>
    <w:rsid w:val="00243C8A"/>
    <w:rsid w:val="00267A0E"/>
    <w:rsid w:val="00281242"/>
    <w:rsid w:val="002901D9"/>
    <w:rsid w:val="002976C2"/>
    <w:rsid w:val="00325CC1"/>
    <w:rsid w:val="003260FF"/>
    <w:rsid w:val="00343D95"/>
    <w:rsid w:val="00374341"/>
    <w:rsid w:val="003D1062"/>
    <w:rsid w:val="003E159A"/>
    <w:rsid w:val="004205C7"/>
    <w:rsid w:val="00420D7B"/>
    <w:rsid w:val="00442FBA"/>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73245"/>
    <w:rsid w:val="0068781D"/>
    <w:rsid w:val="006959B0"/>
    <w:rsid w:val="006B3E27"/>
    <w:rsid w:val="006B6507"/>
    <w:rsid w:val="006C104C"/>
    <w:rsid w:val="00733704"/>
    <w:rsid w:val="00740188"/>
    <w:rsid w:val="00764796"/>
    <w:rsid w:val="0078071A"/>
    <w:rsid w:val="007A1A5B"/>
    <w:rsid w:val="007A70BB"/>
    <w:rsid w:val="00852A9A"/>
    <w:rsid w:val="00871544"/>
    <w:rsid w:val="008930DB"/>
    <w:rsid w:val="00895D16"/>
    <w:rsid w:val="008C751B"/>
    <w:rsid w:val="008F49E1"/>
    <w:rsid w:val="0090370F"/>
    <w:rsid w:val="009269D2"/>
    <w:rsid w:val="00942135"/>
    <w:rsid w:val="009521B0"/>
    <w:rsid w:val="009611CC"/>
    <w:rsid w:val="00970570"/>
    <w:rsid w:val="009A7E9F"/>
    <w:rsid w:val="009E5018"/>
    <w:rsid w:val="00A01C7E"/>
    <w:rsid w:val="00A12B37"/>
    <w:rsid w:val="00A50EC0"/>
    <w:rsid w:val="00A74331"/>
    <w:rsid w:val="00AA7AE4"/>
    <w:rsid w:val="00AB3BCA"/>
    <w:rsid w:val="00AB6758"/>
    <w:rsid w:val="00AF203E"/>
    <w:rsid w:val="00B13763"/>
    <w:rsid w:val="00B477A4"/>
    <w:rsid w:val="00B54045"/>
    <w:rsid w:val="00BA5E8B"/>
    <w:rsid w:val="00C022F5"/>
    <w:rsid w:val="00C06421"/>
    <w:rsid w:val="00C438D7"/>
    <w:rsid w:val="00C53FE8"/>
    <w:rsid w:val="00C81B50"/>
    <w:rsid w:val="00CA655B"/>
    <w:rsid w:val="00CB3C3C"/>
    <w:rsid w:val="00CD1801"/>
    <w:rsid w:val="00D10EF1"/>
    <w:rsid w:val="00D3276C"/>
    <w:rsid w:val="00D42810"/>
    <w:rsid w:val="00D914A7"/>
    <w:rsid w:val="00DD13C3"/>
    <w:rsid w:val="00DD596E"/>
    <w:rsid w:val="00DD621E"/>
    <w:rsid w:val="00DF0575"/>
    <w:rsid w:val="00E70E04"/>
    <w:rsid w:val="00E75996"/>
    <w:rsid w:val="00EC05A7"/>
    <w:rsid w:val="00EC4B6B"/>
    <w:rsid w:val="00EC6849"/>
    <w:rsid w:val="00ED7442"/>
    <w:rsid w:val="00EE0B18"/>
    <w:rsid w:val="00EF1EE5"/>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BBD97B1"/>
  <w15:docId w15:val="{0E2B27A2-F80E-4E4C-9B76-FA8C73A6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character" w:styleId="Hyperlink">
    <w:name w:val="Hyperlink"/>
    <w:semiHidden/>
    <w:rsid w:val="007A1A5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org/en/ga/search/view_doc.asp?symbol=A/73/336" TargetMode="External"/><Relationship Id="rId2" Type="http://schemas.openxmlformats.org/officeDocument/2006/relationships/hyperlink" Target="http://ap.ohchr.org/documents/dpage_e.aspx?si=A/72/523" TargetMode="External"/><Relationship Id="rId1" Type="http://schemas.openxmlformats.org/officeDocument/2006/relationships/hyperlink" Target="http://ap.ohchr.org/documents/dpage_e.aspx?si=A/HRC/42/45" TargetMode="External"/><Relationship Id="rId5" Type="http://schemas.openxmlformats.org/officeDocument/2006/relationships/hyperlink" Target="http://ap.ohchr.org/documents/dpage_e.aspx?si=A/HRC/37/65" TargetMode="External"/><Relationship Id="rId4" Type="http://schemas.openxmlformats.org/officeDocument/2006/relationships/hyperlink" Target="https://undocs.org/en/A/74/1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8E8BB-7727-4B2F-BA6C-B0949418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5</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A/HRC/RES/45/10</vt:lpstr>
    </vt:vector>
  </TitlesOfParts>
  <Company>DCM</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A/HRC/RES/45/10</dc:title>
  <dc:subject>GE.2013213A</dc:subject>
  <dc:creator>Jamela CHEDAD/Mirna</dc:creator>
  <cp:keywords>ODS No.2025886A</cp:keywords>
  <dc:description>Original: English _x000d_
Distribution: General_x000d_
Date: 12 October 2020</dc:description>
  <cp:lastModifiedBy>Jamela CHEDAD</cp:lastModifiedBy>
  <cp:revision>2</cp:revision>
  <dcterms:created xsi:type="dcterms:W3CDTF">2020-10-14T09:14:00Z</dcterms:created>
  <dcterms:modified xsi:type="dcterms:W3CDTF">2020-10-14T09:14:00Z</dcterms:modified>
  <cp:category>Final</cp:category>
</cp:coreProperties>
</file>