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E80A35B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FE7BE0" w14:textId="77777777" w:rsidR="002D5AAC" w:rsidRDefault="002D5AAC" w:rsidP="00DD66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E33988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230B99" w14:textId="77777777" w:rsidR="002D5AAC" w:rsidRDefault="00DD66DD" w:rsidP="00DD66DD">
            <w:pPr>
              <w:jc w:val="right"/>
            </w:pPr>
            <w:r w:rsidRPr="00DD66DD">
              <w:rPr>
                <w:sz w:val="40"/>
              </w:rPr>
              <w:t>A</w:t>
            </w:r>
            <w:r>
              <w:t>/HRC/RES/45/10</w:t>
            </w:r>
          </w:p>
        </w:tc>
      </w:tr>
      <w:tr w:rsidR="002D5AAC" w:rsidRPr="00DD66DD" w14:paraId="6113A840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07AB6E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943B74" wp14:editId="32B9B2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487ED7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D36DCD1" w14:textId="77777777" w:rsidR="002D5AAC" w:rsidRDefault="00DD66DD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CC2082E" w14:textId="77777777" w:rsidR="00DD66DD" w:rsidRDefault="00DD66DD" w:rsidP="00DD6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October 2020</w:t>
            </w:r>
          </w:p>
          <w:p w14:paraId="1AC0A6C7" w14:textId="77777777" w:rsidR="00DD66DD" w:rsidRDefault="00DD66DD" w:rsidP="00DD6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CAE081" w14:textId="77777777" w:rsidR="00DD66DD" w:rsidRPr="00E71476" w:rsidRDefault="00DD66DD" w:rsidP="00DD6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A2A94F6" w14:textId="77777777" w:rsidR="00DD66DD" w:rsidRPr="00DD66DD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5EA188EB" w14:textId="77777777" w:rsidR="00DD66DD" w:rsidRPr="00762B54" w:rsidRDefault="00DD66DD" w:rsidP="00DD66DD">
      <w:pPr>
        <w:rPr>
          <w:b/>
        </w:rPr>
      </w:pPr>
      <w:r>
        <w:rPr>
          <w:b/>
          <w:bCs/>
        </w:rPr>
        <w:t>Сорок пятая сессия</w:t>
      </w:r>
    </w:p>
    <w:p w14:paraId="760E7A42" w14:textId="77777777" w:rsidR="00DD66DD" w:rsidRPr="00762B54" w:rsidRDefault="00DD66DD" w:rsidP="00DD66DD">
      <w:r>
        <w:t>14 сентября</w:t>
      </w:r>
      <w:r w:rsidR="005748CE" w:rsidRPr="005748CE">
        <w:t xml:space="preserve"> </w:t>
      </w:r>
      <w:r>
        <w:t>— 7 октября 2020 года</w:t>
      </w:r>
    </w:p>
    <w:p w14:paraId="24751C7B" w14:textId="77777777" w:rsidR="00DD66DD" w:rsidRPr="00762B54" w:rsidRDefault="00DD66DD" w:rsidP="00DD66DD">
      <w:r>
        <w:t>Пункт 3 повестки дня</w:t>
      </w:r>
    </w:p>
    <w:p w14:paraId="3BD260BE" w14:textId="77777777" w:rsidR="00DD66DD" w:rsidRPr="00762B54" w:rsidRDefault="00DD66DD" w:rsidP="00DD66DD">
      <w:pPr>
        <w:rPr>
          <w:b/>
        </w:rPr>
      </w:pPr>
      <w:r>
        <w:rPr>
          <w:b/>
          <w:bCs/>
        </w:rPr>
        <w:t>Поощрение и защита всех прав человека,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10D62C7F" w14:textId="77777777" w:rsidR="00DD66DD" w:rsidRPr="00762B54" w:rsidRDefault="00DD66DD" w:rsidP="00DD66DD">
      <w:pPr>
        <w:pStyle w:val="HChG"/>
      </w:pPr>
      <w:r>
        <w:tab/>
      </w:r>
      <w:r>
        <w:tab/>
        <w:t>Резолюция, принятая Советом по правам человека 6</w:t>
      </w:r>
      <w:r>
        <w:rPr>
          <w:lang w:val="en-US"/>
        </w:rPr>
        <w:t> </w:t>
      </w:r>
      <w:r>
        <w:t>октября 2020 года</w:t>
      </w:r>
    </w:p>
    <w:p w14:paraId="0375C4F4" w14:textId="77777777" w:rsidR="00DD66DD" w:rsidRPr="0009303A" w:rsidRDefault="00DD66DD" w:rsidP="00DD66DD">
      <w:pPr>
        <w:pStyle w:val="H1G"/>
      </w:pPr>
      <w:r>
        <w:tab/>
      </w:r>
      <w:r w:rsidRPr="0009303A">
        <w:t>45/</w:t>
      </w:r>
      <w:r>
        <w:t>10</w:t>
      </w:r>
      <w:r>
        <w:rPr>
          <w:lang w:val="en-US"/>
        </w:rPr>
        <w:t>.</w:t>
      </w:r>
      <w:r>
        <w:rPr>
          <w:lang w:val="en-US"/>
        </w:rPr>
        <w:tab/>
      </w:r>
      <w:r w:rsidRPr="0009303A">
        <w:t>Специальный докладчик по вопросу о содействии установлению истины, правосудию, возмещению ущерба и</w:t>
      </w:r>
      <w:r w:rsidR="005748CE" w:rsidRPr="005748CE">
        <w:t xml:space="preserve"> </w:t>
      </w:r>
      <w:r w:rsidRPr="0009303A">
        <w:t>гарантиям неповторения</w:t>
      </w:r>
    </w:p>
    <w:p w14:paraId="58117CB0" w14:textId="77777777" w:rsidR="00DD66DD" w:rsidRPr="00762B54" w:rsidRDefault="00DD66DD" w:rsidP="00DD66DD">
      <w:pPr>
        <w:keepNext/>
        <w:keepLines/>
        <w:spacing w:after="120"/>
        <w:ind w:left="1843" w:right="1134" w:hanging="142"/>
      </w:pPr>
      <w:r>
        <w:rPr>
          <w:i/>
          <w:iCs/>
        </w:rPr>
        <w:t>Совет по правам человека</w:t>
      </w:r>
      <w:r>
        <w:t>,</w:t>
      </w:r>
    </w:p>
    <w:p w14:paraId="31E940AF" w14:textId="77777777" w:rsidR="00DD66DD" w:rsidRPr="00762B54" w:rsidRDefault="00DD66DD" w:rsidP="00DD66DD">
      <w:pPr>
        <w:pStyle w:val="SingleTxtG"/>
        <w:ind w:firstLine="567"/>
        <w:rPr>
          <w:rFonts w:eastAsia="Calibri"/>
          <w:color w:val="000000"/>
        </w:rPr>
      </w:pPr>
      <w:r>
        <w:rPr>
          <w:i/>
          <w:iCs/>
        </w:rPr>
        <w:t xml:space="preserve">руководствуясь </w:t>
      </w:r>
      <w:r>
        <w:t>целями и принципами Устава Организации Объединенных Наций,</w:t>
      </w:r>
    </w:p>
    <w:p w14:paraId="5C633DC2" w14:textId="77777777" w:rsidR="00DD66DD" w:rsidRPr="00762B54" w:rsidRDefault="00DD66DD" w:rsidP="00DD66DD">
      <w:pPr>
        <w:pStyle w:val="SingleTxtG"/>
        <w:ind w:firstLine="567"/>
        <w:rPr>
          <w:rFonts w:eastAsia="Calibri"/>
          <w:color w:val="000000"/>
        </w:rPr>
      </w:pPr>
      <w:r>
        <w:rPr>
          <w:i/>
          <w:iCs/>
        </w:rPr>
        <w:t>вновь подтверждая</w:t>
      </w:r>
      <w:r>
        <w:t xml:space="preserve"> Всеобщую декларацию прав человека, Международный пакт об экономических, социальных и культурных правах, Международный пакт о гражданских и политических правах, Венскую декларацию и Программу действий, Женевские конвенции от 12 августа 1949 года и Дополнительные протоколы к </w:t>
      </w:r>
      <w:r>
        <w:br/>
        <w:t>ним от 8</w:t>
      </w:r>
      <w:r w:rsidRPr="005D01B8">
        <w:t xml:space="preserve"> </w:t>
      </w:r>
      <w:r>
        <w:t>июня 1977</w:t>
      </w:r>
      <w:r w:rsidRPr="005D01B8">
        <w:t xml:space="preserve"> </w:t>
      </w:r>
      <w:r>
        <w:t>года, а также другие соответствующие договоры в области международного права прав человека и международного гуманитарного права,</w:t>
      </w:r>
    </w:p>
    <w:p w14:paraId="6645208E" w14:textId="77777777" w:rsidR="00DD66DD" w:rsidRPr="00762B54" w:rsidRDefault="00DD66DD" w:rsidP="00DD66DD">
      <w:pPr>
        <w:pStyle w:val="SingleTxtG"/>
        <w:ind w:firstLine="567"/>
        <w:rPr>
          <w:rFonts w:eastAsia="Calibri"/>
          <w:color w:val="000000"/>
        </w:rPr>
      </w:pPr>
      <w:r>
        <w:rPr>
          <w:i/>
          <w:iCs/>
        </w:rPr>
        <w:t>вновь подтверждая также</w:t>
      </w:r>
      <w:r>
        <w:t xml:space="preserve"> важное значение Конвенции о предупреждении преступления геноцида и наказании за него и ссылаясь в этой связи на Конвенцию о неприменимости срока давности к военным преступлениям и преступлениям против человечности в качестве эффективных международных инструментов предупреждения геноцида, военных преступлений и преступлений против человечности, а также наказания за них,</w:t>
      </w:r>
    </w:p>
    <w:p w14:paraId="04FEC2B4" w14:textId="77777777" w:rsidR="00DD66DD" w:rsidRPr="00762B54" w:rsidRDefault="00DD66DD" w:rsidP="00DD66DD">
      <w:pPr>
        <w:pStyle w:val="SingleTxtG"/>
        <w:ind w:firstLine="567"/>
        <w:rPr>
          <w:rFonts w:eastAsia="Calibri"/>
          <w:color w:val="000000"/>
        </w:rPr>
      </w:pPr>
      <w:r>
        <w:rPr>
          <w:i/>
          <w:iCs/>
        </w:rPr>
        <w:t xml:space="preserve">ссылаясь </w:t>
      </w:r>
      <w:r>
        <w:t>на Международную конвенцию для защиты всех лиц от насильственных исчезновений, принятую Генеральной Ассамблеей в ее резолюции</w:t>
      </w:r>
      <w:r>
        <w:rPr>
          <w:lang w:val="en-US"/>
        </w:rPr>
        <w:t> </w:t>
      </w:r>
      <w:r>
        <w:t>61/177 от 20 декабря 2006 года, в статье 24, пункт 2, которой закреплено право жертв знать правду об обстоятельствах насильственного исчезновения, о ходе и результатах расследования и о судьбе исчезнувшего лица и излагаются обязательства государств-участников принимать надлежащие меры в этой связи, а в преамбуле подтверждается право собирать, получать и распространять информацию для этой цели,</w:t>
      </w:r>
    </w:p>
    <w:p w14:paraId="3C802212" w14:textId="77777777" w:rsidR="00DD66DD" w:rsidRPr="00762B54" w:rsidRDefault="00DD66DD" w:rsidP="005748CE">
      <w:pPr>
        <w:pStyle w:val="SingleTxtG"/>
        <w:ind w:firstLine="567"/>
        <w:rPr>
          <w:rFonts w:eastAsia="Calibri"/>
        </w:rPr>
      </w:pPr>
      <w:r>
        <w:rPr>
          <w:i/>
          <w:iCs/>
        </w:rPr>
        <w:lastRenderedPageBreak/>
        <w:t>ссылаясь также</w:t>
      </w:r>
      <w:r>
        <w:t xml:space="preserve"> на свод принципов защиты и поощрения прав человека посредством борьбы с безнаказанностью</w:t>
      </w:r>
      <w:r w:rsidRPr="00FB13CC">
        <w:rPr>
          <w:rFonts w:eastAsia="Calibri"/>
          <w:sz w:val="18"/>
          <w:szCs w:val="18"/>
          <w:vertAlign w:val="superscript"/>
        </w:rPr>
        <w:footnoteReference w:id="1"/>
      </w:r>
      <w:r>
        <w:t xml:space="preserve"> и обновленный вариант этих принципов</w:t>
      </w:r>
      <w:r w:rsidRPr="00FB13CC">
        <w:rPr>
          <w:rFonts w:eastAsia="Calibri"/>
          <w:sz w:val="18"/>
          <w:szCs w:val="18"/>
          <w:vertAlign w:val="superscript"/>
        </w:rPr>
        <w:footnoteReference w:id="2"/>
      </w:r>
      <w:r>
        <w:t>,</w:t>
      </w:r>
    </w:p>
    <w:p w14:paraId="1AA7EC9A" w14:textId="77777777" w:rsidR="00DD66DD" w:rsidRPr="00762B54" w:rsidRDefault="00DD66DD" w:rsidP="00DD66DD">
      <w:pPr>
        <w:pStyle w:val="SingleTxtG"/>
        <w:ind w:firstLine="567"/>
        <w:rPr>
          <w:rFonts w:eastAsia="Calibri"/>
          <w:color w:val="000000"/>
        </w:rPr>
      </w:pPr>
      <w:r>
        <w:rPr>
          <w:i/>
          <w:iCs/>
        </w:rPr>
        <w:t>ссылаясь далее</w:t>
      </w:r>
      <w:r>
        <w:t xml:space="preserve"> на резолюцию 60/147 Генеральной Ассамблеи от 16 декабря 2005 года, в которой Ассамблея приняла Основные принципы и руководящие положения, касающиеся права на правовую защиту и возмещение ущерба для жертв грубых нарушений норм международного права в области прав человека и серье</w:t>
      </w:r>
      <w:bookmarkStart w:id="0" w:name="_GoBack"/>
      <w:bookmarkEnd w:id="0"/>
      <w:r>
        <w:t>зных нарушений норм международного гуманитарного права,</w:t>
      </w:r>
    </w:p>
    <w:p w14:paraId="372C7E2D" w14:textId="77777777" w:rsidR="00DD66DD" w:rsidRPr="00762B54" w:rsidRDefault="00DD66DD" w:rsidP="00DD66DD">
      <w:pPr>
        <w:pStyle w:val="SingleTxtG"/>
        <w:ind w:firstLine="567"/>
        <w:rPr>
          <w:rFonts w:eastAsia="Calibri"/>
          <w:color w:val="000000"/>
        </w:rPr>
      </w:pPr>
      <w:r>
        <w:rPr>
          <w:i/>
          <w:iCs/>
        </w:rPr>
        <w:t xml:space="preserve">ссылаясь </w:t>
      </w:r>
      <w:r>
        <w:t>на резолюции Комиссии по правам человека 2005/70 от 20 апреля 2005</w:t>
      </w:r>
      <w:r>
        <w:rPr>
          <w:lang w:val="en-US"/>
        </w:rPr>
        <w:t> </w:t>
      </w:r>
      <w:r>
        <w:t>года о правах человека и правосудии переходного периода, 2005/81 от 21 апреля 2005 года о безнаказанности и 2005/66 от 20 апреля 2005 года о праве на установление истины, резолюции Совета по правам человека 9/10 от 24 сентября 2008 года, 12/11 от 1 октября 2009 года, 21/15 от 27 сентября 2012 года, 33/19 от 30 сентября 2016 года и</w:t>
      </w:r>
      <w:r>
        <w:rPr>
          <w:lang w:val="en-US"/>
        </w:rPr>
        <w:t> </w:t>
      </w:r>
      <w:r>
        <w:t>42/17 от 26 сентября 2019 года о правах человека и правосудии переходного периода, 9/11 от 18 сентября 2008 года, 12/12 от 1 октября 2009 года и 21/7 от 27 сентября 2012</w:t>
      </w:r>
      <w:r>
        <w:rPr>
          <w:lang w:val="en-US"/>
        </w:rPr>
        <w:t> </w:t>
      </w:r>
      <w:r>
        <w:t>года о праве на установление истины и 10/26 от 27 марта 2009 года и 15/5 от 29</w:t>
      </w:r>
      <w:r>
        <w:rPr>
          <w:lang w:val="en-US"/>
        </w:rPr>
        <w:t> </w:t>
      </w:r>
      <w:r>
        <w:t>сентября 2010 года о судебно-медицинской генетике и правах человека, решения Совета 2/105 от 27 ноября 2006 года о праве на установление истины и 4/102 от 23</w:t>
      </w:r>
      <w:r>
        <w:rPr>
          <w:lang w:val="en-US"/>
        </w:rPr>
        <w:t> </w:t>
      </w:r>
      <w:r>
        <w:t>марта 2007 года о правосудии переходного периода и резолюцию 68/165 Генеральной Ассамблеи от 18 декабря 2013 года о праве на установление истины,</w:t>
      </w:r>
    </w:p>
    <w:p w14:paraId="40F160F6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rPr>
          <w:i/>
          <w:iCs/>
        </w:rPr>
        <w:t xml:space="preserve">вновь подтверждая </w:t>
      </w:r>
      <w:r>
        <w:t>резолюцию 18/7 Совета по правам человека от 29 сентября 2011 года, в которой Совет постановил учредить мандат Специального докладчика по вопросу о содействии установлению истины, правосудию, возмещению ущерба и гарантиям неповторения,</w:t>
      </w:r>
    </w:p>
    <w:p w14:paraId="07218454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 w:rsidRPr="00CA7F1C">
        <w:rPr>
          <w:i/>
          <w:iCs/>
        </w:rPr>
        <w:t>ссылаясь</w:t>
      </w:r>
      <w:r>
        <w:t xml:space="preserve"> на доклад Генерального секретаря о господстве права и правосудии переходного периода в конфликтных и постконфликтных обществах</w:t>
      </w:r>
      <w:r w:rsidRPr="00FB13CC">
        <w:rPr>
          <w:rFonts w:eastAsia="Calibri"/>
          <w:sz w:val="18"/>
          <w:szCs w:val="18"/>
          <w:vertAlign w:val="superscript"/>
        </w:rPr>
        <w:footnoteReference w:id="3"/>
      </w:r>
      <w:r>
        <w:t xml:space="preserve"> и его последующий доклад 2011 года по этой теме</w:t>
      </w:r>
      <w:r w:rsidRPr="00616074">
        <w:rPr>
          <w:rFonts w:eastAsia="Calibri"/>
          <w:vertAlign w:val="superscript"/>
        </w:rPr>
        <w:footnoteReference w:id="4"/>
      </w:r>
      <w:r>
        <w:t>, включая содержащиеся в нем соответствующие рекомендации, а также его доклады, опубликованные в 2006, 2012, 2013 и 2014 годах</w:t>
      </w:r>
      <w:r w:rsidRPr="00FB13CC">
        <w:rPr>
          <w:rFonts w:eastAsia="Calibri"/>
          <w:sz w:val="18"/>
          <w:szCs w:val="18"/>
          <w:vertAlign w:val="superscript"/>
        </w:rPr>
        <w:footnoteReference w:id="5"/>
      </w:r>
      <w:r>
        <w:t>, в которых излагается программа действий по повышению эффективности поддержки со стороны системы Организации Объединенных Наций в деле поощрения верховенства права в конфликтных и постконфликтных ситуациях,</w:t>
      </w:r>
    </w:p>
    <w:p w14:paraId="2BDE3E84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rPr>
          <w:i/>
          <w:iCs/>
        </w:rPr>
        <w:t>признавая</w:t>
      </w:r>
      <w:r>
        <w:t>, что борьба с безнаказанностью и осуществление процессов правосудия переходного периода, включая содействие установлению истины, правосудию, возмещению ущерба и гарантиям неповторения, способны предотвратить повторение грубых нарушений прав человека и серьезных нарушений международного гуманитарного права,</w:t>
      </w:r>
    </w:p>
    <w:p w14:paraId="08112A0B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rPr>
          <w:i/>
          <w:iCs/>
        </w:rPr>
        <w:t xml:space="preserve">ссылаясь </w:t>
      </w:r>
      <w:r>
        <w:t xml:space="preserve">на резолюцию 70/262 Генеральной Ассамблеи от 27 апреля 2016 года по обзору архитектуры Организации Объединенных Наций в области </w:t>
      </w:r>
      <w:proofErr w:type="spellStart"/>
      <w:r>
        <w:t>миростроительства</w:t>
      </w:r>
      <w:proofErr w:type="spellEnd"/>
      <w:r>
        <w:t xml:space="preserve"> и резолюцию 2282 (2016) Совета Безопасности от 27 апреля 2016 года, в которых Ассамблея и Совет, в частности, подчеркнули, что всеобъемлющий подход к правосудию переходного периода, включая содействие заживлению ран и примирению, формирование профессионального, подотчетного и эффективно действующего сектора безопасности, в том числе путем его реформирования, и осуществление всеобъемлющих и эффективных программ демобилизации, разоружения и реинтеграции, включая переход от демобилизации и разоружения к реинтеграции, имеют решающее значение для укрепления мира и стабильности, содействия сокращению масштабов нищеты, обеспечения верховенства права, доступа к правосудию и благого управления, дальнейшего распространения законной государственной власти и предупреждения возникновения или возобновления конфликтов в странах,</w:t>
      </w:r>
    </w:p>
    <w:p w14:paraId="1586A48B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rPr>
          <w:i/>
          <w:iCs/>
        </w:rPr>
        <w:lastRenderedPageBreak/>
        <w:t>отмечая с признательностью</w:t>
      </w:r>
      <w:r>
        <w:t xml:space="preserve"> активное участие Организации Объединенных Наций, включая Управление Верховного комиссара Организации Объединенных Наций по правам человека, в оказании государствам помощи в борьбе с грубыми нарушениями прав человека и серьезными нарушениями международного гуманитарного права, в сотрудничестве с государствами и по их просьбе,</w:t>
      </w:r>
    </w:p>
    <w:p w14:paraId="696312FA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rPr>
          <w:i/>
          <w:iCs/>
        </w:rPr>
        <w:t xml:space="preserve">ссылаясь </w:t>
      </w:r>
      <w:r>
        <w:t>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</w:t>
      </w:r>
    </w:p>
    <w:p w14:paraId="18DC00A7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rPr>
          <w:i/>
          <w:iCs/>
        </w:rPr>
        <w:t>учитывая</w:t>
      </w:r>
      <w:r>
        <w:t>, что Специальный докладчик по вопросу о содействии установлению истины, правосудию, возмещению ущерба и гарантиям неповторения будет продолжать заниматься ситуациями, в которых имели место грубые нарушения прав человека и серьезные нарушения международного гуманитарного права,</w:t>
      </w:r>
    </w:p>
    <w:p w14:paraId="4B11B57F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rPr>
          <w:i/>
          <w:iCs/>
        </w:rPr>
        <w:t xml:space="preserve">обращая особое внимание </w:t>
      </w:r>
      <w:r>
        <w:t>на тот факт, что при разработке и осуществлении стратегий, политики и мер по борьбе с грубыми нарушениями прав человека и серьезными нарушениями международного гуманитарного права должны учитываться конкретные обстоятельства каждой ситуации во избежание повторения кризисов и нарушений прав человека в будущем, для обеспечения социальной сплоченности, национально-государственного строительства, формирования чувства сопричастности и всеобщего участия на национальном и местном уровнях и для содействия примирению,</w:t>
      </w:r>
    </w:p>
    <w:p w14:paraId="016CB723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rPr>
          <w:i/>
          <w:iCs/>
        </w:rPr>
        <w:t xml:space="preserve">особо отмечая </w:t>
      </w:r>
      <w:r>
        <w:t>важность всеобъемлющего подхода к правосудию переходного периода, включающего в себя весь спектр судебных и внесудебных мер, в том числе, среди прочего, судебное преследование конкретных лиц, возмещение ущерба, установление истины, институциональную реформу, проверку благонадежности государственных служащих и должностных лиц, инициативы по увековечению памяти и процессы, направленные на достижение общей трактовки событий, или надлежащим образом продуманное сочетание вышеупомянутых мер, в целях, в частности, обеспечения подотчетности, отправления правосудия, предоставления жертвам средств правовой защиты, содействия залечиванию ран и примирению, установления независимого надзора за системой безопасности, восстановления доверия к институтам государства и поощрения верховенства права в соответствии с нормами международного права прав человека,</w:t>
      </w:r>
    </w:p>
    <w:p w14:paraId="42BA5FB4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1.</w:t>
      </w:r>
      <w:r>
        <w:tab/>
      </w:r>
      <w:r>
        <w:rPr>
          <w:i/>
          <w:iCs/>
        </w:rPr>
        <w:t>с удовлетворением принимает к сведению</w:t>
      </w:r>
      <w:r>
        <w:t xml:space="preserve"> доклады Специального докладчика по вопросу о содействии установлению истины, правосудию, возмещению ущерба и гарантиям неповторения, представленные Совету по правам человека на его тридцать девятой, сорок второй и сорок пятой сессиях</w:t>
      </w:r>
      <w:r w:rsidRPr="008B4EF7">
        <w:rPr>
          <w:rStyle w:val="aa"/>
          <w:rFonts w:eastAsia="Calibri"/>
        </w:rPr>
        <w:footnoteReference w:id="6"/>
      </w:r>
      <w:r>
        <w:t>, а также доклады, представленные Генеральной Ассамблее на ее семьдесят второй, семьдесят третьей и семьдесят четвертой сессиях</w:t>
      </w:r>
      <w:r w:rsidRPr="00FB13CC">
        <w:rPr>
          <w:rFonts w:eastAsia="Calibri"/>
          <w:bCs/>
          <w:sz w:val="18"/>
          <w:szCs w:val="18"/>
          <w:vertAlign w:val="superscript"/>
        </w:rPr>
        <w:footnoteReference w:id="7"/>
      </w:r>
      <w:r>
        <w:t>, и призывает государства должным образом учитывать содержащиеся в них рекомендации при разработке и осуществлении стратегий, политики и мер по борьбе с грубыми нарушениями прав человека и серьезными нарушениями международного гуманитарного права в их национальном контексте;</w:t>
      </w:r>
    </w:p>
    <w:p w14:paraId="02F659C2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2.</w:t>
      </w:r>
      <w:r>
        <w:tab/>
      </w:r>
      <w:r>
        <w:rPr>
          <w:i/>
          <w:iCs/>
        </w:rPr>
        <w:t>также с удовлетворением принимает к сведению</w:t>
      </w:r>
      <w:r>
        <w:t xml:space="preserve"> совместное исследование по вкладу правосудия переходного периода в предупреждение грубых нарушений и ущемлений прав человека и серьезных нарушений международного гуманитарного права, в том числе геноцида, военных преступлений, этнических чисток и преступлений против человечности, а также их повторения, подготовленное Специальным докладчиком и Специальным советником Генерального секретаря по предупреждению геноцида</w:t>
      </w:r>
      <w:r w:rsidRPr="00FB13CC">
        <w:rPr>
          <w:rFonts w:eastAsia="Calibri"/>
          <w:sz w:val="18"/>
          <w:szCs w:val="18"/>
          <w:vertAlign w:val="superscript"/>
        </w:rPr>
        <w:footnoteReference w:id="8"/>
      </w:r>
      <w:r>
        <w:t xml:space="preserve"> и представленное Совету по правам человека на его тридцать седьмой сессии, а также содержащиеся в нем выводы и рекомендации;</w:t>
      </w:r>
    </w:p>
    <w:p w14:paraId="3FDE0C7E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lastRenderedPageBreak/>
        <w:t>3.</w:t>
      </w:r>
      <w:r>
        <w:tab/>
      </w:r>
      <w:r>
        <w:rPr>
          <w:i/>
          <w:iCs/>
        </w:rPr>
        <w:t xml:space="preserve">приветствует </w:t>
      </w:r>
      <w:r>
        <w:t>работу, проделанную Специальным докладчиком в ходе осуществления им своего мандата, обстоятельные, транспарентные и всеобъемлющие консультации, проведенные с соответствующими заинтересованными субъектами из всех регионов при подготовке его тематических докладов, и посещения стран;</w:t>
      </w:r>
    </w:p>
    <w:p w14:paraId="44920D46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4.</w:t>
      </w:r>
      <w:r>
        <w:tab/>
      </w:r>
      <w:r>
        <w:rPr>
          <w:i/>
          <w:iCs/>
        </w:rPr>
        <w:t xml:space="preserve">также приветствует </w:t>
      </w:r>
      <w:r>
        <w:t>сотрудничество со стороны государств, которые приняли Специального докладчика в своей стране, государств, которые удовлетворили просьбы Специального докладчика о посещениях, и государств, которые направили Специальному докладчику приглашения посетить их страну, а также государств, которые ответили на его просьбы о предоставлении информации;</w:t>
      </w:r>
    </w:p>
    <w:p w14:paraId="32141C8F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5.</w:t>
      </w:r>
      <w:r>
        <w:tab/>
      </w:r>
      <w:r>
        <w:rPr>
          <w:i/>
          <w:iCs/>
        </w:rPr>
        <w:t xml:space="preserve">постановляет </w:t>
      </w:r>
      <w:r>
        <w:t>продлить на три года мандат Специального докладчика по вопросу о содействии установлению истины, правосудию, возмещению ущерба и гарантиям неповторения, в задачи которого будет входить следующее:</w:t>
      </w:r>
    </w:p>
    <w:p w14:paraId="48986387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a)</w:t>
      </w:r>
      <w:r>
        <w:tab/>
        <w:t>содействовать и, когда это применимо, способствовать предоставлению по запросу технической помощи или консультационных услуг по вопросам, относящимся к мандату;</w:t>
      </w:r>
    </w:p>
    <w:p w14:paraId="192F1A1F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b)</w:t>
      </w:r>
      <w:r>
        <w:tab/>
        <w:t>собирать соответствующую информацию о национальных условиях, в том числе о нормативной базе, национальной практике и опыте, например о комиссиях по установлению истины и примирению и о других механизмах, связанных с содействием установлению истины, правосудию, возмещению ущерба и гарантиям неповторения в рамках борьбы с грубыми нарушениями прав человека и серьезными нарушениями международного гуманитарного права, а также проводить анализ тенденций, событий и проблем и выносить рекомендации по этому вопросу;</w:t>
      </w:r>
    </w:p>
    <w:p w14:paraId="3F09D634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c)</w:t>
      </w:r>
      <w:r>
        <w:tab/>
        <w:t>выявлять и пропагандировать передовую практику и извлеченные уроки и обмениваться информацией о них, а также выявлять потенциальные дополнительные элементы с целью вынесения рекомендаций относительно путей и средств совершенствования и укрепления деятельности по содействию установлению истины, правосудию, возмещению ущерба и гарантиям неповторения;</w:t>
      </w:r>
    </w:p>
    <w:p w14:paraId="776B528B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d)</w:t>
      </w:r>
      <w:r>
        <w:tab/>
        <w:t>развивать регулярный диалог и сотрудничать, в частности, с</w:t>
      </w:r>
      <w:r w:rsidR="00B01D79">
        <w:rPr>
          <w:lang w:val="en-US"/>
        </w:rPr>
        <w:t> </w:t>
      </w:r>
      <w:r>
        <w:t>правительствами, международными и региональными организациями, национальными правозащитными учреждениями и неправительственными организациями, а также соответствующими органами и механизмами Организации Объединенных Наций;</w:t>
      </w:r>
    </w:p>
    <w:p w14:paraId="6B4A8D8A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e)</w:t>
      </w:r>
      <w:r>
        <w:tab/>
        <w:t>выносить рекомендации, касающиеся, в частности, судебных и внесудебных мер при разработке и осуществлении стратегий, политики и мер по борьбе с грубыми нарушениями прав человека и серьезными нарушениями международного гуманитарного права;</w:t>
      </w:r>
    </w:p>
    <w:p w14:paraId="2624C877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f)</w:t>
      </w:r>
      <w:r>
        <w:tab/>
        <w:t>продолжать изучать вклад правосудия переходного периода в предупреждение грубых нарушений прав человека и серьезных нарушений международного гуманитарного права, включая геноцид, военные преступления, этнические чистки и преступления против человечности, а также их повторения;</w:t>
      </w:r>
    </w:p>
    <w:p w14:paraId="6C2B5545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g)</w:t>
      </w:r>
      <w:r>
        <w:tab/>
        <w:t>совершать поездки в страны и оперативно реагировать на приглашения государств;</w:t>
      </w:r>
    </w:p>
    <w:p w14:paraId="55732250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h)</w:t>
      </w:r>
      <w:r>
        <w:tab/>
        <w:t>участвовать в соответствующих международных конференциях и мероприятиях и вносить вклад в их проведение с целью поощрения систематического и последовательного подхода к вопросам, относящимся к мандату;</w:t>
      </w:r>
    </w:p>
    <w:p w14:paraId="3CF846C8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i)</w:t>
      </w:r>
      <w:r>
        <w:tab/>
        <w:t>повышать осведомленность о важности систематического и последовательного подхода при рассмотрении грубых нарушений прав человека и серьезных нарушений международного гуманитарного права и выносить рекомендации в этой связи;</w:t>
      </w:r>
    </w:p>
    <w:p w14:paraId="1BC039D4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j)</w:t>
      </w:r>
      <w:r>
        <w:tab/>
        <w:t>интегрировать гендерные аспекты во всю работу по выполнению мандата;</w:t>
      </w:r>
    </w:p>
    <w:p w14:paraId="38774552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k)</w:t>
      </w:r>
      <w:r>
        <w:tab/>
        <w:t>интегрировать подход, ориентированный на интересы потерпевших, во всю работу по выполнению мандата;</w:t>
      </w:r>
    </w:p>
    <w:p w14:paraId="52AB2352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lastRenderedPageBreak/>
        <w:t>l)</w:t>
      </w:r>
      <w:r>
        <w:tab/>
        <w:t xml:space="preserve">работать в тесной координации, избегая ненужного дублирования, с Управлением Верховного комиссара Организации Объединенных Наций </w:t>
      </w:r>
      <w:r>
        <w:br/>
        <w:t>по правам человека, другими соответствующими структурами Секретариата Организации Объединенных Наций, соответствующими учреждениями, фондами и программами Организации Объединенных Наций, межправительственными и неправительственными организациями, другими специальными процедурами Совета по правам человека и другими соответствующими субъектами;</w:t>
      </w:r>
    </w:p>
    <w:p w14:paraId="0A76D40A" w14:textId="77777777" w:rsidR="00DD66DD" w:rsidRPr="00FB13CC" w:rsidRDefault="00DD66DD" w:rsidP="00DD66DD">
      <w:pPr>
        <w:pStyle w:val="SingleTxtG"/>
        <w:ind w:firstLine="567"/>
        <w:rPr>
          <w:rFonts w:eastAsia="Calibri"/>
        </w:rPr>
      </w:pPr>
      <w:r>
        <w:t>6.</w:t>
      </w:r>
      <w:r>
        <w:tab/>
      </w:r>
      <w:r>
        <w:rPr>
          <w:i/>
          <w:iCs/>
        </w:rPr>
        <w:t>настоятельно призывает</w:t>
      </w:r>
      <w:r>
        <w:t xml:space="preserve"> все государства сотрудничать со Специальным докладчиком и оказывать ему помощь, с тем чтобы он мог эффективно выполнять свой мандат, в том числе посредством положительного и быстрого реагирования на просьбы о посещениях, сознавая, что страновые поездки являются одним из важнейших инструментов для выполнения мандата Специального докладчика, и своевременно предоставлять ему всю необходимую информацию, которую он запрашивает;</w:t>
      </w:r>
    </w:p>
    <w:p w14:paraId="0BB12F8B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7.</w:t>
      </w:r>
      <w:r>
        <w:tab/>
      </w:r>
      <w:r>
        <w:rPr>
          <w:i/>
          <w:iCs/>
        </w:rPr>
        <w:t xml:space="preserve">просит </w:t>
      </w:r>
      <w:r>
        <w:t>Специального докладчика продолжать ежегодно представлять доклады Совету по правам человека и Генеральной Ассамблее;</w:t>
      </w:r>
    </w:p>
    <w:p w14:paraId="2779ABE8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8.</w:t>
      </w:r>
      <w:r>
        <w:tab/>
      </w:r>
      <w:r>
        <w:rPr>
          <w:i/>
          <w:iCs/>
        </w:rPr>
        <w:t xml:space="preserve">просит </w:t>
      </w:r>
      <w:r>
        <w:t>Генерального секретаря и Верховного комиссара Организации Объединенных Наций по правам человека оказывать Специальному докладчику любую кадровую, техническую и финансовую помощь, необходимую для эффективного выполнения мандата;</w:t>
      </w:r>
    </w:p>
    <w:p w14:paraId="01C4B6E8" w14:textId="77777777" w:rsidR="00DD66DD" w:rsidRPr="00762B54" w:rsidRDefault="00DD66DD" w:rsidP="00DD66DD">
      <w:pPr>
        <w:pStyle w:val="SingleTxtG"/>
        <w:ind w:firstLine="567"/>
        <w:rPr>
          <w:rFonts w:eastAsia="Calibri"/>
        </w:rPr>
      </w:pPr>
      <w:r>
        <w:t>9.</w:t>
      </w:r>
      <w:r>
        <w:tab/>
      </w:r>
      <w:r>
        <w:rPr>
          <w:i/>
          <w:iCs/>
        </w:rPr>
        <w:t xml:space="preserve">постановляет </w:t>
      </w:r>
      <w:r>
        <w:t>продолжить рассмотрение данного вопроса в рамках этого же пункта повестки дня в соответствии со своей программой работы.</w:t>
      </w:r>
    </w:p>
    <w:p w14:paraId="72A98AAA" w14:textId="77777777" w:rsidR="00DD66DD" w:rsidRPr="006D3A27" w:rsidRDefault="00DD66DD" w:rsidP="00DD66DD">
      <w:pPr>
        <w:pStyle w:val="SingleTxtG"/>
        <w:jc w:val="right"/>
        <w:rPr>
          <w:i/>
          <w:iCs/>
        </w:rPr>
      </w:pPr>
      <w:r w:rsidRPr="006D3A27">
        <w:rPr>
          <w:i/>
          <w:iCs/>
        </w:rPr>
        <w:t>36</w:t>
      </w:r>
      <w:r>
        <w:rPr>
          <w:i/>
          <w:iCs/>
        </w:rPr>
        <w:t>-е</w:t>
      </w:r>
      <w:r w:rsidRPr="006D3A27">
        <w:rPr>
          <w:i/>
          <w:iCs/>
        </w:rPr>
        <w:t xml:space="preserve"> </w:t>
      </w:r>
      <w:r>
        <w:rPr>
          <w:i/>
          <w:iCs/>
        </w:rPr>
        <w:t>заседание</w:t>
      </w:r>
      <w:r w:rsidRPr="006D3A27">
        <w:rPr>
          <w:i/>
          <w:iCs/>
        </w:rPr>
        <w:br/>
        <w:t xml:space="preserve">6 </w:t>
      </w:r>
      <w:r>
        <w:rPr>
          <w:i/>
          <w:iCs/>
        </w:rPr>
        <w:t>октября</w:t>
      </w:r>
      <w:r w:rsidRPr="006D3A27">
        <w:rPr>
          <w:i/>
          <w:iCs/>
        </w:rPr>
        <w:t xml:space="preserve"> 2020</w:t>
      </w:r>
      <w:r>
        <w:rPr>
          <w:i/>
          <w:iCs/>
        </w:rPr>
        <w:t xml:space="preserve"> года</w:t>
      </w:r>
    </w:p>
    <w:p w14:paraId="6D39984A" w14:textId="77777777" w:rsidR="00DD66DD" w:rsidRPr="008E43E8" w:rsidRDefault="00DD66DD" w:rsidP="00DD66DD">
      <w:pPr>
        <w:pStyle w:val="SingleTxtG"/>
      </w:pPr>
      <w:r w:rsidRPr="006D3A27">
        <w:t>[</w:t>
      </w:r>
      <w:r>
        <w:t>Принята без голосования</w:t>
      </w:r>
      <w:r w:rsidRPr="006D3A27">
        <w:t>.]</w:t>
      </w:r>
    </w:p>
    <w:sectPr w:rsidR="00DD66DD" w:rsidRPr="008E43E8" w:rsidSect="00DD6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99A6" w14:textId="77777777" w:rsidR="007A1E95" w:rsidRPr="00A312BC" w:rsidRDefault="007A1E95" w:rsidP="00A312BC"/>
  </w:endnote>
  <w:endnote w:type="continuationSeparator" w:id="0">
    <w:p w14:paraId="7669C66D" w14:textId="77777777" w:rsidR="007A1E95" w:rsidRPr="00A312BC" w:rsidRDefault="007A1E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BFEC" w14:textId="77777777" w:rsidR="00DD66DD" w:rsidRPr="00DD66DD" w:rsidRDefault="00DD66DD">
    <w:pPr>
      <w:pStyle w:val="a8"/>
    </w:pPr>
    <w:r w:rsidRPr="00DD66DD">
      <w:rPr>
        <w:b/>
        <w:sz w:val="18"/>
      </w:rPr>
      <w:fldChar w:fldCharType="begin"/>
    </w:r>
    <w:r w:rsidRPr="00DD66DD">
      <w:rPr>
        <w:b/>
        <w:sz w:val="18"/>
      </w:rPr>
      <w:instrText xml:space="preserve"> PAGE  \* MERGEFORMAT </w:instrText>
    </w:r>
    <w:r w:rsidRPr="00DD66DD">
      <w:rPr>
        <w:b/>
        <w:sz w:val="18"/>
      </w:rPr>
      <w:fldChar w:fldCharType="separate"/>
    </w:r>
    <w:r w:rsidRPr="00DD66DD">
      <w:rPr>
        <w:b/>
        <w:noProof/>
        <w:sz w:val="18"/>
      </w:rPr>
      <w:t>2</w:t>
    </w:r>
    <w:r w:rsidRPr="00DD66DD">
      <w:rPr>
        <w:b/>
        <w:sz w:val="18"/>
      </w:rPr>
      <w:fldChar w:fldCharType="end"/>
    </w:r>
    <w:r>
      <w:rPr>
        <w:b/>
        <w:sz w:val="18"/>
      </w:rPr>
      <w:tab/>
    </w:r>
    <w:r>
      <w:t>GE.20-13213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9412" w14:textId="77777777" w:rsidR="00DD66DD" w:rsidRPr="00DD66DD" w:rsidRDefault="00DD66DD" w:rsidP="00DD66DD">
    <w:pPr>
      <w:pStyle w:val="a8"/>
      <w:tabs>
        <w:tab w:val="clear" w:pos="9639"/>
        <w:tab w:val="right" w:pos="9638"/>
      </w:tabs>
      <w:rPr>
        <w:b/>
        <w:sz w:val="18"/>
      </w:rPr>
    </w:pPr>
    <w:r>
      <w:t>GE.20-13213</w:t>
    </w:r>
    <w:r>
      <w:tab/>
    </w:r>
    <w:r w:rsidRPr="00DD66DD">
      <w:rPr>
        <w:b/>
        <w:sz w:val="18"/>
      </w:rPr>
      <w:fldChar w:fldCharType="begin"/>
    </w:r>
    <w:r w:rsidRPr="00DD66DD">
      <w:rPr>
        <w:b/>
        <w:sz w:val="18"/>
      </w:rPr>
      <w:instrText xml:space="preserve"> PAGE  \* MERGEFORMAT </w:instrText>
    </w:r>
    <w:r w:rsidRPr="00DD66DD">
      <w:rPr>
        <w:b/>
        <w:sz w:val="18"/>
      </w:rPr>
      <w:fldChar w:fldCharType="separate"/>
    </w:r>
    <w:r w:rsidRPr="00DD66DD">
      <w:rPr>
        <w:b/>
        <w:noProof/>
        <w:sz w:val="18"/>
      </w:rPr>
      <w:t>3</w:t>
    </w:r>
    <w:r w:rsidRPr="00DD66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29E8" w14:textId="77777777" w:rsidR="00042B72" w:rsidRPr="00DD66DD" w:rsidRDefault="00DD66DD" w:rsidP="00DD66D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C4B1F8" wp14:editId="51EC59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13213  (</w:t>
    </w:r>
    <w:proofErr w:type="gramEnd"/>
    <w:r>
      <w:t>R)</w:t>
    </w:r>
    <w:r>
      <w:rPr>
        <w:lang w:val="en-US"/>
      </w:rPr>
      <w:t xml:space="preserve">  121020  131020</w:t>
    </w:r>
    <w:r>
      <w:br/>
    </w:r>
    <w:r w:rsidRPr="00DD66DD">
      <w:rPr>
        <w:rFonts w:ascii="C39T30Lfz" w:hAnsi="C39T30Lfz"/>
        <w:kern w:val="14"/>
        <w:sz w:val="56"/>
      </w:rPr>
      <w:t>*2013213*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528900" wp14:editId="775E72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35BE" w14:textId="77777777" w:rsidR="007A1E95" w:rsidRPr="001075E9" w:rsidRDefault="007A1E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282231" w14:textId="77777777" w:rsidR="007A1E95" w:rsidRDefault="007A1E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54FC98" w14:textId="77777777" w:rsidR="00DD66DD" w:rsidRPr="00762B54" w:rsidRDefault="00DD66DD" w:rsidP="00DD66DD">
      <w:pPr>
        <w:pStyle w:val="ad"/>
      </w:pPr>
      <w:r>
        <w:tab/>
      </w:r>
      <w:r w:rsidRPr="00583A06">
        <w:rPr>
          <w:rStyle w:val="aa"/>
        </w:rPr>
        <w:footnoteRef/>
      </w:r>
      <w:r>
        <w:tab/>
        <w:t>E/CN.4/Sub.2/1997/20/Rev.1, приложение II.</w:t>
      </w:r>
    </w:p>
  </w:footnote>
  <w:footnote w:id="2">
    <w:p w14:paraId="406B4BA1" w14:textId="77777777" w:rsidR="00DD66DD" w:rsidRPr="008E43E8" w:rsidRDefault="00DD66DD" w:rsidP="00DD66DD">
      <w:pPr>
        <w:pStyle w:val="ad"/>
        <w:rPr>
          <w:lang w:val="en-US"/>
        </w:rPr>
      </w:pPr>
      <w:r>
        <w:tab/>
      </w:r>
      <w:r w:rsidRPr="00583A06">
        <w:rPr>
          <w:rStyle w:val="aa"/>
        </w:rPr>
        <w:footnoteRef/>
      </w:r>
      <w:r w:rsidRPr="00762B54">
        <w:rPr>
          <w:lang w:val="en-US"/>
        </w:rPr>
        <w:tab/>
        <w:t>E/CN.4/2005/102/Add.1.</w:t>
      </w:r>
    </w:p>
  </w:footnote>
  <w:footnote w:id="3">
    <w:p w14:paraId="6F41356E" w14:textId="77777777" w:rsidR="00DD66DD" w:rsidRPr="008E43E8" w:rsidRDefault="00DD66DD" w:rsidP="00DD66DD">
      <w:pPr>
        <w:pStyle w:val="ad"/>
        <w:rPr>
          <w:lang w:val="en-US"/>
        </w:rPr>
      </w:pPr>
      <w:r w:rsidRPr="00762B54">
        <w:rPr>
          <w:lang w:val="en-US"/>
        </w:rPr>
        <w:tab/>
      </w:r>
      <w:r w:rsidRPr="00583A06">
        <w:rPr>
          <w:rStyle w:val="aa"/>
        </w:rPr>
        <w:footnoteRef/>
      </w:r>
      <w:r w:rsidRPr="00762B54">
        <w:rPr>
          <w:lang w:val="en-US"/>
        </w:rPr>
        <w:tab/>
      </w:r>
      <w:r w:rsidRPr="00762B54">
        <w:rPr>
          <w:lang w:val="en-US"/>
        </w:rPr>
        <w:tab/>
        <w:t>S/2004/616.</w:t>
      </w:r>
    </w:p>
  </w:footnote>
  <w:footnote w:id="4">
    <w:p w14:paraId="33ABA3EA" w14:textId="77777777" w:rsidR="00DD66DD" w:rsidRPr="008E43E8" w:rsidRDefault="00DD66DD" w:rsidP="00DD66DD">
      <w:pPr>
        <w:pStyle w:val="ad"/>
        <w:rPr>
          <w:lang w:val="en-US"/>
        </w:rPr>
      </w:pPr>
      <w:r w:rsidRPr="00762B54">
        <w:rPr>
          <w:lang w:val="en-US"/>
        </w:rPr>
        <w:tab/>
      </w:r>
      <w:r w:rsidRPr="00583A06">
        <w:rPr>
          <w:rStyle w:val="aa"/>
        </w:rPr>
        <w:footnoteRef/>
      </w:r>
      <w:r w:rsidRPr="00762B54">
        <w:rPr>
          <w:lang w:val="en-US"/>
        </w:rPr>
        <w:tab/>
        <w:t>S/2011/634.</w:t>
      </w:r>
    </w:p>
  </w:footnote>
  <w:footnote w:id="5">
    <w:p w14:paraId="5ABC11A9" w14:textId="77777777" w:rsidR="00DD66DD" w:rsidRPr="008E43E8" w:rsidRDefault="00DD66DD" w:rsidP="00DD66DD">
      <w:pPr>
        <w:pStyle w:val="ad"/>
        <w:rPr>
          <w:lang w:val="en-US"/>
        </w:rPr>
      </w:pPr>
      <w:r w:rsidRPr="00762B54">
        <w:rPr>
          <w:lang w:val="en-US"/>
        </w:rPr>
        <w:tab/>
      </w:r>
      <w:r w:rsidRPr="00583A06">
        <w:rPr>
          <w:rStyle w:val="aa"/>
        </w:rPr>
        <w:footnoteRef/>
      </w:r>
      <w:r w:rsidRPr="00762B54">
        <w:rPr>
          <w:lang w:val="en-US"/>
        </w:rPr>
        <w:tab/>
        <w:t xml:space="preserve">A/61/636-S/2006/980 </w:t>
      </w:r>
      <w:r>
        <w:t>и</w:t>
      </w:r>
      <w:r w:rsidRPr="00762B54">
        <w:rPr>
          <w:lang w:val="en-US"/>
        </w:rPr>
        <w:t xml:space="preserve"> Corr.1, A/66/749, S/2013/341, A/68/213/Add.1 </w:t>
      </w:r>
      <w:r>
        <w:t>и</w:t>
      </w:r>
      <w:r w:rsidRPr="00762B54">
        <w:rPr>
          <w:lang w:val="en-US"/>
        </w:rPr>
        <w:t xml:space="preserve"> A/69/181.</w:t>
      </w:r>
    </w:p>
  </w:footnote>
  <w:footnote w:id="6">
    <w:p w14:paraId="7BFE6F6F" w14:textId="77777777" w:rsidR="00DD66DD" w:rsidRPr="008E43E8" w:rsidRDefault="00DD66DD" w:rsidP="00DD66DD">
      <w:pPr>
        <w:pStyle w:val="ad"/>
        <w:rPr>
          <w:lang w:val="en-US"/>
        </w:rPr>
      </w:pPr>
      <w:r w:rsidRPr="00762B54">
        <w:rPr>
          <w:lang w:val="en-US"/>
        </w:rPr>
        <w:tab/>
      </w:r>
      <w:r>
        <w:rPr>
          <w:rStyle w:val="aa"/>
        </w:rPr>
        <w:footnoteRef/>
      </w:r>
      <w:r w:rsidRPr="00762B54">
        <w:rPr>
          <w:lang w:val="en-US"/>
        </w:rPr>
        <w:tab/>
        <w:t xml:space="preserve">A/HRC/39/53, A/HRC/42/45 </w:t>
      </w:r>
      <w:r>
        <w:t>и</w:t>
      </w:r>
      <w:r w:rsidRPr="00762B54">
        <w:rPr>
          <w:lang w:val="en-US"/>
        </w:rPr>
        <w:t xml:space="preserve"> A/HRC/45/45 </w:t>
      </w:r>
      <w:r>
        <w:t>и</w:t>
      </w:r>
      <w:r w:rsidRPr="00762B54">
        <w:rPr>
          <w:lang w:val="en-US"/>
        </w:rPr>
        <w:t xml:space="preserve"> Add.1</w:t>
      </w:r>
      <w:r w:rsidR="00B01D79">
        <w:rPr>
          <w:lang w:val="en-US"/>
        </w:rPr>
        <w:t>-</w:t>
      </w:r>
      <w:r w:rsidRPr="00762B54">
        <w:rPr>
          <w:lang w:val="en-US"/>
        </w:rPr>
        <w:t>3.</w:t>
      </w:r>
    </w:p>
  </w:footnote>
  <w:footnote w:id="7">
    <w:p w14:paraId="6B05FCDE" w14:textId="77777777" w:rsidR="00DD66DD" w:rsidRPr="008E43E8" w:rsidRDefault="00DD66DD" w:rsidP="00DD66DD">
      <w:pPr>
        <w:pStyle w:val="ad"/>
        <w:rPr>
          <w:lang w:val="en-US"/>
        </w:rPr>
      </w:pPr>
      <w:r w:rsidRPr="00762B54">
        <w:rPr>
          <w:lang w:val="en-US"/>
        </w:rPr>
        <w:tab/>
      </w:r>
      <w:r w:rsidRPr="005A2F56">
        <w:rPr>
          <w:rStyle w:val="aa"/>
        </w:rPr>
        <w:footnoteRef/>
      </w:r>
      <w:r w:rsidRPr="00762B54">
        <w:rPr>
          <w:lang w:val="en-US"/>
        </w:rPr>
        <w:tab/>
      </w:r>
      <w:r>
        <w:t>См</w:t>
      </w:r>
      <w:r w:rsidRPr="00762B54">
        <w:rPr>
          <w:lang w:val="en-US"/>
        </w:rPr>
        <w:t xml:space="preserve">. A/72/523, A/73/336 </w:t>
      </w:r>
      <w:r>
        <w:t>и</w:t>
      </w:r>
      <w:r w:rsidRPr="00762B54">
        <w:rPr>
          <w:lang w:val="en-US"/>
        </w:rPr>
        <w:t xml:space="preserve"> A/74/147.</w:t>
      </w:r>
    </w:p>
  </w:footnote>
  <w:footnote w:id="8">
    <w:p w14:paraId="5FC2C11D" w14:textId="77777777" w:rsidR="00DD66DD" w:rsidRPr="008E43E8" w:rsidRDefault="00DD66DD" w:rsidP="00DD66DD">
      <w:pPr>
        <w:pStyle w:val="ad"/>
        <w:rPr>
          <w:lang w:val="en-US"/>
        </w:rPr>
      </w:pPr>
      <w:r w:rsidRPr="00762B54">
        <w:rPr>
          <w:lang w:val="en-US"/>
        </w:rPr>
        <w:tab/>
      </w:r>
      <w:r w:rsidRPr="005A2F56">
        <w:rPr>
          <w:rStyle w:val="aa"/>
        </w:rPr>
        <w:footnoteRef/>
      </w:r>
      <w:r w:rsidRPr="00762B54">
        <w:rPr>
          <w:lang w:val="en-US"/>
        </w:rPr>
        <w:tab/>
        <w:t>A/HRC/37/65.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D9FB" w14:textId="0FD4B457" w:rsidR="00DD66DD" w:rsidRPr="00DD66DD" w:rsidRDefault="00DD66DD">
    <w:pPr>
      <w:pStyle w:val="a5"/>
    </w:pPr>
    <w:fldSimple w:instr=" TITLE  \* MERGEFORMAT ">
      <w:r w:rsidR="00152719">
        <w:t>A/HRC/RES/45/10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ABDA" w14:textId="085FD42D" w:rsidR="00DD66DD" w:rsidRPr="00DD66DD" w:rsidRDefault="00DD66DD" w:rsidP="00DD66DD">
    <w:pPr>
      <w:pStyle w:val="a5"/>
      <w:jc w:val="right"/>
    </w:pPr>
    <w:fldSimple w:instr=" TITLE  \* MERGEFORMAT ">
      <w:r w:rsidR="00152719">
        <w:t>A/HRC/RES/45/10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C831" w14:textId="77777777" w:rsidR="00DD66DD" w:rsidRDefault="00DD66DD" w:rsidP="00DD66D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 w:insDel="0" w:formatting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95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52719"/>
    <w:rsid w:val="0016583D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748CE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A1E95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01D79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66DD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33BB2"/>
  <w15:docId w15:val="{02B16ACB-33BA-42D3-B3AA-1490D09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DD66D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4</TotalTime>
  <Pages>5</Pages>
  <Words>1791</Words>
  <Characters>12293</Characters>
  <Application>Microsoft Office Word</Application>
  <DocSecurity>0</DocSecurity>
  <Lines>223</Lines>
  <Paragraphs>61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A/HRC/RES/45/10</vt:lpstr>
      <vt:lpstr>A/</vt:lpstr>
      <vt:lpstr>A/</vt:lpstr>
      <vt:lpstr>A/</vt:lpstr>
    </vt:vector>
  </TitlesOfParts>
  <Company>DCM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A/HRC/RES/45/10</dc:title>
  <dc:subject/>
  <dc:creator>Shuvalova NATALIA</dc:creator>
  <cp:keywords/>
  <cp:lastModifiedBy>Natalia Shuvalova</cp:lastModifiedBy>
  <cp:revision>3</cp:revision>
  <cp:lastPrinted>2020-10-13T13:04:00Z</cp:lastPrinted>
  <dcterms:created xsi:type="dcterms:W3CDTF">2020-10-13T13:02:00Z</dcterms:created>
  <dcterms:modified xsi:type="dcterms:W3CDTF">2020-10-13T13:06:00Z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