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57BC0" w:rsidRPr="00DB58B5" w:rsidTr="00BA18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C717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C717E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E22857" w:rsidP="00E22857">
            <w:pPr>
              <w:jc w:val="right"/>
            </w:pPr>
            <w:r w:rsidRPr="00E22857">
              <w:rPr>
                <w:sz w:val="40"/>
              </w:rPr>
              <w:t>A</w:t>
            </w:r>
            <w:r>
              <w:t>/HRC/RES/24/7</w:t>
            </w:r>
          </w:p>
        </w:tc>
      </w:tr>
      <w:tr w:rsidR="00057BC0" w:rsidRPr="00DB58B5" w:rsidTr="00C71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C717E0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057BC0" w:rsidP="00C717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22857" w:rsidRDefault="00E22857" w:rsidP="00C717E0">
            <w:pPr>
              <w:spacing w:before="240"/>
            </w:pPr>
            <w:r>
              <w:t>Distr. générale</w:t>
            </w:r>
          </w:p>
          <w:p w:rsidR="00E22857" w:rsidRDefault="00E22857" w:rsidP="00E22857">
            <w:pPr>
              <w:spacing w:line="240" w:lineRule="exact"/>
            </w:pPr>
            <w:r>
              <w:t>8 octobre 2013</w:t>
            </w:r>
          </w:p>
          <w:p w:rsidR="00E22857" w:rsidRDefault="00E22857" w:rsidP="00E22857">
            <w:pPr>
              <w:spacing w:line="240" w:lineRule="exact"/>
            </w:pPr>
            <w:r>
              <w:t>Français</w:t>
            </w:r>
          </w:p>
          <w:p w:rsidR="00057BC0" w:rsidRPr="00DB58B5" w:rsidRDefault="00E22857" w:rsidP="00E22857">
            <w:pPr>
              <w:spacing w:line="240" w:lineRule="exact"/>
            </w:pPr>
            <w:r>
              <w:t>Original: anglais</w:t>
            </w:r>
          </w:p>
        </w:tc>
      </w:tr>
    </w:tbl>
    <w:p w:rsidR="00BA184E" w:rsidRPr="00BA184E" w:rsidRDefault="00BA184E" w:rsidP="001B6907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077235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077235" w:rsidRPr="00B33B10" w:rsidRDefault="00077235" w:rsidP="00077235">
      <w:pPr>
        <w:rPr>
          <w:b/>
          <w:lang w:val="fr-FR"/>
        </w:rPr>
      </w:pPr>
      <w:r w:rsidRPr="00B33B10">
        <w:rPr>
          <w:b/>
          <w:lang w:val="fr-FR"/>
        </w:rPr>
        <w:t>Vingt</w:t>
      </w:r>
      <w:r>
        <w:rPr>
          <w:b/>
          <w:lang w:val="fr-FR"/>
        </w:rPr>
        <w:t>-quatr</w:t>
      </w:r>
      <w:r w:rsidRPr="00B33B10">
        <w:rPr>
          <w:b/>
          <w:lang w:val="fr-FR"/>
        </w:rPr>
        <w:t>ième session</w:t>
      </w:r>
      <w:r w:rsidRPr="00B33B10">
        <w:rPr>
          <w:b/>
          <w:lang w:val="fr-FR"/>
        </w:rPr>
        <w:br/>
      </w:r>
      <w:r w:rsidRPr="00B33B10">
        <w:rPr>
          <w:lang w:val="fr-FR"/>
        </w:rPr>
        <w:t>Point 3 de l</w:t>
      </w:r>
      <w:r>
        <w:rPr>
          <w:lang w:val="fr-FR"/>
        </w:rPr>
        <w:t>’</w:t>
      </w:r>
      <w:r w:rsidRPr="00B33B10">
        <w:rPr>
          <w:lang w:val="fr-FR"/>
        </w:rPr>
        <w:t>ordre du jour</w:t>
      </w:r>
      <w:r w:rsidRPr="00B33B10">
        <w:rPr>
          <w:lang w:val="fr-FR"/>
        </w:rPr>
        <w:br/>
      </w:r>
      <w:r w:rsidRPr="00B33B10">
        <w:rPr>
          <w:b/>
          <w:lang w:val="fr-FR"/>
        </w:rPr>
        <w:t>Promotion et protection de tous les droits de l</w:t>
      </w:r>
      <w:r>
        <w:rPr>
          <w:b/>
          <w:lang w:val="fr-FR"/>
        </w:rPr>
        <w:t>’</w:t>
      </w:r>
      <w:r w:rsidRPr="00B33B10">
        <w:rPr>
          <w:b/>
          <w:lang w:val="fr-FR"/>
        </w:rPr>
        <w:t xml:space="preserve">homme, </w:t>
      </w:r>
      <w:r w:rsidRPr="00B33B10">
        <w:rPr>
          <w:b/>
          <w:lang w:val="fr-FR"/>
        </w:rPr>
        <w:br/>
        <w:t>civils, politiques, économiques, sociaux et culturels,</w:t>
      </w:r>
      <w:r w:rsidRPr="00B33B10">
        <w:rPr>
          <w:b/>
          <w:lang w:val="fr-FR"/>
        </w:rPr>
        <w:br/>
        <w:t>y compris le droit au développement</w:t>
      </w:r>
    </w:p>
    <w:p w:rsidR="00077235" w:rsidRDefault="00077235" w:rsidP="00077235">
      <w:pPr>
        <w:pStyle w:val="H23G"/>
        <w:tabs>
          <w:tab w:val="clear" w:pos="851"/>
        </w:tabs>
      </w:pPr>
      <w:r>
        <w:tab/>
        <w:t>Résolution adoptée par le Conseil des droits de l’homme</w:t>
      </w:r>
      <w:r w:rsidRPr="0007723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77235" w:rsidRPr="00EF1038" w:rsidRDefault="00077235" w:rsidP="0013362F">
      <w:pPr>
        <w:pStyle w:val="H1G"/>
      </w:pPr>
      <w:r>
        <w:tab/>
      </w:r>
      <w:r>
        <w:tab/>
        <w:t>24</w:t>
      </w:r>
      <w:r w:rsidR="00424F4C">
        <w:t>/7</w:t>
      </w:r>
      <w:r>
        <w:br/>
      </w:r>
      <w:r w:rsidRPr="00B33B10">
        <w:t>Détention arbitraire</w:t>
      </w:r>
    </w:p>
    <w:p w:rsidR="00077235" w:rsidRPr="002D00DD" w:rsidRDefault="00077235" w:rsidP="0013362F">
      <w:pPr>
        <w:pStyle w:val="SingleTxtG"/>
        <w:ind w:firstLine="567"/>
      </w:pPr>
      <w:r w:rsidRPr="003B6A48">
        <w:rPr>
          <w:i/>
        </w:rPr>
        <w:t>Le Conseil des droits de l</w:t>
      </w:r>
      <w:r>
        <w:rPr>
          <w:i/>
        </w:rPr>
        <w:t>’</w:t>
      </w:r>
      <w:r w:rsidRPr="003B6A48">
        <w:rPr>
          <w:i/>
        </w:rPr>
        <w:t>homme</w:t>
      </w:r>
      <w:r w:rsidRPr="002D00DD">
        <w:t>,</w:t>
      </w:r>
    </w:p>
    <w:p w:rsidR="00077235" w:rsidRPr="003B6A48" w:rsidRDefault="00077235" w:rsidP="00077235">
      <w:pPr>
        <w:pStyle w:val="SingleTxtG"/>
        <w:ind w:firstLine="567"/>
      </w:pPr>
      <w:r w:rsidRPr="003B6A48">
        <w:rPr>
          <w:i/>
        </w:rPr>
        <w:t>Réaffirmant</w:t>
      </w:r>
      <w:r w:rsidRPr="003B6A48">
        <w:t xml:space="preserve"> </w:t>
      </w:r>
      <w:r>
        <w:t>les articles </w:t>
      </w:r>
      <w:r w:rsidRPr="003B6A48">
        <w:t>3, 9, 10 et 29, ainsi que les autres dispositions pertinentes, de la Déclaration universelle des droits de l</w:t>
      </w:r>
      <w:r>
        <w:t>’</w:t>
      </w:r>
      <w:r w:rsidRPr="003B6A48">
        <w:t>homme,</w:t>
      </w:r>
    </w:p>
    <w:p w:rsidR="00077235" w:rsidRPr="003B6A48" w:rsidRDefault="00077235" w:rsidP="00077235">
      <w:pPr>
        <w:pStyle w:val="SingleTxtG"/>
        <w:ind w:firstLine="567"/>
      </w:pPr>
      <w:r w:rsidRPr="003B6A48">
        <w:rPr>
          <w:i/>
        </w:rPr>
        <w:t>Rappelant</w:t>
      </w:r>
      <w:r w:rsidRPr="003B6A48">
        <w:t xml:space="preserve"> </w:t>
      </w:r>
      <w:r>
        <w:t>les articles </w:t>
      </w:r>
      <w:r w:rsidRPr="003B6A48">
        <w:t>9 à 11 et 14 à 22 du Pacte international relatif aux droits civils et politiques,</w:t>
      </w:r>
    </w:p>
    <w:p w:rsidR="00077235" w:rsidRPr="003B6A48" w:rsidRDefault="00077235" w:rsidP="00077235">
      <w:pPr>
        <w:pStyle w:val="SingleTxtG"/>
        <w:ind w:firstLine="567"/>
      </w:pPr>
      <w:r w:rsidRPr="003B6A48">
        <w:rPr>
          <w:i/>
        </w:rPr>
        <w:t>Rappelant également</w:t>
      </w:r>
      <w:r>
        <w:t xml:space="preserve"> les résolutions </w:t>
      </w:r>
      <w:r w:rsidRPr="003B6A48">
        <w:t>1991/42 et 1997/50 de la Commission des droits de l</w:t>
      </w:r>
      <w:r>
        <w:t>’</w:t>
      </w:r>
      <w:r w:rsidRPr="003B6A48">
        <w:t>homme, en date du 5 mars 1991 et d</w:t>
      </w:r>
      <w:r w:rsidR="0013362F">
        <w:t>u 15 avril 1997</w:t>
      </w:r>
      <w:r w:rsidRPr="003B6A48">
        <w:t xml:space="preserve"> respectivement, ai</w:t>
      </w:r>
      <w:r>
        <w:t>nsi que ses propres résolutions </w:t>
      </w:r>
      <w:r w:rsidRPr="003B6A48">
        <w:t>6/4, 10/9, 15/18 et 20/16, en date du 28 septembre 2007, du 26 mars 2009, du 30 septembre 2010</w:t>
      </w:r>
      <w:r>
        <w:t xml:space="preserve"> et du 6 </w:t>
      </w:r>
      <w:r w:rsidR="0013362F">
        <w:t>juillet 2012</w:t>
      </w:r>
      <w:r w:rsidRPr="003B6A48">
        <w:t xml:space="preserve"> respectivement, </w:t>
      </w:r>
    </w:p>
    <w:p w:rsidR="00077235" w:rsidRPr="003B6A48" w:rsidRDefault="00077235" w:rsidP="00077235">
      <w:pPr>
        <w:pStyle w:val="SingleTxtG"/>
        <w:ind w:firstLine="567"/>
      </w:pPr>
      <w:r w:rsidRPr="003B6A48">
        <w:rPr>
          <w:i/>
        </w:rPr>
        <w:t>Rappelant également</w:t>
      </w:r>
      <w:r w:rsidRPr="003B6A48">
        <w:t xml:space="preserve"> la résolution 60/251 de l</w:t>
      </w:r>
      <w:r>
        <w:t>’</w:t>
      </w:r>
      <w:r w:rsidRPr="003B6A48">
        <w:t>A</w:t>
      </w:r>
      <w:r>
        <w:t>ssemblée générale en date du 15 </w:t>
      </w:r>
      <w:r w:rsidRPr="003B6A48">
        <w:t xml:space="preserve">mars 2006 intitulée </w:t>
      </w:r>
      <w:r>
        <w:t>«Conseil des droits de l’homme</w:t>
      </w:r>
      <w:r w:rsidRPr="003B6A48">
        <w:t>»,</w:t>
      </w:r>
    </w:p>
    <w:p w:rsidR="00077235" w:rsidRDefault="00077235" w:rsidP="00077235">
      <w:pPr>
        <w:pStyle w:val="SingleTxtG"/>
        <w:ind w:firstLine="567"/>
        <w:rPr>
          <w:bCs/>
        </w:rPr>
      </w:pPr>
      <w:r w:rsidRPr="003B6A48">
        <w:rPr>
          <w:i/>
        </w:rPr>
        <w:t>Rappelant</w:t>
      </w:r>
      <w:r>
        <w:t xml:space="preserve"> ses résolutions 5/1 «</w:t>
      </w:r>
      <w:r w:rsidRPr="003B6A48">
        <w:t>Mise en place des institutions du Conseil d</w:t>
      </w:r>
      <w:r>
        <w:t>es droits de l’homme» et 5/2 «</w:t>
      </w:r>
      <w:r w:rsidRPr="003B6A48">
        <w:t>Code de conduite pour les titulaires de mandat au titre des procédures spéciales du Conseil des droits de l</w:t>
      </w:r>
      <w:r>
        <w:t>’</w:t>
      </w:r>
      <w:r w:rsidRPr="003B6A48">
        <w:t>homme</w:t>
      </w:r>
      <w:r>
        <w:t>», du 18 </w:t>
      </w:r>
      <w:r w:rsidRPr="003B6A48">
        <w:t>juin 2007, et soulignant que le titulaire de mandat doit s</w:t>
      </w:r>
      <w:r>
        <w:t>’</w:t>
      </w:r>
      <w:r w:rsidRPr="003B6A48">
        <w:t>acquitter de ses obligations conformément à ces résolutions et à leurs annexes,</w:t>
      </w:r>
    </w:p>
    <w:p w:rsidR="00077235" w:rsidRPr="002D00DD" w:rsidRDefault="00077235" w:rsidP="00D608A9">
      <w:pPr>
        <w:pStyle w:val="ParNoG"/>
        <w:tabs>
          <w:tab w:val="clear" w:pos="1701"/>
        </w:tabs>
        <w:ind w:firstLine="567"/>
        <w:rPr>
          <w:lang w:val="fr-FR"/>
        </w:rPr>
      </w:pPr>
      <w:r w:rsidRPr="002D00DD">
        <w:rPr>
          <w:i/>
          <w:lang w:val="fr-FR"/>
        </w:rPr>
        <w:t>Souligne</w:t>
      </w:r>
      <w:r w:rsidRPr="002D00DD">
        <w:rPr>
          <w:lang w:val="fr-FR"/>
        </w:rPr>
        <w:t xml:space="preserve"> l</w:t>
      </w:r>
      <w:r>
        <w:rPr>
          <w:lang w:val="fr-FR"/>
        </w:rPr>
        <w:t>’</w:t>
      </w:r>
      <w:r w:rsidRPr="002D00DD">
        <w:rPr>
          <w:lang w:val="fr-FR"/>
        </w:rPr>
        <w:t>importance des travaux du Groupe de travail sur la détention arbitraire;</w:t>
      </w:r>
    </w:p>
    <w:p w:rsidR="00077235" w:rsidRPr="003B6A48" w:rsidRDefault="00077235" w:rsidP="00077235">
      <w:pPr>
        <w:pStyle w:val="ParNoG"/>
        <w:tabs>
          <w:tab w:val="clear" w:pos="1701"/>
        </w:tabs>
        <w:ind w:firstLine="567"/>
        <w:rPr>
          <w:lang w:val="fr-FR"/>
        </w:rPr>
      </w:pPr>
      <w:r w:rsidRPr="003B6A48">
        <w:rPr>
          <w:i/>
          <w:lang w:val="fr-FR"/>
        </w:rPr>
        <w:t>Prend note avec intérêt</w:t>
      </w:r>
      <w:r w:rsidRPr="003B6A48">
        <w:rPr>
          <w:lang w:val="fr-FR"/>
        </w:rPr>
        <w:t xml:space="preserve"> du dernier rapport du Groupe de travail</w:t>
      </w:r>
      <w:r>
        <w:rPr>
          <w:rStyle w:val="FootnoteReference"/>
        </w:rPr>
        <w:footnoteReference w:id="3"/>
      </w:r>
      <w:r>
        <w:rPr>
          <w:lang w:val="fr-FR"/>
        </w:rPr>
        <w:t>, y </w:t>
      </w:r>
      <w:r w:rsidRPr="003B6A48">
        <w:rPr>
          <w:lang w:val="fr-FR"/>
        </w:rPr>
        <w:t>compris des recommandations y figurant;</w:t>
      </w:r>
    </w:p>
    <w:p w:rsidR="00077235" w:rsidRPr="003B6A48" w:rsidRDefault="00077235" w:rsidP="00077235">
      <w:pPr>
        <w:pStyle w:val="ParNoG"/>
        <w:tabs>
          <w:tab w:val="clear" w:pos="1701"/>
        </w:tabs>
        <w:ind w:firstLine="567"/>
        <w:rPr>
          <w:lang w:val="fr-FR"/>
        </w:rPr>
      </w:pPr>
      <w:r w:rsidRPr="003B6A48">
        <w:rPr>
          <w:i/>
          <w:lang w:val="fr-FR"/>
        </w:rPr>
        <w:t>Prie</w:t>
      </w:r>
      <w:r w:rsidRPr="003B6A48">
        <w:rPr>
          <w:lang w:val="fr-FR"/>
        </w:rPr>
        <w:t xml:space="preserve"> les États concernés de tenir compte des points de vue du Groupe de travail et, si nécessaire, de prendre des mesures appropriées pour remédier à la situation des personnes privées arbitrairement de leur liberté et d</w:t>
      </w:r>
      <w:r>
        <w:rPr>
          <w:lang w:val="fr-FR"/>
        </w:rPr>
        <w:t>’</w:t>
      </w:r>
      <w:r w:rsidRPr="003B6A48">
        <w:rPr>
          <w:lang w:val="fr-FR"/>
        </w:rPr>
        <w:t>informer le Groupe de travail des mesures ainsi prises;</w:t>
      </w:r>
    </w:p>
    <w:p w:rsidR="00077235" w:rsidRPr="003B6A48" w:rsidRDefault="00077235" w:rsidP="00077235">
      <w:pPr>
        <w:pStyle w:val="ParNoG"/>
        <w:tabs>
          <w:tab w:val="clear" w:pos="1701"/>
        </w:tabs>
        <w:ind w:firstLine="567"/>
        <w:rPr>
          <w:lang w:val="fr-FR"/>
        </w:rPr>
      </w:pPr>
      <w:r w:rsidRPr="003B6A48">
        <w:rPr>
          <w:i/>
          <w:lang w:val="fr-FR"/>
        </w:rPr>
        <w:t>Encourage</w:t>
      </w:r>
      <w:r w:rsidRPr="003B6A48">
        <w:rPr>
          <w:lang w:val="fr-FR"/>
        </w:rPr>
        <w:t xml:space="preserve"> le Groupe de travail à poursuivre ses travaux concernant l</w:t>
      </w:r>
      <w:r>
        <w:rPr>
          <w:lang w:val="fr-FR"/>
        </w:rPr>
        <w:t>’</w:t>
      </w:r>
      <w:r w:rsidRPr="003B6A48">
        <w:rPr>
          <w:lang w:val="fr-FR"/>
        </w:rPr>
        <w:t>établissement du projet de principes de base et de li</w:t>
      </w:r>
      <w:r w:rsidR="0075123C">
        <w:rPr>
          <w:lang w:val="fr-FR"/>
        </w:rPr>
        <w:t>gnes directrices demandé par le </w:t>
      </w:r>
      <w:r w:rsidRPr="003B6A48">
        <w:rPr>
          <w:lang w:val="fr-FR"/>
        </w:rPr>
        <w:t>Conseil des droit</w:t>
      </w:r>
      <w:r>
        <w:rPr>
          <w:lang w:val="fr-FR"/>
        </w:rPr>
        <w:t>s de l’homme dans sa résolution </w:t>
      </w:r>
      <w:r w:rsidRPr="003B6A48">
        <w:rPr>
          <w:lang w:val="fr-FR"/>
        </w:rPr>
        <w:t>20/16, et l</w:t>
      </w:r>
      <w:r>
        <w:rPr>
          <w:lang w:val="fr-FR"/>
        </w:rPr>
        <w:t>’</w:t>
      </w:r>
      <w:r w:rsidRPr="003B6A48">
        <w:rPr>
          <w:lang w:val="fr-FR"/>
        </w:rPr>
        <w:t>invite à lui rendre compte des progrès réalisés à cet égard à l</w:t>
      </w:r>
      <w:r>
        <w:rPr>
          <w:lang w:val="fr-FR"/>
        </w:rPr>
        <w:t>’</w:t>
      </w:r>
      <w:r w:rsidRPr="003B6A48">
        <w:rPr>
          <w:lang w:val="fr-FR"/>
        </w:rPr>
        <w:t>occasion de leur prochain dialogue</w:t>
      </w:r>
      <w:r>
        <w:rPr>
          <w:lang w:val="fr-FR"/>
        </w:rPr>
        <w:t>;</w:t>
      </w:r>
    </w:p>
    <w:p w:rsidR="00077235" w:rsidRPr="003B6A48" w:rsidRDefault="00077235" w:rsidP="00077235">
      <w:pPr>
        <w:pStyle w:val="ParNoG"/>
        <w:tabs>
          <w:tab w:val="clear" w:pos="1701"/>
        </w:tabs>
        <w:ind w:firstLine="567"/>
        <w:rPr>
          <w:lang w:val="fr-FR"/>
        </w:rPr>
      </w:pPr>
      <w:r w:rsidRPr="003B6A48">
        <w:rPr>
          <w:i/>
          <w:lang w:val="fr-FR"/>
        </w:rPr>
        <w:t>Encourage</w:t>
      </w:r>
      <w:r w:rsidRPr="003B6A48">
        <w:rPr>
          <w:lang w:val="fr-FR"/>
        </w:rPr>
        <w:t xml:space="preserve"> tous les États à répondre au questionnaire qui leur a été adressé par le Groupe de travail en vue de l</w:t>
      </w:r>
      <w:r>
        <w:rPr>
          <w:lang w:val="fr-FR"/>
        </w:rPr>
        <w:t>’</w:t>
      </w:r>
      <w:r w:rsidRPr="003B6A48">
        <w:rPr>
          <w:lang w:val="fr-FR"/>
        </w:rPr>
        <w:t>établissement du projet de principes de base et de lignes directrices susmentionné;</w:t>
      </w:r>
    </w:p>
    <w:p w:rsidR="00077235" w:rsidRPr="00645098" w:rsidRDefault="00077235" w:rsidP="00077235">
      <w:pPr>
        <w:pStyle w:val="ParNoG"/>
        <w:keepNext/>
        <w:tabs>
          <w:tab w:val="clear" w:pos="1701"/>
        </w:tabs>
        <w:ind w:firstLine="567"/>
        <w:rPr>
          <w:sz w:val="24"/>
          <w:szCs w:val="24"/>
          <w:lang w:val="fr-FR"/>
        </w:rPr>
      </w:pPr>
      <w:r w:rsidRPr="003B6A48">
        <w:rPr>
          <w:i/>
          <w:lang w:val="fr-FR"/>
        </w:rPr>
        <w:t>Encourage également</w:t>
      </w:r>
      <w:r w:rsidRPr="003B6A48">
        <w:rPr>
          <w:lang w:val="fr-FR"/>
        </w:rPr>
        <w:t xml:space="preserve"> tous les États: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a</w:t>
      </w:r>
      <w:r w:rsidRPr="003B6A48">
        <w:t>)</w:t>
      </w:r>
      <w:r w:rsidRPr="003B6A48">
        <w:tab/>
        <w:t>À accorder l</w:t>
      </w:r>
      <w:r>
        <w:t>’</w:t>
      </w:r>
      <w:r w:rsidRPr="003B6A48">
        <w:t>attention voulue aux recommandations du Groupe de travail;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b</w:t>
      </w:r>
      <w:r w:rsidRPr="003B6A48">
        <w:t>)</w:t>
      </w:r>
      <w:r w:rsidRPr="003B6A48">
        <w:tab/>
        <w:t>À prendre les mesures appropriées pour veiller à ce que leur législation, leur réglementation et leurs pratiques restent conformes aux normes internationales pertinentes et aux instruments de droit international applicables;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c</w:t>
      </w:r>
      <w:r w:rsidRPr="003B6A48">
        <w:t>)</w:t>
      </w:r>
      <w:r w:rsidRPr="003B6A48">
        <w:tab/>
        <w:t>À respecter et à promouvoir le droit de quiconque se trouve arrêté ou détenu du chef d</w:t>
      </w:r>
      <w:r>
        <w:t>’</w:t>
      </w:r>
      <w:r w:rsidRPr="003B6A48">
        <w:t>une infraction pénale d</w:t>
      </w:r>
      <w:r>
        <w:t>’</w:t>
      </w:r>
      <w:r w:rsidRPr="003B6A48">
        <w:t>être traduit dans le plus court délai devant un juge ou une autre autorité habilitée par la loi à exercer des fonctions judiciaires, et d</w:t>
      </w:r>
      <w:r>
        <w:t>’</w:t>
      </w:r>
      <w:r w:rsidRPr="003B6A48">
        <w:t>être jugé dans un délai raisonnable ou libéré;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d</w:t>
      </w:r>
      <w:r w:rsidRPr="003B6A48">
        <w:t>)</w:t>
      </w:r>
      <w:r w:rsidRPr="003B6A48">
        <w:tab/>
        <w:t>À respecter et à promouvoir le droit de quiconque se trouve privé de sa liberté par arrestation ou détention d</w:t>
      </w:r>
      <w:r>
        <w:t>’</w:t>
      </w:r>
      <w:r w:rsidRPr="003B6A48">
        <w:t>introduire un recours de</w:t>
      </w:r>
      <w:r>
        <w:t>vant un tribunal afin que celui</w:t>
      </w:r>
      <w:r>
        <w:noBreakHyphen/>
      </w:r>
      <w:r w:rsidRPr="003B6A48">
        <w:t>ci statue sans délai sur la légalité de sa détention et ordonne sa libération si la détention est illégale, conformément aux obligations in</w:t>
      </w:r>
      <w:r w:rsidR="00A470EC">
        <w:t>ternationales qui incombent aux </w:t>
      </w:r>
      <w:r w:rsidRPr="003B6A48">
        <w:t>États;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e</w:t>
      </w:r>
      <w:r w:rsidRPr="003B6A48">
        <w:t>)</w:t>
      </w:r>
      <w:r w:rsidRPr="003B6A48">
        <w:tab/>
        <w:t>À veiller à ce que le droit visé à l</w:t>
      </w:r>
      <w:r>
        <w:t>’alinéa </w:t>
      </w:r>
      <w:r w:rsidRPr="00160F9C">
        <w:rPr>
          <w:i/>
        </w:rPr>
        <w:t>d</w:t>
      </w:r>
      <w:r w:rsidRPr="003B6A48">
        <w:t xml:space="preserve"> ci-dessus soit également respecté en cas d</w:t>
      </w:r>
      <w:r>
        <w:t>’</w:t>
      </w:r>
      <w:r w:rsidRPr="003B6A48">
        <w:t>internement administratif, y compris lorsque cette mesure est prise en application de la législation relative à la sécurité publique;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f</w:t>
      </w:r>
      <w:r w:rsidRPr="003B6A48">
        <w:t>)</w:t>
      </w:r>
      <w:r w:rsidRPr="003B6A48">
        <w:tab/>
        <w:t>À veiller à ce que quiconque se trouve arrêté ou détenu du chef d</w:t>
      </w:r>
      <w:r>
        <w:t>’</w:t>
      </w:r>
      <w:r w:rsidRPr="003B6A48">
        <w:t xml:space="preserve">une infraction pénale dispose du temps et des facilités nécessaires à </w:t>
      </w:r>
      <w:r>
        <w:t>la préparation de sa défense, y </w:t>
      </w:r>
      <w:r w:rsidRPr="003B6A48">
        <w:t>compris la possibilité d</w:t>
      </w:r>
      <w:r>
        <w:t>’</w:t>
      </w:r>
      <w:r w:rsidRPr="003B6A48">
        <w:t xml:space="preserve">engager le conseil de son choix </w:t>
      </w:r>
      <w:r>
        <w:t>et de communiquer avec </w:t>
      </w:r>
      <w:r w:rsidRPr="003B6A48">
        <w:t>lui;</w:t>
      </w:r>
    </w:p>
    <w:p w:rsidR="00077235" w:rsidRPr="003B6A48" w:rsidRDefault="00077235" w:rsidP="00077235">
      <w:pPr>
        <w:pStyle w:val="SingleTxtG"/>
        <w:ind w:firstLine="567"/>
      </w:pPr>
      <w:r w:rsidRPr="00EF1038">
        <w:rPr>
          <w:i/>
        </w:rPr>
        <w:t>g</w:t>
      </w:r>
      <w:r w:rsidRPr="003B6A48">
        <w:t>)</w:t>
      </w:r>
      <w:r w:rsidRPr="003B6A48">
        <w:tab/>
        <w:t>À veiller à ce que les conditions de la détention avant jugement ne nuisent pas à l</w:t>
      </w:r>
      <w:r>
        <w:t>’</w:t>
      </w:r>
      <w:r w:rsidRPr="003B6A48">
        <w:t>équité du procès;</w:t>
      </w:r>
    </w:p>
    <w:p w:rsidR="00077235" w:rsidRPr="00BE7ED1" w:rsidRDefault="00077235" w:rsidP="00077235">
      <w:pPr>
        <w:pStyle w:val="SingleTxtG"/>
        <w:ind w:firstLine="567"/>
        <w:rPr>
          <w:lang w:val="fr-FR"/>
        </w:rPr>
      </w:pPr>
      <w:r w:rsidRPr="00EF1038">
        <w:rPr>
          <w:i/>
        </w:rPr>
        <w:t>h</w:t>
      </w:r>
      <w:r w:rsidRPr="003B6A48">
        <w:t>)</w:t>
      </w:r>
      <w:r w:rsidRPr="003B6A48">
        <w:tab/>
        <w:t>À offrir des garanties, pour toute forme de détention, contre les privations de liberté illégales ou arbitraires</w:t>
      </w:r>
      <w:r>
        <w:t>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</w:pPr>
      <w:r w:rsidRPr="007C4D73">
        <w:rPr>
          <w:i/>
        </w:rPr>
        <w:t>Encourage aussi</w:t>
      </w:r>
      <w:r w:rsidRPr="007C4D73">
        <w:t xml:space="preserve"> tous les États à coopérer avec le Groupe de travail et à envisager sérieusement de répondre favorablement à ses demandes de visite, afin de lui permettre d</w:t>
      </w:r>
      <w:r>
        <w:t>’</w:t>
      </w:r>
      <w:r w:rsidRPr="007C4D73">
        <w:t>exécuter son mandat avec encore plus d</w:t>
      </w:r>
      <w:r>
        <w:t>’</w:t>
      </w:r>
      <w:r w:rsidRPr="007C4D73">
        <w:t>efficacité;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</w:pPr>
      <w:r w:rsidRPr="007C4D73">
        <w:rPr>
          <w:i/>
        </w:rPr>
        <w:t>Note avec préoccupation</w:t>
      </w:r>
      <w:r w:rsidRPr="007C4D73">
        <w:t xml:space="preserve"> </w:t>
      </w:r>
      <w:r w:rsidR="00D608A9">
        <w:t xml:space="preserve">qu’une part des </w:t>
      </w:r>
      <w:r w:rsidRPr="007C4D73">
        <w:t xml:space="preserve">appels urgents du </w:t>
      </w:r>
      <w:r w:rsidRPr="007C4D73">
        <w:rPr>
          <w:rFonts w:eastAsia="MS Mincho"/>
        </w:rPr>
        <w:t>Groupe de travail</w:t>
      </w:r>
      <w:r w:rsidRPr="007C4D73">
        <w:t xml:space="preserve"> </w:t>
      </w:r>
      <w:r w:rsidR="005E1044">
        <w:t>continue de rester</w:t>
      </w:r>
      <w:r w:rsidRPr="007C4D73">
        <w:t xml:space="preserve"> sans réponse</w:t>
      </w:r>
      <w:r w:rsidR="00974128">
        <w:t>,</w:t>
      </w:r>
      <w:r w:rsidRPr="007C4D73">
        <w:t xml:space="preserve"> et prie instamment les États concernés d</w:t>
      </w:r>
      <w:r>
        <w:t>’</w:t>
      </w:r>
      <w:r w:rsidRPr="007C4D73">
        <w:t>accorder l</w:t>
      </w:r>
      <w:r>
        <w:t>’</w:t>
      </w:r>
      <w:r w:rsidRPr="007C4D73">
        <w:t xml:space="preserve">attention voulue aux appels urgents qui leur sont adressés par le </w:t>
      </w:r>
      <w:r w:rsidRPr="007C4D73">
        <w:rPr>
          <w:rFonts w:eastAsia="MS Mincho"/>
        </w:rPr>
        <w:t>Groupe de travail</w:t>
      </w:r>
      <w:r w:rsidRPr="007C4D73">
        <w:t xml:space="preserve"> sur une base strictement humanitaire et sans préjuger de ses éventuelles conclusions finales, ainsi qu</w:t>
      </w:r>
      <w:r>
        <w:t>’</w:t>
      </w:r>
      <w:r w:rsidRPr="007C4D73">
        <w:t>à la transmission du même cas au titre de la</w:t>
      </w:r>
      <w:r>
        <w:t xml:space="preserve"> procédure de plainte ordinaire</w:t>
      </w:r>
      <w:r w:rsidRPr="007C4D73">
        <w:t>;</w:t>
      </w:r>
    </w:p>
    <w:p w:rsidR="00077235" w:rsidRPr="00F278DD" w:rsidRDefault="00077235" w:rsidP="00907390">
      <w:pPr>
        <w:pStyle w:val="ParNoG"/>
        <w:keepLines/>
        <w:tabs>
          <w:tab w:val="clear" w:pos="1701"/>
        </w:tabs>
        <w:ind w:firstLine="567"/>
        <w:rPr>
          <w:rFonts w:eastAsia="Arial Unicode MS"/>
        </w:rPr>
      </w:pPr>
      <w:r w:rsidRPr="007C4D73">
        <w:rPr>
          <w:rFonts w:eastAsia="Arial Unicode MS"/>
          <w:i/>
        </w:rPr>
        <w:t>Encourage</w:t>
      </w:r>
      <w:r w:rsidRPr="00F278DD">
        <w:rPr>
          <w:rFonts w:eastAsia="Arial Unicode MS"/>
        </w:rPr>
        <w:t xml:space="preserve"> le Groupe de travail, en conformité avec ses méthodes de travail, à continuer de fournir à l</w:t>
      </w:r>
      <w:r>
        <w:rPr>
          <w:rFonts w:eastAsia="Arial Unicode MS"/>
        </w:rPr>
        <w:t>’</w:t>
      </w:r>
      <w:r w:rsidRPr="00F278DD">
        <w:rPr>
          <w:rFonts w:eastAsia="Arial Unicode MS"/>
        </w:rPr>
        <w:t xml:space="preserve">État concerné les renseignements pertinents et détaillés relatifs aux allégations de détention arbitraire afin de faciliter une réponse </w:t>
      </w:r>
      <w:r w:rsidRPr="007C4D73">
        <w:rPr>
          <w:rFonts w:eastAsia="Arial Unicode MS"/>
        </w:rPr>
        <w:t>rapide</w:t>
      </w:r>
      <w:r w:rsidRPr="00F278DD">
        <w:rPr>
          <w:rFonts w:eastAsia="Arial Unicode MS"/>
        </w:rPr>
        <w:t xml:space="preserve"> et approfondie à ces communications, sans préjudice de la nécessité pour l</w:t>
      </w:r>
      <w:r>
        <w:rPr>
          <w:rFonts w:eastAsia="Arial Unicode MS"/>
        </w:rPr>
        <w:t>’</w:t>
      </w:r>
      <w:r w:rsidRPr="00F278DD">
        <w:rPr>
          <w:rFonts w:eastAsia="Arial Unicode MS"/>
        </w:rPr>
        <w:t>Ét</w:t>
      </w:r>
      <w:r w:rsidR="00E96BAB">
        <w:rPr>
          <w:rFonts w:eastAsia="Arial Unicode MS"/>
        </w:rPr>
        <w:t>at concerné de coopérer avec le </w:t>
      </w:r>
      <w:r w:rsidRPr="00F278DD">
        <w:rPr>
          <w:rFonts w:eastAsia="Arial Unicode MS"/>
        </w:rPr>
        <w:t>Groupe de travail;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  <w:rPr>
          <w:rFonts w:eastAsia="Arial Unicode MS"/>
        </w:rPr>
      </w:pPr>
      <w:r w:rsidRPr="007C4D73">
        <w:rPr>
          <w:rFonts w:eastAsia="Arial Unicode MS"/>
          <w:i/>
        </w:rPr>
        <w:t>Note avec une vive inquiétude</w:t>
      </w:r>
      <w:r w:rsidRPr="007C4D73">
        <w:rPr>
          <w:rFonts w:eastAsia="Arial Unicode MS"/>
        </w:rPr>
        <w:t xml:space="preserve"> que le Groupe de travail reçoit de plus en plus d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informations faisant état de représailles à l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encontre de personnes qui faisaient l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objet d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un appel urgent ou d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un avis ou qui appliquaient une recommandation du Groupe de travail, et demande aux États concernés de prendre des mesures appropriées pour prévenir de tels actes et combattre l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 xml:space="preserve">impunité </w:t>
      </w:r>
      <w:r w:rsidRPr="007C4D73">
        <w:t>en traduisant les auteurs</w:t>
      </w:r>
      <w:r w:rsidRPr="007C4D73">
        <w:rPr>
          <w:rFonts w:eastAsia="Arial Unicode MS"/>
        </w:rPr>
        <w:t xml:space="preserve"> en justice et en offrant aux victimes des voies de recours adaptées;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  <w:rPr>
          <w:rFonts w:eastAsia="Arial Unicode MS"/>
        </w:rPr>
      </w:pPr>
      <w:r w:rsidRPr="007C4D73">
        <w:rPr>
          <w:rFonts w:eastAsia="Arial Unicode MS"/>
          <w:i/>
        </w:rPr>
        <w:t>Exprime ses vifs remerciements</w:t>
      </w:r>
      <w:r w:rsidRPr="007C4D73">
        <w:rPr>
          <w:rFonts w:eastAsia="Arial Unicode MS"/>
        </w:rPr>
        <w:t xml:space="preserve"> aux États qui ont coopéré avec le Groupe de travail et ont répondu à ses demandes d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informations, et invite tous les États concernés à faire preuve du même esprit de coopération;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  <w:rPr>
          <w:rFonts w:eastAsia="Arial Unicode MS"/>
        </w:rPr>
      </w:pPr>
      <w:r w:rsidRPr="007C4D73">
        <w:rPr>
          <w:rFonts w:eastAsia="Arial Unicode MS"/>
          <w:i/>
        </w:rPr>
        <w:t>Note avec satisfaction</w:t>
      </w:r>
      <w:r w:rsidRPr="007C4D73">
        <w:rPr>
          <w:rFonts w:eastAsia="Arial Unicode MS"/>
        </w:rPr>
        <w:t xml:space="preserve"> que le Groupe de travail a été informé de la libération de certaines personnes dont la situation avait été portée à son attention, tout en déplorant le grand nombre de cas non encore résolus;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  <w:rPr>
          <w:rFonts w:eastAsia="Arial Unicode MS"/>
        </w:rPr>
      </w:pPr>
      <w:r w:rsidRPr="007C4D73">
        <w:rPr>
          <w:rFonts w:eastAsia="Arial Unicode MS"/>
          <w:i/>
        </w:rPr>
        <w:t>Décide</w:t>
      </w:r>
      <w:r w:rsidRPr="007C4D73">
        <w:rPr>
          <w:rFonts w:eastAsia="Arial Unicode MS"/>
        </w:rPr>
        <w:t xml:space="preserve"> de proroger </w:t>
      </w:r>
      <w:r w:rsidRPr="007C4D73">
        <w:t>d</w:t>
      </w:r>
      <w:r>
        <w:t>’</w:t>
      </w:r>
      <w:r w:rsidRPr="007C4D73">
        <w:t xml:space="preserve">une nouvelle période de trois ans </w:t>
      </w:r>
      <w:r w:rsidRPr="007C4D73">
        <w:rPr>
          <w:rFonts w:eastAsia="Arial Unicode MS"/>
        </w:rPr>
        <w:t>le mandat du Groupe de travai</w:t>
      </w:r>
      <w:r>
        <w:rPr>
          <w:rFonts w:eastAsia="Arial Unicode MS"/>
        </w:rPr>
        <w:t>l, conformément aux résolutions </w:t>
      </w:r>
      <w:r w:rsidRPr="007C4D73">
        <w:rPr>
          <w:rFonts w:eastAsia="Arial Unicode MS"/>
        </w:rPr>
        <w:t>1991/42 et 1997/50 de la Commission des droits d</w:t>
      </w:r>
      <w:r>
        <w:rPr>
          <w:rFonts w:eastAsia="Arial Unicode MS"/>
        </w:rPr>
        <w:t>e l’homme et à la résolution </w:t>
      </w:r>
      <w:r w:rsidRPr="007C4D73">
        <w:rPr>
          <w:rFonts w:eastAsia="Arial Unicode MS"/>
        </w:rPr>
        <w:t>6/4 du Conseil;</w:t>
      </w:r>
    </w:p>
    <w:p w:rsidR="00077235" w:rsidRPr="007C4D73" w:rsidRDefault="00077235" w:rsidP="00077235">
      <w:pPr>
        <w:pStyle w:val="ParNoG"/>
        <w:tabs>
          <w:tab w:val="clear" w:pos="1701"/>
        </w:tabs>
        <w:ind w:firstLine="567"/>
        <w:rPr>
          <w:rFonts w:eastAsia="Arial Unicode MS"/>
        </w:rPr>
      </w:pPr>
      <w:r w:rsidRPr="007C4D73">
        <w:rPr>
          <w:rFonts w:eastAsia="Arial Unicode MS"/>
          <w:i/>
        </w:rPr>
        <w:t>Prie</w:t>
      </w:r>
      <w:r w:rsidRPr="007C4D73">
        <w:rPr>
          <w:rFonts w:eastAsia="Arial Unicode MS"/>
        </w:rPr>
        <w:t xml:space="preserve"> le Secrétaire général de fournir toute l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assistance nécessaire au Groupe de travail, en particulier le personnel et les ressources dont il a besoin pour s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acquitter efficacement de son mandat, notamment en ce qui concerne les missions sur le terrain;</w:t>
      </w:r>
    </w:p>
    <w:p w:rsidR="00077235" w:rsidRPr="00B90AC5" w:rsidRDefault="00077235" w:rsidP="00077235">
      <w:pPr>
        <w:pStyle w:val="ParNoG"/>
        <w:tabs>
          <w:tab w:val="clear" w:pos="1701"/>
        </w:tabs>
        <w:ind w:firstLine="567"/>
      </w:pPr>
      <w:r w:rsidRPr="007C4D73">
        <w:rPr>
          <w:rFonts w:eastAsia="Arial Unicode MS"/>
          <w:i/>
        </w:rPr>
        <w:t>Décide</w:t>
      </w:r>
      <w:r w:rsidRPr="007C4D73">
        <w:rPr>
          <w:rFonts w:eastAsia="Arial Unicode MS"/>
        </w:rPr>
        <w:t xml:space="preserve"> de poursuivre l</w:t>
      </w:r>
      <w:r>
        <w:rPr>
          <w:rFonts w:eastAsia="Arial Unicode MS"/>
        </w:rPr>
        <w:t>’</w:t>
      </w:r>
      <w:r w:rsidRPr="007C4D73">
        <w:rPr>
          <w:rFonts w:eastAsia="Arial Unicode MS"/>
        </w:rPr>
        <w:t>examen de la question de la détention arbitraire conformément à son programme de travail.</w:t>
      </w:r>
    </w:p>
    <w:p w:rsidR="00B90AC5" w:rsidRPr="00B90AC5" w:rsidRDefault="00B90AC5" w:rsidP="00B90AC5">
      <w:pPr>
        <w:pStyle w:val="SingleTxtG"/>
        <w:jc w:val="right"/>
        <w:rPr>
          <w:i/>
        </w:rPr>
      </w:pPr>
      <w:r w:rsidRPr="00B90AC5">
        <w:rPr>
          <w:i/>
        </w:rPr>
        <w:t>34</w:t>
      </w:r>
      <w:r w:rsidRPr="00B90AC5">
        <w:rPr>
          <w:i/>
          <w:vertAlign w:val="superscript"/>
        </w:rPr>
        <w:t>e</w:t>
      </w:r>
      <w:r w:rsidRPr="00B90AC5">
        <w:rPr>
          <w:i/>
        </w:rPr>
        <w:t xml:space="preserve"> séance</w:t>
      </w:r>
      <w:r w:rsidRPr="00B90AC5">
        <w:rPr>
          <w:i/>
        </w:rPr>
        <w:br/>
        <w:t>26 septembre 2013</w:t>
      </w:r>
    </w:p>
    <w:p w:rsidR="00B90AC5" w:rsidRDefault="00B90AC5" w:rsidP="00B90AC5">
      <w:pPr>
        <w:pStyle w:val="SingleTxtG"/>
      </w:pPr>
      <w:r>
        <w:t>[Adoptée sans vote]</w:t>
      </w:r>
    </w:p>
    <w:p w:rsidR="00B90AC5" w:rsidRPr="00B90AC5" w:rsidRDefault="00B90AC5" w:rsidP="00B90A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0AC5" w:rsidRPr="00B90AC5" w:rsidSect="00E228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CA" w:rsidRDefault="006804CA"/>
  </w:endnote>
  <w:endnote w:type="continuationSeparator" w:id="0">
    <w:p w:rsidR="006804CA" w:rsidRDefault="006804CA"/>
  </w:endnote>
  <w:endnote w:type="continuationNotice" w:id="1">
    <w:p w:rsidR="006804CA" w:rsidRPr="00770C75" w:rsidRDefault="006804CA" w:rsidP="00770C7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57" w:rsidRPr="00E22857" w:rsidRDefault="00E22857" w:rsidP="00E22857">
    <w:pPr>
      <w:pStyle w:val="Footer"/>
      <w:tabs>
        <w:tab w:val="right" w:pos="9638"/>
      </w:tabs>
    </w:pPr>
    <w:r w:rsidRPr="00E22857">
      <w:rPr>
        <w:b/>
        <w:sz w:val="18"/>
      </w:rPr>
      <w:fldChar w:fldCharType="begin"/>
    </w:r>
    <w:r w:rsidRPr="00E22857">
      <w:rPr>
        <w:b/>
        <w:sz w:val="18"/>
      </w:rPr>
      <w:instrText xml:space="preserve"> PAGE  \* MERGEFORMAT </w:instrText>
    </w:r>
    <w:r w:rsidRPr="00E22857">
      <w:rPr>
        <w:b/>
        <w:sz w:val="18"/>
      </w:rPr>
      <w:fldChar w:fldCharType="separate"/>
    </w:r>
    <w:r w:rsidR="00B363C1">
      <w:rPr>
        <w:b/>
        <w:noProof/>
        <w:sz w:val="18"/>
      </w:rPr>
      <w:t>2</w:t>
    </w:r>
    <w:r w:rsidRPr="00E22857">
      <w:rPr>
        <w:b/>
        <w:sz w:val="18"/>
      </w:rPr>
      <w:fldChar w:fldCharType="end"/>
    </w:r>
    <w:r>
      <w:rPr>
        <w:b/>
        <w:sz w:val="18"/>
      </w:rPr>
      <w:tab/>
    </w:r>
    <w:r>
      <w:t>GE.13-17848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57" w:rsidRPr="00E22857" w:rsidRDefault="00E22857" w:rsidP="00E22857">
    <w:pPr>
      <w:pStyle w:val="Footer"/>
      <w:tabs>
        <w:tab w:val="right" w:pos="9638"/>
      </w:tabs>
      <w:rPr>
        <w:b/>
        <w:sz w:val="18"/>
      </w:rPr>
    </w:pPr>
    <w:r>
      <w:t>GE.13-17848</w:t>
    </w:r>
    <w:r>
      <w:tab/>
    </w:r>
    <w:r w:rsidRPr="00E22857">
      <w:rPr>
        <w:b/>
        <w:sz w:val="18"/>
      </w:rPr>
      <w:fldChar w:fldCharType="begin"/>
    </w:r>
    <w:r w:rsidRPr="00E22857">
      <w:rPr>
        <w:b/>
        <w:sz w:val="18"/>
      </w:rPr>
      <w:instrText xml:space="preserve"> PAGE  \* MERGEFORMAT </w:instrText>
    </w:r>
    <w:r w:rsidRPr="00E22857">
      <w:rPr>
        <w:b/>
        <w:sz w:val="18"/>
      </w:rPr>
      <w:fldChar w:fldCharType="separate"/>
    </w:r>
    <w:r w:rsidR="00B363C1">
      <w:rPr>
        <w:b/>
        <w:noProof/>
        <w:sz w:val="18"/>
      </w:rPr>
      <w:t>3</w:t>
    </w:r>
    <w:r w:rsidRPr="00E22857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06" w:rsidRDefault="00E22857">
    <w:pPr>
      <w:pStyle w:val="Footer"/>
    </w:pPr>
    <w:r>
      <w:rPr>
        <w:sz w:val="20"/>
      </w:rPr>
      <w:t>GE.13-17848</w:t>
    </w:r>
    <w:r w:rsidR="00694F0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077235">
      <w:rPr>
        <w:sz w:val="20"/>
      </w:rPr>
      <w:t xml:space="preserve">    101013    221013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CA" w:rsidRPr="00D27D5E" w:rsidRDefault="006804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04CA" w:rsidRPr="001D7014" w:rsidRDefault="006804CA" w:rsidP="001D7014">
      <w:pPr>
        <w:tabs>
          <w:tab w:val="right" w:pos="2155"/>
        </w:tabs>
        <w:spacing w:after="80"/>
        <w:ind w:left="680"/>
        <w:rPr>
          <w:u w:val="single"/>
        </w:rPr>
      </w:pPr>
      <w:r w:rsidRPr="001D7014">
        <w:rPr>
          <w:u w:val="single"/>
        </w:rPr>
        <w:tab/>
      </w:r>
    </w:p>
  </w:footnote>
  <w:footnote w:type="continuationNotice" w:id="1">
    <w:p w:rsidR="006804CA" w:rsidRPr="00770C75" w:rsidRDefault="006804CA" w:rsidP="00770C75">
      <w:pPr>
        <w:spacing w:line="240" w:lineRule="auto"/>
        <w:rPr>
          <w:sz w:val="2"/>
          <w:szCs w:val="2"/>
        </w:rPr>
      </w:pPr>
    </w:p>
  </w:footnote>
  <w:footnote w:id="2">
    <w:p w:rsidR="00077235" w:rsidRPr="00D62C8A" w:rsidRDefault="00077235">
      <w:pPr>
        <w:pStyle w:val="FootnoteText"/>
        <w:rPr>
          <w:szCs w:val="18"/>
        </w:rPr>
      </w:pPr>
      <w:r>
        <w:tab/>
      </w:r>
      <w:r w:rsidRPr="00077235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62C8A">
        <w:rPr>
          <w:szCs w:val="18"/>
        </w:rPr>
        <w:t>Les résolutions et décisions adoptées par le Conseil des droits de l’homme figureront dans le rapport du Conseil sur sa vingt-quatrième session (A/HRC/24/2), Première partie.</w:t>
      </w:r>
    </w:p>
  </w:footnote>
  <w:footnote w:id="3">
    <w:p w:rsidR="00077235" w:rsidRDefault="00077235" w:rsidP="0007723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eastAsia="Arial Unicode MS"/>
          <w:bCs/>
          <w:kern w:val="1"/>
          <w:lang w:val="fr-FR"/>
        </w:rPr>
        <w:t>A/HRC/22/44</w:t>
      </w:r>
      <w:r w:rsidRPr="00A91574">
        <w:rPr>
          <w:rFonts w:eastAsia="Arial Unicode MS"/>
          <w:bCs/>
          <w:kern w:val="1"/>
          <w:lang w:val="fr-F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57" w:rsidRPr="00E22857" w:rsidRDefault="00E22857">
    <w:pPr>
      <w:pStyle w:val="Header"/>
    </w:pPr>
    <w:r>
      <w:t>A/HRC/RES/24/7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57" w:rsidRPr="00E22857" w:rsidRDefault="00E22857" w:rsidP="00E22857">
    <w:pPr>
      <w:pStyle w:val="Header"/>
      <w:jc w:val="right"/>
    </w:pPr>
    <w:r>
      <w:t>A/HRC/RES/24/7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62C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C5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4E1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4C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244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A2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005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02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4C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63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F06"/>
    <w:rsid w:val="00016AC5"/>
    <w:rsid w:val="00053654"/>
    <w:rsid w:val="00057BC0"/>
    <w:rsid w:val="000675FE"/>
    <w:rsid w:val="0007348D"/>
    <w:rsid w:val="00077235"/>
    <w:rsid w:val="000A63CB"/>
    <w:rsid w:val="000E03D2"/>
    <w:rsid w:val="000F41F2"/>
    <w:rsid w:val="0013362F"/>
    <w:rsid w:val="00133B7A"/>
    <w:rsid w:val="001370FA"/>
    <w:rsid w:val="0014763D"/>
    <w:rsid w:val="00153B2E"/>
    <w:rsid w:val="00160540"/>
    <w:rsid w:val="00170BBF"/>
    <w:rsid w:val="00192EEB"/>
    <w:rsid w:val="001A20FB"/>
    <w:rsid w:val="001B6907"/>
    <w:rsid w:val="001C6647"/>
    <w:rsid w:val="001D7014"/>
    <w:rsid w:val="001E3FEB"/>
    <w:rsid w:val="001E4A02"/>
    <w:rsid w:val="00217DB9"/>
    <w:rsid w:val="00245F2B"/>
    <w:rsid w:val="002659F1"/>
    <w:rsid w:val="00275C5E"/>
    <w:rsid w:val="00286F7E"/>
    <w:rsid w:val="00287E79"/>
    <w:rsid w:val="002928F9"/>
    <w:rsid w:val="002A5D07"/>
    <w:rsid w:val="002D6D59"/>
    <w:rsid w:val="003000D8"/>
    <w:rsid w:val="003016B7"/>
    <w:rsid w:val="003515AA"/>
    <w:rsid w:val="00374106"/>
    <w:rsid w:val="00375577"/>
    <w:rsid w:val="0037787B"/>
    <w:rsid w:val="003976D5"/>
    <w:rsid w:val="003D3AE8"/>
    <w:rsid w:val="003D6C68"/>
    <w:rsid w:val="003F0144"/>
    <w:rsid w:val="004159D0"/>
    <w:rsid w:val="00424F4C"/>
    <w:rsid w:val="00481744"/>
    <w:rsid w:val="004B2F4D"/>
    <w:rsid w:val="00503619"/>
    <w:rsid w:val="00571F41"/>
    <w:rsid w:val="00594033"/>
    <w:rsid w:val="005D40D4"/>
    <w:rsid w:val="005E1044"/>
    <w:rsid w:val="005E5D1F"/>
    <w:rsid w:val="00612D48"/>
    <w:rsid w:val="00616B45"/>
    <w:rsid w:val="006439EC"/>
    <w:rsid w:val="0066166E"/>
    <w:rsid w:val="006739B9"/>
    <w:rsid w:val="006804CA"/>
    <w:rsid w:val="00694F06"/>
    <w:rsid w:val="006A521F"/>
    <w:rsid w:val="006B4590"/>
    <w:rsid w:val="006C340C"/>
    <w:rsid w:val="006E0516"/>
    <w:rsid w:val="0070347C"/>
    <w:rsid w:val="007170F0"/>
    <w:rsid w:val="00743F9E"/>
    <w:rsid w:val="0075123C"/>
    <w:rsid w:val="00757B26"/>
    <w:rsid w:val="007602DF"/>
    <w:rsid w:val="00770C75"/>
    <w:rsid w:val="00774E57"/>
    <w:rsid w:val="00785BA2"/>
    <w:rsid w:val="00786ACC"/>
    <w:rsid w:val="007C2C4F"/>
    <w:rsid w:val="007D30F7"/>
    <w:rsid w:val="007E7740"/>
    <w:rsid w:val="0081197C"/>
    <w:rsid w:val="008353D6"/>
    <w:rsid w:val="00844750"/>
    <w:rsid w:val="0087266B"/>
    <w:rsid w:val="008921DD"/>
    <w:rsid w:val="0089595B"/>
    <w:rsid w:val="008A09C6"/>
    <w:rsid w:val="008D7C08"/>
    <w:rsid w:val="008E7FAE"/>
    <w:rsid w:val="00907390"/>
    <w:rsid w:val="00911BF7"/>
    <w:rsid w:val="00974128"/>
    <w:rsid w:val="00977EC8"/>
    <w:rsid w:val="00981C83"/>
    <w:rsid w:val="009B5609"/>
    <w:rsid w:val="009D34DC"/>
    <w:rsid w:val="009D3A8C"/>
    <w:rsid w:val="009E7956"/>
    <w:rsid w:val="009F450E"/>
    <w:rsid w:val="00A2492E"/>
    <w:rsid w:val="00A470EC"/>
    <w:rsid w:val="00A63BBD"/>
    <w:rsid w:val="00AC47AD"/>
    <w:rsid w:val="00AC7977"/>
    <w:rsid w:val="00AE352C"/>
    <w:rsid w:val="00B00E7D"/>
    <w:rsid w:val="00B159C9"/>
    <w:rsid w:val="00B305CF"/>
    <w:rsid w:val="00B32E2D"/>
    <w:rsid w:val="00B363C1"/>
    <w:rsid w:val="00B41432"/>
    <w:rsid w:val="00B61990"/>
    <w:rsid w:val="00B80E45"/>
    <w:rsid w:val="00B90AC5"/>
    <w:rsid w:val="00BA184E"/>
    <w:rsid w:val="00BE28D3"/>
    <w:rsid w:val="00BF0556"/>
    <w:rsid w:val="00C261F8"/>
    <w:rsid w:val="00C717E0"/>
    <w:rsid w:val="00C919A2"/>
    <w:rsid w:val="00CA04BE"/>
    <w:rsid w:val="00CD1A71"/>
    <w:rsid w:val="00CD1FBB"/>
    <w:rsid w:val="00CE5AFE"/>
    <w:rsid w:val="00D016B5"/>
    <w:rsid w:val="00D034F1"/>
    <w:rsid w:val="00D037E5"/>
    <w:rsid w:val="00D27D5E"/>
    <w:rsid w:val="00D34CC9"/>
    <w:rsid w:val="00D42E42"/>
    <w:rsid w:val="00D608A9"/>
    <w:rsid w:val="00D62C8A"/>
    <w:rsid w:val="00DE6D90"/>
    <w:rsid w:val="00DE708E"/>
    <w:rsid w:val="00DF002F"/>
    <w:rsid w:val="00E0244D"/>
    <w:rsid w:val="00E22857"/>
    <w:rsid w:val="00E81E94"/>
    <w:rsid w:val="00E82607"/>
    <w:rsid w:val="00E96BAB"/>
    <w:rsid w:val="00EF327E"/>
    <w:rsid w:val="00F22103"/>
    <w:rsid w:val="00F71235"/>
    <w:rsid w:val="00F71F90"/>
    <w:rsid w:val="00FA5A79"/>
    <w:rsid w:val="00FB0BFE"/>
    <w:rsid w:val="00FB0DAA"/>
    <w:rsid w:val="00FB4C51"/>
    <w:rsid w:val="00FC652B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0F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17DB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D30F7"/>
    <w:pPr>
      <w:outlineLvl w:val="1"/>
    </w:pPr>
  </w:style>
  <w:style w:type="paragraph" w:styleId="Heading3">
    <w:name w:val="heading 3"/>
    <w:basedOn w:val="Normal"/>
    <w:next w:val="Normal"/>
    <w:qFormat/>
    <w:rsid w:val="007D30F7"/>
    <w:pPr>
      <w:outlineLvl w:val="2"/>
    </w:pPr>
  </w:style>
  <w:style w:type="paragraph" w:styleId="Heading4">
    <w:name w:val="heading 4"/>
    <w:basedOn w:val="Normal"/>
    <w:next w:val="Normal"/>
    <w:qFormat/>
    <w:rsid w:val="007D30F7"/>
    <w:pPr>
      <w:outlineLvl w:val="3"/>
    </w:pPr>
  </w:style>
  <w:style w:type="paragraph" w:styleId="Heading5">
    <w:name w:val="heading 5"/>
    <w:basedOn w:val="Normal"/>
    <w:next w:val="Normal"/>
    <w:qFormat/>
    <w:rsid w:val="007D30F7"/>
    <w:pPr>
      <w:outlineLvl w:val="4"/>
    </w:pPr>
  </w:style>
  <w:style w:type="paragraph" w:styleId="Heading6">
    <w:name w:val="heading 6"/>
    <w:basedOn w:val="Normal"/>
    <w:next w:val="Normal"/>
    <w:qFormat/>
    <w:rsid w:val="007D30F7"/>
    <w:pPr>
      <w:outlineLvl w:val="5"/>
    </w:pPr>
  </w:style>
  <w:style w:type="paragraph" w:styleId="Heading7">
    <w:name w:val="heading 7"/>
    <w:basedOn w:val="Normal"/>
    <w:next w:val="Normal"/>
    <w:qFormat/>
    <w:rsid w:val="007D30F7"/>
    <w:pPr>
      <w:outlineLvl w:val="6"/>
    </w:pPr>
  </w:style>
  <w:style w:type="paragraph" w:styleId="Heading8">
    <w:name w:val="heading 8"/>
    <w:basedOn w:val="Normal"/>
    <w:next w:val="Normal"/>
    <w:qFormat/>
    <w:rsid w:val="007D30F7"/>
    <w:pPr>
      <w:outlineLvl w:val="7"/>
    </w:pPr>
  </w:style>
  <w:style w:type="paragraph" w:styleId="Heading9">
    <w:name w:val="heading 9"/>
    <w:basedOn w:val="Normal"/>
    <w:next w:val="Normal"/>
    <w:qFormat/>
    <w:rsid w:val="007D30F7"/>
    <w:pPr>
      <w:outlineLvl w:val="8"/>
    </w:pPr>
  </w:style>
  <w:style w:type="character" w:default="1" w:styleId="DefaultParagraphFont">
    <w:name w:val="Default Paragraph Font"/>
    <w:semiHidden/>
    <w:rsid w:val="007D30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30F7"/>
  </w:style>
  <w:style w:type="paragraph" w:customStyle="1" w:styleId="HMG">
    <w:name w:val="_ H __M_G"/>
    <w:basedOn w:val="Normal"/>
    <w:next w:val="Normal"/>
    <w:rsid w:val="007D30F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D30F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D30F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30F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30F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30F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30F7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30F7"/>
    <w:pPr>
      <w:numPr>
        <w:numId w:val="19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D30F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30F7"/>
  </w:style>
  <w:style w:type="paragraph" w:styleId="Header">
    <w:name w:val="header"/>
    <w:aliases w:val="6_G"/>
    <w:basedOn w:val="Normal"/>
    <w:next w:val="Normal"/>
    <w:rsid w:val="007D30F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F2210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F22103"/>
  </w:style>
  <w:style w:type="character" w:styleId="PageNumber">
    <w:name w:val="page number"/>
    <w:aliases w:val="7_G"/>
    <w:basedOn w:val="DefaultParagraphFont"/>
    <w:rsid w:val="007D30F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D30F7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03619"/>
    <w:rPr>
      <w:color w:val="auto"/>
      <w:u w:val="none"/>
    </w:rPr>
  </w:style>
  <w:style w:type="character" w:styleId="FollowedHyperlink">
    <w:name w:val="FollowedHyperlink"/>
    <w:basedOn w:val="DefaultParagraphFont"/>
    <w:rsid w:val="00503619"/>
    <w:rPr>
      <w:color w:val="auto"/>
      <w:u w:val="none"/>
    </w:rPr>
  </w:style>
  <w:style w:type="paragraph" w:customStyle="1" w:styleId="ParNoG">
    <w:name w:val="_ParNo_G"/>
    <w:basedOn w:val="SingleTxtG"/>
    <w:rsid w:val="009D34DC"/>
    <w:pPr>
      <w:numPr>
        <w:numId w:val="20"/>
      </w:numPr>
    </w:pPr>
  </w:style>
  <w:style w:type="character" w:customStyle="1" w:styleId="SingleTxtGCar">
    <w:name w:val="_ Single Txt_G Car"/>
    <w:link w:val="SingleTxtG"/>
    <w:rsid w:val="00077235"/>
    <w:rPr>
      <w:lang w:val="fr-CH" w:eastAsia="en-US" w:bidi="ar-SA"/>
    </w:rPr>
  </w:style>
  <w:style w:type="table" w:styleId="TableColumns3">
    <w:name w:val="Table Columns 3"/>
    <w:basedOn w:val="TableNormal"/>
    <w:rsid w:val="00B90AC5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_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</Template>
  <TotalTime>0</TotalTime>
  <Pages>3</Pages>
  <Words>1089</Words>
  <Characters>5658</Characters>
  <Application>Microsoft Office Outlook</Application>
  <DocSecurity>4</DocSecurity>
  <Lines>110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A/HRC/RES/24/7</vt:lpstr>
    </vt:vector>
  </TitlesOfParts>
  <Company>CSD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A/HRC/RES/24/7</dc:title>
  <dc:subject/>
  <dc:creator>CHAUTAGNAT</dc:creator>
  <cp:keywords/>
  <dc:description/>
  <cp:lastModifiedBy>CHAUTAGNAT</cp:lastModifiedBy>
  <cp:revision>2</cp:revision>
  <cp:lastPrinted>2013-10-22T13:00:00Z</cp:lastPrinted>
  <dcterms:created xsi:type="dcterms:W3CDTF">2013-10-22T13:48:00Z</dcterms:created>
  <dcterms:modified xsi:type="dcterms:W3CDTF">2013-10-22T13:48:00Z</dcterms:modified>
</cp:coreProperties>
</file>