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Pr="00637834">
              <w:rPr>
                <w:sz w:val="20"/>
              </w:rPr>
              <w:t>/</w:t>
            </w:r>
            <w:proofErr w:type="spellStart"/>
            <w:r w:rsidRPr="00637834">
              <w:rPr>
                <w:sz w:val="20"/>
              </w:rPr>
              <w:t>HRC</w:t>
            </w:r>
            <w:proofErr w:type="spellEnd"/>
            <w:r w:rsidRPr="00637834">
              <w:rPr>
                <w:sz w:val="20"/>
              </w:rPr>
              <w:t>/</w:t>
            </w:r>
            <w:r w:rsidR="00422FDE">
              <w:rPr>
                <w:rFonts w:hint="eastAsia"/>
                <w:sz w:val="20"/>
              </w:rPr>
              <w:t>RES/27/23</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BF7E3F" w:rsidP="00637834">
            <w:pPr>
              <w:spacing w:before="240" w:line="240" w:lineRule="atLeast"/>
              <w:rPr>
                <w:sz w:val="20"/>
              </w:rPr>
            </w:pPr>
            <w:r>
              <w:rPr>
                <w:sz w:val="20"/>
              </w:rPr>
              <w:t>Distr.: General</w:t>
            </w:r>
          </w:p>
          <w:p w:rsidR="00F53D4C" w:rsidRPr="00637834" w:rsidRDefault="00D723AC">
            <w:pPr>
              <w:spacing w:line="240" w:lineRule="atLeast"/>
              <w:rPr>
                <w:rFonts w:hint="eastAsia"/>
                <w:sz w:val="20"/>
              </w:rPr>
            </w:pPr>
            <w:r>
              <w:rPr>
                <w:rFonts w:hint="eastAsia"/>
                <w:sz w:val="20"/>
              </w:rPr>
              <w:t xml:space="preserve">3 </w:t>
            </w:r>
            <w:r w:rsidRPr="00D723AC">
              <w:rPr>
                <w:sz w:val="20"/>
              </w:rPr>
              <w:t>October</w:t>
            </w:r>
            <w:r w:rsidR="001C3E9A">
              <w:rPr>
                <w:sz w:val="20"/>
              </w:rPr>
              <w:t xml:space="preserve"> 20</w:t>
            </w:r>
            <w:r w:rsidR="00487358">
              <w:rPr>
                <w:rFonts w:hint="eastAsia"/>
                <w:sz w:val="20"/>
              </w:rPr>
              <w:t>14</w:t>
            </w:r>
          </w:p>
          <w:p w:rsidR="00F53D4C" w:rsidRPr="00637834" w:rsidRDefault="00F53D4C">
            <w:pPr>
              <w:spacing w:line="240" w:lineRule="atLeast"/>
              <w:rPr>
                <w:sz w:val="20"/>
              </w:rPr>
            </w:pPr>
            <w:r w:rsidRPr="00637834">
              <w:rPr>
                <w:sz w:val="20"/>
              </w:rPr>
              <w:t xml:space="preserve">Chinese </w:t>
            </w:r>
          </w:p>
          <w:p w:rsidR="00F53D4C" w:rsidRPr="00637834" w:rsidRDefault="00F53D4C" w:rsidP="00751C2E">
            <w:pPr>
              <w:spacing w:line="240" w:lineRule="atLeast"/>
              <w:rPr>
                <w:rFonts w:hint="eastAsia"/>
              </w:rPr>
            </w:pPr>
            <w:r w:rsidRPr="00637834">
              <w:rPr>
                <w:sz w:val="20"/>
              </w:rPr>
              <w:t xml:space="preserve">Original: </w:t>
            </w:r>
            <w:r w:rsidR="00D723AC" w:rsidRPr="00D723AC">
              <w:rPr>
                <w:sz w:val="20"/>
              </w:rPr>
              <w:t>French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6453C7" w:rsidRDefault="006453C7" w:rsidP="006453C7">
      <w:pPr>
        <w:pStyle w:val="SingleTxtGC"/>
        <w:spacing w:after="0"/>
        <w:ind w:left="0" w:right="0"/>
        <w:rPr>
          <w:rFonts w:eastAsia="SimHei" w:hint="eastAsia"/>
          <w:szCs w:val="21"/>
        </w:rPr>
      </w:pPr>
      <w:r w:rsidRPr="009B1721">
        <w:rPr>
          <w:rFonts w:eastAsia="SimHei"/>
          <w:szCs w:val="21"/>
        </w:rPr>
        <w:t>第二十七届会议</w:t>
      </w:r>
    </w:p>
    <w:p w:rsidR="00B65424" w:rsidRPr="00240504" w:rsidRDefault="00B65424" w:rsidP="00B65424">
      <w:pPr>
        <w:pStyle w:val="SingleTxtGC"/>
        <w:spacing w:after="0"/>
        <w:ind w:left="0" w:right="0"/>
        <w:rPr>
          <w:szCs w:val="21"/>
        </w:rPr>
      </w:pPr>
      <w:r w:rsidRPr="00240504">
        <w:rPr>
          <w:szCs w:val="21"/>
        </w:rPr>
        <w:t>议程项目</w:t>
      </w:r>
      <w:r>
        <w:rPr>
          <w:szCs w:val="21"/>
        </w:rPr>
        <w:t>3</w:t>
      </w:r>
    </w:p>
    <w:p w:rsidR="00B65424" w:rsidRPr="00240504" w:rsidRDefault="00B65424" w:rsidP="00B65424">
      <w:pPr>
        <w:pStyle w:val="SingleTxtGC"/>
        <w:spacing w:after="0"/>
        <w:ind w:left="0" w:right="0"/>
        <w:rPr>
          <w:rFonts w:eastAsia="SimHei" w:hint="eastAsia"/>
          <w:szCs w:val="21"/>
          <w:lang w:val="en-GB"/>
        </w:rPr>
      </w:pPr>
      <w:r w:rsidRPr="00240504">
        <w:rPr>
          <w:rFonts w:eastAsia="SimHei"/>
          <w:szCs w:val="21"/>
          <w:lang w:val="en-GB"/>
        </w:rPr>
        <w:t>增进和保护所有人权</w:t>
      </w:r>
      <w:r w:rsidRPr="00240504">
        <w:rPr>
          <w:rFonts w:eastAsia="SimHei"/>
          <w:spacing w:val="-40"/>
          <w:szCs w:val="21"/>
          <w:lang w:val="en-GB"/>
        </w:rPr>
        <w:t xml:space="preserve">―― </w:t>
      </w:r>
      <w:r w:rsidRPr="00240504">
        <w:rPr>
          <w:rFonts w:eastAsia="SimHei"/>
          <w:szCs w:val="21"/>
          <w:lang w:val="en-GB"/>
        </w:rPr>
        <w:t>公民权利、政治权利、</w:t>
      </w:r>
    </w:p>
    <w:p w:rsidR="00B65424" w:rsidRPr="00240504" w:rsidRDefault="00B65424" w:rsidP="00B65424">
      <w:pPr>
        <w:pStyle w:val="SingleTxtGC"/>
        <w:spacing w:after="0"/>
        <w:ind w:left="0" w:right="0"/>
        <w:rPr>
          <w:rFonts w:eastAsia="SimHei"/>
          <w:szCs w:val="21"/>
          <w:lang w:val="en-GB"/>
        </w:rPr>
      </w:pPr>
      <w:r w:rsidRPr="00240504">
        <w:rPr>
          <w:rFonts w:eastAsia="SimHei"/>
          <w:szCs w:val="21"/>
          <w:lang w:val="en-GB"/>
        </w:rPr>
        <w:t>经济、社会和文化权利，包括发展权</w:t>
      </w:r>
    </w:p>
    <w:p w:rsidR="00B65424" w:rsidRPr="009C209A" w:rsidRDefault="00B65424" w:rsidP="00CB5BC9">
      <w:pPr>
        <w:pStyle w:val="H1GC"/>
        <w:spacing w:before="560"/>
        <w:rPr>
          <w:spacing w:val="4"/>
        </w:rPr>
      </w:pPr>
      <w:r w:rsidRPr="00240504">
        <w:tab/>
      </w:r>
      <w:r w:rsidRPr="00240504">
        <w:tab/>
      </w:r>
      <w:r>
        <w:rPr>
          <w:rFonts w:hint="eastAsia"/>
        </w:rPr>
        <w:t>人权理事会通过的</w:t>
      </w:r>
      <w:r w:rsidRPr="00CC154F">
        <w:rPr>
          <w:rFonts w:hint="eastAsia"/>
        </w:rPr>
        <w:t>决议</w:t>
      </w:r>
    </w:p>
    <w:p w:rsidR="00B65424" w:rsidRDefault="00B65424" w:rsidP="00CB5BC9">
      <w:pPr>
        <w:pStyle w:val="H1GC"/>
        <w:rPr>
          <w:rFonts w:hint="eastAsia"/>
        </w:rPr>
      </w:pPr>
      <w:r w:rsidRPr="00240504">
        <w:tab/>
      </w:r>
      <w:r w:rsidRPr="00240504">
        <w:tab/>
      </w:r>
      <w:r>
        <w:t>27</w:t>
      </w:r>
      <w:r w:rsidRPr="00240504">
        <w:t>/</w:t>
      </w:r>
      <w:r>
        <w:rPr>
          <w:rFonts w:hint="eastAsia"/>
        </w:rPr>
        <w:t>23</w:t>
      </w:r>
      <w:r>
        <w:rPr>
          <w:rFonts w:hint="eastAsia"/>
        </w:rPr>
        <w:br/>
      </w:r>
      <w:r w:rsidRPr="00240504">
        <w:t>危险物质及废料的无害环境管理和处置对人权的影响问题特别报告员的任</w:t>
      </w:r>
      <w:r>
        <w:rPr>
          <w:rFonts w:hint="eastAsia"/>
        </w:rPr>
        <w:t>务</w:t>
      </w:r>
    </w:p>
    <w:p w:rsidR="00B65424" w:rsidRPr="00121DAC" w:rsidRDefault="00B65424" w:rsidP="00B65424">
      <w:pPr>
        <w:pStyle w:val="SingleTxtGC"/>
        <w:rPr>
          <w:rFonts w:eastAsia="KaiTi_GB2312"/>
          <w:lang w:val="en-GB"/>
        </w:rPr>
      </w:pPr>
      <w:r w:rsidRPr="00121DAC">
        <w:rPr>
          <w:rFonts w:eastAsia="KaiTi_GB2312" w:hint="eastAsia"/>
          <w:lang w:val="en-GB"/>
        </w:rPr>
        <w:tab/>
      </w:r>
      <w:r w:rsidRPr="00121DAC">
        <w:rPr>
          <w:rFonts w:eastAsia="KaiTi_GB2312"/>
          <w:lang w:val="en-GB"/>
        </w:rPr>
        <w:t>人权理事会，</w:t>
      </w:r>
    </w:p>
    <w:p w:rsidR="00B65424" w:rsidRDefault="00B65424" w:rsidP="00B65424">
      <w:pPr>
        <w:pStyle w:val="SingleTxtGC"/>
        <w:rPr>
          <w:rFonts w:hint="eastAsia"/>
        </w:rPr>
      </w:pPr>
      <w:r>
        <w:rPr>
          <w:rFonts w:eastAsia="KaiTi_GB2312" w:hint="eastAsia"/>
          <w:lang w:val="en-GB"/>
        </w:rPr>
        <w:tab/>
      </w:r>
      <w:r w:rsidRPr="00240504">
        <w:rPr>
          <w:rFonts w:eastAsia="KaiTi_GB2312"/>
          <w:lang w:val="en-GB"/>
        </w:rPr>
        <w:t>遵循</w:t>
      </w:r>
      <w:r>
        <w:t>《联合国宪章》、《世界人权宣言》、《经济、社会</w:t>
      </w:r>
      <w:r>
        <w:rPr>
          <w:rFonts w:hint="eastAsia"/>
        </w:rPr>
        <w:t>、</w:t>
      </w:r>
      <w:r w:rsidRPr="00240504">
        <w:t>文化权利国际公约》、《公民权利和政治权利国际公约》</w:t>
      </w:r>
      <w:r>
        <w:rPr>
          <w:rFonts w:hint="eastAsia"/>
        </w:rPr>
        <w:t>以及</w:t>
      </w:r>
      <w:r w:rsidRPr="00240504">
        <w:t>《维也纳宣言和行动纲领》，</w:t>
      </w:r>
    </w:p>
    <w:p w:rsidR="00B65424" w:rsidRPr="00240504" w:rsidRDefault="00B65424" w:rsidP="00B65424">
      <w:pPr>
        <w:pStyle w:val="SingleTxtGC"/>
      </w:pPr>
      <w:r>
        <w:rPr>
          <w:rFonts w:eastAsia="KaiTi_GB2312" w:hint="eastAsia"/>
          <w:lang w:val="en-GB"/>
        </w:rPr>
        <w:tab/>
      </w:r>
      <w:r>
        <w:rPr>
          <w:rFonts w:eastAsia="KaiTi_GB2312" w:hint="eastAsia"/>
          <w:lang w:val="en-GB"/>
        </w:rPr>
        <w:t>铭记</w:t>
      </w:r>
      <w:r w:rsidRPr="00240504">
        <w:t>大会</w:t>
      </w:r>
      <w:r>
        <w:t>2</w:t>
      </w:r>
      <w:r w:rsidRPr="00240504">
        <w:t>00</w:t>
      </w:r>
      <w:r>
        <w:t>6</w:t>
      </w:r>
      <w:r w:rsidRPr="00240504">
        <w:t>年</w:t>
      </w:r>
      <w:r>
        <w:t>3</w:t>
      </w:r>
      <w:r w:rsidRPr="00240504">
        <w:t>月</w:t>
      </w:r>
      <w:r>
        <w:t>15</w:t>
      </w:r>
      <w:r w:rsidRPr="00240504">
        <w:t>日第</w:t>
      </w:r>
      <w:r>
        <w:t>6</w:t>
      </w:r>
      <w:r w:rsidRPr="00240504">
        <w:t>0/</w:t>
      </w:r>
      <w:r>
        <w:t>251</w:t>
      </w:r>
      <w:r w:rsidRPr="00240504">
        <w:t>号决议第</w:t>
      </w:r>
      <w:r>
        <w:t>6</w:t>
      </w:r>
      <w:r w:rsidRPr="00240504">
        <w:t>段，</w:t>
      </w:r>
    </w:p>
    <w:p w:rsidR="00B65424" w:rsidRPr="00240504" w:rsidRDefault="00B65424" w:rsidP="00B65424">
      <w:pPr>
        <w:pStyle w:val="SingleTxtGC"/>
      </w:pPr>
      <w:r>
        <w:rPr>
          <w:rFonts w:eastAsia="KaiTi_GB2312" w:hint="eastAsia"/>
          <w:lang w:val="en-GB"/>
        </w:rPr>
        <w:tab/>
      </w:r>
      <w:r w:rsidRPr="00240504">
        <w:rPr>
          <w:rFonts w:eastAsia="KaiTi_GB2312"/>
          <w:lang w:val="en-GB"/>
        </w:rPr>
        <w:t>回顾</w:t>
      </w:r>
      <w:r w:rsidRPr="00240504">
        <w:t>人权理事会</w:t>
      </w:r>
      <w:r>
        <w:t>2</w:t>
      </w:r>
      <w:r w:rsidRPr="00240504">
        <w:t>00</w:t>
      </w:r>
      <w:r>
        <w:t>7</w:t>
      </w:r>
      <w:r w:rsidRPr="00240504">
        <w:t>年</w:t>
      </w:r>
      <w:r>
        <w:t>6</w:t>
      </w:r>
      <w:r w:rsidRPr="00240504">
        <w:t>月</w:t>
      </w:r>
      <w:r>
        <w:t>18</w:t>
      </w:r>
      <w:r w:rsidRPr="00240504">
        <w:t>日关于理事会体制建设的第</w:t>
      </w:r>
      <w:r>
        <w:t>5</w:t>
      </w:r>
      <w:r w:rsidRPr="00240504">
        <w:t>/</w:t>
      </w:r>
      <w:r>
        <w:t>1</w:t>
      </w:r>
      <w:r w:rsidRPr="00240504">
        <w:t>号决议和关于理事会特别程序任务负责人行为守则的第</w:t>
      </w:r>
      <w:r>
        <w:t>5</w:t>
      </w:r>
      <w:r w:rsidRPr="00240504">
        <w:t>/</w:t>
      </w:r>
      <w:r>
        <w:t>2</w:t>
      </w:r>
      <w:r w:rsidRPr="00240504">
        <w:t>号决议，强调任务负责人应根据这两项决议及其附件履行职责，</w:t>
      </w:r>
    </w:p>
    <w:p w:rsidR="00B65424" w:rsidRDefault="00B65424" w:rsidP="00B65424">
      <w:pPr>
        <w:pStyle w:val="SingleTxtGC"/>
        <w:rPr>
          <w:rFonts w:hint="eastAsia"/>
          <w:szCs w:val="21"/>
        </w:rPr>
      </w:pPr>
      <w:r>
        <w:rPr>
          <w:rFonts w:eastAsia="KaiTi_GB2312" w:hint="eastAsia"/>
          <w:szCs w:val="21"/>
          <w:lang w:val="en-GB"/>
        </w:rPr>
        <w:tab/>
      </w:r>
      <w:r w:rsidRPr="00240504">
        <w:rPr>
          <w:rFonts w:eastAsia="KaiTi_GB2312"/>
          <w:szCs w:val="21"/>
          <w:lang w:val="en-GB"/>
        </w:rPr>
        <w:t>又回顾</w:t>
      </w:r>
      <w:r w:rsidRPr="00240504">
        <w:t>理事会</w:t>
      </w:r>
      <w:r>
        <w:rPr>
          <w:szCs w:val="21"/>
        </w:rPr>
        <w:t>2</w:t>
      </w:r>
      <w:r w:rsidRPr="00240504">
        <w:rPr>
          <w:szCs w:val="21"/>
        </w:rPr>
        <w:t>0</w:t>
      </w:r>
      <w:r>
        <w:rPr>
          <w:szCs w:val="21"/>
        </w:rPr>
        <w:t>12</w:t>
      </w:r>
      <w:r w:rsidRPr="00240504">
        <w:rPr>
          <w:szCs w:val="21"/>
        </w:rPr>
        <w:t>年</w:t>
      </w:r>
      <w:r>
        <w:rPr>
          <w:szCs w:val="21"/>
        </w:rPr>
        <w:t>9</w:t>
      </w:r>
      <w:r w:rsidRPr="00240504">
        <w:rPr>
          <w:szCs w:val="21"/>
        </w:rPr>
        <w:t>月</w:t>
      </w:r>
      <w:r>
        <w:rPr>
          <w:szCs w:val="21"/>
        </w:rPr>
        <w:t>27</w:t>
      </w:r>
      <w:r w:rsidRPr="00240504">
        <w:rPr>
          <w:szCs w:val="21"/>
        </w:rPr>
        <w:t>日第</w:t>
      </w:r>
      <w:r>
        <w:rPr>
          <w:szCs w:val="21"/>
        </w:rPr>
        <w:t>21</w:t>
      </w:r>
      <w:r w:rsidRPr="00240504">
        <w:rPr>
          <w:szCs w:val="21"/>
        </w:rPr>
        <w:t>/</w:t>
      </w:r>
      <w:r>
        <w:rPr>
          <w:szCs w:val="21"/>
        </w:rPr>
        <w:t>17</w:t>
      </w:r>
      <w:r w:rsidRPr="00240504">
        <w:rPr>
          <w:szCs w:val="21"/>
        </w:rPr>
        <w:t>号决议、</w:t>
      </w:r>
      <w:r>
        <w:rPr>
          <w:szCs w:val="21"/>
        </w:rPr>
        <w:t>2</w:t>
      </w:r>
      <w:r w:rsidRPr="00240504">
        <w:rPr>
          <w:szCs w:val="21"/>
        </w:rPr>
        <w:t>0</w:t>
      </w:r>
      <w:r>
        <w:rPr>
          <w:szCs w:val="21"/>
        </w:rPr>
        <w:t>11</w:t>
      </w:r>
      <w:r w:rsidRPr="00240504">
        <w:rPr>
          <w:szCs w:val="21"/>
        </w:rPr>
        <w:t>年</w:t>
      </w:r>
      <w:r>
        <w:rPr>
          <w:szCs w:val="21"/>
        </w:rPr>
        <w:t>9</w:t>
      </w:r>
      <w:r w:rsidRPr="00240504">
        <w:rPr>
          <w:szCs w:val="21"/>
        </w:rPr>
        <w:t>月</w:t>
      </w:r>
      <w:r>
        <w:rPr>
          <w:szCs w:val="21"/>
        </w:rPr>
        <w:t>27</w:t>
      </w:r>
      <w:r w:rsidRPr="00240504">
        <w:rPr>
          <w:szCs w:val="21"/>
        </w:rPr>
        <w:t>日第</w:t>
      </w:r>
      <w:r>
        <w:rPr>
          <w:szCs w:val="21"/>
        </w:rPr>
        <w:t>18</w:t>
      </w:r>
      <w:r w:rsidRPr="00240504">
        <w:rPr>
          <w:szCs w:val="21"/>
        </w:rPr>
        <w:t>/</w:t>
      </w:r>
      <w:r>
        <w:rPr>
          <w:szCs w:val="21"/>
        </w:rPr>
        <w:t>11</w:t>
      </w:r>
      <w:r w:rsidRPr="00240504">
        <w:rPr>
          <w:szCs w:val="21"/>
        </w:rPr>
        <w:t>号决议、</w:t>
      </w:r>
      <w:r>
        <w:rPr>
          <w:szCs w:val="21"/>
        </w:rPr>
        <w:t>2</w:t>
      </w:r>
      <w:r w:rsidRPr="00240504">
        <w:rPr>
          <w:szCs w:val="21"/>
        </w:rPr>
        <w:t>00</w:t>
      </w:r>
      <w:r>
        <w:rPr>
          <w:szCs w:val="21"/>
        </w:rPr>
        <w:t>8</w:t>
      </w:r>
      <w:r w:rsidRPr="00240504">
        <w:rPr>
          <w:szCs w:val="21"/>
        </w:rPr>
        <w:t>年</w:t>
      </w:r>
      <w:r>
        <w:rPr>
          <w:szCs w:val="21"/>
        </w:rPr>
        <w:t>9</w:t>
      </w:r>
      <w:r w:rsidRPr="00240504">
        <w:rPr>
          <w:szCs w:val="21"/>
        </w:rPr>
        <w:t>月</w:t>
      </w:r>
      <w:r>
        <w:rPr>
          <w:szCs w:val="21"/>
        </w:rPr>
        <w:t>24</w:t>
      </w:r>
      <w:r w:rsidRPr="00240504">
        <w:rPr>
          <w:szCs w:val="21"/>
        </w:rPr>
        <w:t>日第</w:t>
      </w:r>
      <w:r>
        <w:rPr>
          <w:szCs w:val="21"/>
        </w:rPr>
        <w:t>9</w:t>
      </w:r>
      <w:r w:rsidRPr="00240504">
        <w:rPr>
          <w:szCs w:val="21"/>
        </w:rPr>
        <w:t>/</w:t>
      </w:r>
      <w:r>
        <w:rPr>
          <w:szCs w:val="21"/>
        </w:rPr>
        <w:t>1</w:t>
      </w:r>
      <w:r>
        <w:rPr>
          <w:szCs w:val="21"/>
        </w:rPr>
        <w:t>号决议以及人权委员会所有</w:t>
      </w:r>
      <w:r>
        <w:rPr>
          <w:rFonts w:hint="eastAsia"/>
          <w:szCs w:val="21"/>
        </w:rPr>
        <w:t>有关</w:t>
      </w:r>
      <w:r>
        <w:rPr>
          <w:szCs w:val="21"/>
        </w:rPr>
        <w:t>这一问题</w:t>
      </w:r>
      <w:r>
        <w:rPr>
          <w:rFonts w:hint="eastAsia"/>
          <w:szCs w:val="21"/>
        </w:rPr>
        <w:t>的</w:t>
      </w:r>
      <w:r>
        <w:rPr>
          <w:szCs w:val="21"/>
        </w:rPr>
        <w:t>决议</w:t>
      </w:r>
      <w:r>
        <w:rPr>
          <w:rFonts w:hint="eastAsia"/>
          <w:szCs w:val="21"/>
        </w:rPr>
        <w:t>，</w:t>
      </w:r>
    </w:p>
    <w:p w:rsidR="00B65424" w:rsidRDefault="00B65424" w:rsidP="00B65424">
      <w:pPr>
        <w:pStyle w:val="SingleTxtGC"/>
        <w:rPr>
          <w:rFonts w:hint="eastAsia"/>
          <w:szCs w:val="21"/>
        </w:rPr>
      </w:pPr>
      <w:r>
        <w:rPr>
          <w:rFonts w:hint="eastAsia"/>
          <w:szCs w:val="21"/>
        </w:rPr>
        <w:tab/>
      </w:r>
      <w:r>
        <w:rPr>
          <w:szCs w:val="21"/>
        </w:rPr>
        <w:t>1</w:t>
      </w:r>
      <w:r w:rsidRPr="00240504">
        <w:rPr>
          <w:szCs w:val="21"/>
        </w:rPr>
        <w:t>.</w:t>
      </w:r>
      <w:r w:rsidRPr="00240504">
        <w:rPr>
          <w:szCs w:val="21"/>
        </w:rPr>
        <w:tab/>
      </w:r>
      <w:r w:rsidRPr="00240504">
        <w:rPr>
          <w:rFonts w:eastAsia="KaiTi_GB2312"/>
          <w:szCs w:val="21"/>
          <w:lang w:val="en-GB"/>
        </w:rPr>
        <w:t>注意到</w:t>
      </w:r>
      <w:r w:rsidRPr="00240504">
        <w:rPr>
          <w:szCs w:val="21"/>
        </w:rPr>
        <w:t>危险物质及废料的无害环境管理和处置对人权的影响问题新任特别报告员向理事会第二十七届会议提交的初步报告</w:t>
      </w:r>
      <w:r w:rsidRPr="00CB5BC9">
        <w:rPr>
          <w:szCs w:val="21"/>
          <w:vertAlign w:val="superscript"/>
        </w:rPr>
        <w:footnoteReference w:id="2"/>
      </w:r>
      <w:r w:rsidRPr="00240504">
        <w:rPr>
          <w:szCs w:val="21"/>
        </w:rPr>
        <w:t>；</w:t>
      </w:r>
    </w:p>
    <w:p w:rsidR="00B65424" w:rsidRPr="00240504" w:rsidRDefault="00B65424" w:rsidP="00B65424">
      <w:pPr>
        <w:pStyle w:val="SingleTxtGC"/>
        <w:rPr>
          <w:szCs w:val="21"/>
        </w:rPr>
      </w:pPr>
      <w:r>
        <w:rPr>
          <w:rFonts w:hint="eastAsia"/>
          <w:szCs w:val="21"/>
        </w:rPr>
        <w:tab/>
      </w:r>
      <w:r>
        <w:rPr>
          <w:szCs w:val="21"/>
        </w:rPr>
        <w:t>2</w:t>
      </w:r>
      <w:r w:rsidRPr="00240504">
        <w:rPr>
          <w:szCs w:val="21"/>
        </w:rPr>
        <w:t>.</w:t>
      </w:r>
      <w:r w:rsidRPr="00240504">
        <w:rPr>
          <w:szCs w:val="21"/>
        </w:rPr>
        <w:tab/>
      </w:r>
      <w:r w:rsidRPr="00240504">
        <w:rPr>
          <w:rFonts w:eastAsia="KaiTi_GB2312"/>
          <w:szCs w:val="21"/>
          <w:lang w:val="en-GB"/>
        </w:rPr>
        <w:t>决定</w:t>
      </w:r>
      <w:r w:rsidRPr="00240504">
        <w:rPr>
          <w:szCs w:val="21"/>
        </w:rPr>
        <w:t>将特别报告员的任期延长三年；</w:t>
      </w:r>
    </w:p>
    <w:p w:rsidR="00B65424" w:rsidRDefault="00B65424" w:rsidP="00B65424">
      <w:pPr>
        <w:pStyle w:val="SingleTxtGC"/>
        <w:rPr>
          <w:rFonts w:hint="eastAsia"/>
          <w:szCs w:val="21"/>
        </w:rPr>
      </w:pPr>
      <w:r>
        <w:rPr>
          <w:rFonts w:hint="eastAsia"/>
          <w:szCs w:val="21"/>
        </w:rPr>
        <w:tab/>
      </w:r>
      <w:r>
        <w:rPr>
          <w:szCs w:val="21"/>
        </w:rPr>
        <w:t>3</w:t>
      </w:r>
      <w:r w:rsidRPr="00240504">
        <w:rPr>
          <w:szCs w:val="21"/>
        </w:rPr>
        <w:t>.</w:t>
      </w:r>
      <w:r w:rsidRPr="00240504">
        <w:rPr>
          <w:szCs w:val="21"/>
        </w:rPr>
        <w:tab/>
      </w:r>
      <w:r w:rsidRPr="00240504">
        <w:rPr>
          <w:rFonts w:eastAsia="KaiTi_GB2312"/>
          <w:szCs w:val="21"/>
          <w:lang w:val="en-GB"/>
        </w:rPr>
        <w:t>注意到</w:t>
      </w:r>
      <w:r w:rsidRPr="00240504">
        <w:rPr>
          <w:szCs w:val="21"/>
        </w:rPr>
        <w:t>前任特别报告员所做的工作</w:t>
      </w:r>
      <w:r>
        <w:rPr>
          <w:rFonts w:hint="eastAsia"/>
          <w:szCs w:val="21"/>
        </w:rPr>
        <w:t>；</w:t>
      </w:r>
      <w:r w:rsidRPr="00240504">
        <w:rPr>
          <w:szCs w:val="21"/>
        </w:rPr>
        <w:t>请新任特别报告员根据其任务规定，提供关于危险物质及废料的不当管理和处置对充分享受人权可能产生的不利影响的</w:t>
      </w:r>
      <w:r>
        <w:rPr>
          <w:rFonts w:hint="eastAsia"/>
          <w:szCs w:val="21"/>
        </w:rPr>
        <w:t>详细</w:t>
      </w:r>
      <w:r w:rsidRPr="00240504">
        <w:rPr>
          <w:szCs w:val="21"/>
        </w:rPr>
        <w:t>最新资料；</w:t>
      </w:r>
    </w:p>
    <w:p w:rsidR="00B65424" w:rsidRDefault="00B65424" w:rsidP="00B65424">
      <w:pPr>
        <w:pStyle w:val="SingleTxtGC"/>
        <w:rPr>
          <w:rFonts w:hint="eastAsia"/>
          <w:szCs w:val="21"/>
        </w:rPr>
      </w:pPr>
      <w:r>
        <w:rPr>
          <w:rFonts w:hint="eastAsia"/>
          <w:szCs w:val="21"/>
        </w:rPr>
        <w:tab/>
      </w:r>
      <w:r>
        <w:rPr>
          <w:szCs w:val="21"/>
        </w:rPr>
        <w:t>4</w:t>
      </w:r>
      <w:r w:rsidRPr="00240504">
        <w:rPr>
          <w:szCs w:val="21"/>
        </w:rPr>
        <w:t>.</w:t>
      </w:r>
      <w:r w:rsidRPr="00240504">
        <w:rPr>
          <w:szCs w:val="21"/>
        </w:rPr>
        <w:tab/>
      </w:r>
      <w:r w:rsidRPr="00240504">
        <w:rPr>
          <w:rFonts w:eastAsia="KaiTi_GB2312"/>
          <w:szCs w:val="21"/>
          <w:lang w:val="en-GB"/>
        </w:rPr>
        <w:t>鼓励</w:t>
      </w:r>
      <w:r w:rsidRPr="00240504">
        <w:rPr>
          <w:szCs w:val="21"/>
        </w:rPr>
        <w:t>特别报告员与联合国环境规划署、世界卫生组织和国际劳工组织等联合国有关机构、以及各项国际环境公约的秘书处密切合作履行任务，以将人权纳入其工作的主流，并避免工作重叠；</w:t>
      </w:r>
    </w:p>
    <w:p w:rsidR="00B65424" w:rsidRDefault="00B65424" w:rsidP="00B65424">
      <w:pPr>
        <w:pStyle w:val="SingleTxtGC"/>
        <w:rPr>
          <w:rFonts w:hint="eastAsia"/>
          <w:szCs w:val="21"/>
        </w:rPr>
      </w:pPr>
      <w:r>
        <w:rPr>
          <w:rFonts w:hint="eastAsia"/>
          <w:szCs w:val="21"/>
        </w:rPr>
        <w:tab/>
      </w:r>
      <w:r>
        <w:rPr>
          <w:szCs w:val="21"/>
        </w:rPr>
        <w:t>5</w:t>
      </w:r>
      <w:r w:rsidRPr="00240504">
        <w:rPr>
          <w:szCs w:val="21"/>
        </w:rPr>
        <w:t>.</w:t>
      </w:r>
      <w:r w:rsidRPr="00240504">
        <w:rPr>
          <w:szCs w:val="21"/>
        </w:rPr>
        <w:tab/>
      </w:r>
      <w:r w:rsidRPr="00240504">
        <w:rPr>
          <w:rFonts w:eastAsia="KaiTi_GB2312"/>
          <w:szCs w:val="21"/>
          <w:lang w:val="en-GB"/>
        </w:rPr>
        <w:t>请</w:t>
      </w:r>
      <w:r w:rsidRPr="00240504">
        <w:rPr>
          <w:szCs w:val="21"/>
        </w:rPr>
        <w:t>特别报告员继续与联合国系统主管机构和组织以及有关国际公约的秘书处磋商，对现有问题采取多学科和深入的方法，以便找出管理这种物质及废料的可持续解决办法，并根据理事会工作方案，向理事会提交关于其所通过的决议执行情况的年度报告</w:t>
      </w:r>
      <w:r>
        <w:rPr>
          <w:rFonts w:hint="eastAsia"/>
          <w:szCs w:val="21"/>
        </w:rPr>
        <w:t>，</w:t>
      </w:r>
      <w:r w:rsidRPr="00240504">
        <w:rPr>
          <w:szCs w:val="21"/>
        </w:rPr>
        <w:t>以及为解决危险物质及废料对人权的不利影响而应立即采取的措施的具体建议和提案；</w:t>
      </w:r>
    </w:p>
    <w:p w:rsidR="00B65424" w:rsidRDefault="00B65424" w:rsidP="00B65424">
      <w:pPr>
        <w:pStyle w:val="SingleTxtGC"/>
        <w:rPr>
          <w:rFonts w:hint="eastAsia"/>
          <w:szCs w:val="21"/>
        </w:rPr>
      </w:pPr>
      <w:r>
        <w:rPr>
          <w:rFonts w:hint="eastAsia"/>
          <w:szCs w:val="21"/>
        </w:rPr>
        <w:tab/>
      </w:r>
      <w:r>
        <w:rPr>
          <w:szCs w:val="21"/>
        </w:rPr>
        <w:t>6</w:t>
      </w:r>
      <w:r w:rsidRPr="00240504">
        <w:rPr>
          <w:szCs w:val="21"/>
        </w:rPr>
        <w:t>.</w:t>
      </w:r>
      <w:r w:rsidRPr="00240504">
        <w:rPr>
          <w:szCs w:val="21"/>
        </w:rPr>
        <w:tab/>
      </w:r>
      <w:r w:rsidRPr="00240504">
        <w:rPr>
          <w:rFonts w:eastAsia="KaiTi_GB2312"/>
          <w:szCs w:val="21"/>
          <w:lang w:val="en-GB"/>
        </w:rPr>
        <w:t>又请</w:t>
      </w:r>
      <w:r w:rsidRPr="00240504">
        <w:rPr>
          <w:szCs w:val="21"/>
        </w:rPr>
        <w:t>特别报告员与相关利益攸关方协商，在联合国人权事务高级专员的</w:t>
      </w:r>
      <w:r>
        <w:rPr>
          <w:rFonts w:hint="eastAsia"/>
          <w:szCs w:val="21"/>
        </w:rPr>
        <w:t>协助</w:t>
      </w:r>
      <w:r w:rsidRPr="00240504">
        <w:rPr>
          <w:szCs w:val="21"/>
        </w:rPr>
        <w:t>下，拟定一份与危险物质及废料的无害环境管理和处置有关的人权义务良好做法指南，并与其报告一起提交人权理事会第三十六届会议；</w:t>
      </w:r>
    </w:p>
    <w:p w:rsidR="00B65424" w:rsidRDefault="00B65424" w:rsidP="00B65424">
      <w:pPr>
        <w:pStyle w:val="SingleTxtGC"/>
        <w:rPr>
          <w:rFonts w:hint="eastAsia"/>
          <w:szCs w:val="21"/>
        </w:rPr>
      </w:pPr>
      <w:r>
        <w:rPr>
          <w:rFonts w:hint="eastAsia"/>
          <w:szCs w:val="21"/>
        </w:rPr>
        <w:tab/>
      </w:r>
      <w:r>
        <w:rPr>
          <w:szCs w:val="21"/>
        </w:rPr>
        <w:t>7</w:t>
      </w:r>
      <w:r w:rsidRPr="00240504">
        <w:rPr>
          <w:szCs w:val="21"/>
        </w:rPr>
        <w:t>.</w:t>
      </w:r>
      <w:r w:rsidRPr="00240504">
        <w:rPr>
          <w:szCs w:val="21"/>
        </w:rPr>
        <w:tab/>
      </w:r>
      <w:r w:rsidRPr="00A85B84">
        <w:rPr>
          <w:rFonts w:eastAsia="KaiTi_GB2312" w:hint="eastAsia"/>
          <w:szCs w:val="21"/>
          <w:lang w:val="en-GB"/>
        </w:rPr>
        <w:t>还</w:t>
      </w:r>
      <w:r w:rsidRPr="00240504">
        <w:rPr>
          <w:rFonts w:eastAsia="KaiTi_GB2312"/>
          <w:szCs w:val="21"/>
          <w:lang w:val="en-GB"/>
        </w:rPr>
        <w:t>请</w:t>
      </w:r>
      <w:r w:rsidRPr="00240504">
        <w:rPr>
          <w:szCs w:val="21"/>
        </w:rPr>
        <w:t>特别报告员为拟定该指南组</w:t>
      </w:r>
      <w:r>
        <w:rPr>
          <w:rFonts w:hint="eastAsia"/>
          <w:szCs w:val="21"/>
        </w:rPr>
        <w:t>办两</w:t>
      </w:r>
      <w:r w:rsidRPr="00240504">
        <w:rPr>
          <w:szCs w:val="21"/>
        </w:rPr>
        <w:t>次国际</w:t>
      </w:r>
      <w:r>
        <w:rPr>
          <w:rFonts w:hint="eastAsia"/>
          <w:szCs w:val="21"/>
        </w:rPr>
        <w:t>专家</w:t>
      </w:r>
      <w:r w:rsidRPr="00240504">
        <w:rPr>
          <w:szCs w:val="21"/>
        </w:rPr>
        <w:t>会议</w:t>
      </w:r>
      <w:r>
        <w:rPr>
          <w:szCs w:val="21"/>
        </w:rPr>
        <w:t>(</w:t>
      </w:r>
      <w:r>
        <w:rPr>
          <w:rFonts w:hint="eastAsia"/>
          <w:szCs w:val="21"/>
        </w:rPr>
        <w:t>由</w:t>
      </w:r>
      <w:r w:rsidRPr="00240504">
        <w:rPr>
          <w:szCs w:val="21"/>
        </w:rPr>
        <w:t>来自各区域的</w:t>
      </w:r>
      <w:r>
        <w:rPr>
          <w:rFonts w:hint="eastAsia"/>
          <w:szCs w:val="21"/>
        </w:rPr>
        <w:t>五名</w:t>
      </w:r>
      <w:r w:rsidRPr="00240504">
        <w:rPr>
          <w:szCs w:val="21"/>
        </w:rPr>
        <w:t>专家</w:t>
      </w:r>
      <w:r>
        <w:rPr>
          <w:rFonts w:hint="eastAsia"/>
          <w:szCs w:val="21"/>
        </w:rPr>
        <w:t>参加</w:t>
      </w:r>
      <w:r>
        <w:rPr>
          <w:szCs w:val="21"/>
        </w:rPr>
        <w:t>)</w:t>
      </w:r>
      <w:r w:rsidRPr="00240504">
        <w:rPr>
          <w:szCs w:val="21"/>
        </w:rPr>
        <w:t>，</w:t>
      </w:r>
      <w:r>
        <w:rPr>
          <w:rFonts w:hint="eastAsia"/>
          <w:szCs w:val="21"/>
        </w:rPr>
        <w:t>同时</w:t>
      </w:r>
      <w:r w:rsidRPr="00240504">
        <w:rPr>
          <w:szCs w:val="21"/>
        </w:rPr>
        <w:t>反映其他有关人权机制、联合国专门机构和其他国际组织、政府专家、国家人权机构及民间社会的意见；</w:t>
      </w:r>
    </w:p>
    <w:p w:rsidR="00B65424" w:rsidRDefault="00B65424" w:rsidP="00B65424">
      <w:pPr>
        <w:pStyle w:val="SingleTxtGC"/>
        <w:rPr>
          <w:rFonts w:hint="eastAsia"/>
          <w:szCs w:val="21"/>
        </w:rPr>
      </w:pPr>
      <w:r>
        <w:rPr>
          <w:rFonts w:hint="eastAsia"/>
          <w:szCs w:val="21"/>
        </w:rPr>
        <w:tab/>
      </w:r>
      <w:r>
        <w:rPr>
          <w:szCs w:val="21"/>
        </w:rPr>
        <w:t>8</w:t>
      </w:r>
      <w:r w:rsidRPr="00240504">
        <w:rPr>
          <w:szCs w:val="21"/>
        </w:rPr>
        <w:t>.</w:t>
      </w:r>
      <w:r w:rsidRPr="00240504">
        <w:rPr>
          <w:szCs w:val="21"/>
        </w:rPr>
        <w:tab/>
      </w:r>
      <w:r w:rsidRPr="00240504">
        <w:rPr>
          <w:rFonts w:eastAsia="KaiTi_GB2312"/>
          <w:szCs w:val="21"/>
          <w:lang w:val="en-GB"/>
        </w:rPr>
        <w:t>鼓励</w:t>
      </w:r>
      <w:r w:rsidRPr="00240504">
        <w:rPr>
          <w:szCs w:val="21"/>
        </w:rPr>
        <w:t>特别报告员根据其任务规定，在高级专员办事处的支持和协助下，继续向有关国家政府提供适当机会，以便它们对特别报告员收到并载入其报告的指控作出答复，并在特别报告员提交理事会的报告中反映它们的意见；</w:t>
      </w:r>
    </w:p>
    <w:p w:rsidR="00B65424" w:rsidRDefault="00B65424" w:rsidP="00B65424">
      <w:pPr>
        <w:pStyle w:val="SingleTxtGC"/>
        <w:rPr>
          <w:rFonts w:hint="eastAsia"/>
          <w:szCs w:val="21"/>
        </w:rPr>
      </w:pPr>
      <w:r>
        <w:rPr>
          <w:rFonts w:hint="eastAsia"/>
          <w:szCs w:val="21"/>
        </w:rPr>
        <w:tab/>
      </w:r>
      <w:r>
        <w:rPr>
          <w:szCs w:val="21"/>
        </w:rPr>
        <w:t>9</w:t>
      </w:r>
      <w:r w:rsidRPr="00240504">
        <w:rPr>
          <w:szCs w:val="21"/>
        </w:rPr>
        <w:t>.</w:t>
      </w:r>
      <w:r w:rsidRPr="00240504">
        <w:rPr>
          <w:szCs w:val="21"/>
        </w:rPr>
        <w:tab/>
      </w:r>
      <w:r w:rsidRPr="00240504">
        <w:rPr>
          <w:rFonts w:eastAsia="KaiTi_GB2312"/>
          <w:szCs w:val="21"/>
          <w:lang w:val="en-GB"/>
        </w:rPr>
        <w:t>再次</w:t>
      </w:r>
      <w:r>
        <w:rPr>
          <w:rFonts w:eastAsia="KaiTi_GB2312" w:hint="eastAsia"/>
          <w:szCs w:val="21"/>
          <w:lang w:val="en-GB"/>
        </w:rPr>
        <w:t>呼吁</w:t>
      </w:r>
      <w:r w:rsidRPr="00240504">
        <w:rPr>
          <w:szCs w:val="21"/>
        </w:rPr>
        <w:t>各国和其他利益攸关方为特别报告员的工作提供便利，向他提供资料并邀请他访问本国；</w:t>
      </w:r>
    </w:p>
    <w:p w:rsidR="00B65424" w:rsidRDefault="00B65424" w:rsidP="00B65424">
      <w:pPr>
        <w:pStyle w:val="SingleTxtGC"/>
        <w:rPr>
          <w:rFonts w:hint="eastAsia"/>
          <w:szCs w:val="21"/>
        </w:rPr>
      </w:pPr>
      <w:r>
        <w:rPr>
          <w:rFonts w:hint="eastAsia"/>
          <w:szCs w:val="21"/>
        </w:rPr>
        <w:tab/>
      </w:r>
      <w:r>
        <w:rPr>
          <w:szCs w:val="21"/>
        </w:rPr>
        <w:t>1</w:t>
      </w:r>
      <w:r w:rsidRPr="00240504">
        <w:rPr>
          <w:szCs w:val="21"/>
        </w:rPr>
        <w:t>0.</w:t>
      </w:r>
      <w:r w:rsidRPr="00240504">
        <w:rPr>
          <w:szCs w:val="21"/>
        </w:rPr>
        <w:tab/>
      </w:r>
      <w:r w:rsidRPr="00240504">
        <w:rPr>
          <w:rFonts w:eastAsia="KaiTi_GB2312"/>
          <w:szCs w:val="21"/>
          <w:lang w:val="en-GB"/>
        </w:rPr>
        <w:t>又再次</w:t>
      </w:r>
      <w:r>
        <w:rPr>
          <w:rFonts w:eastAsia="KaiTi_GB2312" w:hint="eastAsia"/>
          <w:szCs w:val="21"/>
          <w:lang w:val="en-GB"/>
        </w:rPr>
        <w:t>吁请</w:t>
      </w:r>
      <w:r w:rsidRPr="00240504">
        <w:rPr>
          <w:szCs w:val="21"/>
        </w:rPr>
        <w:t>秘书长和高级专员向特别报告员提供顺利完成任务所需的一切必要协助；</w:t>
      </w:r>
    </w:p>
    <w:p w:rsidR="00B65424" w:rsidRDefault="00B65424" w:rsidP="00B65424">
      <w:pPr>
        <w:pStyle w:val="SingleTxtGC"/>
        <w:rPr>
          <w:rFonts w:hint="eastAsia"/>
          <w:szCs w:val="21"/>
        </w:rPr>
      </w:pPr>
      <w:r>
        <w:rPr>
          <w:rFonts w:hint="eastAsia"/>
          <w:szCs w:val="21"/>
        </w:rPr>
        <w:tab/>
      </w:r>
      <w:r>
        <w:rPr>
          <w:szCs w:val="21"/>
        </w:rPr>
        <w:t>11</w:t>
      </w:r>
      <w:r w:rsidRPr="00240504">
        <w:rPr>
          <w:szCs w:val="21"/>
        </w:rPr>
        <w:t>.</w:t>
      </w:r>
      <w:r w:rsidRPr="00240504">
        <w:rPr>
          <w:szCs w:val="21"/>
        </w:rPr>
        <w:tab/>
      </w:r>
      <w:r w:rsidRPr="00240504">
        <w:rPr>
          <w:rFonts w:eastAsia="KaiTi_GB2312"/>
          <w:szCs w:val="21"/>
          <w:lang w:val="en-GB"/>
        </w:rPr>
        <w:t>决定</w:t>
      </w:r>
      <w:r w:rsidRPr="00240504">
        <w:rPr>
          <w:szCs w:val="21"/>
        </w:rPr>
        <w:t>根据理事会工作方案在同一议程项目下继续审议此</w:t>
      </w:r>
      <w:r>
        <w:rPr>
          <w:rFonts w:hint="eastAsia"/>
          <w:szCs w:val="21"/>
        </w:rPr>
        <w:t>事</w:t>
      </w:r>
      <w:r w:rsidRPr="00240504">
        <w:rPr>
          <w:szCs w:val="21"/>
        </w:rPr>
        <w:t>。</w:t>
      </w:r>
    </w:p>
    <w:p w:rsidR="00B65424" w:rsidRDefault="00B65424" w:rsidP="00B65424">
      <w:pPr>
        <w:pStyle w:val="SingleTxtGC"/>
        <w:spacing w:after="0"/>
        <w:jc w:val="right"/>
        <w:rPr>
          <w:rFonts w:eastAsia="KaiTi_GB2312"/>
          <w:lang w:val="fr-FR"/>
        </w:rPr>
      </w:pPr>
      <w:r>
        <w:rPr>
          <w:rFonts w:eastAsia="KaiTi_GB2312"/>
        </w:rPr>
        <w:t>2014</w:t>
      </w:r>
      <w:r>
        <w:rPr>
          <w:rFonts w:eastAsia="KaiTi_GB2312" w:hint="eastAsia"/>
        </w:rPr>
        <w:t>年</w:t>
      </w:r>
      <w:r>
        <w:rPr>
          <w:rFonts w:eastAsia="KaiTi_GB2312" w:hint="eastAsia"/>
        </w:rPr>
        <w:t>9</w:t>
      </w:r>
      <w:r>
        <w:rPr>
          <w:rFonts w:eastAsia="KaiTi_GB2312" w:hint="eastAsia"/>
        </w:rPr>
        <w:t>月</w:t>
      </w:r>
      <w:r>
        <w:rPr>
          <w:rFonts w:eastAsia="KaiTi_GB2312"/>
        </w:rPr>
        <w:t>2</w:t>
      </w:r>
      <w:r>
        <w:rPr>
          <w:rFonts w:eastAsia="KaiTi_GB2312" w:hint="eastAsia"/>
        </w:rPr>
        <w:t>6</w:t>
      </w:r>
      <w:r>
        <w:rPr>
          <w:rFonts w:eastAsia="KaiTi_GB2312" w:hint="eastAsia"/>
        </w:rPr>
        <w:t>日</w:t>
      </w:r>
    </w:p>
    <w:p w:rsidR="00B65424" w:rsidRDefault="00B65424" w:rsidP="00B65424">
      <w:pPr>
        <w:pStyle w:val="SingleTxtGC"/>
        <w:jc w:val="right"/>
        <w:rPr>
          <w:rFonts w:eastAsia="KaiTi_GB2312"/>
        </w:rPr>
      </w:pPr>
      <w:r>
        <w:rPr>
          <w:rFonts w:eastAsia="KaiTi_GB2312" w:hint="eastAsia"/>
        </w:rPr>
        <w:t>第</w:t>
      </w:r>
      <w:r>
        <w:rPr>
          <w:rFonts w:eastAsia="KaiTi_GB2312" w:hint="eastAsia"/>
        </w:rPr>
        <w:t>40</w:t>
      </w:r>
      <w:r>
        <w:rPr>
          <w:rFonts w:eastAsia="KaiTi_GB2312" w:hint="eastAsia"/>
        </w:rPr>
        <w:t>次会议</w:t>
      </w:r>
    </w:p>
    <w:p w:rsidR="00B65424" w:rsidRPr="00240504" w:rsidRDefault="00B65424" w:rsidP="00B65424">
      <w:pPr>
        <w:pStyle w:val="SingleTxtGC"/>
        <w:rPr>
          <w:szCs w:val="21"/>
        </w:rPr>
      </w:pPr>
      <w:r>
        <w:rPr>
          <w:szCs w:val="21"/>
        </w:rPr>
        <w:t>[</w:t>
      </w:r>
      <w:r>
        <w:rPr>
          <w:rFonts w:hint="eastAsia"/>
          <w:szCs w:val="21"/>
        </w:rPr>
        <w:t>未</w:t>
      </w:r>
      <w:r>
        <w:rPr>
          <w:rFonts w:ascii="SimSun" w:hAnsi="SimSun" w:cs="SimSun" w:hint="eastAsia"/>
          <w:szCs w:val="21"/>
        </w:rPr>
        <w:t>经表决获得通过。]</w:t>
      </w:r>
    </w:p>
    <w:p w:rsidR="00B65424" w:rsidRPr="002D6A9C" w:rsidRDefault="00B65424" w:rsidP="00B6542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65424" w:rsidRDefault="00B65424" w:rsidP="00B65424">
      <w:pPr>
        <w:pStyle w:val="SingleTxtGC"/>
        <w:rPr>
          <w:rFonts w:hint="eastAsia"/>
        </w:rPr>
      </w:pPr>
    </w:p>
    <w:p w:rsidR="00B65424" w:rsidRPr="009B1721" w:rsidRDefault="00B65424" w:rsidP="006453C7">
      <w:pPr>
        <w:pStyle w:val="SingleTxtGC"/>
        <w:spacing w:after="0"/>
        <w:ind w:left="0" w:right="0"/>
        <w:rPr>
          <w:rFonts w:eastAsia="SimHei" w:hint="eastAsia"/>
          <w:szCs w:val="21"/>
        </w:rPr>
      </w:pPr>
    </w:p>
    <w:sectPr w:rsidR="00B65424" w:rsidRPr="009B172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9E" w:rsidRPr="00E0554F" w:rsidRDefault="00D4009E"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4009E" w:rsidRPr="00E0554F" w:rsidRDefault="00D4009E"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9E" w:rsidRPr="00422FDE" w:rsidRDefault="00D4009E"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C4C96">
      <w:rPr>
        <w:rStyle w:val="PageNumber"/>
        <w:noProof/>
      </w:rPr>
      <w:t>2</w:t>
    </w:r>
    <w:r>
      <w:rPr>
        <w:rStyle w:val="PageNumber"/>
      </w:rPr>
      <w:fldChar w:fldCharType="end"/>
    </w:r>
    <w:r>
      <w:rPr>
        <w:rStyle w:val="PageNumber"/>
        <w:rFonts w:eastAsia="SimSun" w:hint="eastAsia"/>
        <w:lang w:eastAsia="zh-CN"/>
      </w:rPr>
      <w:tab/>
    </w:r>
    <w:r w:rsidRPr="00422FDE">
      <w:rPr>
        <w:rFonts w:eastAsia="SimSun"/>
        <w:lang w:eastAsia="zh-CN"/>
      </w:rPr>
      <w:t>GE.14-17981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9E" w:rsidRDefault="00D4009E">
    <w:pPr>
      <w:pStyle w:val="Footer"/>
      <w:tabs>
        <w:tab w:val="right" w:pos="9639"/>
      </w:tabs>
    </w:pPr>
    <w:r w:rsidRPr="00422FDE">
      <w:rPr>
        <w:rFonts w:eastAsia="SimSun"/>
        <w:lang w:eastAsia="zh-CN"/>
      </w:rPr>
      <w:t>GE.14-17981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9E" w:rsidRDefault="00D4009E"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3&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17981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141</w:t>
    </w:r>
    <w:r>
      <w:rPr>
        <w:rFonts w:eastAsia="SimSun"/>
        <w:sz w:val="20"/>
        <w:lang w:eastAsia="zh-CN"/>
      </w:rPr>
      <w:t>0</w:t>
    </w:r>
    <w:r>
      <w:rPr>
        <w:rFonts w:eastAsia="SimSun" w:hint="eastAsia"/>
        <w:sz w:val="20"/>
        <w:lang w:eastAsia="zh-CN"/>
      </w:rPr>
      <w:t>14</w:t>
    </w:r>
    <w:r>
      <w:rPr>
        <w:rFonts w:eastAsia="SimSun"/>
        <w:sz w:val="20"/>
        <w:lang w:eastAsia="zh-CN"/>
      </w:rPr>
      <w:tab/>
    </w:r>
    <w:r>
      <w:rPr>
        <w:rFonts w:eastAsia="SimSun" w:hint="eastAsia"/>
        <w:sz w:val="20"/>
        <w:lang w:eastAsia="zh-CN"/>
      </w:rPr>
      <w:t>151</w:t>
    </w:r>
    <w:r>
      <w:rPr>
        <w:rFonts w:eastAsia="SimSun"/>
        <w:sz w:val="20"/>
        <w:lang w:eastAsia="zh-CN"/>
      </w:rPr>
      <w:t>0</w:t>
    </w:r>
    <w:r>
      <w:rPr>
        <w:rFonts w:eastAsia="SimSun" w:hint="eastAsia"/>
        <w:sz w:val="20"/>
        <w:lang w:eastAsia="zh-CN"/>
      </w:rPr>
      <w:t>14</w:t>
    </w:r>
  </w:p>
  <w:p w:rsidR="00D4009E" w:rsidRPr="00613337" w:rsidRDefault="00D4009E"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422FDE">
      <w:rPr>
        <w:rFonts w:ascii="C39T30Lfz" w:eastAsia="SimSun" w:hAnsi="C39T30Lfz"/>
        <w:sz w:val="56"/>
        <w:szCs w:val="56"/>
        <w:lang w:eastAsia="zh-CN"/>
      </w:rPr>
      <w:t></w:t>
    </w:r>
    <w:r w:rsidRPr="00422FDE">
      <w:rPr>
        <w:rFonts w:ascii="C39T30Lfz" w:eastAsia="SimSun" w:hAnsi="C39T30Lfz"/>
        <w:sz w:val="56"/>
        <w:szCs w:val="56"/>
        <w:lang w:eastAsia="zh-CN"/>
      </w:rPr>
      <w:t></w:t>
    </w:r>
    <w:r w:rsidRPr="00422FDE">
      <w:rPr>
        <w:rFonts w:ascii="C39T30Lfz" w:eastAsia="SimSun" w:hAnsi="C39T30Lfz"/>
        <w:sz w:val="56"/>
        <w:szCs w:val="56"/>
        <w:lang w:eastAsia="zh-CN"/>
      </w:rPr>
      <w:t></w:t>
    </w:r>
    <w:r w:rsidRPr="00422FDE">
      <w:rPr>
        <w:rFonts w:ascii="C39T30Lfz" w:eastAsia="SimSun" w:hAnsi="C39T30Lfz"/>
        <w:sz w:val="56"/>
        <w:szCs w:val="56"/>
        <w:lang w:eastAsia="zh-CN"/>
      </w:rPr>
      <w:t></w:t>
    </w:r>
    <w:r w:rsidRPr="00422FDE">
      <w:rPr>
        <w:rFonts w:ascii="C39T30Lfz" w:eastAsia="SimSun" w:hAnsi="C39T30Lfz"/>
        <w:sz w:val="56"/>
        <w:szCs w:val="56"/>
        <w:lang w:eastAsia="zh-CN"/>
      </w:rPr>
      <w:t></w:t>
    </w:r>
    <w:r w:rsidRPr="00422FDE">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9E" w:rsidRPr="000157B1" w:rsidRDefault="00D4009E"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D4009E" w:rsidRPr="000157B1" w:rsidRDefault="00D4009E"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D4009E" w:rsidRDefault="00D4009E"/>
  </w:footnote>
  <w:footnote w:id="2">
    <w:p w:rsidR="00D4009E" w:rsidRDefault="00D4009E" w:rsidP="001367E2">
      <w:pPr>
        <w:pStyle w:val="EndnoteText"/>
        <w:spacing w:after="0"/>
      </w:pPr>
      <w:r>
        <w:tab/>
      </w:r>
      <w:r>
        <w:rPr>
          <w:rStyle w:val="FootnoteReference"/>
        </w:rPr>
        <w:footnoteRef/>
      </w:r>
      <w:r>
        <w:tab/>
      </w:r>
      <w:r w:rsidRPr="009F1184">
        <w:t>A/HRC/27/54</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9E" w:rsidRPr="00422FDE" w:rsidRDefault="00D4009E">
    <w:pPr>
      <w:pStyle w:val="Header"/>
    </w:pPr>
    <w:r w:rsidRPr="00422FDE">
      <w:t>A/HRC/RES/27/23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9E" w:rsidRPr="00422FDE" w:rsidRDefault="00D4009E">
    <w:pPr>
      <w:pStyle w:val="Header"/>
      <w:jc w:val="right"/>
      <w:rPr>
        <w:rFonts w:hint="eastAsia"/>
        <w:lang w:eastAsia="zh-CN"/>
      </w:rPr>
    </w:pPr>
    <w:r w:rsidRPr="00422FDE">
      <w:rPr>
        <w:lang w:eastAsia="zh-CN"/>
      </w:rPr>
      <w:t>A/HRC/RES/27/23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5D234AD6"/>
    <w:multiLevelType w:val="hybridMultilevel"/>
    <w:tmpl w:val="7B2496C2"/>
    <w:lvl w:ilvl="0" w:tplc="37F4EA9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8"/>
  </w:num>
  <w:num w:numId="17">
    <w:abstractNumId w:val="13"/>
  </w:num>
  <w:num w:numId="18">
    <w:abstractNumId w:val="28"/>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9"/>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9"/>
  </w:num>
  <w:num w:numId="35">
    <w:abstractNumId w:val="27"/>
  </w:num>
  <w:num w:numId="36">
    <w:abstractNumId w:val="22"/>
  </w:num>
  <w:num w:numId="37">
    <w:abstractNumId w:val="16"/>
  </w:num>
  <w:num w:numId="38">
    <w:abstractNumId w:val="10"/>
  </w:num>
  <w:num w:numId="39">
    <w:abstractNumId w:val="20"/>
  </w:num>
  <w:num w:numId="40">
    <w:abstractNumId w:val="11"/>
  </w:num>
  <w:num w:numId="41">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FDE"/>
    <w:rsid w:val="0000411A"/>
    <w:rsid w:val="00005A89"/>
    <w:rsid w:val="00007BCF"/>
    <w:rsid w:val="000157B1"/>
    <w:rsid w:val="00050226"/>
    <w:rsid w:val="0005102E"/>
    <w:rsid w:val="000637CE"/>
    <w:rsid w:val="00082E10"/>
    <w:rsid w:val="000A03EB"/>
    <w:rsid w:val="000A7C04"/>
    <w:rsid w:val="000C416A"/>
    <w:rsid w:val="000D1E21"/>
    <w:rsid w:val="000D39E1"/>
    <w:rsid w:val="000F5937"/>
    <w:rsid w:val="00100536"/>
    <w:rsid w:val="00107C15"/>
    <w:rsid w:val="00107C77"/>
    <w:rsid w:val="00111D10"/>
    <w:rsid w:val="00125776"/>
    <w:rsid w:val="00127C05"/>
    <w:rsid w:val="00132181"/>
    <w:rsid w:val="001367E2"/>
    <w:rsid w:val="00140B6A"/>
    <w:rsid w:val="00145946"/>
    <w:rsid w:val="00145C92"/>
    <w:rsid w:val="001613CE"/>
    <w:rsid w:val="00165F4E"/>
    <w:rsid w:val="001A23E8"/>
    <w:rsid w:val="001A2F1C"/>
    <w:rsid w:val="001A5624"/>
    <w:rsid w:val="001B11DB"/>
    <w:rsid w:val="001C1935"/>
    <w:rsid w:val="001C3E9A"/>
    <w:rsid w:val="0024012F"/>
    <w:rsid w:val="002629D4"/>
    <w:rsid w:val="00280515"/>
    <w:rsid w:val="00286515"/>
    <w:rsid w:val="002D31D6"/>
    <w:rsid w:val="002D3FCB"/>
    <w:rsid w:val="002E68BE"/>
    <w:rsid w:val="002F3F47"/>
    <w:rsid w:val="002F6678"/>
    <w:rsid w:val="00306AE9"/>
    <w:rsid w:val="00315796"/>
    <w:rsid w:val="00322B61"/>
    <w:rsid w:val="00322F28"/>
    <w:rsid w:val="0035200A"/>
    <w:rsid w:val="003734E0"/>
    <w:rsid w:val="00382B00"/>
    <w:rsid w:val="003836F1"/>
    <w:rsid w:val="00385C14"/>
    <w:rsid w:val="003A79F6"/>
    <w:rsid w:val="003B038F"/>
    <w:rsid w:val="003C27FE"/>
    <w:rsid w:val="003F65D6"/>
    <w:rsid w:val="003F7BF8"/>
    <w:rsid w:val="00400A2E"/>
    <w:rsid w:val="00407FCF"/>
    <w:rsid w:val="00422FDE"/>
    <w:rsid w:val="0044178A"/>
    <w:rsid w:val="00453A81"/>
    <w:rsid w:val="00467D72"/>
    <w:rsid w:val="004746B9"/>
    <w:rsid w:val="004755EF"/>
    <w:rsid w:val="004858FB"/>
    <w:rsid w:val="00486766"/>
    <w:rsid w:val="00487358"/>
    <w:rsid w:val="00497F5C"/>
    <w:rsid w:val="004B6DD4"/>
    <w:rsid w:val="004C5291"/>
    <w:rsid w:val="004D1280"/>
    <w:rsid w:val="004D7F04"/>
    <w:rsid w:val="004E6C67"/>
    <w:rsid w:val="004F7C9A"/>
    <w:rsid w:val="00500866"/>
    <w:rsid w:val="00535843"/>
    <w:rsid w:val="00571343"/>
    <w:rsid w:val="00572547"/>
    <w:rsid w:val="00582C70"/>
    <w:rsid w:val="005906E6"/>
    <w:rsid w:val="005A5B0A"/>
    <w:rsid w:val="005B0D8A"/>
    <w:rsid w:val="005F34AF"/>
    <w:rsid w:val="005F4B29"/>
    <w:rsid w:val="00613337"/>
    <w:rsid w:val="00614D7D"/>
    <w:rsid w:val="00630755"/>
    <w:rsid w:val="00637441"/>
    <w:rsid w:val="00637834"/>
    <w:rsid w:val="006453C7"/>
    <w:rsid w:val="00647FD7"/>
    <w:rsid w:val="00654172"/>
    <w:rsid w:val="00670C28"/>
    <w:rsid w:val="0067129C"/>
    <w:rsid w:val="00690C33"/>
    <w:rsid w:val="00697A6C"/>
    <w:rsid w:val="006B1273"/>
    <w:rsid w:val="006B3300"/>
    <w:rsid w:val="006B3471"/>
    <w:rsid w:val="006D002F"/>
    <w:rsid w:val="006E0708"/>
    <w:rsid w:val="006E3CD4"/>
    <w:rsid w:val="006E7DF9"/>
    <w:rsid w:val="006E7E21"/>
    <w:rsid w:val="007131E3"/>
    <w:rsid w:val="00717C19"/>
    <w:rsid w:val="007418FE"/>
    <w:rsid w:val="00751C2E"/>
    <w:rsid w:val="007522B5"/>
    <w:rsid w:val="00785BE9"/>
    <w:rsid w:val="00786BD2"/>
    <w:rsid w:val="0079116A"/>
    <w:rsid w:val="00796BD3"/>
    <w:rsid w:val="00796EDF"/>
    <w:rsid w:val="007C0B4E"/>
    <w:rsid w:val="007D00F8"/>
    <w:rsid w:val="007D0842"/>
    <w:rsid w:val="007D7229"/>
    <w:rsid w:val="007E7822"/>
    <w:rsid w:val="007F501B"/>
    <w:rsid w:val="00801DCC"/>
    <w:rsid w:val="008029AD"/>
    <w:rsid w:val="0082049D"/>
    <w:rsid w:val="00824A57"/>
    <w:rsid w:val="0083180F"/>
    <w:rsid w:val="00851379"/>
    <w:rsid w:val="00885DC7"/>
    <w:rsid w:val="00890356"/>
    <w:rsid w:val="008A322C"/>
    <w:rsid w:val="008A6AB8"/>
    <w:rsid w:val="008E736A"/>
    <w:rsid w:val="009006FB"/>
    <w:rsid w:val="0095402D"/>
    <w:rsid w:val="00964622"/>
    <w:rsid w:val="0096567D"/>
    <w:rsid w:val="009B1BD6"/>
    <w:rsid w:val="009B419F"/>
    <w:rsid w:val="009D60E5"/>
    <w:rsid w:val="009F6C52"/>
    <w:rsid w:val="009F7338"/>
    <w:rsid w:val="00A067AD"/>
    <w:rsid w:val="00A26748"/>
    <w:rsid w:val="00A36F72"/>
    <w:rsid w:val="00A67F3E"/>
    <w:rsid w:val="00A95BD9"/>
    <w:rsid w:val="00A97235"/>
    <w:rsid w:val="00AD6719"/>
    <w:rsid w:val="00AE4D20"/>
    <w:rsid w:val="00B16973"/>
    <w:rsid w:val="00B30642"/>
    <w:rsid w:val="00B34537"/>
    <w:rsid w:val="00B61E34"/>
    <w:rsid w:val="00B624FD"/>
    <w:rsid w:val="00B65424"/>
    <w:rsid w:val="00B82B2A"/>
    <w:rsid w:val="00B8703D"/>
    <w:rsid w:val="00B9104B"/>
    <w:rsid w:val="00B97559"/>
    <w:rsid w:val="00BC2A65"/>
    <w:rsid w:val="00BC3D38"/>
    <w:rsid w:val="00BE4EAA"/>
    <w:rsid w:val="00BF6DC5"/>
    <w:rsid w:val="00BF7E3F"/>
    <w:rsid w:val="00C143D7"/>
    <w:rsid w:val="00C435EE"/>
    <w:rsid w:val="00C62277"/>
    <w:rsid w:val="00C623B2"/>
    <w:rsid w:val="00C80DA9"/>
    <w:rsid w:val="00C862E5"/>
    <w:rsid w:val="00CA073C"/>
    <w:rsid w:val="00CA4105"/>
    <w:rsid w:val="00CB5BC9"/>
    <w:rsid w:val="00CC4C96"/>
    <w:rsid w:val="00CE6DB5"/>
    <w:rsid w:val="00D2146D"/>
    <w:rsid w:val="00D4009E"/>
    <w:rsid w:val="00D43F71"/>
    <w:rsid w:val="00D445AD"/>
    <w:rsid w:val="00D54DF4"/>
    <w:rsid w:val="00D56026"/>
    <w:rsid w:val="00D619F6"/>
    <w:rsid w:val="00D723AC"/>
    <w:rsid w:val="00D84673"/>
    <w:rsid w:val="00DA7104"/>
    <w:rsid w:val="00DD66BC"/>
    <w:rsid w:val="00DF4798"/>
    <w:rsid w:val="00E05040"/>
    <w:rsid w:val="00E0554F"/>
    <w:rsid w:val="00E1548B"/>
    <w:rsid w:val="00E40A46"/>
    <w:rsid w:val="00E422D4"/>
    <w:rsid w:val="00E54840"/>
    <w:rsid w:val="00E911E5"/>
    <w:rsid w:val="00E91C05"/>
    <w:rsid w:val="00EE0918"/>
    <w:rsid w:val="00EE277A"/>
    <w:rsid w:val="00EF3508"/>
    <w:rsid w:val="00F24218"/>
    <w:rsid w:val="00F41BAF"/>
    <w:rsid w:val="00F50AC2"/>
    <w:rsid w:val="00F50CB9"/>
    <w:rsid w:val="00F53D4C"/>
    <w:rsid w:val="00F54A14"/>
    <w:rsid w:val="00F61015"/>
    <w:rsid w:val="00F70079"/>
    <w:rsid w:val="00F72A3C"/>
    <w:rsid w:val="00F75048"/>
    <w:rsid w:val="00F75357"/>
    <w:rsid w:val="00F806C4"/>
    <w:rsid w:val="00FC6A02"/>
    <w:rsid w:val="00FD07F6"/>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link w:val="EndnoteTextChar"/>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character" w:customStyle="1" w:styleId="SingleTxtGCChar">
    <w:name w:val="_ Single Txt_GC Char"/>
    <w:link w:val="SingleTxtGC"/>
    <w:locked/>
    <w:rsid w:val="006453C7"/>
    <w:rPr>
      <w:rFonts w:eastAsia="SimSun"/>
      <w:snapToGrid w:val="0"/>
      <w:sz w:val="21"/>
      <w:lang w:val="en-US" w:eastAsia="zh-CN" w:bidi="ar-SA"/>
    </w:rPr>
  </w:style>
  <w:style w:type="character" w:customStyle="1" w:styleId="EndnoteTextChar">
    <w:name w:val="Endnote Text Char"/>
    <w:link w:val="EndnoteText"/>
    <w:rsid w:val="006453C7"/>
    <w:rPr>
      <w:rFonts w:eastAsia="SimSun"/>
      <w:snapToGrid w:val="0"/>
      <w:sz w:val="18"/>
      <w:lang w:val="en-US" w:eastAsia="zh-CN" w:bidi="ar-SA"/>
    </w:rPr>
  </w:style>
  <w:style w:type="character" w:customStyle="1" w:styleId="atn">
    <w:name w:val="atn"/>
    <w:rsid w:val="006453C7"/>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1</TotalTime>
  <Pages>2</Pages>
  <Words>637</Words>
  <Characters>701</Characters>
  <Application>Microsoft Office Outlook</Application>
  <DocSecurity>4</DocSecurity>
  <Lines>35</Lines>
  <Paragraphs>35</Paragraphs>
  <ScaleCrop>false</ScaleCrop>
  <Company>CSD</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2014-10-15T12:36:00Z</cp:lastPrinted>
  <dcterms:created xsi:type="dcterms:W3CDTF">2014-10-15T12:36:00Z</dcterms:created>
  <dcterms:modified xsi:type="dcterms:W3CDTF">2014-10-15T12:37:00Z</dcterms:modified>
</cp:coreProperties>
</file>