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BD3F83" w:rsidP="00BD3F83">
            <w:pPr>
              <w:bidi w:val="0"/>
              <w:spacing w:after="20"/>
              <w:jc w:val="left"/>
              <w:rPr>
                <w:szCs w:val="20"/>
              </w:rPr>
            </w:pPr>
            <w:r w:rsidRPr="00BD3F83">
              <w:rPr>
                <w:sz w:val="40"/>
                <w:szCs w:val="20"/>
              </w:rPr>
              <w:t>A</w:t>
            </w:r>
            <w:r>
              <w:rPr>
                <w:szCs w:val="20"/>
              </w:rPr>
              <w:t>/HRC/RES/22/</w:t>
            </w:r>
            <w:r w:rsidR="002B0DD4">
              <w:rPr>
                <w:szCs w:val="20"/>
              </w:rPr>
              <w:t>2</w:t>
            </w:r>
            <w:r>
              <w:rPr>
                <w:szCs w:val="20"/>
              </w:rPr>
              <w:t>3</w:t>
            </w:r>
            <w:r w:rsidR="004B0C88" w:rsidRPr="004B0C88">
              <w:rPr>
                <w:rStyle w:val="FootnoteReference"/>
                <w:sz w:val="20"/>
                <w:vertAlign w:val="baseline"/>
                <w:rtl/>
              </w:rPr>
              <w:footnoteReference w:customMarkFollows="1" w:id="1"/>
              <w:t>*</w:t>
            </w:r>
          </w:p>
        </w:tc>
      </w:tr>
      <w:tr w:rsidR="00257225" w:rsidRPr="00DB7679" w:rsidTr="007A79AC">
        <w:trPr>
          <w:trHeight w:hRule="exact" w:val="2754"/>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r w:rsidRPr="00DB7679">
              <w:rPr>
                <w:rFonts w:hint="cs"/>
                <w:b/>
                <w:bCs/>
                <w:szCs w:val="60"/>
                <w:rtl/>
              </w:rPr>
              <w:t>الجمعية العامة</w:t>
            </w:r>
          </w:p>
        </w:tc>
        <w:tc>
          <w:tcPr>
            <w:tcW w:w="4522" w:type="dxa"/>
            <w:tcBorders>
              <w:top w:val="single" w:sz="4" w:space="0" w:color="auto"/>
              <w:bottom w:val="single" w:sz="12" w:space="0" w:color="auto"/>
            </w:tcBorders>
          </w:tcPr>
          <w:p w:rsidR="00BD3F83" w:rsidRDefault="00BD3F83" w:rsidP="00BD3F83">
            <w:pPr>
              <w:bidi w:val="0"/>
              <w:spacing w:before="240"/>
              <w:jc w:val="left"/>
            </w:pPr>
            <w:r>
              <w:t>Distr.: General</w:t>
            </w:r>
          </w:p>
          <w:p w:rsidR="00BD3F83" w:rsidRDefault="00BD3F83" w:rsidP="00BD3F83">
            <w:pPr>
              <w:bidi w:val="0"/>
              <w:jc w:val="left"/>
            </w:pPr>
            <w:r>
              <w:t>15 April 2013</w:t>
            </w:r>
          </w:p>
          <w:p w:rsidR="00BD3F83" w:rsidRDefault="00BD3F83" w:rsidP="00BD3F83">
            <w:pPr>
              <w:bidi w:val="0"/>
              <w:jc w:val="left"/>
            </w:pPr>
          </w:p>
          <w:p w:rsidR="00257225" w:rsidRPr="008B4BC6" w:rsidRDefault="00BD3F83" w:rsidP="002E59CE">
            <w:pPr>
              <w:bidi w:val="0"/>
              <w:ind w:right="2522"/>
              <w:jc w:val="left"/>
            </w:pPr>
            <w:r>
              <w:t xml:space="preserve">Arabic, Chinese, English and </w:t>
            </w:r>
            <w:r w:rsidR="00F621F1">
              <w:t>Spanish</w:t>
            </w:r>
            <w:r>
              <w:t xml:space="preserve"> only</w:t>
            </w:r>
          </w:p>
        </w:tc>
      </w:tr>
    </w:tbl>
    <w:p w:rsidR="0012164D" w:rsidRPr="00D400D3" w:rsidRDefault="0012164D" w:rsidP="00B3372B">
      <w:pPr>
        <w:spacing w:before="120" w:line="360" w:lineRule="exact"/>
        <w:rPr>
          <w:b/>
          <w:bCs/>
          <w:sz w:val="26"/>
          <w:szCs w:val="36"/>
          <w:rtl/>
        </w:rPr>
      </w:pPr>
      <w:r w:rsidRPr="00D400D3">
        <w:rPr>
          <w:b/>
          <w:bCs/>
          <w:sz w:val="26"/>
          <w:szCs w:val="36"/>
          <w:rtl/>
        </w:rPr>
        <w:t>مجلس حقوق الإنسان</w:t>
      </w:r>
    </w:p>
    <w:p w:rsidR="0012164D" w:rsidRPr="00D400D3" w:rsidRDefault="0012164D" w:rsidP="00B3372B">
      <w:pPr>
        <w:spacing w:line="360" w:lineRule="exact"/>
        <w:rPr>
          <w:b/>
          <w:bCs/>
          <w:rtl/>
        </w:rPr>
      </w:pPr>
      <w:r w:rsidRPr="00D400D3">
        <w:rPr>
          <w:b/>
          <w:bCs/>
          <w:rtl/>
        </w:rPr>
        <w:t>الدورة الثانية والعشرون</w:t>
      </w:r>
    </w:p>
    <w:p w:rsidR="0012164D" w:rsidRDefault="0012164D" w:rsidP="00B3372B">
      <w:pPr>
        <w:spacing w:line="360" w:lineRule="exact"/>
        <w:rPr>
          <w:rtl/>
        </w:rPr>
      </w:pPr>
      <w:r>
        <w:rPr>
          <w:rtl/>
        </w:rPr>
        <w:t>البند 4 من جدول الأعمال</w:t>
      </w:r>
    </w:p>
    <w:p w:rsidR="0012164D" w:rsidRPr="00D400D3" w:rsidRDefault="0012164D" w:rsidP="00B3372B">
      <w:pPr>
        <w:spacing w:line="360" w:lineRule="exact"/>
        <w:rPr>
          <w:b/>
          <w:bCs/>
          <w:rtl/>
        </w:rPr>
      </w:pPr>
      <w:r w:rsidRPr="00D400D3">
        <w:rPr>
          <w:b/>
          <w:bCs/>
          <w:rtl/>
        </w:rPr>
        <w:t>حالات حقوق الإنسان التي تتطلب اهتمام المجلس بها</w:t>
      </w:r>
    </w:p>
    <w:p w:rsidR="0012164D" w:rsidRPr="00472907" w:rsidRDefault="0012164D" w:rsidP="00B3372B">
      <w:pPr>
        <w:pStyle w:val="HChGA"/>
        <w:spacing w:after="120" w:line="400" w:lineRule="exact"/>
        <w:rPr>
          <w:rFonts w:hint="cs"/>
          <w:rtl/>
        </w:rPr>
      </w:pPr>
      <w:r w:rsidRPr="00472907">
        <w:rPr>
          <w:rtl/>
        </w:rPr>
        <w:tab/>
      </w:r>
      <w:r w:rsidRPr="00472907">
        <w:rPr>
          <w:rtl/>
        </w:rPr>
        <w:tab/>
      </w:r>
      <w:r>
        <w:rPr>
          <w:rFonts w:hint="cs"/>
          <w:rtl/>
        </w:rPr>
        <w:t>قرار اعتمده مجلس حقوق الإنسان</w:t>
      </w:r>
      <w:r w:rsidRPr="0012164D">
        <w:rPr>
          <w:rStyle w:val="FootnoteReference"/>
          <w:sz w:val="20"/>
          <w:vertAlign w:val="baseline"/>
          <w:rtl/>
        </w:rPr>
        <w:footnoteReference w:customMarkFollows="1" w:id="2"/>
        <w:t>**</w:t>
      </w:r>
    </w:p>
    <w:p w:rsidR="0012164D" w:rsidRDefault="0012164D" w:rsidP="00B3372B">
      <w:pPr>
        <w:pStyle w:val="HChGA"/>
        <w:spacing w:line="400" w:lineRule="exact"/>
        <w:rPr>
          <w:rtl/>
        </w:rPr>
      </w:pPr>
      <w:r>
        <w:rPr>
          <w:rtl/>
        </w:rPr>
        <w:tab/>
      </w:r>
      <w:r>
        <w:rPr>
          <w:rtl/>
        </w:rPr>
        <w:tab/>
        <w:t>22/</w:t>
      </w:r>
      <w:r>
        <w:rPr>
          <w:rFonts w:hint="cs"/>
          <w:rtl/>
        </w:rPr>
        <w:t>23</w:t>
      </w:r>
      <w:r>
        <w:rPr>
          <w:rFonts w:hint="cs"/>
          <w:rtl/>
        </w:rPr>
        <w:br/>
      </w:r>
      <w:r>
        <w:rPr>
          <w:rtl/>
        </w:rPr>
        <w:t>حالة حقوق الإنسان في جمهورية إيران الإسلامية</w:t>
      </w:r>
    </w:p>
    <w:p w:rsidR="0012164D" w:rsidRPr="0012164D" w:rsidRDefault="0012164D" w:rsidP="0012164D">
      <w:pPr>
        <w:pStyle w:val="SingleTxtGA"/>
        <w:rPr>
          <w:i/>
          <w:iCs/>
          <w:rtl/>
        </w:rPr>
      </w:pPr>
      <w:r w:rsidRPr="0012164D">
        <w:rPr>
          <w:i/>
          <w:iCs/>
          <w:rtl/>
        </w:rPr>
        <w:tab/>
        <w:t xml:space="preserve">إن مجلس حقوق الإنسان، </w:t>
      </w:r>
    </w:p>
    <w:p w:rsidR="0012164D" w:rsidRDefault="0012164D" w:rsidP="00B3372B">
      <w:pPr>
        <w:pStyle w:val="SingleTxtGA"/>
        <w:spacing w:line="360" w:lineRule="exact"/>
        <w:rPr>
          <w:rtl/>
        </w:rPr>
      </w:pPr>
      <w:r>
        <w:rPr>
          <w:rFonts w:hint="cs"/>
          <w:rtl/>
        </w:rPr>
        <w:tab/>
      </w:r>
      <w:r w:rsidRPr="00D400D3">
        <w:rPr>
          <w:i/>
          <w:iCs/>
          <w:rtl/>
        </w:rPr>
        <w:t>إذ يسترشد</w:t>
      </w:r>
      <w:r>
        <w:rPr>
          <w:rtl/>
        </w:rPr>
        <w:t xml:space="preserve"> بميثاق الأمم المتحدة والإعلان العالمي لحقوق الإنسان والعهدين الدوليين الخاصين بحقوق الإنسان و</w:t>
      </w:r>
      <w:r>
        <w:rPr>
          <w:rFonts w:hint="cs"/>
          <w:rtl/>
        </w:rPr>
        <w:t>غير ذلك من</w:t>
      </w:r>
      <w:r>
        <w:rPr>
          <w:rtl/>
        </w:rPr>
        <w:t xml:space="preserve"> صكوك حقوق الإنسان</w:t>
      </w:r>
      <w:r w:rsidRPr="00557EAB">
        <w:rPr>
          <w:rtl/>
        </w:rPr>
        <w:t xml:space="preserve"> </w:t>
      </w:r>
      <w:r>
        <w:rPr>
          <w:rtl/>
        </w:rPr>
        <w:t>الدولية ذات الصلة،</w:t>
      </w:r>
    </w:p>
    <w:p w:rsidR="0012164D" w:rsidRDefault="0012164D" w:rsidP="00B3372B">
      <w:pPr>
        <w:pStyle w:val="SingleTxtGA"/>
        <w:spacing w:line="360" w:lineRule="exact"/>
        <w:rPr>
          <w:rtl/>
        </w:rPr>
      </w:pPr>
      <w:r>
        <w:rPr>
          <w:rFonts w:hint="cs"/>
          <w:rtl/>
        </w:rPr>
        <w:tab/>
      </w:r>
      <w:r w:rsidRPr="00D400D3">
        <w:rPr>
          <w:i/>
          <w:iCs/>
          <w:rtl/>
        </w:rPr>
        <w:t>وإذ يشير</w:t>
      </w:r>
      <w:r>
        <w:rPr>
          <w:rtl/>
        </w:rPr>
        <w:t xml:space="preserve"> إلى قراري مجلس حقوق الإنسان 16/9 المؤرخ 24 آذار/مارس 2011 و19/12 المؤرخ 22 آذار/مارس 2012، وقرار الجمعية العامة 67/182 المؤرخ 20 كانون الأول/ديسمبر 2012، وجميع القرارات السابقة للجمعية العامة بشأن حالة حقوق الإنسان في جمهورية إيران الإسلامية، وإذ يعرب عن أسفه لعدم تعاون جمهورية إيران الإسلامية </w:t>
      </w:r>
      <w:r>
        <w:rPr>
          <w:rFonts w:hint="cs"/>
          <w:rtl/>
        </w:rPr>
        <w:t xml:space="preserve">فيما يخص </w:t>
      </w:r>
      <w:r>
        <w:rPr>
          <w:rtl/>
        </w:rPr>
        <w:t>طلبات المجلس والجمعية العامة الواردة في تلك القرارات،</w:t>
      </w:r>
    </w:p>
    <w:p w:rsidR="0012164D" w:rsidRDefault="0012164D" w:rsidP="00B3372B">
      <w:pPr>
        <w:pStyle w:val="SingleTxtGA"/>
        <w:spacing w:after="0" w:line="360" w:lineRule="exact"/>
        <w:rPr>
          <w:rFonts w:hint="cs"/>
          <w:rtl/>
        </w:rPr>
      </w:pPr>
      <w:r>
        <w:rPr>
          <w:rFonts w:hint="cs"/>
          <w:rtl/>
        </w:rPr>
        <w:tab/>
      </w:r>
      <w:r w:rsidRPr="00D400D3">
        <w:rPr>
          <w:i/>
          <w:iCs/>
          <w:rtl/>
        </w:rPr>
        <w:t>وإذ يرحب</w:t>
      </w:r>
      <w:r>
        <w:rPr>
          <w:rtl/>
        </w:rPr>
        <w:t xml:space="preserve"> بما قدمه المقرر الخاص المعني بحالة حقوق الإنسان في جمهورية إيران الإسلامية من تقرير وتوصيات إلى مجلس حقوق الإنسان</w:t>
      </w:r>
      <w:r>
        <w:rPr>
          <w:vertAlign w:val="superscript"/>
          <w:rtl/>
        </w:rPr>
        <w:t>(</w:t>
      </w:r>
      <w:r>
        <w:rPr>
          <w:rStyle w:val="FootnoteReference"/>
          <w:rtl/>
        </w:rPr>
        <w:footnoteReference w:id="3"/>
      </w:r>
      <w:r>
        <w:rPr>
          <w:vertAlign w:val="superscript"/>
          <w:rtl/>
        </w:rPr>
        <w:t>)</w:t>
      </w:r>
      <w:r>
        <w:rPr>
          <w:rtl/>
        </w:rPr>
        <w:t>، وإذ يعرب عن قلق شديد إزاء التطورات المشار إليها في ذلك التقرير وإزاء عدم السماح للمقرر الخاص بالسفر إلى جمهورية إيران الإسلامية،</w:t>
      </w:r>
    </w:p>
    <w:p w:rsidR="0012164D" w:rsidRPr="00D400D3" w:rsidRDefault="0012164D" w:rsidP="0012164D">
      <w:pPr>
        <w:pStyle w:val="SingleTxtGA"/>
        <w:rPr>
          <w:rFonts w:hint="cs"/>
          <w:spacing w:val="-2"/>
          <w:rtl/>
        </w:rPr>
      </w:pPr>
      <w:r w:rsidRPr="00D400D3">
        <w:rPr>
          <w:rFonts w:hint="cs"/>
          <w:spacing w:val="-2"/>
          <w:rtl/>
        </w:rPr>
        <w:tab/>
      </w:r>
      <w:r w:rsidRPr="00D400D3">
        <w:rPr>
          <w:i/>
          <w:iCs/>
          <w:spacing w:val="-2"/>
          <w:rtl/>
        </w:rPr>
        <w:t>وإذ يشير</w:t>
      </w:r>
      <w:r w:rsidRPr="00D400D3">
        <w:rPr>
          <w:spacing w:val="-2"/>
          <w:rtl/>
        </w:rPr>
        <w:t xml:space="preserve"> إلى قراريه 5/1 بشأن بناء مؤسسات المجلس و5/2 بشأن مدونة قواعد</w:t>
      </w:r>
      <w:r>
        <w:rPr>
          <w:rFonts w:hint="cs"/>
          <w:spacing w:val="-2"/>
          <w:rtl/>
        </w:rPr>
        <w:t> </w:t>
      </w:r>
      <w:r w:rsidRPr="00D400D3">
        <w:rPr>
          <w:spacing w:val="-2"/>
          <w:rtl/>
        </w:rPr>
        <w:t>السلوك للمكلفين بولايات في إطار الإجراءات الخاصة للمجلس، المؤرخَيْن 18 حزيران/</w:t>
      </w:r>
      <w:r>
        <w:rPr>
          <w:rFonts w:hint="cs"/>
          <w:spacing w:val="-2"/>
          <w:rtl/>
        </w:rPr>
        <w:t xml:space="preserve"> </w:t>
      </w:r>
      <w:r w:rsidRPr="00D400D3">
        <w:rPr>
          <w:spacing w:val="-2"/>
          <w:rtl/>
        </w:rPr>
        <w:t xml:space="preserve">يونيه 2007، وإذ يشدد على </w:t>
      </w:r>
      <w:r>
        <w:rPr>
          <w:rFonts w:hint="cs"/>
          <w:spacing w:val="-2"/>
          <w:rtl/>
        </w:rPr>
        <w:t xml:space="preserve">ضرورة اضطلاع </w:t>
      </w:r>
      <w:r>
        <w:rPr>
          <w:spacing w:val="-2"/>
          <w:rtl/>
        </w:rPr>
        <w:t>المكلف</w:t>
      </w:r>
      <w:r>
        <w:rPr>
          <w:rFonts w:hint="cs"/>
          <w:spacing w:val="-2"/>
          <w:rtl/>
        </w:rPr>
        <w:t>ي</w:t>
      </w:r>
      <w:r w:rsidRPr="00D400D3">
        <w:rPr>
          <w:spacing w:val="-2"/>
          <w:rtl/>
        </w:rPr>
        <w:t>ن بولاية بمهامهم وفقاً لهذين القرارين</w:t>
      </w:r>
      <w:r>
        <w:rPr>
          <w:rFonts w:hint="cs"/>
          <w:spacing w:val="-2"/>
          <w:rtl/>
        </w:rPr>
        <w:t> </w:t>
      </w:r>
      <w:r w:rsidRPr="00D400D3">
        <w:rPr>
          <w:spacing w:val="-2"/>
          <w:rtl/>
        </w:rPr>
        <w:t>ولمرفقاتهما،</w:t>
      </w:r>
    </w:p>
    <w:p w:rsidR="0012164D" w:rsidRDefault="0012164D" w:rsidP="0012164D">
      <w:pPr>
        <w:pStyle w:val="SingleTxtGA"/>
        <w:rPr>
          <w:rtl/>
        </w:rPr>
      </w:pPr>
      <w:r>
        <w:rPr>
          <w:rFonts w:hint="cs"/>
          <w:rtl/>
        </w:rPr>
        <w:tab/>
      </w:r>
      <w:r>
        <w:rPr>
          <w:rtl/>
        </w:rPr>
        <w:t>1-</w:t>
      </w:r>
      <w:r>
        <w:rPr>
          <w:rtl/>
        </w:rPr>
        <w:tab/>
      </w:r>
      <w:r w:rsidRPr="00D400D3">
        <w:rPr>
          <w:i/>
          <w:iCs/>
          <w:rtl/>
        </w:rPr>
        <w:t>يقرر</w:t>
      </w:r>
      <w:r>
        <w:rPr>
          <w:rtl/>
        </w:rPr>
        <w:t xml:space="preserve"> تمديد ولاية المقرر الخاص المعني بحالة حقوق الإنسان في جمهورية إيران الإسلامية لمدة عام آخر، ويطلب إلى المقرر الخاص أن يقدم تقريراً عن تنفيذ ولايته إلى مجلس حقوق الإنسان في دورته الخامسة والعشرين، وإلى الجمعية العامة في دورتها الثامنة والستين؛</w:t>
      </w:r>
    </w:p>
    <w:p w:rsidR="0012164D" w:rsidRPr="00557EAB" w:rsidRDefault="0012164D" w:rsidP="0012164D">
      <w:pPr>
        <w:pStyle w:val="SingleTxtGA"/>
        <w:rPr>
          <w:spacing w:val="2"/>
          <w:rtl/>
        </w:rPr>
      </w:pPr>
      <w:r w:rsidRPr="00557EAB">
        <w:rPr>
          <w:rFonts w:hint="cs"/>
          <w:spacing w:val="2"/>
          <w:rtl/>
        </w:rPr>
        <w:tab/>
      </w:r>
      <w:r w:rsidRPr="00557EAB">
        <w:rPr>
          <w:spacing w:val="2"/>
          <w:rtl/>
        </w:rPr>
        <w:t>2-</w:t>
      </w:r>
      <w:r w:rsidRPr="00557EAB">
        <w:rPr>
          <w:spacing w:val="2"/>
          <w:rtl/>
        </w:rPr>
        <w:tab/>
      </w:r>
      <w:r w:rsidRPr="00557EAB">
        <w:rPr>
          <w:rFonts w:hint="cs"/>
          <w:i/>
          <w:iCs/>
          <w:spacing w:val="2"/>
          <w:rtl/>
        </w:rPr>
        <w:t>يهيب</w:t>
      </w:r>
      <w:r w:rsidRPr="00557EAB">
        <w:rPr>
          <w:spacing w:val="2"/>
          <w:rtl/>
        </w:rPr>
        <w:t xml:space="preserve"> </w:t>
      </w:r>
      <w:r w:rsidRPr="00557EAB">
        <w:rPr>
          <w:rFonts w:hint="cs"/>
          <w:spacing w:val="2"/>
          <w:rtl/>
        </w:rPr>
        <w:t>ب</w:t>
      </w:r>
      <w:r w:rsidRPr="00557EAB">
        <w:rPr>
          <w:spacing w:val="2"/>
          <w:rtl/>
        </w:rPr>
        <w:t>حكومة جمهورية إيران الإسلامية أن تتعاون تعاوناً كاملاً مع المقرر</w:t>
      </w:r>
      <w:r>
        <w:rPr>
          <w:rFonts w:hint="cs"/>
          <w:spacing w:val="2"/>
          <w:rtl/>
        </w:rPr>
        <w:t> </w:t>
      </w:r>
      <w:r w:rsidRPr="00557EAB">
        <w:rPr>
          <w:spacing w:val="2"/>
          <w:rtl/>
        </w:rPr>
        <w:t>الخاص وأن تسمح له بزيارة البلد و</w:t>
      </w:r>
      <w:r w:rsidRPr="00557EAB">
        <w:rPr>
          <w:rFonts w:hint="cs"/>
          <w:spacing w:val="2"/>
          <w:rtl/>
        </w:rPr>
        <w:t>أن توفر</w:t>
      </w:r>
      <w:r w:rsidRPr="00557EAB">
        <w:rPr>
          <w:spacing w:val="2"/>
          <w:rtl/>
        </w:rPr>
        <w:t xml:space="preserve"> جميع المعلومات الضرورية التي تمكنه من </w:t>
      </w:r>
      <w:r w:rsidRPr="00557EAB">
        <w:rPr>
          <w:rFonts w:hint="cs"/>
          <w:spacing w:val="2"/>
          <w:rtl/>
        </w:rPr>
        <w:t xml:space="preserve">الوفاء </w:t>
      </w:r>
      <w:r w:rsidRPr="00557EAB">
        <w:rPr>
          <w:spacing w:val="2"/>
          <w:rtl/>
        </w:rPr>
        <w:t>بولايته؛</w:t>
      </w:r>
    </w:p>
    <w:p w:rsidR="0012164D" w:rsidRDefault="0012164D" w:rsidP="0012164D">
      <w:pPr>
        <w:pStyle w:val="SingleTxtGA"/>
        <w:rPr>
          <w:rFonts w:hint="cs"/>
          <w:rtl/>
        </w:rPr>
      </w:pPr>
      <w:r>
        <w:rPr>
          <w:rFonts w:hint="cs"/>
          <w:rtl/>
        </w:rPr>
        <w:tab/>
      </w:r>
      <w:r>
        <w:rPr>
          <w:rtl/>
        </w:rPr>
        <w:t>3-</w:t>
      </w:r>
      <w:r>
        <w:rPr>
          <w:rtl/>
        </w:rPr>
        <w:tab/>
      </w:r>
      <w:r w:rsidRPr="00D400D3">
        <w:rPr>
          <w:i/>
          <w:iCs/>
          <w:rtl/>
        </w:rPr>
        <w:t>يطلب</w:t>
      </w:r>
      <w:r>
        <w:rPr>
          <w:rtl/>
        </w:rPr>
        <w:t xml:space="preserve"> إلى الأمين العام أن يزود المقرر الخاص بما يلزم من موارد </w:t>
      </w:r>
      <w:r>
        <w:rPr>
          <w:rFonts w:hint="cs"/>
          <w:rtl/>
        </w:rPr>
        <w:t>للوفاء </w:t>
      </w:r>
      <w:r>
        <w:rPr>
          <w:rtl/>
        </w:rPr>
        <w:t>بالولاية.</w:t>
      </w:r>
    </w:p>
    <w:p w:rsidR="0012164D" w:rsidRPr="00557EAB" w:rsidRDefault="0012164D" w:rsidP="0012164D">
      <w:pPr>
        <w:pStyle w:val="SingleTxtGA"/>
        <w:spacing w:before="120" w:after="0"/>
        <w:jc w:val="right"/>
        <w:rPr>
          <w:rFonts w:hint="cs"/>
          <w:i/>
          <w:iCs/>
          <w:rtl/>
        </w:rPr>
      </w:pPr>
      <w:r w:rsidRPr="00557EAB">
        <w:rPr>
          <w:rFonts w:hint="cs"/>
          <w:i/>
          <w:iCs/>
          <w:rtl/>
        </w:rPr>
        <w:t>الجلسة 49</w:t>
      </w:r>
    </w:p>
    <w:p w:rsidR="0012164D" w:rsidRDefault="0012164D" w:rsidP="0012164D">
      <w:pPr>
        <w:pStyle w:val="SingleTxtGA"/>
        <w:jc w:val="right"/>
        <w:rPr>
          <w:rFonts w:hint="cs"/>
          <w:i/>
          <w:iCs/>
          <w:rtl/>
        </w:rPr>
      </w:pPr>
      <w:r w:rsidRPr="00557EAB">
        <w:rPr>
          <w:rFonts w:hint="cs"/>
          <w:i/>
          <w:iCs/>
          <w:rtl/>
        </w:rPr>
        <w:t>22 آذار/مارس 2013</w:t>
      </w:r>
    </w:p>
    <w:p w:rsidR="0012164D" w:rsidRDefault="0012164D" w:rsidP="0012164D">
      <w:pPr>
        <w:pStyle w:val="SingleTxtGA"/>
        <w:rPr>
          <w:rFonts w:hint="cs"/>
          <w:rtl/>
        </w:rPr>
      </w:pPr>
      <w:r>
        <w:rPr>
          <w:rFonts w:hint="cs"/>
          <w:rtl/>
        </w:rPr>
        <w:t>[اعتُمد بتصويت مسجّل بأغلبية 26 صوتاً مقابل صوتين، وامتناع 17 عضواً عن التصويت. وكانت نتيجة التصويت كما يلي:</w:t>
      </w:r>
    </w:p>
    <w:p w:rsidR="0012164D" w:rsidRPr="001D6D81" w:rsidRDefault="0012164D" w:rsidP="0012164D">
      <w:pPr>
        <w:pStyle w:val="SingleTxtGA"/>
        <w:rPr>
          <w:rFonts w:hint="cs"/>
          <w:i/>
          <w:iCs/>
          <w:rtl/>
        </w:rPr>
      </w:pPr>
      <w:r w:rsidRPr="001D6D81">
        <w:rPr>
          <w:rFonts w:hint="cs"/>
          <w:i/>
          <w:iCs/>
          <w:rtl/>
        </w:rPr>
        <w:t>المؤيدون:</w:t>
      </w:r>
    </w:p>
    <w:p w:rsidR="0012164D" w:rsidRDefault="0012164D" w:rsidP="0012164D">
      <w:pPr>
        <w:pStyle w:val="SingleTxtGA"/>
        <w:ind w:left="1938"/>
        <w:rPr>
          <w:rFonts w:hint="cs"/>
          <w:rtl/>
        </w:rPr>
      </w:pPr>
      <w:r>
        <w:rPr>
          <w:rFonts w:hint="cs"/>
          <w:rtl/>
        </w:rPr>
        <w:t>الأرجنتين، إسبانيا، إستونيا، ألمانيا، آيرلندا، إيطاليا، البرازيل، بوتسوانا، بولندا، بيرو، الجبل الأٍسود، الجمهورية التشيكية، جمهورية كوريا، جمهورية مولدوفا، رومانيا، سويسرا، سيراليون، شيلي، غابون، غواتيمالا، كوستاريكا، ليبيا، ملديف، النمسا، الولايات المتحدة الأمريكية، اليابان</w:t>
      </w:r>
    </w:p>
    <w:p w:rsidR="0012164D" w:rsidRPr="001D6D81" w:rsidRDefault="0012164D" w:rsidP="0012164D">
      <w:pPr>
        <w:pStyle w:val="SingleTxtGA"/>
        <w:tabs>
          <w:tab w:val="clear" w:pos="1928"/>
          <w:tab w:val="left" w:pos="1938"/>
        </w:tabs>
        <w:rPr>
          <w:rFonts w:hint="cs"/>
          <w:i/>
          <w:iCs/>
          <w:rtl/>
        </w:rPr>
      </w:pPr>
      <w:r w:rsidRPr="001D6D81">
        <w:rPr>
          <w:rFonts w:hint="cs"/>
          <w:i/>
          <w:iCs/>
          <w:rtl/>
        </w:rPr>
        <w:t>المعارضون:</w:t>
      </w:r>
    </w:p>
    <w:p w:rsidR="0012164D" w:rsidRDefault="0012164D" w:rsidP="0012164D">
      <w:pPr>
        <w:pStyle w:val="SingleTxtGA"/>
        <w:tabs>
          <w:tab w:val="clear" w:pos="1928"/>
          <w:tab w:val="left" w:pos="1938"/>
        </w:tabs>
        <w:ind w:left="1938"/>
        <w:rPr>
          <w:rFonts w:hint="cs"/>
          <w:rtl/>
        </w:rPr>
      </w:pPr>
      <w:r>
        <w:rPr>
          <w:rFonts w:hint="cs"/>
          <w:rtl/>
        </w:rPr>
        <w:t>باكستان، فنزويلا (جمهورية - البوليفارية)</w:t>
      </w:r>
    </w:p>
    <w:p w:rsidR="0012164D" w:rsidRPr="001D6D81" w:rsidRDefault="0012164D" w:rsidP="0012164D">
      <w:pPr>
        <w:pStyle w:val="SingleTxtGA"/>
        <w:tabs>
          <w:tab w:val="clear" w:pos="1928"/>
          <w:tab w:val="left" w:pos="1938"/>
        </w:tabs>
        <w:rPr>
          <w:rFonts w:hint="cs"/>
          <w:i/>
          <w:iCs/>
          <w:rtl/>
        </w:rPr>
      </w:pPr>
      <w:r w:rsidRPr="001D6D81">
        <w:rPr>
          <w:rFonts w:hint="cs"/>
          <w:i/>
          <w:iCs/>
          <w:rtl/>
        </w:rPr>
        <w:t>الممتنعون</w:t>
      </w:r>
      <w:r w:rsidR="005306E7">
        <w:rPr>
          <w:rFonts w:hint="cs"/>
          <w:i/>
          <w:iCs/>
          <w:rtl/>
        </w:rPr>
        <w:t xml:space="preserve"> عن التصويت</w:t>
      </w:r>
      <w:r w:rsidRPr="001D6D81">
        <w:rPr>
          <w:rFonts w:hint="cs"/>
          <w:i/>
          <w:iCs/>
          <w:rtl/>
        </w:rPr>
        <w:t>:</w:t>
      </w:r>
    </w:p>
    <w:p w:rsidR="0012164D" w:rsidRDefault="0012164D" w:rsidP="0012164D">
      <w:pPr>
        <w:pStyle w:val="SingleTxtGA"/>
        <w:tabs>
          <w:tab w:val="clear" w:pos="1928"/>
          <w:tab w:val="left" w:pos="1938"/>
        </w:tabs>
        <w:ind w:left="1938"/>
        <w:rPr>
          <w:rFonts w:hint="cs"/>
          <w:rtl/>
        </w:rPr>
      </w:pPr>
      <w:r>
        <w:rPr>
          <w:rFonts w:hint="cs"/>
          <w:rtl/>
        </w:rPr>
        <w:t>إثيوبيا، إكوادور، الإمارات العربية المتحدة، إندونيسيا، أنغولا، أوغندا، بنن، بوركينا فاسو، تايلند، الفلبين، كوت ديفوار، الكونغو، الكويت، كينيا، ماليزيا، موريتانيا، الهند</w:t>
      </w:r>
      <w:r w:rsidR="00CC40C1">
        <w:rPr>
          <w:rFonts w:hint="cs"/>
          <w:rtl/>
        </w:rPr>
        <w:t>.</w:t>
      </w:r>
      <w:r>
        <w:rPr>
          <w:rFonts w:hint="cs"/>
          <w:rtl/>
        </w:rPr>
        <w:t>]</w:t>
      </w:r>
    </w:p>
    <w:p w:rsidR="004B0C88" w:rsidRPr="004B0C88" w:rsidRDefault="004B0C88" w:rsidP="004B0C88">
      <w:pPr>
        <w:spacing w:before="120"/>
        <w:jc w:val="center"/>
        <w:rPr>
          <w:rFonts w:hint="cs"/>
          <w:u w:val="single"/>
          <w:rtl/>
        </w:rPr>
      </w:pPr>
      <w:r>
        <w:rPr>
          <w:u w:val="single"/>
          <w:rtl/>
        </w:rPr>
        <w:tab/>
      </w:r>
      <w:r>
        <w:rPr>
          <w:u w:val="single"/>
          <w:rtl/>
        </w:rPr>
        <w:tab/>
      </w:r>
      <w:r>
        <w:rPr>
          <w:u w:val="single"/>
          <w:rtl/>
        </w:rPr>
        <w:tab/>
      </w:r>
    </w:p>
    <w:sectPr w:rsidR="004B0C88" w:rsidRPr="004B0C88" w:rsidSect="00BD3F83">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5D6" w:rsidRPr="00FE6865" w:rsidRDefault="000335D6" w:rsidP="00FE6865">
      <w:pPr>
        <w:pStyle w:val="Footer"/>
      </w:pPr>
    </w:p>
  </w:endnote>
  <w:endnote w:type="continuationSeparator" w:id="0">
    <w:p w:rsidR="000335D6" w:rsidRDefault="000335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D6" w:rsidRPr="00BD3F83" w:rsidRDefault="000335D6" w:rsidP="00BD3F83">
    <w:pPr>
      <w:pStyle w:val="Footer"/>
      <w:tabs>
        <w:tab w:val="right" w:pos="9598"/>
      </w:tabs>
    </w:pPr>
    <w:r>
      <w:t>GE.13-14817</w:t>
    </w:r>
    <w:r>
      <w:tab/>
    </w:r>
    <w:r w:rsidRPr="00BD3F83">
      <w:rPr>
        <w:b/>
        <w:sz w:val="18"/>
      </w:rPr>
      <w:fldChar w:fldCharType="begin"/>
    </w:r>
    <w:r w:rsidRPr="00BD3F83">
      <w:rPr>
        <w:b/>
        <w:sz w:val="18"/>
      </w:rPr>
      <w:instrText xml:space="preserve"> PAGE  \* MERGEFORMAT </w:instrText>
    </w:r>
    <w:r w:rsidRPr="00BD3F83">
      <w:rPr>
        <w:b/>
        <w:sz w:val="18"/>
      </w:rPr>
      <w:fldChar w:fldCharType="separate"/>
    </w:r>
    <w:r>
      <w:rPr>
        <w:b/>
        <w:noProof/>
        <w:sz w:val="18"/>
      </w:rPr>
      <w:t>2</w:t>
    </w:r>
    <w:r w:rsidRPr="00BD3F83">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D6" w:rsidRPr="00BD3F83" w:rsidRDefault="000335D6" w:rsidP="00BD3F83">
    <w:pPr>
      <w:pStyle w:val="Footer"/>
      <w:tabs>
        <w:tab w:val="right" w:pos="9598"/>
      </w:tabs>
      <w:rPr>
        <w:b/>
        <w:sz w:val="18"/>
      </w:rPr>
    </w:pPr>
    <w:r w:rsidRPr="00BD3F83">
      <w:rPr>
        <w:b/>
        <w:sz w:val="18"/>
      </w:rPr>
      <w:fldChar w:fldCharType="begin"/>
    </w:r>
    <w:r w:rsidRPr="00BD3F83">
      <w:rPr>
        <w:b/>
        <w:sz w:val="18"/>
      </w:rPr>
      <w:instrText xml:space="preserve"> PAGE  \* MERGEFORMAT </w:instrText>
    </w:r>
    <w:r w:rsidRPr="00BD3F83">
      <w:rPr>
        <w:b/>
        <w:sz w:val="18"/>
      </w:rPr>
      <w:fldChar w:fldCharType="separate"/>
    </w:r>
    <w:r>
      <w:rPr>
        <w:b/>
        <w:noProof/>
        <w:sz w:val="18"/>
      </w:rPr>
      <w:t>3</w:t>
    </w:r>
    <w:r w:rsidRPr="00BD3F83">
      <w:rPr>
        <w:b/>
        <w:sz w:val="18"/>
      </w:rPr>
      <w:fldChar w:fldCharType="end"/>
    </w:r>
    <w:r>
      <w:rPr>
        <w:b/>
        <w:sz w:val="18"/>
      </w:rPr>
      <w:tab/>
    </w:r>
    <w:r>
      <w:t>GE.13-14817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D6" w:rsidRDefault="000335D6" w:rsidP="00BD3F83">
    <w:pPr>
      <w:pStyle w:val="Footer"/>
      <w:jc w:val="right"/>
    </w:pPr>
    <w:r>
      <w:rPr>
        <w:sz w:val="20"/>
      </w:rPr>
      <w:t>(A)   GE.13-14817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1.7pt;margin-top:739.35pt;width:91.5pt;height:25.5pt;z-index:-1;mso-position-horizontal-relative:page;mso-position-vertical-relative:page" wrapcoords="-177 0 -177 20965 21600 20965 21600 0 -177 0" o:allowincell="f">
          <v:imagedata r:id="rId1" o:title="PleaseRecycleArabic"/>
          <w10:wrap type="tight" anchorx="page" anchory="page"/>
          <w10:anchorlock/>
        </v:shape>
      </w:pict>
    </w:r>
    <w:r>
      <w:rPr>
        <w:sz w:val="20"/>
      </w:rPr>
      <w:t xml:space="preserve">    190613    190613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5D6" w:rsidRDefault="000335D6" w:rsidP="0012164D">
      <w:pPr>
        <w:spacing w:after="80" w:line="240" w:lineRule="exact"/>
        <w:ind w:left="680"/>
      </w:pPr>
      <w:r w:rsidRPr="00C10C26">
        <w:rPr>
          <w:sz w:val="16"/>
          <w:rtl/>
        </w:rPr>
        <w:t>__________</w:t>
      </w:r>
    </w:p>
  </w:footnote>
  <w:footnote w:type="continuationSeparator" w:id="0">
    <w:p w:rsidR="000335D6" w:rsidRDefault="000335D6" w:rsidP="00444AA6">
      <w:pPr>
        <w:pStyle w:val="Footer"/>
        <w:bidi/>
        <w:spacing w:after="80" w:line="200" w:lineRule="exact"/>
        <w:ind w:left="680"/>
      </w:pPr>
      <w:r>
        <w:rPr>
          <w:rFonts w:hint="cs"/>
          <w:rtl/>
        </w:rPr>
        <w:t>__________</w:t>
      </w:r>
    </w:p>
  </w:footnote>
  <w:footnote w:id="1">
    <w:p w:rsidR="000335D6" w:rsidRPr="004B0C88" w:rsidRDefault="000335D6" w:rsidP="00FB2BF0">
      <w:pPr>
        <w:pStyle w:val="footnoteText0"/>
        <w:spacing w:line="280" w:lineRule="exact"/>
        <w:rPr>
          <w:rFonts w:hint="cs"/>
        </w:rPr>
      </w:pPr>
      <w:r>
        <w:rPr>
          <w:rtl/>
        </w:rPr>
        <w:tab/>
      </w:r>
      <w:r w:rsidRPr="004B0C88">
        <w:rPr>
          <w:rStyle w:val="FootnoteReference"/>
          <w:sz w:val="20"/>
          <w:vertAlign w:val="baseline"/>
          <w:rtl/>
        </w:rPr>
        <w:t>*</w:t>
      </w:r>
      <w:r>
        <w:rPr>
          <w:rtl/>
        </w:rPr>
        <w:tab/>
      </w:r>
      <w:r>
        <w:rPr>
          <w:rFonts w:hint="cs"/>
          <w:sz w:val="26"/>
          <w:rtl/>
        </w:rPr>
        <w:t>أعيد إصدارها لأسباب فنية في 19 حزيران/يونيه 2013.</w:t>
      </w:r>
    </w:p>
  </w:footnote>
  <w:footnote w:id="2">
    <w:p w:rsidR="000335D6" w:rsidRPr="0012164D" w:rsidRDefault="000335D6" w:rsidP="00B3372B">
      <w:pPr>
        <w:pStyle w:val="footnoteText0"/>
        <w:spacing w:line="280" w:lineRule="exact"/>
        <w:rPr>
          <w:rFonts w:hint="cs"/>
          <w:rtl/>
        </w:rPr>
      </w:pPr>
      <w:r>
        <w:rPr>
          <w:rtl/>
        </w:rPr>
        <w:tab/>
      </w:r>
      <w:r w:rsidRPr="0012164D">
        <w:rPr>
          <w:rStyle w:val="FootnoteReference"/>
          <w:sz w:val="20"/>
          <w:vertAlign w:val="baseline"/>
          <w:rtl/>
        </w:rPr>
        <w:t>**</w:t>
      </w:r>
      <w:r>
        <w:rPr>
          <w:rtl/>
        </w:rPr>
        <w:tab/>
      </w:r>
      <w:r w:rsidRPr="009659A3">
        <w:rPr>
          <w:rFonts w:hint="cs"/>
          <w:sz w:val="26"/>
          <w:rtl/>
        </w:rPr>
        <w:t>سترد القرارات والمقررات التي اعتمدها مجلس حقوق الإنسان في تقرير المجلس عن أعمال دورته الثانية والعشرين (</w:t>
      </w:r>
      <w:r w:rsidRPr="009659A3">
        <w:t>A/HRC/22/2</w:t>
      </w:r>
      <w:r w:rsidRPr="009659A3">
        <w:rPr>
          <w:rFonts w:hint="cs"/>
          <w:sz w:val="26"/>
          <w:rtl/>
        </w:rPr>
        <w:t>)، الفصل الأول.</w:t>
      </w:r>
    </w:p>
  </w:footnote>
  <w:footnote w:id="3">
    <w:p w:rsidR="000335D6" w:rsidRPr="00D400D3" w:rsidRDefault="000335D6" w:rsidP="00B3372B">
      <w:pPr>
        <w:pStyle w:val="FootnoteText"/>
        <w:numPr>
          <w:ilvl w:val="0"/>
          <w:numId w:val="40"/>
        </w:numPr>
        <w:tabs>
          <w:tab w:val="clear" w:pos="1292"/>
          <w:tab w:val="left" w:pos="1253"/>
        </w:tabs>
        <w:spacing w:after="60" w:line="240" w:lineRule="exact"/>
        <w:ind w:left="1248" w:right="1247"/>
        <w:rPr>
          <w:rFonts w:hint="cs"/>
          <w:sz w:val="18"/>
          <w:szCs w:val="26"/>
        </w:rPr>
      </w:pPr>
      <w:r w:rsidRPr="00D400D3">
        <w:rPr>
          <w:sz w:val="18"/>
          <w:szCs w:val="26"/>
        </w:rPr>
        <w:t>A/HRC/22/56</w:t>
      </w:r>
      <w:r w:rsidRPr="00D400D3">
        <w:rPr>
          <w:rFonts w:hint="cs"/>
          <w:sz w:val="18"/>
          <w:szCs w:val="2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D6" w:rsidRPr="00BD3F83" w:rsidRDefault="000335D6" w:rsidP="00397430">
    <w:pPr>
      <w:pStyle w:val="Header"/>
      <w:jc w:val="right"/>
    </w:pPr>
    <w:r w:rsidRPr="00BD3F83">
      <w:t>A/HRC/RES/22/</w:t>
    </w:r>
    <w:r>
      <w:t>2</w:t>
    </w:r>
    <w:r w:rsidRPr="00BD3F83">
      <w:t>3</w:t>
    </w:r>
    <w:r w:rsidRPr="00662EC0">
      <w:rPr>
        <w:sz w:val="26"/>
        <w:vertAlign w:val="superscript"/>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D6" w:rsidRPr="00BD3F83" w:rsidRDefault="000335D6" w:rsidP="00BD3F83">
    <w:pPr>
      <w:pStyle w:val="Header"/>
      <w:jc w:val="left"/>
    </w:pPr>
    <w:r w:rsidRPr="00BD3F83">
      <w:t>A/HRC/RES/22/33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89F0CF7"/>
    <w:multiLevelType w:val="hybridMultilevel"/>
    <w:tmpl w:val="F2564D5E"/>
    <w:lvl w:ilvl="0" w:tplc="DB723B84">
      <w:start w:val="1"/>
      <w:numFmt w:val="decimal"/>
      <w:lvlRestart w:val="0"/>
      <w:lvlText w:val="(%1)"/>
      <w:lvlJc w:val="right"/>
      <w:pPr>
        <w:tabs>
          <w:tab w:val="num" w:pos="1292"/>
        </w:tabs>
        <w:ind w:left="1292"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8"/>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8"/>
  </w:num>
  <w:num w:numId="15">
    <w:abstractNumId w:val="21"/>
  </w:num>
  <w:num w:numId="16">
    <w:abstractNumId w:val="1"/>
  </w:num>
  <w:num w:numId="17">
    <w:abstractNumId w:val="14"/>
  </w:num>
  <w:num w:numId="18">
    <w:abstractNumId w:val="12"/>
  </w:num>
  <w:num w:numId="19">
    <w:abstractNumId w:val="8"/>
  </w:num>
  <w:num w:numId="20">
    <w:abstractNumId w:val="21"/>
  </w:num>
  <w:num w:numId="21">
    <w:abstractNumId w:val="1"/>
  </w:num>
  <w:num w:numId="22">
    <w:abstractNumId w:val="14"/>
  </w:num>
  <w:num w:numId="23">
    <w:abstractNumId w:val="8"/>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015A"/>
    <w:rsid w:val="000335D6"/>
    <w:rsid w:val="00040E25"/>
    <w:rsid w:val="00042149"/>
    <w:rsid w:val="000648EA"/>
    <w:rsid w:val="000957C8"/>
    <w:rsid w:val="000B52F2"/>
    <w:rsid w:val="000D0EAE"/>
    <w:rsid w:val="000D5380"/>
    <w:rsid w:val="000D6654"/>
    <w:rsid w:val="000F0264"/>
    <w:rsid w:val="000F2EBF"/>
    <w:rsid w:val="000F5FF6"/>
    <w:rsid w:val="00113FA5"/>
    <w:rsid w:val="0012164D"/>
    <w:rsid w:val="001455A0"/>
    <w:rsid w:val="001602A3"/>
    <w:rsid w:val="0019599E"/>
    <w:rsid w:val="001A5161"/>
    <w:rsid w:val="001A60BD"/>
    <w:rsid w:val="00222EE4"/>
    <w:rsid w:val="0023736D"/>
    <w:rsid w:val="00257225"/>
    <w:rsid w:val="00275860"/>
    <w:rsid w:val="00296FC9"/>
    <w:rsid w:val="002B0DD4"/>
    <w:rsid w:val="002E59CE"/>
    <w:rsid w:val="00310160"/>
    <w:rsid w:val="00341A8C"/>
    <w:rsid w:val="003519E6"/>
    <w:rsid w:val="00397430"/>
    <w:rsid w:val="003B4356"/>
    <w:rsid w:val="003F08A8"/>
    <w:rsid w:val="004250E3"/>
    <w:rsid w:val="00444AA6"/>
    <w:rsid w:val="00472A81"/>
    <w:rsid w:val="004B0C88"/>
    <w:rsid w:val="004B2C92"/>
    <w:rsid w:val="004D6A3A"/>
    <w:rsid w:val="004F4AD7"/>
    <w:rsid w:val="005306E7"/>
    <w:rsid w:val="005449D8"/>
    <w:rsid w:val="00557CD3"/>
    <w:rsid w:val="00571432"/>
    <w:rsid w:val="005732A2"/>
    <w:rsid w:val="005762A5"/>
    <w:rsid w:val="00590BA3"/>
    <w:rsid w:val="005A1A9A"/>
    <w:rsid w:val="005B7AE0"/>
    <w:rsid w:val="005F146F"/>
    <w:rsid w:val="005F71B6"/>
    <w:rsid w:val="00660FD4"/>
    <w:rsid w:val="00662EC0"/>
    <w:rsid w:val="006A4425"/>
    <w:rsid w:val="006B4669"/>
    <w:rsid w:val="006C768B"/>
    <w:rsid w:val="006E3473"/>
    <w:rsid w:val="006F6BF8"/>
    <w:rsid w:val="00707BDF"/>
    <w:rsid w:val="00710727"/>
    <w:rsid w:val="00715F45"/>
    <w:rsid w:val="00731B84"/>
    <w:rsid w:val="00734AE7"/>
    <w:rsid w:val="00786B69"/>
    <w:rsid w:val="007A79AC"/>
    <w:rsid w:val="007B599E"/>
    <w:rsid w:val="007E197F"/>
    <w:rsid w:val="007F68C4"/>
    <w:rsid w:val="008153DE"/>
    <w:rsid w:val="00852A10"/>
    <w:rsid w:val="00862634"/>
    <w:rsid w:val="00866C59"/>
    <w:rsid w:val="00877306"/>
    <w:rsid w:val="00887B5C"/>
    <w:rsid w:val="008A6242"/>
    <w:rsid w:val="008B4BC6"/>
    <w:rsid w:val="00901E57"/>
    <w:rsid w:val="00935F0E"/>
    <w:rsid w:val="0095208F"/>
    <w:rsid w:val="00977B3F"/>
    <w:rsid w:val="009814AE"/>
    <w:rsid w:val="00983870"/>
    <w:rsid w:val="00994B89"/>
    <w:rsid w:val="00996BBE"/>
    <w:rsid w:val="009A0C39"/>
    <w:rsid w:val="009D1282"/>
    <w:rsid w:val="009D1DD5"/>
    <w:rsid w:val="00A11DDA"/>
    <w:rsid w:val="00A26157"/>
    <w:rsid w:val="00A265C3"/>
    <w:rsid w:val="00A43F9A"/>
    <w:rsid w:val="00A543D4"/>
    <w:rsid w:val="00AD0014"/>
    <w:rsid w:val="00AD4CF2"/>
    <w:rsid w:val="00AF0BBA"/>
    <w:rsid w:val="00B30468"/>
    <w:rsid w:val="00B3372B"/>
    <w:rsid w:val="00B60E70"/>
    <w:rsid w:val="00B639B9"/>
    <w:rsid w:val="00BB2C41"/>
    <w:rsid w:val="00BC55C8"/>
    <w:rsid w:val="00BC5C10"/>
    <w:rsid w:val="00BD3F83"/>
    <w:rsid w:val="00BE2964"/>
    <w:rsid w:val="00C24FBD"/>
    <w:rsid w:val="00C473BA"/>
    <w:rsid w:val="00C611ED"/>
    <w:rsid w:val="00C6490A"/>
    <w:rsid w:val="00C64FE1"/>
    <w:rsid w:val="00C66164"/>
    <w:rsid w:val="00C8345E"/>
    <w:rsid w:val="00CA4C17"/>
    <w:rsid w:val="00CA5F7C"/>
    <w:rsid w:val="00CC40C1"/>
    <w:rsid w:val="00CE7C87"/>
    <w:rsid w:val="00D06637"/>
    <w:rsid w:val="00D51067"/>
    <w:rsid w:val="00D75657"/>
    <w:rsid w:val="00D960AD"/>
    <w:rsid w:val="00DA0E0E"/>
    <w:rsid w:val="00DB0C39"/>
    <w:rsid w:val="00DB7679"/>
    <w:rsid w:val="00DE3904"/>
    <w:rsid w:val="00DF1702"/>
    <w:rsid w:val="00DF4DD8"/>
    <w:rsid w:val="00DF668E"/>
    <w:rsid w:val="00E05DE3"/>
    <w:rsid w:val="00E14D2B"/>
    <w:rsid w:val="00E20DBA"/>
    <w:rsid w:val="00E660D6"/>
    <w:rsid w:val="00E771AB"/>
    <w:rsid w:val="00EA796F"/>
    <w:rsid w:val="00EB077B"/>
    <w:rsid w:val="00EC50B9"/>
    <w:rsid w:val="00ED26A0"/>
    <w:rsid w:val="00F04473"/>
    <w:rsid w:val="00F1727A"/>
    <w:rsid w:val="00F34764"/>
    <w:rsid w:val="00F54E3C"/>
    <w:rsid w:val="00F621F1"/>
    <w:rsid w:val="00F874BD"/>
    <w:rsid w:val="00FA6DD0"/>
    <w:rsid w:val="00FB2BF0"/>
    <w:rsid w:val="00FB2F0D"/>
    <w:rsid w:val="00FE55A3"/>
    <w:rsid w:val="00FE6865"/>
    <w:rsid w:val="00FF01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2</Pages>
  <Words>380</Words>
  <Characters>2168</Characters>
  <Application>Microsoft Office Outlook</Application>
  <DocSecurity>4</DocSecurity>
  <Lines>18</Lines>
  <Paragraphs>5</Paragraphs>
  <ScaleCrop>false</ScaleCrop>
  <HeadingPairs>
    <vt:vector size="2" baseType="variant">
      <vt:variant>
        <vt:lpstr>العنوان</vt:lpstr>
      </vt:variant>
      <vt:variant>
        <vt:i4>1</vt:i4>
      </vt:variant>
    </vt:vector>
  </HeadingPairs>
  <TitlesOfParts>
    <vt:vector size="1" baseType="lpstr">
      <vt:lpstr>A/HRC/RES/22/33</vt:lpstr>
    </vt:vector>
  </TitlesOfParts>
  <Company>CSD</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A/HRC/RES/22/33</dc:title>
  <dc:subject>Oussar</dc:subject>
  <dc:creator>RIZ</dc:creator>
  <cp:keywords/>
  <dc:description/>
  <cp:lastModifiedBy>RIZ</cp:lastModifiedBy>
  <cp:revision>2</cp:revision>
  <cp:lastPrinted>2013-06-19T14:25:00Z</cp:lastPrinted>
  <dcterms:created xsi:type="dcterms:W3CDTF">2013-06-19T14:40:00Z</dcterms:created>
  <dcterms:modified xsi:type="dcterms:W3CDTF">2013-06-19T14:40:00Z</dcterms:modified>
</cp:coreProperties>
</file>