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793FDD">
        <w:trPr>
          <w:trHeight w:val="851"/>
        </w:trPr>
        <w:tc>
          <w:tcPr>
            <w:tcW w:w="1259" w:type="dxa"/>
            <w:tcBorders>
              <w:top w:val="nil"/>
              <w:left w:val="nil"/>
              <w:bottom w:val="single" w:sz="4" w:space="0" w:color="auto"/>
              <w:right w:val="nil"/>
            </w:tcBorders>
          </w:tcPr>
          <w:p w:rsidR="00446DE4" w:rsidRPr="005E37A5" w:rsidRDefault="00446DE4" w:rsidP="00F225CB">
            <w:pPr>
              <w:tabs>
                <w:tab w:val="right" w:pos="850"/>
                <w:tab w:val="left" w:pos="1134"/>
                <w:tab w:val="right" w:leader="dot" w:pos="8504"/>
              </w:tabs>
              <w:spacing w:line="20" w:lineRule="exact"/>
              <w:rPr>
                <w:sz w:val="2"/>
              </w:rPr>
            </w:pPr>
          </w:p>
          <w:p w:rsidR="00F225CB" w:rsidRPr="005E37A5"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BF674D" w:rsidRDefault="00B3317B" w:rsidP="0022130F">
            <w:pPr>
              <w:spacing w:after="80" w:line="300" w:lineRule="exact"/>
              <w:rPr>
                <w:sz w:val="28"/>
                <w:szCs w:val="28"/>
              </w:rPr>
            </w:pPr>
            <w:r w:rsidRPr="00BF674D">
              <w:rPr>
                <w:sz w:val="28"/>
                <w:szCs w:val="28"/>
              </w:rPr>
              <w:t>United Nations</w:t>
            </w:r>
          </w:p>
        </w:tc>
        <w:tc>
          <w:tcPr>
            <w:tcW w:w="6144" w:type="dxa"/>
            <w:gridSpan w:val="2"/>
            <w:tcBorders>
              <w:top w:val="nil"/>
              <w:left w:val="nil"/>
              <w:bottom w:val="single" w:sz="4" w:space="0" w:color="auto"/>
              <w:right w:val="nil"/>
            </w:tcBorders>
            <w:vAlign w:val="bottom"/>
          </w:tcPr>
          <w:p w:rsidR="00446DE4" w:rsidRPr="00793FDD" w:rsidRDefault="00EE2A77" w:rsidP="00E463A4">
            <w:pPr>
              <w:jc w:val="right"/>
            </w:pPr>
            <w:r w:rsidRPr="00BF674D">
              <w:rPr>
                <w:sz w:val="40"/>
              </w:rPr>
              <w:t>A</w:t>
            </w:r>
            <w:r w:rsidRPr="00BF674D">
              <w:t>/HRC/</w:t>
            </w:r>
            <w:r w:rsidR="00E463A4" w:rsidRPr="00BF674D">
              <w:t>RES/</w:t>
            </w:r>
            <w:r w:rsidR="00944104" w:rsidRPr="00793FDD">
              <w:t>3</w:t>
            </w:r>
            <w:r w:rsidR="007C5E9C" w:rsidRPr="00793FDD">
              <w:t>2</w:t>
            </w:r>
            <w:r w:rsidRPr="00793FDD">
              <w:t>/</w:t>
            </w:r>
            <w:r w:rsidR="00E463A4" w:rsidRPr="00793FDD">
              <w:t>19</w:t>
            </w:r>
          </w:p>
        </w:tc>
      </w:tr>
      <w:tr w:rsidR="003107FA" w:rsidRPr="00793FDD">
        <w:trPr>
          <w:trHeight w:val="2835"/>
        </w:trPr>
        <w:tc>
          <w:tcPr>
            <w:tcW w:w="1259" w:type="dxa"/>
            <w:tcBorders>
              <w:top w:val="single" w:sz="4" w:space="0" w:color="auto"/>
              <w:left w:val="nil"/>
              <w:bottom w:val="single" w:sz="12" w:space="0" w:color="auto"/>
              <w:right w:val="nil"/>
            </w:tcBorders>
          </w:tcPr>
          <w:p w:rsidR="003107FA" w:rsidRPr="00793FDD" w:rsidRDefault="004939B3" w:rsidP="00956D9B">
            <w:pPr>
              <w:spacing w:before="120"/>
              <w:jc w:val="center"/>
            </w:pPr>
            <w:r w:rsidRPr="00750619">
              <w:rPr>
                <w:noProof/>
                <w:lang w:eastAsia="zh-CN"/>
              </w:rPr>
              <w:drawing>
                <wp:inline distT="0" distB="0" distL="0" distR="0" wp14:anchorId="603CC89D" wp14:editId="16E90D86">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793FDD" w:rsidRDefault="00B3317B" w:rsidP="00EF5BDB">
            <w:pPr>
              <w:spacing w:before="120" w:line="420" w:lineRule="exact"/>
              <w:rPr>
                <w:b/>
                <w:sz w:val="40"/>
                <w:szCs w:val="40"/>
              </w:rPr>
            </w:pPr>
            <w:r w:rsidRPr="00793FDD">
              <w:rPr>
                <w:b/>
                <w:sz w:val="40"/>
                <w:szCs w:val="40"/>
              </w:rPr>
              <w:t>General Assembly</w:t>
            </w:r>
          </w:p>
          <w:p w:rsidR="004A6F4A" w:rsidRPr="00793FDD" w:rsidRDefault="004A6F4A" w:rsidP="004A6F4A">
            <w:pPr>
              <w:spacing w:before="120" w:line="420" w:lineRule="exact"/>
              <w:rPr>
                <w:b/>
                <w:sz w:val="40"/>
                <w:szCs w:val="40"/>
              </w:rPr>
            </w:pPr>
          </w:p>
        </w:tc>
        <w:tc>
          <w:tcPr>
            <w:tcW w:w="2930" w:type="dxa"/>
            <w:tcBorders>
              <w:top w:val="single" w:sz="4" w:space="0" w:color="auto"/>
              <w:left w:val="nil"/>
              <w:bottom w:val="single" w:sz="12" w:space="0" w:color="auto"/>
              <w:right w:val="nil"/>
            </w:tcBorders>
          </w:tcPr>
          <w:p w:rsidR="00EE2A77" w:rsidRPr="00793FDD" w:rsidRDefault="00EE2A77" w:rsidP="00EE2A77">
            <w:pPr>
              <w:spacing w:before="240" w:line="240" w:lineRule="exact"/>
            </w:pPr>
            <w:r w:rsidRPr="00793FDD">
              <w:t xml:space="preserve">Distr.: </w:t>
            </w:r>
            <w:r w:rsidR="00E463A4" w:rsidRPr="00793FDD">
              <w:t>General</w:t>
            </w:r>
          </w:p>
          <w:p w:rsidR="00EE2A77" w:rsidRPr="00793FDD" w:rsidRDefault="00E463A4" w:rsidP="00EE2A77">
            <w:pPr>
              <w:spacing w:line="240" w:lineRule="exact"/>
            </w:pPr>
            <w:r w:rsidRPr="00793FDD">
              <w:t>1</w:t>
            </w:r>
            <w:r w:rsidR="007E1B61">
              <w:t>9</w:t>
            </w:r>
            <w:r w:rsidRPr="00793FDD">
              <w:t xml:space="preserve"> July</w:t>
            </w:r>
            <w:r w:rsidR="00D42B42" w:rsidRPr="00793FDD">
              <w:t xml:space="preserve"> 2016</w:t>
            </w:r>
          </w:p>
          <w:p w:rsidR="006D5F84" w:rsidRPr="00793FDD" w:rsidRDefault="006D5F84" w:rsidP="00EE2A77">
            <w:pPr>
              <w:spacing w:line="240" w:lineRule="exact"/>
            </w:pPr>
          </w:p>
          <w:p w:rsidR="003107FA" w:rsidRPr="00793FDD" w:rsidRDefault="00EE2A77" w:rsidP="00EE2A77">
            <w:pPr>
              <w:spacing w:line="240" w:lineRule="exact"/>
            </w:pPr>
            <w:r w:rsidRPr="00793FDD">
              <w:t>Original: English</w:t>
            </w:r>
          </w:p>
        </w:tc>
      </w:tr>
    </w:tbl>
    <w:p w:rsidR="00EE2A77" w:rsidRPr="00793FDD" w:rsidRDefault="00EE2A77" w:rsidP="00EE2A77">
      <w:pPr>
        <w:spacing w:before="120"/>
        <w:rPr>
          <w:b/>
          <w:sz w:val="24"/>
          <w:szCs w:val="24"/>
        </w:rPr>
      </w:pPr>
      <w:r w:rsidRPr="00793FDD">
        <w:rPr>
          <w:b/>
          <w:sz w:val="24"/>
          <w:szCs w:val="24"/>
        </w:rPr>
        <w:t>Human Rights Council</w:t>
      </w:r>
    </w:p>
    <w:p w:rsidR="00EE2A77" w:rsidRPr="00793FDD" w:rsidRDefault="00944104" w:rsidP="00EE2A77">
      <w:pPr>
        <w:rPr>
          <w:b/>
        </w:rPr>
      </w:pPr>
      <w:r w:rsidRPr="00793FDD">
        <w:rPr>
          <w:b/>
        </w:rPr>
        <w:t>Thirt</w:t>
      </w:r>
      <w:r w:rsidR="00D42B42" w:rsidRPr="00793FDD">
        <w:rPr>
          <w:b/>
        </w:rPr>
        <w:t>y-</w:t>
      </w:r>
      <w:r w:rsidR="007C5E9C" w:rsidRPr="00793FDD">
        <w:rPr>
          <w:b/>
        </w:rPr>
        <w:t>second</w:t>
      </w:r>
      <w:r w:rsidR="00674C17" w:rsidRPr="00793FDD">
        <w:rPr>
          <w:b/>
        </w:rPr>
        <w:t xml:space="preserve"> </w:t>
      </w:r>
      <w:proofErr w:type="gramStart"/>
      <w:r w:rsidR="00EE2A77" w:rsidRPr="00793FDD">
        <w:rPr>
          <w:b/>
        </w:rPr>
        <w:t>session</w:t>
      </w:r>
      <w:proofErr w:type="gramEnd"/>
    </w:p>
    <w:p w:rsidR="00EE2A77" w:rsidRPr="00793FDD" w:rsidRDefault="00EE2A77" w:rsidP="00EE2A77">
      <w:r w:rsidRPr="00793FDD">
        <w:t>Agenda item 3</w:t>
      </w:r>
    </w:p>
    <w:p w:rsidR="002F006E" w:rsidRPr="009836C9" w:rsidRDefault="00E463A4" w:rsidP="009836C9">
      <w:pPr>
        <w:pStyle w:val="HChG"/>
        <w:ind w:right="0"/>
        <w:jc w:val="center"/>
      </w:pPr>
      <w:r w:rsidRPr="009836C9">
        <w:t>R</w:t>
      </w:r>
      <w:r w:rsidR="002F006E" w:rsidRPr="009836C9">
        <w:t>esolution</w:t>
      </w:r>
      <w:r w:rsidRPr="009836C9">
        <w:t xml:space="preserve"> adopted by the Human Rights Council on 1 July 2016</w:t>
      </w:r>
    </w:p>
    <w:p w:rsidR="00736D5F" w:rsidRPr="00793FDD" w:rsidRDefault="00944104" w:rsidP="00E463A4">
      <w:pPr>
        <w:pStyle w:val="H1G"/>
        <w:ind w:left="2268"/>
        <w:rPr>
          <w:bCs/>
        </w:rPr>
      </w:pPr>
      <w:r w:rsidRPr="00793FDD">
        <w:t>3</w:t>
      </w:r>
      <w:r w:rsidR="007C5E9C" w:rsidRPr="00793FDD">
        <w:t>2</w:t>
      </w:r>
      <w:r w:rsidRPr="00793FDD">
        <w:t>/</w:t>
      </w:r>
      <w:r w:rsidR="00E463A4" w:rsidRPr="00793FDD">
        <w:t>19.</w:t>
      </w:r>
      <w:r w:rsidRPr="00793FDD">
        <w:tab/>
      </w:r>
      <w:r w:rsidR="00736D5F" w:rsidRPr="00793FDD">
        <w:rPr>
          <w:bCs/>
        </w:rPr>
        <w:t xml:space="preserve">Accelerating efforts to eliminate violence against women: </w:t>
      </w:r>
      <w:r w:rsidR="00DC6065" w:rsidRPr="00793FDD">
        <w:rPr>
          <w:bCs/>
        </w:rPr>
        <w:t>p</w:t>
      </w:r>
      <w:r w:rsidR="00736D5F" w:rsidRPr="00793FDD">
        <w:rPr>
          <w:bCs/>
        </w:rPr>
        <w:t>reventi</w:t>
      </w:r>
      <w:bookmarkStart w:id="0" w:name="_GoBack"/>
      <w:bookmarkEnd w:id="0"/>
      <w:r w:rsidR="00736D5F" w:rsidRPr="00793FDD">
        <w:rPr>
          <w:bCs/>
        </w:rPr>
        <w:t>ng and responding to violence against women and girls, including indigenous women and girls</w:t>
      </w:r>
    </w:p>
    <w:p w:rsidR="002F006E" w:rsidRPr="00793FDD" w:rsidRDefault="002F006E" w:rsidP="00402A2C">
      <w:pPr>
        <w:pStyle w:val="SingleTxtG"/>
      </w:pPr>
      <w:r w:rsidRPr="00793FDD">
        <w:tab/>
      </w:r>
      <w:r w:rsidRPr="00793FDD">
        <w:rPr>
          <w:i/>
        </w:rPr>
        <w:t>The Human Rights Council</w:t>
      </w:r>
      <w:r w:rsidRPr="00793FDD">
        <w:t>,</w:t>
      </w:r>
    </w:p>
    <w:p w:rsidR="00736D5F" w:rsidRPr="00793FDD" w:rsidRDefault="00736D5F" w:rsidP="00875241">
      <w:pPr>
        <w:pStyle w:val="SingleTxtG"/>
        <w:ind w:firstLine="567"/>
        <w:rPr>
          <w:rFonts w:eastAsia="Calibri"/>
          <w:u w:color="FF0000"/>
        </w:rPr>
      </w:pPr>
      <w:r w:rsidRPr="00793FDD">
        <w:rPr>
          <w:rFonts w:eastAsia="Calibri"/>
          <w:bCs/>
          <w:i/>
          <w:iCs/>
        </w:rPr>
        <w:t>Reaffirming</w:t>
      </w:r>
      <w:r w:rsidRPr="00793FDD">
        <w:rPr>
          <w:rFonts w:eastAsia="Calibri"/>
          <w:i/>
          <w:iCs/>
        </w:rPr>
        <w:t xml:space="preserve"> </w:t>
      </w:r>
      <w:r w:rsidRPr="00793FDD">
        <w:rPr>
          <w:rFonts w:eastAsia="Calibri"/>
        </w:rPr>
        <w:t>the purposes and principles of the Charter of the United Nations and the Universal Declaration of Human Rights,</w:t>
      </w:r>
      <w:r w:rsidRPr="00793FDD">
        <w:rPr>
          <w:rFonts w:eastAsia="Calibri"/>
          <w:u w:color="FF0000"/>
        </w:rPr>
        <w:t xml:space="preserve"> </w:t>
      </w:r>
    </w:p>
    <w:p w:rsidR="00736D5F" w:rsidRPr="00793FDD" w:rsidRDefault="00736D5F" w:rsidP="00875241">
      <w:pPr>
        <w:pStyle w:val="SingleTxtG"/>
        <w:ind w:firstLine="567"/>
        <w:rPr>
          <w:rFonts w:eastAsia="Calibri"/>
        </w:rPr>
      </w:pPr>
      <w:r w:rsidRPr="00793FDD">
        <w:rPr>
          <w:rFonts w:eastAsia="Calibri"/>
          <w:i/>
          <w:iCs/>
        </w:rPr>
        <w:t xml:space="preserve">Recalling </w:t>
      </w:r>
      <w:r w:rsidRPr="00793FDD">
        <w:rPr>
          <w:rFonts w:eastAsia="Calibri"/>
        </w:rPr>
        <w:t>the Convention on the Elimination of All Forms of Discrimination against Women, the Convention on the Rights of the Child</w:t>
      </w:r>
      <w:r w:rsidR="00C54837" w:rsidRPr="00793FDD">
        <w:rPr>
          <w:rFonts w:eastAsia="Calibri"/>
        </w:rPr>
        <w:t>,</w:t>
      </w:r>
      <w:r w:rsidRPr="00793FDD">
        <w:rPr>
          <w:rFonts w:eastAsia="Calibri"/>
        </w:rPr>
        <w:t xml:space="preserve"> the Convention on the Rights of Persons with Disabilities </w:t>
      </w:r>
      <w:r w:rsidR="00C54837" w:rsidRPr="00793FDD">
        <w:rPr>
          <w:rFonts w:eastAsia="Calibri"/>
        </w:rPr>
        <w:t xml:space="preserve">and </w:t>
      </w:r>
      <w:r w:rsidRPr="00793FDD">
        <w:rPr>
          <w:rFonts w:eastAsia="Calibri"/>
        </w:rPr>
        <w:t>the International Convention on the Elimination of All Forms of Racial Discrimination</w:t>
      </w:r>
      <w:r w:rsidR="00C54837" w:rsidRPr="00793FDD">
        <w:rPr>
          <w:rFonts w:eastAsia="Calibri"/>
        </w:rPr>
        <w:t>,</w:t>
      </w:r>
      <w:r w:rsidRPr="00793FDD">
        <w:rPr>
          <w:rFonts w:eastAsia="Calibri"/>
        </w:rPr>
        <w:t xml:space="preserve"> </w:t>
      </w:r>
    </w:p>
    <w:p w:rsidR="00736D5F" w:rsidRPr="00793FDD" w:rsidRDefault="00736D5F" w:rsidP="00875241">
      <w:pPr>
        <w:pStyle w:val="SingleTxtG"/>
        <w:ind w:firstLine="567"/>
        <w:rPr>
          <w:rFonts w:eastAsia="Calibri"/>
        </w:rPr>
      </w:pPr>
      <w:r w:rsidRPr="00793FDD">
        <w:rPr>
          <w:rFonts w:eastAsia="Calibri"/>
          <w:i/>
          <w:iCs/>
        </w:rPr>
        <w:t>Reaffirming</w:t>
      </w:r>
      <w:r w:rsidR="00DC6065" w:rsidRPr="00793FDD">
        <w:rPr>
          <w:rFonts w:eastAsia="Calibri"/>
          <w:i/>
          <w:iCs/>
        </w:rPr>
        <w:t xml:space="preserve"> </w:t>
      </w:r>
      <w:r w:rsidRPr="00793FDD">
        <w:rPr>
          <w:rFonts w:eastAsia="Calibri"/>
        </w:rPr>
        <w:t xml:space="preserve">the Vienna Declaration and Programme of Action, the Declaration on the Elimination of Violence against Women, the Beijing Declaration and Platform for Action and the Programme of Action of the International Conference on Population and Development, and the outcomes of their review conferences, </w:t>
      </w:r>
    </w:p>
    <w:p w:rsidR="00736D5F" w:rsidRPr="00793FDD" w:rsidRDefault="00736D5F" w:rsidP="00875241">
      <w:pPr>
        <w:pStyle w:val="SingleTxtG"/>
        <w:ind w:firstLine="567"/>
        <w:rPr>
          <w:rFonts w:eastAsia="Calibri"/>
          <w:u w:color="FF0000"/>
        </w:rPr>
      </w:pPr>
      <w:r w:rsidRPr="00793FDD">
        <w:rPr>
          <w:rFonts w:eastAsia="Calibri"/>
          <w:i/>
        </w:rPr>
        <w:t>Welcoming</w:t>
      </w:r>
      <w:r w:rsidRPr="00793FDD">
        <w:rPr>
          <w:rFonts w:eastAsia="Calibri"/>
        </w:rPr>
        <w:t xml:space="preserve"> the World Health Organization </w:t>
      </w:r>
      <w:r w:rsidR="00C54837" w:rsidRPr="00793FDD">
        <w:rPr>
          <w:rFonts w:eastAsia="Calibri"/>
        </w:rPr>
        <w:t>g</w:t>
      </w:r>
      <w:r w:rsidRPr="00793FDD">
        <w:rPr>
          <w:rFonts w:eastAsia="Calibri"/>
        </w:rPr>
        <w:t xml:space="preserve">lobal </w:t>
      </w:r>
      <w:r w:rsidR="00C54837" w:rsidRPr="00793FDD">
        <w:rPr>
          <w:rFonts w:eastAsia="Calibri"/>
        </w:rPr>
        <w:t>p</w:t>
      </w:r>
      <w:r w:rsidRPr="00793FDD">
        <w:rPr>
          <w:rFonts w:eastAsia="Calibri"/>
        </w:rPr>
        <w:t xml:space="preserve">lan of </w:t>
      </w:r>
      <w:r w:rsidR="00C54837" w:rsidRPr="00793FDD">
        <w:rPr>
          <w:rFonts w:eastAsia="Calibri"/>
        </w:rPr>
        <w:t>a</w:t>
      </w:r>
      <w:r w:rsidRPr="00793FDD">
        <w:rPr>
          <w:rFonts w:eastAsia="Calibri"/>
        </w:rPr>
        <w:t xml:space="preserve">ction to </w:t>
      </w:r>
      <w:r w:rsidR="00C54837" w:rsidRPr="00793FDD">
        <w:rPr>
          <w:rFonts w:eastAsia="Calibri"/>
        </w:rPr>
        <w:t>s</w:t>
      </w:r>
      <w:r w:rsidRPr="00793FDD">
        <w:rPr>
          <w:rFonts w:eastAsia="Calibri"/>
        </w:rPr>
        <w:t xml:space="preserve">trengthen the </w:t>
      </w:r>
      <w:r w:rsidR="00C54837" w:rsidRPr="00793FDD">
        <w:rPr>
          <w:rFonts w:eastAsia="Calibri"/>
        </w:rPr>
        <w:t>r</w:t>
      </w:r>
      <w:r w:rsidRPr="00793FDD">
        <w:rPr>
          <w:rFonts w:eastAsia="Calibri"/>
        </w:rPr>
        <w:t xml:space="preserve">ole of the </w:t>
      </w:r>
      <w:r w:rsidR="00C54837" w:rsidRPr="00793FDD">
        <w:rPr>
          <w:rFonts w:eastAsia="Calibri"/>
        </w:rPr>
        <w:t>h</w:t>
      </w:r>
      <w:r w:rsidRPr="00793FDD">
        <w:rPr>
          <w:rFonts w:eastAsia="Calibri"/>
        </w:rPr>
        <w:t xml:space="preserve">ealth </w:t>
      </w:r>
      <w:r w:rsidR="00C54837" w:rsidRPr="00793FDD">
        <w:rPr>
          <w:rFonts w:eastAsia="Calibri"/>
        </w:rPr>
        <w:t>s</w:t>
      </w:r>
      <w:r w:rsidRPr="00793FDD">
        <w:rPr>
          <w:rFonts w:eastAsia="Calibri"/>
        </w:rPr>
        <w:t xml:space="preserve">ystem within a </w:t>
      </w:r>
      <w:r w:rsidR="00C54837" w:rsidRPr="00793FDD">
        <w:rPr>
          <w:rFonts w:eastAsia="Calibri"/>
        </w:rPr>
        <w:t>n</w:t>
      </w:r>
      <w:r w:rsidRPr="00793FDD">
        <w:rPr>
          <w:rFonts w:eastAsia="Calibri"/>
        </w:rPr>
        <w:t xml:space="preserve">ational </w:t>
      </w:r>
      <w:r w:rsidR="00C54837" w:rsidRPr="00793FDD">
        <w:rPr>
          <w:rFonts w:eastAsia="Calibri"/>
        </w:rPr>
        <w:t>m</w:t>
      </w:r>
      <w:r w:rsidRPr="00793FDD">
        <w:rPr>
          <w:rFonts w:eastAsia="Calibri"/>
        </w:rPr>
        <w:t xml:space="preserve">ultisectoral </w:t>
      </w:r>
      <w:r w:rsidR="00C54837" w:rsidRPr="00793FDD">
        <w:rPr>
          <w:rFonts w:eastAsia="Calibri"/>
        </w:rPr>
        <w:t>r</w:t>
      </w:r>
      <w:r w:rsidRPr="00793FDD">
        <w:rPr>
          <w:rFonts w:eastAsia="Calibri"/>
        </w:rPr>
        <w:t xml:space="preserve">esponse to </w:t>
      </w:r>
      <w:r w:rsidR="00C54837" w:rsidRPr="00793FDD">
        <w:rPr>
          <w:rFonts w:eastAsia="Calibri"/>
        </w:rPr>
        <w:t>a</w:t>
      </w:r>
      <w:r w:rsidRPr="00793FDD">
        <w:rPr>
          <w:rFonts w:eastAsia="Calibri"/>
        </w:rPr>
        <w:t xml:space="preserve">ddress </w:t>
      </w:r>
      <w:r w:rsidR="00C54837" w:rsidRPr="00793FDD">
        <w:rPr>
          <w:rFonts w:eastAsia="Calibri"/>
        </w:rPr>
        <w:t>i</w:t>
      </w:r>
      <w:r w:rsidRPr="00793FDD">
        <w:rPr>
          <w:rFonts w:eastAsia="Calibri"/>
        </w:rPr>
        <w:t xml:space="preserve">nterpersonal </w:t>
      </w:r>
      <w:r w:rsidR="00C54837" w:rsidRPr="00793FDD">
        <w:rPr>
          <w:rFonts w:eastAsia="Calibri"/>
        </w:rPr>
        <w:t>v</w:t>
      </w:r>
      <w:r w:rsidRPr="00793FDD">
        <w:rPr>
          <w:rFonts w:eastAsia="Calibri"/>
        </w:rPr>
        <w:t xml:space="preserve">iolence, in particular against </w:t>
      </w:r>
      <w:r w:rsidR="00C54837" w:rsidRPr="00793FDD">
        <w:rPr>
          <w:rFonts w:eastAsia="Calibri"/>
        </w:rPr>
        <w:t>w</w:t>
      </w:r>
      <w:r w:rsidRPr="00793FDD">
        <w:rPr>
          <w:rFonts w:eastAsia="Calibri"/>
        </w:rPr>
        <w:t xml:space="preserve">omen and </w:t>
      </w:r>
      <w:r w:rsidR="00C54837" w:rsidRPr="00793FDD">
        <w:rPr>
          <w:rFonts w:eastAsia="Calibri"/>
        </w:rPr>
        <w:t>g</w:t>
      </w:r>
      <w:r w:rsidRPr="00793FDD">
        <w:rPr>
          <w:rFonts w:eastAsia="Calibri"/>
        </w:rPr>
        <w:t xml:space="preserve">irls, and against </w:t>
      </w:r>
      <w:r w:rsidR="00C54837" w:rsidRPr="00793FDD">
        <w:rPr>
          <w:rFonts w:eastAsia="Calibri"/>
        </w:rPr>
        <w:t>c</w:t>
      </w:r>
      <w:r w:rsidRPr="00793FDD">
        <w:rPr>
          <w:rFonts w:eastAsia="Calibri"/>
        </w:rPr>
        <w:t>hildren, building on existing work of the Organization, in particular its call for the prevention and elimination of all forms of sexual and gender-based viole</w:t>
      </w:r>
      <w:r w:rsidR="00D44D1E" w:rsidRPr="00793FDD">
        <w:rPr>
          <w:rFonts w:eastAsia="Calibri"/>
        </w:rPr>
        <w:t>nce in public and private life,</w:t>
      </w:r>
    </w:p>
    <w:p w:rsidR="00736D5F" w:rsidRPr="00793FDD" w:rsidRDefault="00736D5F" w:rsidP="00875241">
      <w:pPr>
        <w:pStyle w:val="SingleTxtG"/>
        <w:ind w:firstLine="567"/>
        <w:rPr>
          <w:rFonts w:eastAsia="Calibri"/>
          <w:u w:color="FF0000"/>
        </w:rPr>
      </w:pPr>
      <w:r w:rsidRPr="00793FDD">
        <w:rPr>
          <w:rFonts w:eastAsia="Calibri"/>
          <w:i/>
          <w:iCs/>
        </w:rPr>
        <w:t xml:space="preserve">Recalling </w:t>
      </w:r>
      <w:r w:rsidRPr="00793FDD">
        <w:rPr>
          <w:rFonts w:eastAsia="Calibri"/>
          <w:iCs/>
        </w:rPr>
        <w:t>all relevant resolutions of the Human Rights Council</w:t>
      </w:r>
      <w:r w:rsidR="00272541" w:rsidRPr="00793FDD">
        <w:rPr>
          <w:rFonts w:eastAsia="Calibri"/>
          <w:iCs/>
        </w:rPr>
        <w:t>,</w:t>
      </w:r>
      <w:r w:rsidR="00C54837" w:rsidRPr="00793FDD">
        <w:rPr>
          <w:rFonts w:eastAsia="Calibri"/>
          <w:iCs/>
        </w:rPr>
        <w:t xml:space="preserve"> </w:t>
      </w:r>
      <w:r w:rsidRPr="00793FDD">
        <w:rPr>
          <w:rFonts w:eastAsia="Calibri"/>
          <w:iCs/>
        </w:rPr>
        <w:t xml:space="preserve">the Commission on Human Rights, the General Assembly and the Security Council, including those on women, peace and security and on children in armed conflict, and the relevant resolutions and agreed conclusions of the Commission </w:t>
      </w:r>
      <w:r w:rsidR="00A22B38" w:rsidRPr="00793FDD">
        <w:rPr>
          <w:rFonts w:eastAsia="Calibri"/>
          <w:iCs/>
        </w:rPr>
        <w:t xml:space="preserve">on </w:t>
      </w:r>
      <w:r w:rsidRPr="00793FDD">
        <w:rPr>
          <w:rFonts w:eastAsia="Calibri"/>
          <w:iCs/>
        </w:rPr>
        <w:t>the Status of Women</w:t>
      </w:r>
      <w:r w:rsidR="00C54837" w:rsidRPr="00793FDD">
        <w:rPr>
          <w:rFonts w:eastAsia="Calibri"/>
          <w:iCs/>
        </w:rPr>
        <w:t>,</w:t>
      </w:r>
      <w:r w:rsidRPr="00793FDD">
        <w:rPr>
          <w:rFonts w:eastAsia="Calibri"/>
          <w:iCs/>
        </w:rPr>
        <w:t xml:space="preserve"> </w:t>
      </w:r>
      <w:r w:rsidRPr="00793FDD">
        <w:rPr>
          <w:rFonts w:eastAsia="Calibri"/>
        </w:rPr>
        <w:t>which affirmed that all forms of violence against women must be condemned and eliminated,</w:t>
      </w:r>
      <w:r w:rsidRPr="00793FDD">
        <w:rPr>
          <w:rFonts w:eastAsia="Calibri"/>
          <w:u w:color="FF0000"/>
        </w:rPr>
        <w:t xml:space="preserve"> </w:t>
      </w:r>
    </w:p>
    <w:p w:rsidR="00BF674D" w:rsidRDefault="00736D5F">
      <w:pPr>
        <w:pStyle w:val="SingleTxtG"/>
        <w:ind w:firstLine="567"/>
        <w:rPr>
          <w:rFonts w:eastAsia="Calibri"/>
          <w:u w:color="FF0000"/>
        </w:rPr>
      </w:pPr>
      <w:r w:rsidRPr="00793FDD" w:rsidDel="000C6E76">
        <w:rPr>
          <w:rFonts w:eastAsia="Calibri"/>
          <w:i/>
          <w:u w:color="FF0000"/>
        </w:rPr>
        <w:t>Recalling</w:t>
      </w:r>
      <w:r w:rsidRPr="00793FDD" w:rsidDel="000C6E76">
        <w:rPr>
          <w:rFonts w:eastAsia="Calibri"/>
          <w:u w:color="FF0000"/>
        </w:rPr>
        <w:t xml:space="preserve"> </w:t>
      </w:r>
      <w:r w:rsidRPr="00793FDD" w:rsidDel="000C6E76">
        <w:rPr>
          <w:rFonts w:eastAsia="Calibri"/>
          <w:i/>
          <w:u w:color="FF0000"/>
        </w:rPr>
        <w:t>also</w:t>
      </w:r>
      <w:r w:rsidRPr="00793FDD" w:rsidDel="000C6E76">
        <w:rPr>
          <w:rFonts w:eastAsia="Calibri"/>
          <w:u w:color="FF0000"/>
        </w:rPr>
        <w:t xml:space="preserve"> the adoption by the General Assembly of the United Nations Declaration on the Rights of Indigenous Peoples in its resolution 61/295 of 13 September 2007,</w:t>
      </w:r>
    </w:p>
    <w:p w:rsidR="00CF618C" w:rsidRPr="00793FDD" w:rsidDel="000C6E76" w:rsidRDefault="00CF618C">
      <w:pPr>
        <w:pStyle w:val="SingleTxtG"/>
        <w:ind w:firstLine="567"/>
        <w:rPr>
          <w:rFonts w:eastAsia="Calibri"/>
          <w:u w:color="FF0000"/>
        </w:rPr>
      </w:pPr>
      <w:r w:rsidRPr="00793FDD">
        <w:rPr>
          <w:i/>
          <w:iCs/>
          <w:lang w:eastAsia="ar-SA"/>
        </w:rPr>
        <w:t xml:space="preserve">Recalling </w:t>
      </w:r>
      <w:r w:rsidR="00267829" w:rsidRPr="00793FDD">
        <w:rPr>
          <w:i/>
          <w:iCs/>
          <w:lang w:eastAsia="ar-SA"/>
        </w:rPr>
        <w:t xml:space="preserve">further </w:t>
      </w:r>
      <w:r w:rsidR="00267829" w:rsidRPr="00793FDD">
        <w:rPr>
          <w:iCs/>
          <w:lang w:eastAsia="ar-SA"/>
        </w:rPr>
        <w:t>Human</w:t>
      </w:r>
      <w:r w:rsidR="00267829" w:rsidRPr="00793FDD">
        <w:rPr>
          <w:i/>
          <w:iCs/>
          <w:lang w:eastAsia="ar-SA"/>
        </w:rPr>
        <w:t xml:space="preserve"> </w:t>
      </w:r>
      <w:r w:rsidR="00267829" w:rsidRPr="00793FDD">
        <w:rPr>
          <w:lang w:eastAsia="ar-SA"/>
        </w:rPr>
        <w:t xml:space="preserve">Rights Council </w:t>
      </w:r>
      <w:r w:rsidRPr="00793FDD">
        <w:rPr>
          <w:lang w:eastAsia="ar-SA"/>
        </w:rPr>
        <w:t xml:space="preserve">resolution 5/1, on institution-building of the Council, and 5/2, on the </w:t>
      </w:r>
      <w:r w:rsidR="00267829" w:rsidRPr="00793FDD">
        <w:rPr>
          <w:lang w:eastAsia="ar-SA"/>
        </w:rPr>
        <w:t>C</w:t>
      </w:r>
      <w:r w:rsidRPr="00793FDD">
        <w:rPr>
          <w:lang w:eastAsia="ar-SA"/>
        </w:rPr>
        <w:t xml:space="preserve">ode of </w:t>
      </w:r>
      <w:r w:rsidR="00267829" w:rsidRPr="00793FDD">
        <w:rPr>
          <w:lang w:eastAsia="ar-SA"/>
        </w:rPr>
        <w:t>C</w:t>
      </w:r>
      <w:r w:rsidRPr="00793FDD">
        <w:rPr>
          <w:lang w:eastAsia="ar-SA"/>
        </w:rPr>
        <w:t xml:space="preserve">onduct for </w:t>
      </w:r>
      <w:r w:rsidR="00267829" w:rsidRPr="00793FDD">
        <w:rPr>
          <w:lang w:eastAsia="ar-SA"/>
        </w:rPr>
        <w:t>S</w:t>
      </w:r>
      <w:r w:rsidRPr="00793FDD">
        <w:rPr>
          <w:lang w:eastAsia="ar-SA"/>
        </w:rPr>
        <w:t xml:space="preserve">pecial </w:t>
      </w:r>
      <w:r w:rsidR="00267829" w:rsidRPr="00793FDD">
        <w:rPr>
          <w:lang w:eastAsia="ar-SA"/>
        </w:rPr>
        <w:t>P</w:t>
      </w:r>
      <w:r w:rsidRPr="00793FDD">
        <w:rPr>
          <w:lang w:eastAsia="ar-SA"/>
        </w:rPr>
        <w:t xml:space="preserve">rocedures </w:t>
      </w:r>
      <w:r w:rsidR="00267829" w:rsidRPr="00793FDD">
        <w:rPr>
          <w:lang w:eastAsia="ar-SA"/>
        </w:rPr>
        <w:t>M</w:t>
      </w:r>
      <w:r w:rsidRPr="00793FDD">
        <w:rPr>
          <w:lang w:eastAsia="ar-SA"/>
        </w:rPr>
        <w:t xml:space="preserve">andate </w:t>
      </w:r>
      <w:r w:rsidR="00267829" w:rsidRPr="00793FDD">
        <w:rPr>
          <w:lang w:eastAsia="ar-SA"/>
        </w:rPr>
        <w:t>H</w:t>
      </w:r>
      <w:r w:rsidRPr="00793FDD">
        <w:rPr>
          <w:lang w:eastAsia="ar-SA"/>
        </w:rPr>
        <w:t xml:space="preserve">olders of </w:t>
      </w:r>
      <w:r w:rsidRPr="00793FDD">
        <w:rPr>
          <w:lang w:eastAsia="ar-SA"/>
        </w:rPr>
        <w:lastRenderedPageBreak/>
        <w:t>the Council, of 18 June 2007, and stressing that the mandate holder shall discharge his</w:t>
      </w:r>
      <w:r w:rsidR="005C7A53" w:rsidRPr="00793FDD">
        <w:rPr>
          <w:lang w:eastAsia="ar-SA"/>
        </w:rPr>
        <w:t xml:space="preserve"> or </w:t>
      </w:r>
      <w:r w:rsidRPr="00793FDD">
        <w:rPr>
          <w:lang w:eastAsia="ar-SA"/>
        </w:rPr>
        <w:t>her duties in accordance with these resolutions and the annexes thereto,</w:t>
      </w:r>
    </w:p>
    <w:p w:rsidR="00736D5F" w:rsidRPr="00793FDD" w:rsidRDefault="00736D5F" w:rsidP="00875241">
      <w:pPr>
        <w:pStyle w:val="SingleTxtG"/>
        <w:ind w:firstLine="567"/>
        <w:rPr>
          <w:u w:color="FF0000"/>
        </w:rPr>
      </w:pPr>
      <w:r w:rsidRPr="00793FDD">
        <w:rPr>
          <w:i/>
          <w:u w:color="FF0000"/>
        </w:rPr>
        <w:t>Outraged</w:t>
      </w:r>
      <w:r w:rsidRPr="00793FDD">
        <w:rPr>
          <w:u w:color="FF0000"/>
        </w:rPr>
        <w:t xml:space="preserve"> by</w:t>
      </w:r>
      <w:r w:rsidRPr="00793FDD">
        <w:t xml:space="preserve"> the persistence and pervasiveness of all forms of violence against women and girls worldwide, including intimate partner violence</w:t>
      </w:r>
      <w:r w:rsidR="00C54837" w:rsidRPr="00793FDD">
        <w:t>,</w:t>
      </w:r>
      <w:r w:rsidRPr="00793FDD">
        <w:t xml:space="preserve"> and emphasizing that such violence is a violation, abuse or impairment of human rights and</w:t>
      </w:r>
      <w:r w:rsidR="00C54837" w:rsidRPr="00793FDD">
        <w:t>,</w:t>
      </w:r>
      <w:r w:rsidRPr="00793FDD">
        <w:t xml:space="preserve"> as such</w:t>
      </w:r>
      <w:r w:rsidR="00C54837" w:rsidRPr="00793FDD">
        <w:t>,</w:t>
      </w:r>
      <w:r w:rsidRPr="00793FDD">
        <w:t xml:space="preserve"> is completely unacceptable,</w:t>
      </w:r>
    </w:p>
    <w:p w:rsidR="00736D5F" w:rsidRPr="00793FDD" w:rsidRDefault="00736D5F" w:rsidP="00875241">
      <w:pPr>
        <w:pStyle w:val="SingleTxtG"/>
        <w:ind w:firstLine="567"/>
        <w:rPr>
          <w:rFonts w:eastAsia="Calibri"/>
        </w:rPr>
      </w:pPr>
      <w:r w:rsidRPr="00793FDD">
        <w:rPr>
          <w:rFonts w:eastAsia="Calibri"/>
          <w:i/>
          <w:iCs/>
        </w:rPr>
        <w:t xml:space="preserve">Welcoming </w:t>
      </w:r>
      <w:r w:rsidRPr="00793FDD">
        <w:rPr>
          <w:rFonts w:eastAsia="Calibri"/>
        </w:rPr>
        <w:t xml:space="preserve">the agreed conclusions adopted by the Commission on the Status of Women at its sixtieth session and </w:t>
      </w:r>
      <w:r w:rsidR="00BF674D">
        <w:rPr>
          <w:rFonts w:eastAsia="Calibri"/>
        </w:rPr>
        <w:t>at</w:t>
      </w:r>
      <w:r w:rsidR="00BF674D" w:rsidRPr="00793FDD">
        <w:rPr>
          <w:rFonts w:eastAsia="Calibri"/>
        </w:rPr>
        <w:t xml:space="preserve"> </w:t>
      </w:r>
      <w:r w:rsidRPr="00793FDD">
        <w:rPr>
          <w:rFonts w:eastAsia="Calibri"/>
        </w:rPr>
        <w:t>previous sessions, and its decision to consider the issue of the empowerment of indigenous women at a future session</w:t>
      </w:r>
      <w:r w:rsidR="00C54837" w:rsidRPr="00793FDD">
        <w:rPr>
          <w:rFonts w:eastAsia="Calibri"/>
        </w:rPr>
        <w:t>,</w:t>
      </w:r>
      <w:r w:rsidRPr="00793FDD">
        <w:rPr>
          <w:rFonts w:eastAsia="Calibri"/>
        </w:rPr>
        <w:t xml:space="preserve"> and acknowledging its intention to </w:t>
      </w:r>
      <w:r w:rsidR="00A22B38" w:rsidRPr="00793FDD">
        <w:rPr>
          <w:rFonts w:eastAsia="Calibri"/>
        </w:rPr>
        <w:t xml:space="preserve">make </w:t>
      </w:r>
      <w:r w:rsidRPr="00793FDD">
        <w:rPr>
          <w:rFonts w:eastAsia="Calibri"/>
        </w:rPr>
        <w:t>this issue a focus of its sixty-first session,</w:t>
      </w:r>
    </w:p>
    <w:p w:rsidR="00736D5F" w:rsidRPr="00793FDD" w:rsidRDefault="00736D5F" w:rsidP="00875241">
      <w:pPr>
        <w:pStyle w:val="SingleTxtG"/>
        <w:ind w:firstLine="567"/>
        <w:rPr>
          <w:rFonts w:eastAsia="Calibri"/>
        </w:rPr>
      </w:pPr>
      <w:r w:rsidRPr="00793FDD">
        <w:rPr>
          <w:rFonts w:eastAsia="Calibri"/>
          <w:i/>
        </w:rPr>
        <w:t>Welcoming</w:t>
      </w:r>
      <w:r w:rsidR="00DC6065" w:rsidRPr="00793FDD">
        <w:rPr>
          <w:rFonts w:eastAsia="Calibri"/>
          <w:i/>
        </w:rPr>
        <w:t xml:space="preserve"> also</w:t>
      </w:r>
      <w:r w:rsidRPr="00793FDD">
        <w:rPr>
          <w:rFonts w:eastAsia="Calibri"/>
        </w:rPr>
        <w:t xml:space="preserve"> the commitment </w:t>
      </w:r>
      <w:r w:rsidR="00C54837" w:rsidRPr="00793FDD">
        <w:rPr>
          <w:rFonts w:eastAsia="Calibri"/>
        </w:rPr>
        <w:t xml:space="preserve">made </w:t>
      </w:r>
      <w:r w:rsidRPr="00793FDD">
        <w:rPr>
          <w:rFonts w:eastAsia="Calibri"/>
        </w:rPr>
        <w:t>by States to achieve gender equality and the empowerment of all women and girls in the 2030 Agenda for Sustainable Development</w:t>
      </w:r>
      <w:r w:rsidR="00C54837" w:rsidRPr="00793FDD">
        <w:rPr>
          <w:rStyle w:val="FootnoteReference"/>
          <w:rFonts w:eastAsia="Calibri"/>
        </w:rPr>
        <w:footnoteReference w:id="2"/>
      </w:r>
      <w:r w:rsidRPr="00793FDD">
        <w:rPr>
          <w:rFonts w:eastAsia="Calibri"/>
        </w:rPr>
        <w:t xml:space="preserve"> and the Addis Ababa Action Agenda</w:t>
      </w:r>
      <w:r w:rsidR="00E548B5" w:rsidRPr="00793FDD">
        <w:rPr>
          <w:rFonts w:eastAsia="Calibri"/>
        </w:rPr>
        <w:t>,</w:t>
      </w:r>
      <w:r w:rsidR="00C54837" w:rsidRPr="00793FDD">
        <w:rPr>
          <w:rStyle w:val="FootnoteReference"/>
          <w:rFonts w:eastAsia="Calibri"/>
        </w:rPr>
        <w:footnoteReference w:id="3"/>
      </w:r>
      <w:r w:rsidRPr="00793FDD">
        <w:rPr>
          <w:rFonts w:eastAsia="Calibri"/>
        </w:rPr>
        <w:t xml:space="preserve"> </w:t>
      </w:r>
      <w:r w:rsidRPr="00793FDD">
        <w:rPr>
          <w:rFonts w:eastAsia="Calibri" w:cs="Arial"/>
        </w:rPr>
        <w:t>in particular the commitment to eliminate all forms of violence against them,</w:t>
      </w:r>
    </w:p>
    <w:p w:rsidR="00736D5F" w:rsidRPr="00793FDD" w:rsidRDefault="00736D5F" w:rsidP="00875241">
      <w:pPr>
        <w:pStyle w:val="SingleTxtG"/>
        <w:ind w:firstLine="567"/>
        <w:rPr>
          <w:rFonts w:eastAsia="Calibri"/>
        </w:rPr>
      </w:pPr>
      <w:r w:rsidRPr="00793FDD">
        <w:rPr>
          <w:rFonts w:eastAsia="Calibri"/>
          <w:i/>
        </w:rPr>
        <w:t>Recognizing</w:t>
      </w:r>
      <w:r w:rsidRPr="00793FDD">
        <w:rPr>
          <w:rFonts w:eastAsia="Calibri"/>
        </w:rPr>
        <w:t xml:space="preserve"> the importance of the U</w:t>
      </w:r>
      <w:r w:rsidR="00DC6065" w:rsidRPr="00793FDD">
        <w:rPr>
          <w:rFonts w:eastAsia="Calibri"/>
        </w:rPr>
        <w:t xml:space="preserve">nited </w:t>
      </w:r>
      <w:r w:rsidRPr="00793FDD">
        <w:rPr>
          <w:rFonts w:eastAsia="Calibri"/>
        </w:rPr>
        <w:t>N</w:t>
      </w:r>
      <w:r w:rsidR="00DC6065" w:rsidRPr="00793FDD">
        <w:rPr>
          <w:rFonts w:eastAsia="Calibri"/>
        </w:rPr>
        <w:t>ations</w:t>
      </w:r>
      <w:r w:rsidRPr="00793FDD">
        <w:rPr>
          <w:rFonts w:eastAsia="Calibri"/>
        </w:rPr>
        <w:t xml:space="preserve"> Entity for Gender Equality and the Empowerment of Women and its role in leading, coordinating and promoting the accountability of the U</w:t>
      </w:r>
      <w:r w:rsidR="00DC6065" w:rsidRPr="00793FDD">
        <w:rPr>
          <w:rFonts w:eastAsia="Calibri"/>
        </w:rPr>
        <w:t xml:space="preserve">nited </w:t>
      </w:r>
      <w:r w:rsidRPr="00793FDD">
        <w:rPr>
          <w:rFonts w:eastAsia="Calibri"/>
        </w:rPr>
        <w:t>N</w:t>
      </w:r>
      <w:r w:rsidR="00DC6065" w:rsidRPr="00793FDD">
        <w:rPr>
          <w:rFonts w:eastAsia="Calibri"/>
        </w:rPr>
        <w:t>ations</w:t>
      </w:r>
      <w:r w:rsidRPr="00793FDD">
        <w:rPr>
          <w:rFonts w:eastAsia="Calibri"/>
        </w:rPr>
        <w:t xml:space="preserve"> system in its work on gender equality and the empowerment of women and girls,</w:t>
      </w:r>
    </w:p>
    <w:p w:rsidR="00CF618C" w:rsidRPr="00793FDD" w:rsidRDefault="00CF618C" w:rsidP="002F00A8">
      <w:pPr>
        <w:pStyle w:val="Default"/>
        <w:spacing w:after="120"/>
        <w:ind w:left="1134" w:right="1134" w:firstLine="567"/>
        <w:jc w:val="both"/>
        <w:rPr>
          <w:lang w:val="en-GB"/>
        </w:rPr>
      </w:pPr>
      <w:r w:rsidRPr="009836C9">
        <w:rPr>
          <w:rFonts w:cs="Times New Roman"/>
          <w:i/>
          <w:sz w:val="20"/>
          <w:szCs w:val="20"/>
          <w:lang w:val="en-GB"/>
        </w:rPr>
        <w:t>Recognizing</w:t>
      </w:r>
      <w:r w:rsidR="00183EFB" w:rsidRPr="009836C9">
        <w:rPr>
          <w:rFonts w:cs="Times New Roman"/>
          <w:i/>
          <w:sz w:val="20"/>
          <w:szCs w:val="20"/>
          <w:lang w:val="en-GB"/>
        </w:rPr>
        <w:t xml:space="preserve"> also</w:t>
      </w:r>
      <w:r w:rsidRPr="009836C9">
        <w:rPr>
          <w:rFonts w:cs="Times New Roman"/>
          <w:sz w:val="20"/>
          <w:szCs w:val="20"/>
          <w:lang w:val="en-GB"/>
        </w:rPr>
        <w:t xml:space="preserve"> the important role of the Commission on the Status of Women in promoting gender equality and the empowerment of women, based on the full implementation of the Beijing Declaration and Platform for Action and the outcome of the twenty-third special session, and in promoting and monitoring gender mainstreaming within the U</w:t>
      </w:r>
      <w:r w:rsidR="00183EFB" w:rsidRPr="009836C9">
        <w:rPr>
          <w:rFonts w:cs="Times New Roman"/>
          <w:sz w:val="20"/>
          <w:szCs w:val="20"/>
          <w:lang w:val="en-GB"/>
        </w:rPr>
        <w:t xml:space="preserve">nited </w:t>
      </w:r>
      <w:r w:rsidRPr="009836C9">
        <w:rPr>
          <w:rFonts w:cs="Times New Roman"/>
          <w:sz w:val="20"/>
          <w:szCs w:val="20"/>
          <w:lang w:val="en-GB"/>
        </w:rPr>
        <w:t>N</w:t>
      </w:r>
      <w:r w:rsidR="00183EFB" w:rsidRPr="009836C9">
        <w:rPr>
          <w:rFonts w:cs="Times New Roman"/>
          <w:sz w:val="20"/>
          <w:szCs w:val="20"/>
          <w:lang w:val="en-GB"/>
        </w:rPr>
        <w:t>ations</w:t>
      </w:r>
      <w:r w:rsidRPr="009836C9">
        <w:rPr>
          <w:rFonts w:cs="Times New Roman"/>
          <w:sz w:val="20"/>
          <w:szCs w:val="20"/>
          <w:lang w:val="en-GB"/>
        </w:rPr>
        <w:t xml:space="preserve"> system, and encourag</w:t>
      </w:r>
      <w:r w:rsidR="00BF674D">
        <w:rPr>
          <w:rFonts w:cs="Times New Roman"/>
          <w:sz w:val="20"/>
          <w:szCs w:val="20"/>
          <w:lang w:val="en-GB"/>
        </w:rPr>
        <w:t>ing</w:t>
      </w:r>
      <w:r w:rsidRPr="009836C9">
        <w:rPr>
          <w:rFonts w:cs="Times New Roman"/>
          <w:sz w:val="20"/>
          <w:szCs w:val="20"/>
          <w:lang w:val="en-GB"/>
        </w:rPr>
        <w:t xml:space="preserve"> the Commission to contribute to the follow-up to the 2030 Agenda for Sustainable Development in order to accelerate the realization of gender equality and the empowerment of women and girls,</w:t>
      </w:r>
    </w:p>
    <w:p w:rsidR="00736D5F" w:rsidRPr="00793FDD" w:rsidRDefault="00736D5F" w:rsidP="00875241">
      <w:pPr>
        <w:pStyle w:val="SingleTxtG"/>
        <w:ind w:firstLine="567"/>
        <w:rPr>
          <w:rFonts w:eastAsia="Calibri"/>
        </w:rPr>
      </w:pPr>
      <w:r w:rsidRPr="00793FDD">
        <w:rPr>
          <w:rFonts w:eastAsia="Calibri"/>
          <w:i/>
        </w:rPr>
        <w:t>Recalling</w:t>
      </w:r>
      <w:r w:rsidRPr="00793FDD">
        <w:rPr>
          <w:rFonts w:eastAsia="Calibri"/>
        </w:rPr>
        <w:t xml:space="preserve"> the </w:t>
      </w:r>
      <w:r w:rsidR="00C54837" w:rsidRPr="00793FDD">
        <w:rPr>
          <w:rFonts w:eastAsia="Calibri"/>
        </w:rPr>
        <w:t>o</w:t>
      </w:r>
      <w:r w:rsidRPr="00793FDD">
        <w:rPr>
          <w:rFonts w:eastAsia="Calibri"/>
        </w:rPr>
        <w:t xml:space="preserve">utcome </w:t>
      </w:r>
      <w:r w:rsidR="00C54837" w:rsidRPr="00793FDD">
        <w:rPr>
          <w:rFonts w:eastAsia="Calibri"/>
        </w:rPr>
        <w:t>d</w:t>
      </w:r>
      <w:r w:rsidRPr="00793FDD">
        <w:rPr>
          <w:rFonts w:eastAsia="Calibri"/>
        </w:rPr>
        <w:t>ocument of the World Conference on Indigenous Peoples</w:t>
      </w:r>
      <w:r w:rsidR="00E548B5" w:rsidRPr="00793FDD">
        <w:rPr>
          <w:rFonts w:eastAsia="Calibri"/>
        </w:rPr>
        <w:t>,</w:t>
      </w:r>
      <w:r w:rsidR="00E548B5" w:rsidRPr="00793FDD">
        <w:rPr>
          <w:rStyle w:val="FootnoteReference"/>
          <w:rFonts w:eastAsia="Calibri"/>
        </w:rPr>
        <w:footnoteReference w:id="4"/>
      </w:r>
      <w:r w:rsidRPr="00793FDD">
        <w:rPr>
          <w:rFonts w:eastAsia="Calibri"/>
        </w:rPr>
        <w:t xml:space="preserve"> in which States committed to intensifying efforts, in cooperation with indigenous peoples, to prevent and eliminate all forms of violence and discrimination against indigenous peoples and individuals, in particular women, children, youth, older persons and persons with disabilities, by strengthening legal, policy and institutional frameworks, and recalling the work of indigenous-specific U</w:t>
      </w:r>
      <w:r w:rsidR="00DC6065" w:rsidRPr="00793FDD">
        <w:rPr>
          <w:rFonts w:eastAsia="Calibri"/>
        </w:rPr>
        <w:t xml:space="preserve">nited </w:t>
      </w:r>
      <w:r w:rsidRPr="00793FDD">
        <w:rPr>
          <w:rFonts w:eastAsia="Calibri"/>
        </w:rPr>
        <w:t>N</w:t>
      </w:r>
      <w:r w:rsidR="00DC6065" w:rsidRPr="00793FDD">
        <w:rPr>
          <w:rFonts w:eastAsia="Calibri"/>
        </w:rPr>
        <w:t>ations</w:t>
      </w:r>
      <w:r w:rsidRPr="00793FDD">
        <w:rPr>
          <w:rFonts w:eastAsia="Calibri"/>
        </w:rPr>
        <w:t xml:space="preserve"> mechanisms in addressing violence against women and girls, </w:t>
      </w:r>
    </w:p>
    <w:p w:rsidR="00736D5F" w:rsidRPr="00793FDD" w:rsidRDefault="00736D5F" w:rsidP="00875241">
      <w:pPr>
        <w:pStyle w:val="SingleTxtG"/>
        <w:ind w:firstLine="567"/>
      </w:pPr>
      <w:r w:rsidRPr="00793FDD">
        <w:rPr>
          <w:i/>
        </w:rPr>
        <w:t>Acknowledging</w:t>
      </w:r>
      <w:r w:rsidRPr="00793FDD">
        <w:t xml:space="preserve"> the important role played by regional conventions, instruments, declarations and initiatives</w:t>
      </w:r>
      <w:r w:rsidR="00F14765" w:rsidRPr="00793FDD">
        <w:t xml:space="preserve"> </w:t>
      </w:r>
      <w:r w:rsidRPr="00793FDD">
        <w:t>to combat violence against women and girls, including indigenous women and girls,</w:t>
      </w:r>
    </w:p>
    <w:p w:rsidR="00736D5F" w:rsidRPr="00793FDD" w:rsidRDefault="00736D5F" w:rsidP="00875241">
      <w:pPr>
        <w:pStyle w:val="SingleTxtG"/>
        <w:ind w:firstLine="567"/>
        <w:rPr>
          <w:u w:color="58595B"/>
        </w:rPr>
      </w:pPr>
      <w:r w:rsidRPr="00793FDD">
        <w:rPr>
          <w:i/>
        </w:rPr>
        <w:t>Reiterating</w:t>
      </w:r>
      <w:r w:rsidRPr="00793FDD">
        <w:t xml:space="preserve"> the need to intensify efforts at all levels to prevent and eliminate all forms of violence against </w:t>
      </w:r>
      <w:r w:rsidRPr="00793FDD">
        <w:rPr>
          <w:rFonts w:eastAsia="Calibri"/>
        </w:rPr>
        <w:t>women</w:t>
      </w:r>
      <w:r w:rsidRPr="00793FDD">
        <w:t xml:space="preserve"> and girls, throughout the world,</w:t>
      </w:r>
      <w:r w:rsidRPr="00793FDD">
        <w:rPr>
          <w:u w:color="FF0000"/>
        </w:rPr>
        <w:t xml:space="preserve"> and s</w:t>
      </w:r>
      <w:r w:rsidRPr="00793FDD">
        <w:rPr>
          <w:iCs/>
        </w:rPr>
        <w:t>tressing</w:t>
      </w:r>
      <w:r w:rsidRPr="00793FDD">
        <w:t xml:space="preserve"> that women’s economic, political and social empowerment </w:t>
      </w:r>
      <w:r w:rsidR="007751E2" w:rsidRPr="00793FDD">
        <w:t xml:space="preserve">is </w:t>
      </w:r>
      <w:r w:rsidRPr="00793FDD">
        <w:t xml:space="preserve">essential for preventing violence and addressing the underlying causes of violence against women and girls, including indigenous women and girls, </w:t>
      </w:r>
    </w:p>
    <w:p w:rsidR="00736D5F" w:rsidRPr="00793FDD" w:rsidRDefault="00736D5F" w:rsidP="00875241">
      <w:pPr>
        <w:pStyle w:val="SingleTxtG"/>
        <w:ind w:firstLine="567"/>
        <w:rPr>
          <w:u w:color="FF0000"/>
        </w:rPr>
      </w:pPr>
      <w:r w:rsidRPr="00793FDD">
        <w:rPr>
          <w:i/>
          <w:iCs/>
        </w:rPr>
        <w:t>Recognizing</w:t>
      </w:r>
      <w:r w:rsidRPr="00793FDD">
        <w:t xml:space="preserve"> that violence against indigenous women and girls cannot be separated from the wider context of discrimination and exclusion to which indigenous persons are often exposed in social, economic, cultural and political life, and deeply concerned about indications that </w:t>
      </w:r>
      <w:r w:rsidRPr="00793FDD">
        <w:rPr>
          <w:rFonts w:eastAsia="Calibri"/>
        </w:rPr>
        <w:t>indigenous</w:t>
      </w:r>
      <w:r w:rsidRPr="00793FDD">
        <w:t xml:space="preserve"> women and girls are disproportionately affected by violence, </w:t>
      </w:r>
      <w:r w:rsidRPr="00793FDD">
        <w:lastRenderedPageBreak/>
        <w:t>including sexual violence, given the multiple and intersecting forms of discrimination to which they may be exposed,</w:t>
      </w:r>
    </w:p>
    <w:p w:rsidR="00736D5F" w:rsidRPr="00793FDD" w:rsidRDefault="00736D5F" w:rsidP="00875241">
      <w:pPr>
        <w:pStyle w:val="SingleTxtG"/>
        <w:ind w:firstLine="567"/>
        <w:rPr>
          <w:u w:color="FF0000"/>
        </w:rPr>
      </w:pPr>
      <w:r w:rsidRPr="00793FDD">
        <w:rPr>
          <w:i/>
        </w:rPr>
        <w:t>Recognizing</w:t>
      </w:r>
      <w:r w:rsidR="00DC6065" w:rsidRPr="00793FDD">
        <w:rPr>
          <w:i/>
        </w:rPr>
        <w:t xml:space="preserve"> also</w:t>
      </w:r>
      <w:r w:rsidRPr="00793FDD">
        <w:t xml:space="preserve"> the </w:t>
      </w:r>
      <w:r w:rsidRPr="00793FDD">
        <w:rPr>
          <w:rFonts w:eastAsia="Calibri"/>
        </w:rPr>
        <w:t>increased</w:t>
      </w:r>
      <w:r w:rsidRPr="00793FDD">
        <w:t xml:space="preserve"> vulnerability of those who are subject to multiple and intersecting forms of discrimination, such as older women,</w:t>
      </w:r>
      <w:r w:rsidRPr="00793FDD" w:rsidDel="000C6E76">
        <w:t xml:space="preserve"> </w:t>
      </w:r>
      <w:r w:rsidRPr="00793FDD">
        <w:t xml:space="preserve">indigenous women, migrant women and women with disabilities, and the particular risk of violence they face, and stressing the urgent need to address violence and discrimination against them, </w:t>
      </w:r>
    </w:p>
    <w:p w:rsidR="00736D5F" w:rsidRPr="00793FDD" w:rsidRDefault="00736D5F" w:rsidP="00875241">
      <w:pPr>
        <w:pStyle w:val="SingleTxtG"/>
        <w:ind w:firstLine="567"/>
      </w:pPr>
      <w:r w:rsidRPr="00793FDD">
        <w:rPr>
          <w:i/>
          <w:iCs/>
        </w:rPr>
        <w:t xml:space="preserve">Deeply concerned </w:t>
      </w:r>
      <w:r w:rsidRPr="00793FDD">
        <w:t xml:space="preserve">that all women and girls, including indigenous women and girls, face a heightened risk of sexual and gender-based violence during times of conflict and </w:t>
      </w:r>
      <w:r w:rsidR="004A6F4A" w:rsidRPr="00793FDD">
        <w:t xml:space="preserve">post-conflict, and </w:t>
      </w:r>
      <w:r w:rsidRPr="00793FDD">
        <w:t xml:space="preserve">humanitarian </w:t>
      </w:r>
      <w:r w:rsidR="00CF618C" w:rsidRPr="00793FDD">
        <w:t>crisis situations</w:t>
      </w:r>
      <w:r w:rsidRPr="00793FDD">
        <w:t xml:space="preserve">, </w:t>
      </w:r>
    </w:p>
    <w:p w:rsidR="00736D5F" w:rsidRPr="00793FDD" w:rsidRDefault="00736D5F" w:rsidP="00875241">
      <w:pPr>
        <w:pStyle w:val="SingleTxtG"/>
        <w:ind w:firstLine="567"/>
      </w:pPr>
      <w:r w:rsidRPr="00793FDD">
        <w:rPr>
          <w:i/>
          <w:iCs/>
        </w:rPr>
        <w:t xml:space="preserve">Recognizing </w:t>
      </w:r>
      <w:r w:rsidRPr="00793FDD">
        <w:t xml:space="preserve">that </w:t>
      </w:r>
      <w:r w:rsidRPr="00793FDD">
        <w:rPr>
          <w:rFonts w:eastAsia="Calibri"/>
        </w:rPr>
        <w:t>violence</w:t>
      </w:r>
      <w:r w:rsidRPr="00793FDD">
        <w:t xml:space="preserve"> against women and girls is rooted in historical and structural inequality in power relations between women and men, and that all forms of violence against women and girls constitute a major impediment to their full, equal and effective participation in society, the economy</w:t>
      </w:r>
      <w:r w:rsidR="00D44D1E" w:rsidRPr="00793FDD">
        <w:t xml:space="preserve"> and political decision-making,</w:t>
      </w:r>
    </w:p>
    <w:p w:rsidR="00736D5F" w:rsidRPr="00793FDD" w:rsidRDefault="00736D5F" w:rsidP="00875241">
      <w:pPr>
        <w:pStyle w:val="SingleTxtG"/>
        <w:ind w:firstLine="567"/>
      </w:pPr>
      <w:r w:rsidRPr="00793FDD">
        <w:rPr>
          <w:i/>
          <w:iCs/>
        </w:rPr>
        <w:t xml:space="preserve">Expressing concern </w:t>
      </w:r>
      <w:r w:rsidR="007751E2" w:rsidRPr="00793FDD">
        <w:t xml:space="preserve">at </w:t>
      </w:r>
      <w:r w:rsidRPr="00793FDD">
        <w:t>institutional and structural discrimination against women and girls, including indigenous women and girls, such as laws, policies, regulations, programmes, administrative procedures or structures, services and practices that directly or indirectly restrict access to institutions, property and landownership, health</w:t>
      </w:r>
      <w:r w:rsidR="007751E2" w:rsidRPr="00793FDD">
        <w:t>-</w:t>
      </w:r>
      <w:r w:rsidRPr="00793FDD">
        <w:t xml:space="preserve">care services, education, employment and access to credit, which negatively affect their empowerment and increase their vulnerability to violence, </w:t>
      </w:r>
    </w:p>
    <w:p w:rsidR="00736D5F" w:rsidRPr="00793FDD" w:rsidRDefault="00736D5F" w:rsidP="00875241">
      <w:pPr>
        <w:pStyle w:val="SingleTxtG"/>
        <w:ind w:firstLine="567"/>
        <w:rPr>
          <w:u w:color="58595B"/>
        </w:rPr>
      </w:pPr>
      <w:r w:rsidRPr="00793FDD">
        <w:rPr>
          <w:rFonts w:eastAsia="Calibri"/>
          <w:i/>
        </w:rPr>
        <w:t>Reaffirming</w:t>
      </w:r>
      <w:r w:rsidR="00BF674D" w:rsidRPr="00BF674D">
        <w:t xml:space="preserve"> </w:t>
      </w:r>
      <w:r w:rsidR="00BF674D" w:rsidRPr="00E623A4">
        <w:t>that</w:t>
      </w:r>
      <w:r w:rsidR="00BF674D">
        <w:rPr>
          <w:rFonts w:eastAsia="Calibri"/>
        </w:rPr>
        <w:t>,</w:t>
      </w:r>
      <w:r w:rsidRPr="00793FDD">
        <w:t xml:space="preserve"> as stated in the U</w:t>
      </w:r>
      <w:r w:rsidR="00DC6065" w:rsidRPr="00793FDD">
        <w:t xml:space="preserve">nited </w:t>
      </w:r>
      <w:r w:rsidRPr="00793FDD">
        <w:t>N</w:t>
      </w:r>
      <w:r w:rsidR="00DC6065" w:rsidRPr="00793FDD">
        <w:t>ations</w:t>
      </w:r>
      <w:r w:rsidRPr="00793FDD">
        <w:t xml:space="preserve"> Declaration on the Rights of Indigenous Peoples</w:t>
      </w:r>
      <w:r w:rsidR="00BF674D">
        <w:t>,</w:t>
      </w:r>
      <w:r w:rsidRPr="00793FDD">
        <w:t xml:space="preserve"> indigenous peoples have the right, without discrimination, to the improvement of their economic and social </w:t>
      </w:r>
      <w:r w:rsidRPr="00793FDD">
        <w:rPr>
          <w:rFonts w:eastAsia="Calibri"/>
        </w:rPr>
        <w:t>conditions</w:t>
      </w:r>
      <w:r w:rsidRPr="00793FDD">
        <w:t>, including, inter alia, in the areas of education, employment, vocational training and retraining, housing, sanitation, health and social security,</w:t>
      </w:r>
      <w:r w:rsidRPr="00793FDD">
        <w:rPr>
          <w:u w:color="FF0000"/>
        </w:rPr>
        <w:t xml:space="preserve"> </w:t>
      </w:r>
    </w:p>
    <w:p w:rsidR="00736D5F" w:rsidRPr="00793FDD" w:rsidRDefault="00736D5F" w:rsidP="00875241">
      <w:pPr>
        <w:pStyle w:val="SingleTxtG"/>
        <w:ind w:firstLine="567"/>
        <w:rPr>
          <w:u w:color="58595B"/>
        </w:rPr>
      </w:pPr>
      <w:r w:rsidRPr="00793FDD">
        <w:rPr>
          <w:i/>
          <w:iCs/>
        </w:rPr>
        <w:t xml:space="preserve">Alarmed </w:t>
      </w:r>
      <w:r w:rsidR="007751E2" w:rsidRPr="00793FDD">
        <w:rPr>
          <w:iCs/>
        </w:rPr>
        <w:t>at</w:t>
      </w:r>
      <w:r w:rsidR="007751E2" w:rsidRPr="00793FDD">
        <w:t xml:space="preserve"> </w:t>
      </w:r>
      <w:r w:rsidRPr="00793FDD">
        <w:t>the high level of impunity with regard to gender-</w:t>
      </w:r>
      <w:r w:rsidR="00CF618C" w:rsidRPr="00793FDD">
        <w:t>based violence, including gender-</w:t>
      </w:r>
      <w:r w:rsidRPr="00793FDD">
        <w:t xml:space="preserve">related killings of women and girls, including indigenous </w:t>
      </w:r>
      <w:r w:rsidRPr="00793FDD">
        <w:rPr>
          <w:rFonts w:eastAsia="Calibri"/>
        </w:rPr>
        <w:t>women</w:t>
      </w:r>
      <w:r w:rsidRPr="00793FDD">
        <w:t xml:space="preserve"> and girls, and recognizing the key role of the criminal justice system in preventing and ending impunity for such crimes,</w:t>
      </w:r>
    </w:p>
    <w:p w:rsidR="00736D5F" w:rsidRPr="00793FDD" w:rsidRDefault="00736D5F" w:rsidP="00875241">
      <w:pPr>
        <w:pStyle w:val="SingleTxtG"/>
        <w:ind w:firstLine="567"/>
        <w:rPr>
          <w:u w:color="FF0000"/>
        </w:rPr>
      </w:pPr>
      <w:r w:rsidRPr="00793FDD">
        <w:rPr>
          <w:i/>
          <w:iCs/>
        </w:rPr>
        <w:t xml:space="preserve">Concerned </w:t>
      </w:r>
      <w:r w:rsidRPr="00793FDD">
        <w:rPr>
          <w:iCs/>
        </w:rPr>
        <w:t>that</w:t>
      </w:r>
      <w:r w:rsidRPr="00793FDD">
        <w:rPr>
          <w:i/>
          <w:iCs/>
        </w:rPr>
        <w:t xml:space="preserve"> </w:t>
      </w:r>
      <w:r w:rsidRPr="00793FDD">
        <w:rPr>
          <w:rFonts w:eastAsia="Calibri"/>
        </w:rPr>
        <w:t>indigenous</w:t>
      </w:r>
      <w:r w:rsidRPr="00793FDD">
        <w:t xml:space="preserve"> women and girls may be </w:t>
      </w:r>
      <w:r w:rsidR="00CF618C" w:rsidRPr="00793FDD">
        <w:t>overrepresented</w:t>
      </w:r>
      <w:r w:rsidRPr="00793FDD">
        <w:t xml:space="preserve"> in criminal justice systems and may be more </w:t>
      </w:r>
      <w:r w:rsidR="00CF618C" w:rsidRPr="00793FDD">
        <w:t xml:space="preserve">marginalized, and thus experience more </w:t>
      </w:r>
      <w:r w:rsidRPr="00793FDD">
        <w:t xml:space="preserve">violence </w:t>
      </w:r>
      <w:r w:rsidR="00CF618C" w:rsidRPr="00793FDD">
        <w:t>before, during and after the period of incarceration</w:t>
      </w:r>
      <w:r w:rsidRPr="00793FDD">
        <w:t xml:space="preserve">, </w:t>
      </w:r>
    </w:p>
    <w:p w:rsidR="00736D5F" w:rsidRPr="00793FDD" w:rsidRDefault="00736D5F" w:rsidP="00875241">
      <w:pPr>
        <w:pStyle w:val="SingleTxtG"/>
        <w:ind w:firstLine="567"/>
        <w:rPr>
          <w:u w:color="58595B"/>
        </w:rPr>
      </w:pPr>
      <w:r w:rsidRPr="00793FDD">
        <w:rPr>
          <w:i/>
        </w:rPr>
        <w:t>Recognizing</w:t>
      </w:r>
      <w:r w:rsidRPr="00793FDD">
        <w:t xml:space="preserve"> that the absence of adequate gender statistics, including data disaggregated by, inter alia, sex, age</w:t>
      </w:r>
      <w:r w:rsidR="007751E2" w:rsidRPr="00793FDD">
        <w:t xml:space="preserve"> and</w:t>
      </w:r>
      <w:r w:rsidRPr="00793FDD">
        <w:t xml:space="preserve"> disability, and </w:t>
      </w:r>
      <w:r w:rsidR="007751E2" w:rsidRPr="00793FDD">
        <w:t xml:space="preserve">of </w:t>
      </w:r>
      <w:r w:rsidRPr="00793FDD">
        <w:t xml:space="preserve">specific data on the incidence of violence against women and girls, its context and </w:t>
      </w:r>
      <w:r w:rsidRPr="00793FDD">
        <w:rPr>
          <w:rFonts w:eastAsia="Calibri"/>
        </w:rPr>
        <w:t>its</w:t>
      </w:r>
      <w:r w:rsidRPr="00793FDD">
        <w:t xml:space="preserve"> perpetrators impedes efforts to design specific intervention strategies to address both the causes and the consequences of violence against women and girls, and </w:t>
      </w:r>
      <w:r w:rsidR="007751E2" w:rsidRPr="00793FDD">
        <w:t xml:space="preserve">to </w:t>
      </w:r>
      <w:r w:rsidRPr="00793FDD">
        <w:t>ensure coordinated and consolidated efforts to address gender data gaps,</w:t>
      </w:r>
    </w:p>
    <w:p w:rsidR="00736D5F" w:rsidRPr="00793FDD" w:rsidRDefault="00736D5F" w:rsidP="00875241">
      <w:pPr>
        <w:pStyle w:val="SingleTxtG"/>
        <w:ind w:firstLine="567"/>
        <w:rPr>
          <w:u w:color="FF0000"/>
        </w:rPr>
      </w:pPr>
      <w:r w:rsidRPr="00793FDD">
        <w:rPr>
          <w:i/>
          <w:iCs/>
        </w:rPr>
        <w:t>Expressing concern</w:t>
      </w:r>
      <w:r w:rsidRPr="00793FDD">
        <w:t xml:space="preserve"> </w:t>
      </w:r>
      <w:r w:rsidR="00DC6065" w:rsidRPr="00793FDD">
        <w:t xml:space="preserve">at </w:t>
      </w:r>
      <w:r w:rsidRPr="00793FDD">
        <w:t xml:space="preserve">the low levels of birth registration among indigenous women and girls, and taking into consideration that registering a person’s birth is a vital step towards the promotion and </w:t>
      </w:r>
      <w:r w:rsidRPr="00793FDD">
        <w:rPr>
          <w:rFonts w:eastAsia="Calibri"/>
        </w:rPr>
        <w:t>protection</w:t>
      </w:r>
      <w:r w:rsidRPr="00793FDD">
        <w:t xml:space="preserve"> of all of his or her human rights, and that persons without birth registration may be more vulnerable to marginalization, exclusion, discrimination, violence, statelessness, exploitation and abuse, </w:t>
      </w:r>
    </w:p>
    <w:p w:rsidR="00736D5F" w:rsidRPr="00793FDD" w:rsidRDefault="00736D5F" w:rsidP="00875241">
      <w:pPr>
        <w:pStyle w:val="SingleTxtG"/>
        <w:ind w:firstLine="567"/>
        <w:rPr>
          <w:u w:color="FF0000"/>
        </w:rPr>
      </w:pPr>
      <w:r w:rsidRPr="00793FDD">
        <w:rPr>
          <w:i/>
        </w:rPr>
        <w:t>Underscoring</w:t>
      </w:r>
      <w:r w:rsidRPr="00793FDD">
        <w:t xml:space="preserve"> that the duty of States to exercise due diligence to provide protection to women and girls, including indigenous women and girls, who have been subjected to or are at risk of violence</w:t>
      </w:r>
      <w:r w:rsidR="007751E2" w:rsidRPr="00793FDD">
        <w:t>,</w:t>
      </w:r>
      <w:r w:rsidRPr="00793FDD">
        <w:t xml:space="preserve"> includes using all appropriate means of a legal, political, administrative and social nature to provide access to justice, health care and support services that respond to their immediate needs, protect against further harm and continue to address the ongoing consequences of violence for women and girls, including indigenous women and girls, taking into consideration the impact of violence on their families and communities, </w:t>
      </w:r>
    </w:p>
    <w:p w:rsidR="00736D5F" w:rsidRPr="00793FDD" w:rsidRDefault="00736D5F" w:rsidP="00875241">
      <w:pPr>
        <w:pStyle w:val="SingleTxtG"/>
        <w:ind w:firstLine="567"/>
        <w:rPr>
          <w:bCs/>
        </w:rPr>
      </w:pPr>
      <w:r w:rsidRPr="00793FDD">
        <w:rPr>
          <w:iCs/>
        </w:rPr>
        <w:t>1.</w:t>
      </w:r>
      <w:r w:rsidRPr="00793FDD">
        <w:rPr>
          <w:iCs/>
        </w:rPr>
        <w:tab/>
      </w:r>
      <w:r w:rsidRPr="00793FDD">
        <w:rPr>
          <w:i/>
          <w:iCs/>
        </w:rPr>
        <w:t xml:space="preserve">Stresses </w:t>
      </w:r>
      <w:r w:rsidRPr="00793FDD">
        <w:t>that “violence against women” means any act of gender-based violence that results in, or is likely to result in, physical, sexual or psy</w:t>
      </w:r>
      <w:r w:rsidR="00875241" w:rsidRPr="00793FDD">
        <w:t>chological harm or suffering to</w:t>
      </w:r>
      <w:r w:rsidRPr="00793FDD">
        <w:t xml:space="preserve"> women </w:t>
      </w:r>
      <w:r w:rsidRPr="00793FDD">
        <w:rPr>
          <w:bCs/>
        </w:rPr>
        <w:t>and girls</w:t>
      </w:r>
      <w:r w:rsidRPr="00793FDD">
        <w:t xml:space="preserve"> of any age, including threats of such acts, coercion or arbitrary deprivation of liberty, whether occurring in public or in private life, and notes the economic and social harm caused by such violence; </w:t>
      </w:r>
    </w:p>
    <w:p w:rsidR="00736D5F" w:rsidRPr="00793FDD" w:rsidRDefault="00736D5F" w:rsidP="00875241">
      <w:pPr>
        <w:pStyle w:val="SingleTxtG"/>
        <w:ind w:firstLine="567"/>
        <w:rPr>
          <w:bCs/>
        </w:rPr>
      </w:pPr>
      <w:r w:rsidRPr="00793FDD">
        <w:rPr>
          <w:iCs/>
        </w:rPr>
        <w:t>2.</w:t>
      </w:r>
      <w:r w:rsidRPr="00793FDD">
        <w:rPr>
          <w:iCs/>
        </w:rPr>
        <w:tab/>
      </w:r>
      <w:r w:rsidRPr="00793FDD">
        <w:rPr>
          <w:i/>
          <w:iCs/>
        </w:rPr>
        <w:t xml:space="preserve">Strongly condemns </w:t>
      </w:r>
      <w:r w:rsidRPr="00793FDD">
        <w:t>all acts of violence against women and girls</w:t>
      </w:r>
      <w:r w:rsidRPr="00793FDD">
        <w:rPr>
          <w:bCs/>
        </w:rPr>
        <w:t>, including</w:t>
      </w:r>
      <w:r w:rsidRPr="00793FDD">
        <w:t xml:space="preserve"> </w:t>
      </w:r>
      <w:r w:rsidRPr="00793FDD">
        <w:rPr>
          <w:bCs/>
        </w:rPr>
        <w:t>against</w:t>
      </w:r>
      <w:r w:rsidRPr="00793FDD">
        <w:t xml:space="preserve"> </w:t>
      </w:r>
      <w:r w:rsidRPr="00793FDD">
        <w:rPr>
          <w:bCs/>
        </w:rPr>
        <w:t>indigenous women and girls</w:t>
      </w:r>
      <w:r w:rsidRPr="00793FDD">
        <w:t xml:space="preserve">, whether these acts are perpetrated by the State, private persons or non-State actors, and calls for the elimination of all forms of sexual and gender-based violence, </w:t>
      </w:r>
      <w:r w:rsidRPr="00793FDD">
        <w:rPr>
          <w:bCs/>
        </w:rPr>
        <w:t xml:space="preserve">including </w:t>
      </w:r>
      <w:r w:rsidRPr="00793FDD">
        <w:t xml:space="preserve">where perpetrated or condoned by the State, </w:t>
      </w:r>
      <w:r w:rsidRPr="00793FDD">
        <w:rPr>
          <w:bCs/>
        </w:rPr>
        <w:t>as described</w:t>
      </w:r>
      <w:r w:rsidRPr="00793FDD">
        <w:t xml:space="preserve"> </w:t>
      </w:r>
      <w:r w:rsidRPr="00793FDD">
        <w:rPr>
          <w:bCs/>
        </w:rPr>
        <w:t>in</w:t>
      </w:r>
      <w:r w:rsidRPr="00793FDD">
        <w:t xml:space="preserve"> the Declaration on the Elimination of Violence against Women; </w:t>
      </w:r>
    </w:p>
    <w:p w:rsidR="00736D5F" w:rsidRPr="00793FDD" w:rsidRDefault="00736D5F" w:rsidP="00736D5F">
      <w:pPr>
        <w:pStyle w:val="SingleTxtG"/>
        <w:ind w:firstLine="567"/>
      </w:pPr>
      <w:r w:rsidRPr="00793FDD">
        <w:rPr>
          <w:iCs/>
        </w:rPr>
        <w:t>3.</w:t>
      </w:r>
      <w:r w:rsidRPr="00793FDD">
        <w:rPr>
          <w:iCs/>
        </w:rPr>
        <w:tab/>
      </w:r>
      <w:r w:rsidRPr="00793FDD">
        <w:rPr>
          <w:i/>
          <w:iCs/>
        </w:rPr>
        <w:t>Underscores</w:t>
      </w:r>
      <w:r w:rsidRPr="00793FDD">
        <w:t xml:space="preserve"> that violence against women and gi</w:t>
      </w:r>
      <w:r w:rsidR="00875241" w:rsidRPr="00793FDD">
        <w:t>rls, including indigenous women</w:t>
      </w:r>
      <w:r w:rsidRPr="00793FDD">
        <w:t xml:space="preserve"> and girls, whether committed in the public or private sphere, is </w:t>
      </w:r>
      <w:r w:rsidR="00970521" w:rsidRPr="00793FDD">
        <w:t xml:space="preserve">a matter </w:t>
      </w:r>
      <w:r w:rsidRPr="00793FDD">
        <w:t xml:space="preserve">of grave public concern and that States have the primary responsibility for protecting and promoting the human rights of women and girls, and in this respect </w:t>
      </w:r>
      <w:r w:rsidRPr="00793FDD">
        <w:rPr>
          <w:iCs/>
        </w:rPr>
        <w:t>strongly</w:t>
      </w:r>
      <w:r w:rsidRPr="00793FDD">
        <w:t xml:space="preserve"> </w:t>
      </w:r>
      <w:r w:rsidRPr="00793FDD">
        <w:rPr>
          <w:iCs/>
        </w:rPr>
        <w:t>urges</w:t>
      </w:r>
      <w:r w:rsidRPr="00793FDD">
        <w:t xml:space="preserve"> States to take measures, in conjunction with indigenous peoples, to ensure that indigenous women and children enjoy full protection and guarantees against all forms of violence and discrimination in policy and in practice; </w:t>
      </w:r>
    </w:p>
    <w:p w:rsidR="00736D5F" w:rsidRPr="00793FDD" w:rsidRDefault="00736D5F" w:rsidP="00736D5F">
      <w:pPr>
        <w:pStyle w:val="SingleTxtG"/>
        <w:ind w:firstLine="567"/>
        <w:rPr>
          <w:bCs/>
        </w:rPr>
      </w:pPr>
      <w:r w:rsidRPr="00793FDD">
        <w:rPr>
          <w:iCs/>
        </w:rPr>
        <w:t>4.</w:t>
      </w:r>
      <w:r w:rsidRPr="00793FDD">
        <w:rPr>
          <w:iCs/>
        </w:rPr>
        <w:tab/>
      </w:r>
      <w:r w:rsidRPr="00793FDD">
        <w:rPr>
          <w:i/>
          <w:iCs/>
        </w:rPr>
        <w:t>Continues to express</w:t>
      </w:r>
      <w:r w:rsidRPr="00793FDD">
        <w:t xml:space="preserve"> </w:t>
      </w:r>
      <w:r w:rsidRPr="00793FDD">
        <w:rPr>
          <w:i/>
          <w:iCs/>
        </w:rPr>
        <w:t>particular concern</w:t>
      </w:r>
      <w:r w:rsidRPr="00793FDD">
        <w:t xml:space="preserve"> </w:t>
      </w:r>
      <w:r w:rsidR="00970521" w:rsidRPr="00793FDD">
        <w:t xml:space="preserve">at the </w:t>
      </w:r>
      <w:r w:rsidRPr="00793FDD">
        <w:t>systemic and structural discrimination and violence faced by women human rights defenders of all ages</w:t>
      </w:r>
      <w:r w:rsidR="00970521" w:rsidRPr="00793FDD">
        <w:t>,</w:t>
      </w:r>
      <w:r w:rsidRPr="00793FDD">
        <w:rPr>
          <w:bCs/>
        </w:rPr>
        <w:t xml:space="preserve"> including indigenous women and girl human rights defenders</w:t>
      </w:r>
      <w:r w:rsidRPr="00793FDD">
        <w:t xml:space="preserve">, and calls upon States to </w:t>
      </w:r>
      <w:r w:rsidRPr="00793FDD">
        <w:rPr>
          <w:bCs/>
          <w:u w:color="FF0000"/>
        </w:rPr>
        <w:t>exercise due diligence in preventing violations and abuses against all human rights defenders, including through practical steps</w:t>
      </w:r>
      <w:r w:rsidR="00662CA3" w:rsidRPr="00793FDD">
        <w:rPr>
          <w:bCs/>
          <w:u w:color="FF0000"/>
        </w:rPr>
        <w:t>,</w:t>
      </w:r>
      <w:r w:rsidRPr="00793FDD">
        <w:rPr>
          <w:bCs/>
          <w:u w:color="FF0000"/>
        </w:rPr>
        <w:t xml:space="preserve"> to prevent threats, harassment and violence, and in combating impunity by ensuring that those responsible for violations and abuses, including gender-based violence and threats, committed by State </w:t>
      </w:r>
      <w:r w:rsidR="00662CA3" w:rsidRPr="00793FDD">
        <w:rPr>
          <w:bCs/>
          <w:u w:color="FF0000"/>
        </w:rPr>
        <w:t>or</w:t>
      </w:r>
      <w:r w:rsidRPr="00793FDD">
        <w:rPr>
          <w:bCs/>
          <w:u w:color="FF0000"/>
        </w:rPr>
        <w:t xml:space="preserve"> non-State actors, including online, are promptly brought to justice through impartial investigations;</w:t>
      </w:r>
      <w:r w:rsidRPr="00793FDD">
        <w:rPr>
          <w:bCs/>
        </w:rPr>
        <w:t xml:space="preserve"> </w:t>
      </w:r>
    </w:p>
    <w:p w:rsidR="00736D5F" w:rsidRPr="00793FDD" w:rsidRDefault="00736D5F" w:rsidP="00736D5F">
      <w:pPr>
        <w:pStyle w:val="SingleTxtG"/>
        <w:ind w:firstLine="567"/>
        <w:rPr>
          <w:bCs/>
        </w:rPr>
      </w:pPr>
      <w:r w:rsidRPr="00793FDD">
        <w:rPr>
          <w:iCs/>
        </w:rPr>
        <w:t>5.</w:t>
      </w:r>
      <w:r w:rsidRPr="00793FDD">
        <w:rPr>
          <w:iCs/>
        </w:rPr>
        <w:tab/>
      </w:r>
      <w:r w:rsidRPr="00793FDD">
        <w:rPr>
          <w:i/>
          <w:iCs/>
        </w:rPr>
        <w:t>Expresses</w:t>
      </w:r>
      <w:r w:rsidRPr="00793FDD">
        <w:t xml:space="preserve"> </w:t>
      </w:r>
      <w:r w:rsidRPr="00793FDD">
        <w:rPr>
          <w:i/>
        </w:rPr>
        <w:t>concern</w:t>
      </w:r>
      <w:r w:rsidRPr="00793FDD">
        <w:t xml:space="preserve"> that</w:t>
      </w:r>
      <w:r w:rsidR="00CF618C" w:rsidRPr="00793FDD">
        <w:t xml:space="preserve"> violence in the private sphere, including</w:t>
      </w:r>
      <w:r w:rsidRPr="00793FDD">
        <w:t xml:space="preserve"> domestic violence, is the most prevalent and least visible form of violence against all women and girls</w:t>
      </w:r>
      <w:r w:rsidR="00662CA3" w:rsidRPr="00793FDD">
        <w:t>,</w:t>
      </w:r>
      <w:r w:rsidRPr="00793FDD">
        <w:t xml:space="preserve"> and that its consequences are long-lasting and profound</w:t>
      </w:r>
      <w:r w:rsidR="00662CA3" w:rsidRPr="00793FDD">
        <w:t>,</w:t>
      </w:r>
      <w:r w:rsidRPr="00793FDD">
        <w:t xml:space="preserve"> and affect many areas in the lives of victims </w:t>
      </w:r>
      <w:r w:rsidRPr="00793FDD">
        <w:rPr>
          <w:bCs/>
        </w:rPr>
        <w:t>and their communities</w:t>
      </w:r>
      <w:r w:rsidRPr="00793FDD">
        <w:t xml:space="preserve">; </w:t>
      </w:r>
    </w:p>
    <w:p w:rsidR="00736D5F" w:rsidRPr="00793FDD" w:rsidRDefault="00736D5F" w:rsidP="00736D5F">
      <w:pPr>
        <w:pStyle w:val="SingleTxtG"/>
        <w:ind w:firstLine="567"/>
        <w:rPr>
          <w:u w:color="FF0000"/>
        </w:rPr>
      </w:pPr>
      <w:r w:rsidRPr="00793FDD">
        <w:rPr>
          <w:iCs/>
        </w:rPr>
        <w:t>6.</w:t>
      </w:r>
      <w:r w:rsidRPr="00793FDD">
        <w:rPr>
          <w:iCs/>
        </w:rPr>
        <w:tab/>
      </w:r>
      <w:r w:rsidRPr="00793FDD">
        <w:rPr>
          <w:i/>
          <w:iCs/>
        </w:rPr>
        <w:t xml:space="preserve">Recognizes </w:t>
      </w:r>
      <w:r w:rsidRPr="00793FDD">
        <w:t>the critical role of women and girls, including indigenous women and girls</w:t>
      </w:r>
      <w:r w:rsidR="00A22B38" w:rsidRPr="00793FDD">
        <w:t>,</w:t>
      </w:r>
      <w:r w:rsidRPr="00793FDD">
        <w:t xml:space="preserve"> as agents of change, and in this regard urges States to engage and consult with indigenous women and girls as active and equal participants in the planning, design and implement</w:t>
      </w:r>
      <w:r w:rsidR="00662CA3" w:rsidRPr="00793FDD">
        <w:t>ation</w:t>
      </w:r>
      <w:r w:rsidRPr="00793FDD">
        <w:t xml:space="preserve"> of legislation, policies and programmes; </w:t>
      </w:r>
    </w:p>
    <w:p w:rsidR="00736D5F" w:rsidRPr="00793FDD" w:rsidRDefault="00736D5F" w:rsidP="00736D5F">
      <w:pPr>
        <w:pStyle w:val="SingleTxtG"/>
        <w:ind w:firstLine="567"/>
      </w:pPr>
      <w:r w:rsidRPr="00793FDD">
        <w:rPr>
          <w:iCs/>
        </w:rPr>
        <w:t>7.</w:t>
      </w:r>
      <w:r w:rsidRPr="00793FDD">
        <w:rPr>
          <w:iCs/>
        </w:rPr>
        <w:tab/>
      </w:r>
      <w:r w:rsidRPr="00793FDD">
        <w:rPr>
          <w:i/>
          <w:iCs/>
        </w:rPr>
        <w:t>Calls</w:t>
      </w:r>
      <w:r w:rsidRPr="00793FDD">
        <w:t xml:space="preserve"> </w:t>
      </w:r>
      <w:r w:rsidR="00662CA3" w:rsidRPr="00793FDD">
        <w:rPr>
          <w:i/>
        </w:rPr>
        <w:t>up</w:t>
      </w:r>
      <w:r w:rsidRPr="00793FDD">
        <w:rPr>
          <w:i/>
        </w:rPr>
        <w:t>on</w:t>
      </w:r>
      <w:r w:rsidRPr="00793FDD">
        <w:t xml:space="preserve"> States to take effective action to prevent violence against women and girls, including indigenous women and girls, by: </w:t>
      </w:r>
    </w:p>
    <w:p w:rsidR="00736D5F" w:rsidRPr="00793FDD" w:rsidRDefault="00736D5F" w:rsidP="00736D5F">
      <w:pPr>
        <w:pStyle w:val="SingleTxtG"/>
        <w:ind w:firstLine="567"/>
        <w:rPr>
          <w:bCs/>
        </w:rPr>
      </w:pPr>
      <w:r w:rsidRPr="00793FDD">
        <w:t>(</w:t>
      </w:r>
      <w:r w:rsidRPr="00793FDD">
        <w:rPr>
          <w:i/>
        </w:rPr>
        <w:t>a</w:t>
      </w:r>
      <w:r w:rsidRPr="00793FDD">
        <w:t>)</w:t>
      </w:r>
      <w:r w:rsidRPr="00793FDD">
        <w:tab/>
        <w:t>Develop</w:t>
      </w:r>
      <w:r w:rsidRPr="00793FDD">
        <w:rPr>
          <w:bCs/>
        </w:rPr>
        <w:t>ing</w:t>
      </w:r>
      <w:r w:rsidRPr="00793FDD">
        <w:t>, review</w:t>
      </w:r>
      <w:r w:rsidRPr="00793FDD">
        <w:rPr>
          <w:bCs/>
        </w:rPr>
        <w:t>ing</w:t>
      </w:r>
      <w:r w:rsidRPr="00793FDD">
        <w:t xml:space="preserve"> and strengthen</w:t>
      </w:r>
      <w:r w:rsidRPr="00793FDD">
        <w:rPr>
          <w:bCs/>
        </w:rPr>
        <w:t>ing</w:t>
      </w:r>
      <w:r w:rsidRPr="00793FDD">
        <w:t xml:space="preserve"> inclusive policies, including by allocating adequate resources to address the </w:t>
      </w:r>
      <w:r w:rsidRPr="00793FDD">
        <w:rPr>
          <w:bCs/>
        </w:rPr>
        <w:t>historical,</w:t>
      </w:r>
      <w:r w:rsidRPr="00793FDD">
        <w:t xml:space="preserve"> structural and underlying causes </w:t>
      </w:r>
      <w:r w:rsidRPr="00793FDD">
        <w:rPr>
          <w:bCs/>
        </w:rPr>
        <w:t xml:space="preserve">and risk factors </w:t>
      </w:r>
      <w:r w:rsidRPr="00793FDD">
        <w:t xml:space="preserve">of violence against women and girls, including </w:t>
      </w:r>
      <w:r w:rsidRPr="00793FDD">
        <w:rPr>
          <w:bCs/>
        </w:rPr>
        <w:t>indigenous</w:t>
      </w:r>
      <w:r w:rsidRPr="00793FDD">
        <w:t xml:space="preserve"> women and girls, </w:t>
      </w:r>
      <w:r w:rsidRPr="00793FDD">
        <w:rPr>
          <w:bCs/>
        </w:rPr>
        <w:t xml:space="preserve">and </w:t>
      </w:r>
      <w:r w:rsidRPr="00793FDD">
        <w:t>ensur</w:t>
      </w:r>
      <w:r w:rsidRPr="00793FDD">
        <w:rPr>
          <w:bCs/>
        </w:rPr>
        <w:t>ing</w:t>
      </w:r>
      <w:r w:rsidRPr="00793FDD">
        <w:t xml:space="preserve"> that laws and policies are</w:t>
      </w:r>
      <w:r w:rsidRPr="00793FDD">
        <w:rPr>
          <w:bCs/>
        </w:rPr>
        <w:t xml:space="preserve"> harmonized to address widespread violence against women and </w:t>
      </w:r>
      <w:r w:rsidR="00662CA3" w:rsidRPr="00793FDD">
        <w:rPr>
          <w:bCs/>
        </w:rPr>
        <w:t xml:space="preserve">are </w:t>
      </w:r>
      <w:r w:rsidRPr="00793FDD">
        <w:t xml:space="preserve">in compliance with their international human rights obligations; </w:t>
      </w:r>
    </w:p>
    <w:p w:rsidR="00736D5F" w:rsidRPr="00793FDD" w:rsidRDefault="00736D5F" w:rsidP="00736D5F">
      <w:pPr>
        <w:pStyle w:val="SingleTxtG"/>
        <w:ind w:firstLine="567"/>
        <w:rPr>
          <w:u w:color="FF0000"/>
        </w:rPr>
      </w:pPr>
      <w:r w:rsidRPr="00793FDD">
        <w:rPr>
          <w:bCs/>
        </w:rPr>
        <w:t>(</w:t>
      </w:r>
      <w:r w:rsidRPr="00793FDD">
        <w:rPr>
          <w:bCs/>
          <w:i/>
        </w:rPr>
        <w:t>b</w:t>
      </w:r>
      <w:r w:rsidRPr="00793FDD">
        <w:rPr>
          <w:bCs/>
        </w:rPr>
        <w:t>)</w:t>
      </w:r>
      <w:r w:rsidRPr="00793FDD">
        <w:rPr>
          <w:bCs/>
        </w:rPr>
        <w:tab/>
        <w:t>A</w:t>
      </w:r>
      <w:r w:rsidRPr="00793FDD">
        <w:t xml:space="preserve">bolishing practices and legislation that discriminate against women and girls, </w:t>
      </w:r>
      <w:r w:rsidRPr="00793FDD">
        <w:rPr>
          <w:bCs/>
        </w:rPr>
        <w:t xml:space="preserve">including </w:t>
      </w:r>
      <w:r w:rsidRPr="00793FDD">
        <w:t>indigenous</w:t>
      </w:r>
      <w:r w:rsidRPr="00793FDD">
        <w:rPr>
          <w:bCs/>
        </w:rPr>
        <w:t xml:space="preserve"> women and girls;</w:t>
      </w:r>
      <w:r w:rsidRPr="00793FDD">
        <w:t xml:space="preserve"> eliminating prejudices, harmful practices and gender stereotypes</w:t>
      </w:r>
      <w:r w:rsidRPr="00793FDD">
        <w:rPr>
          <w:bCs/>
        </w:rPr>
        <w:t>;</w:t>
      </w:r>
      <w:r w:rsidRPr="00793FDD">
        <w:t xml:space="preserve"> and raising awareness of the unacceptability of violence against women and girls; </w:t>
      </w:r>
    </w:p>
    <w:p w:rsidR="00736D5F" w:rsidRPr="00793FDD" w:rsidRDefault="00875241" w:rsidP="00736D5F">
      <w:pPr>
        <w:pStyle w:val="SingleTxtG"/>
        <w:ind w:firstLine="567"/>
        <w:rPr>
          <w:u w:color="FF0000"/>
        </w:rPr>
      </w:pPr>
      <w:r w:rsidRPr="00793FDD">
        <w:t>(</w:t>
      </w:r>
      <w:r w:rsidRPr="00793FDD">
        <w:rPr>
          <w:i/>
        </w:rPr>
        <w:t>c</w:t>
      </w:r>
      <w:r w:rsidRPr="00793FDD">
        <w:t>)</w:t>
      </w:r>
      <w:r w:rsidR="009A34C1" w:rsidRPr="00793FDD">
        <w:tab/>
      </w:r>
      <w:r w:rsidR="00736D5F" w:rsidRPr="00793FDD">
        <w:t>Taking measures to empower women by, inter alia, strengthening their economic autonomy and ensuring their full and equal participation in society</w:t>
      </w:r>
      <w:r w:rsidR="00BF674D">
        <w:t>,</w:t>
      </w:r>
      <w:r w:rsidR="00736D5F" w:rsidRPr="00793FDD">
        <w:t xml:space="preserve"> and in decision-making processes by adopting and implementing social and economic policies that guarantee women full and equal access to quality education, including comprehensive sexuality education, and training, and affordable and adequate public and social services, as well as full and equal access to financial resources and decent work, and full and equal rights to own and </w:t>
      </w:r>
      <w:r w:rsidR="00662CA3" w:rsidRPr="00793FDD">
        <w:t xml:space="preserve">to </w:t>
      </w:r>
      <w:r w:rsidR="00736D5F" w:rsidRPr="00793FDD">
        <w:t xml:space="preserve">have access to and control over land and other property, and guaranteeing women’s and girls’ inheritance rights; </w:t>
      </w:r>
    </w:p>
    <w:p w:rsidR="00736D5F" w:rsidRPr="00793FDD" w:rsidRDefault="00875241" w:rsidP="00875241">
      <w:pPr>
        <w:pStyle w:val="SingleTxtG"/>
        <w:ind w:firstLine="567"/>
        <w:rPr>
          <w:u w:color="FF0000"/>
        </w:rPr>
      </w:pPr>
      <w:r w:rsidRPr="00793FDD">
        <w:rPr>
          <w:bCs/>
        </w:rPr>
        <w:t>(</w:t>
      </w:r>
      <w:r w:rsidRPr="00793FDD">
        <w:rPr>
          <w:bCs/>
          <w:i/>
        </w:rPr>
        <w:t>d</w:t>
      </w:r>
      <w:r w:rsidRPr="00793FDD">
        <w:rPr>
          <w:bCs/>
        </w:rPr>
        <w:t>)</w:t>
      </w:r>
      <w:r w:rsidRPr="00793FDD">
        <w:rPr>
          <w:bCs/>
        </w:rPr>
        <w:tab/>
      </w:r>
      <w:r w:rsidR="00736D5F" w:rsidRPr="00793FDD">
        <w:rPr>
          <w:bCs/>
        </w:rPr>
        <w:t>R</w:t>
      </w:r>
      <w:r w:rsidR="00736D5F" w:rsidRPr="00793FDD">
        <w:t xml:space="preserve">emoving gender bias </w:t>
      </w:r>
      <w:r w:rsidR="00736D5F" w:rsidRPr="00793FDD">
        <w:rPr>
          <w:bCs/>
        </w:rPr>
        <w:t xml:space="preserve">and other forms of discrimination </w:t>
      </w:r>
      <w:r w:rsidR="00736D5F" w:rsidRPr="00793FDD">
        <w:t>from the administration of justice</w:t>
      </w:r>
      <w:r w:rsidR="00662CA3" w:rsidRPr="00793FDD">
        <w:t>,</w:t>
      </w:r>
      <w:r w:rsidR="00736D5F" w:rsidRPr="00793FDD">
        <w:t xml:space="preserve"> and enhancing the capacity of law enforcement officials to deal appropriately with all forms of violence against women and girls, including </w:t>
      </w:r>
      <w:r w:rsidR="00736D5F" w:rsidRPr="00793FDD">
        <w:rPr>
          <w:bCs/>
        </w:rPr>
        <w:t>against indigenous women</w:t>
      </w:r>
      <w:r w:rsidR="00736D5F" w:rsidRPr="00793FDD">
        <w:t xml:space="preserve"> </w:t>
      </w:r>
      <w:r w:rsidR="00736D5F" w:rsidRPr="00793FDD">
        <w:rPr>
          <w:bCs/>
        </w:rPr>
        <w:t>and girls,</w:t>
      </w:r>
      <w:r w:rsidR="00736D5F" w:rsidRPr="00793FDD">
        <w:t xml:space="preserve"> by providing systematic gender sensitivity training, as appropriate, for police and security forces, prosecutors, judges and lawyers, integrating gender </w:t>
      </w:r>
      <w:r w:rsidR="00736D5F" w:rsidRPr="00793FDD">
        <w:rPr>
          <w:bCs/>
        </w:rPr>
        <w:t>considerations</w:t>
      </w:r>
      <w:r w:rsidR="00736D5F" w:rsidRPr="00793FDD">
        <w:t xml:space="preserve"> into security sector reform initiatives, developing protocols and guidelines, and enhancing or putting in place appropriate accountability measures for adjudicators; </w:t>
      </w:r>
    </w:p>
    <w:p w:rsidR="00736D5F" w:rsidRPr="00793FDD" w:rsidRDefault="00875241" w:rsidP="00736D5F">
      <w:pPr>
        <w:pStyle w:val="SingleTxtG"/>
        <w:ind w:firstLine="567"/>
        <w:rPr>
          <w:u w:color="FF0000"/>
        </w:rPr>
      </w:pPr>
      <w:r w:rsidRPr="00793FDD">
        <w:t>(</w:t>
      </w:r>
      <w:r w:rsidRPr="00793FDD">
        <w:rPr>
          <w:i/>
        </w:rPr>
        <w:t>e</w:t>
      </w:r>
      <w:r w:rsidRPr="00793FDD">
        <w:t>)</w:t>
      </w:r>
      <w:r w:rsidRPr="00793FDD">
        <w:tab/>
      </w:r>
      <w:r w:rsidR="00736D5F" w:rsidRPr="00793FDD">
        <w:t xml:space="preserve">Engaging, educating, encouraging and supporting men and boys to take responsibility for their behaviour and to become active partners in the prevention and elimination of all forms of discrimination and violence against </w:t>
      </w:r>
      <w:r w:rsidR="00736D5F" w:rsidRPr="00793FDD">
        <w:rPr>
          <w:bCs/>
        </w:rPr>
        <w:t xml:space="preserve">all </w:t>
      </w:r>
      <w:r w:rsidR="00736D5F" w:rsidRPr="00793FDD">
        <w:t>women and girls,</w:t>
      </w:r>
      <w:r w:rsidR="00736D5F" w:rsidRPr="00793FDD">
        <w:rPr>
          <w:bCs/>
        </w:rPr>
        <w:t xml:space="preserve"> including indigenous women and girls, </w:t>
      </w:r>
      <w:r w:rsidR="00736D5F" w:rsidRPr="00793FDD">
        <w:t xml:space="preserve">and to end the stigmatization of victims </w:t>
      </w:r>
      <w:r w:rsidR="00736D5F" w:rsidRPr="00793FDD">
        <w:rPr>
          <w:bCs/>
        </w:rPr>
        <w:t>and survivors of violence</w:t>
      </w:r>
      <w:r w:rsidR="00736D5F" w:rsidRPr="00793FDD">
        <w:t xml:space="preserve"> by encouraging a change in attitudes, perceptions of masculinity, gender stereotypes and other norms and behaviour through the promotion of gender equality;</w:t>
      </w:r>
      <w:r w:rsidR="00736D5F" w:rsidRPr="00793FDD">
        <w:rPr>
          <w:u w:color="FF0000"/>
        </w:rPr>
        <w:t xml:space="preserve"> </w:t>
      </w:r>
    </w:p>
    <w:p w:rsidR="00736D5F" w:rsidRPr="00793FDD" w:rsidRDefault="00875241" w:rsidP="00875241">
      <w:pPr>
        <w:pStyle w:val="SingleTxtG"/>
        <w:ind w:firstLine="567"/>
        <w:rPr>
          <w:u w:color="FF0000"/>
        </w:rPr>
      </w:pPr>
      <w:r w:rsidRPr="00793FDD">
        <w:t>(</w:t>
      </w:r>
      <w:r w:rsidRPr="00793FDD">
        <w:rPr>
          <w:i/>
        </w:rPr>
        <w:t>f</w:t>
      </w:r>
      <w:r w:rsidRPr="00793FDD">
        <w:t>)</w:t>
      </w:r>
      <w:r w:rsidRPr="00793FDD">
        <w:tab/>
      </w:r>
      <w:r w:rsidR="00736D5F" w:rsidRPr="00793FDD">
        <w:t xml:space="preserve">Measuring the effectiveness of policies and programmes to prevent violence </w:t>
      </w:r>
      <w:r w:rsidR="00736D5F" w:rsidRPr="00793FDD">
        <w:rPr>
          <w:bCs/>
        </w:rPr>
        <w:t>against women and girls</w:t>
      </w:r>
      <w:r w:rsidR="00736D5F" w:rsidRPr="00793FDD">
        <w:t xml:space="preserve">, including by carrying out </w:t>
      </w:r>
      <w:r w:rsidR="00736D5F" w:rsidRPr="00793FDD">
        <w:rPr>
          <w:bCs/>
        </w:rPr>
        <w:t>regular</w:t>
      </w:r>
      <w:r w:rsidR="00736D5F" w:rsidRPr="00793FDD">
        <w:t xml:space="preserve"> evaluation and monitoring,</w:t>
      </w:r>
      <w:r w:rsidR="00736D5F" w:rsidRPr="00793FDD">
        <w:rPr>
          <w:bCs/>
        </w:rPr>
        <w:t xml:space="preserve"> and ensuring that they do not put indigenous women and girls at any additional risk</w:t>
      </w:r>
      <w:r w:rsidR="00736D5F" w:rsidRPr="00793FDD">
        <w:t xml:space="preserve">; </w:t>
      </w:r>
    </w:p>
    <w:p w:rsidR="00736D5F" w:rsidRPr="00793FDD" w:rsidRDefault="00875241" w:rsidP="00875241">
      <w:pPr>
        <w:pStyle w:val="SingleTxtG"/>
        <w:ind w:firstLine="567"/>
        <w:rPr>
          <w:u w:color="FF0000"/>
        </w:rPr>
      </w:pPr>
      <w:r w:rsidRPr="00793FDD">
        <w:t>(</w:t>
      </w:r>
      <w:r w:rsidRPr="00793FDD">
        <w:rPr>
          <w:i/>
        </w:rPr>
        <w:t>g</w:t>
      </w:r>
      <w:r w:rsidRPr="00793FDD">
        <w:t>)</w:t>
      </w:r>
      <w:r w:rsidRPr="00793FDD">
        <w:tab/>
      </w:r>
      <w:r w:rsidR="00736D5F" w:rsidRPr="00793FDD">
        <w:t>Ensuring free birth registration, including free or low</w:t>
      </w:r>
      <w:r w:rsidR="00A22B38" w:rsidRPr="00793FDD">
        <w:t>-</w:t>
      </w:r>
      <w:r w:rsidR="00736D5F" w:rsidRPr="00793FDD">
        <w:t>fee late birth registration, and further identifying and removing physical, administrative, procedural and any other barriers that impede access to birth registration, particularly barriers faced by indigenous women and girls, ensuring adequate training, and increasing, as needed, the accessibility of birth registration facilities</w:t>
      </w:r>
      <w:r w:rsidR="00D44D1E" w:rsidRPr="00793FDD">
        <w:t>;</w:t>
      </w:r>
    </w:p>
    <w:p w:rsidR="00736D5F" w:rsidRPr="00793FDD" w:rsidRDefault="00875241" w:rsidP="00875241">
      <w:pPr>
        <w:pStyle w:val="SingleTxtG"/>
        <w:ind w:firstLine="567"/>
        <w:rPr>
          <w:u w:color="FF0000"/>
        </w:rPr>
      </w:pPr>
      <w:r w:rsidRPr="00793FDD">
        <w:rPr>
          <w:iCs/>
        </w:rPr>
        <w:t>8.</w:t>
      </w:r>
      <w:r w:rsidRPr="00793FDD">
        <w:rPr>
          <w:iCs/>
        </w:rPr>
        <w:tab/>
      </w:r>
      <w:r w:rsidR="00736D5F" w:rsidRPr="00793FDD">
        <w:rPr>
          <w:i/>
          <w:iCs/>
        </w:rPr>
        <w:t xml:space="preserve">Urges </w:t>
      </w:r>
      <w:r w:rsidR="00736D5F" w:rsidRPr="00793FDD">
        <w:rPr>
          <w:iCs/>
        </w:rPr>
        <w:t xml:space="preserve">States to </w:t>
      </w:r>
      <w:r w:rsidR="00DC6065" w:rsidRPr="00793FDD">
        <w:t xml:space="preserve">condemn </w:t>
      </w:r>
      <w:r w:rsidR="00736D5F" w:rsidRPr="00793FDD">
        <w:rPr>
          <w:iCs/>
        </w:rPr>
        <w:t>s</w:t>
      </w:r>
      <w:r w:rsidR="00736D5F" w:rsidRPr="00793FDD">
        <w:t xml:space="preserve">trongly </w:t>
      </w:r>
      <w:r w:rsidR="00736D5F" w:rsidRPr="00793FDD">
        <w:rPr>
          <w:bCs/>
        </w:rPr>
        <w:t xml:space="preserve">and publicly </w:t>
      </w:r>
      <w:r w:rsidR="00736D5F" w:rsidRPr="00793FDD">
        <w:t xml:space="preserve">all forms of violence against women and girls, </w:t>
      </w:r>
      <w:r w:rsidR="00736D5F" w:rsidRPr="00793FDD">
        <w:rPr>
          <w:bCs/>
        </w:rPr>
        <w:t>including</w:t>
      </w:r>
      <w:r w:rsidR="00736D5F" w:rsidRPr="00793FDD">
        <w:t xml:space="preserve"> i</w:t>
      </w:r>
      <w:r w:rsidR="00736D5F" w:rsidRPr="00793FDD">
        <w:rPr>
          <w:bCs/>
        </w:rPr>
        <w:t>ndigenous</w:t>
      </w:r>
      <w:r w:rsidR="00736D5F" w:rsidRPr="00793FDD">
        <w:t xml:space="preserve"> </w:t>
      </w:r>
      <w:r w:rsidR="00736D5F" w:rsidRPr="00793FDD">
        <w:rPr>
          <w:bCs/>
        </w:rPr>
        <w:t>women and girls,</w:t>
      </w:r>
      <w:r w:rsidR="00736D5F" w:rsidRPr="00793FDD">
        <w:t xml:space="preserve"> and to refrain from invoking any custom, tradition or religious consideration to avoid their obligations with respect to its elimination, including harmful practices, such as child, early and forced marriage and female genital mutilation</w:t>
      </w:r>
      <w:r w:rsidR="00D44D1E" w:rsidRPr="00793FDD">
        <w:t>;</w:t>
      </w:r>
    </w:p>
    <w:p w:rsidR="00736D5F" w:rsidRPr="00793FDD" w:rsidRDefault="00875241" w:rsidP="00875241">
      <w:pPr>
        <w:pStyle w:val="SingleTxtG"/>
        <w:ind w:firstLine="567"/>
      </w:pPr>
      <w:r w:rsidRPr="00793FDD">
        <w:rPr>
          <w:iCs/>
        </w:rPr>
        <w:t>9</w:t>
      </w:r>
      <w:r w:rsidRPr="00793FDD">
        <w:rPr>
          <w:i/>
          <w:iCs/>
        </w:rPr>
        <w:t>.</w:t>
      </w:r>
      <w:r w:rsidRPr="00793FDD">
        <w:rPr>
          <w:i/>
          <w:iCs/>
        </w:rPr>
        <w:tab/>
      </w:r>
      <w:r w:rsidR="00736D5F" w:rsidRPr="00793FDD">
        <w:rPr>
          <w:i/>
          <w:iCs/>
        </w:rPr>
        <w:t xml:space="preserve">Also urges </w:t>
      </w:r>
      <w:r w:rsidR="00736D5F" w:rsidRPr="00793FDD">
        <w:t xml:space="preserve">States to ensure the promotion and protection of the human rights of all women and their sexual and reproductive health and reproductive rights, in accordance with the Programme of Action of the International Conference on Population and Development, the Beijing Platform for Action and the outcome documents of their review conferences, including through the development and enforcement of policies and legal frameworks and the strengthening of health systems that make universally accessible and available quality, comprehensive sexual and reproductive health-care services, commodities, information and education, including, inter alia, safe and effective methods of modern contraception, emergency contraception, prevention programmes for adolescent pregnancy, maternal health care, such as skilled birth attendance and emergency obstetric care, which will reduce obstetric fistula and other complications of pregnancy and delivery, safe abortion where such services are permitted by national law, and prevention and treatment of reproductive tract infections, sexually transmitted infections, HIV and reproductive cancers, </w:t>
      </w:r>
      <w:r w:rsidR="00BF674D">
        <w:t xml:space="preserve">and </w:t>
      </w:r>
      <w:r w:rsidR="00736D5F" w:rsidRPr="00793FDD">
        <w:t xml:space="preserve">recognizing that human rights include the right to have control over and decide freely and responsibly on matters related to their sexuality, including sexual and reproductive health, free from coercion, discrimination and violence; </w:t>
      </w:r>
    </w:p>
    <w:p w:rsidR="00736D5F" w:rsidRPr="00793FDD" w:rsidRDefault="00875241" w:rsidP="00875241">
      <w:pPr>
        <w:pStyle w:val="SingleTxtG"/>
        <w:ind w:firstLine="567"/>
      </w:pPr>
      <w:r w:rsidRPr="00793FDD">
        <w:rPr>
          <w:bCs/>
        </w:rPr>
        <w:t>10.</w:t>
      </w:r>
      <w:r w:rsidRPr="00793FDD">
        <w:rPr>
          <w:bCs/>
        </w:rPr>
        <w:tab/>
      </w:r>
      <w:r w:rsidR="00736D5F" w:rsidRPr="00793FDD">
        <w:rPr>
          <w:bCs/>
          <w:i/>
        </w:rPr>
        <w:t>Further</w:t>
      </w:r>
      <w:r w:rsidR="00736D5F" w:rsidRPr="00793FDD">
        <w:rPr>
          <w:bCs/>
        </w:rPr>
        <w:t xml:space="preserve"> </w:t>
      </w:r>
      <w:r w:rsidR="00736D5F" w:rsidRPr="00793FDD">
        <w:rPr>
          <w:bCs/>
          <w:i/>
          <w:iCs/>
        </w:rPr>
        <w:t>urges</w:t>
      </w:r>
      <w:r w:rsidR="00736D5F" w:rsidRPr="00793FDD">
        <w:rPr>
          <w:bCs/>
        </w:rPr>
        <w:t xml:space="preserve"> States to take </w:t>
      </w:r>
      <w:r w:rsidR="00736D5F" w:rsidRPr="00793FDD">
        <w:t>effective measures</w:t>
      </w:r>
      <w:r w:rsidR="00736D5F" w:rsidRPr="00793FDD">
        <w:rPr>
          <w:bCs/>
        </w:rPr>
        <w:t xml:space="preserve"> in support of the right of indigenous peoples</w:t>
      </w:r>
      <w:r w:rsidR="00736D5F" w:rsidRPr="00793FDD">
        <w:t>, without discrimination, to the improvement of their economic and social conditions, including</w:t>
      </w:r>
      <w:r w:rsidR="003B3074" w:rsidRPr="00793FDD">
        <w:t xml:space="preserve"> in</w:t>
      </w:r>
      <w:r w:rsidR="00736D5F" w:rsidRPr="00793FDD">
        <w:t>, inter alia, the areas of education, employment, vocational training and retraining, housing, sanitation, health and social security</w:t>
      </w:r>
      <w:r w:rsidR="003B3074" w:rsidRPr="00793FDD">
        <w:t>,</w:t>
      </w:r>
      <w:r w:rsidR="00736D5F" w:rsidRPr="00793FDD">
        <w:t xml:space="preserve"> </w:t>
      </w:r>
      <w:r w:rsidR="00736D5F" w:rsidRPr="00793FDD">
        <w:rPr>
          <w:bCs/>
        </w:rPr>
        <w:t>as referred to in the U</w:t>
      </w:r>
      <w:r w:rsidR="003B3074" w:rsidRPr="00793FDD">
        <w:rPr>
          <w:bCs/>
        </w:rPr>
        <w:t xml:space="preserve">nited </w:t>
      </w:r>
      <w:r w:rsidR="00736D5F" w:rsidRPr="00793FDD">
        <w:rPr>
          <w:bCs/>
        </w:rPr>
        <w:t>N</w:t>
      </w:r>
      <w:r w:rsidR="003B3074" w:rsidRPr="00793FDD">
        <w:rPr>
          <w:bCs/>
        </w:rPr>
        <w:t>ations</w:t>
      </w:r>
      <w:r w:rsidR="00736D5F" w:rsidRPr="00793FDD">
        <w:rPr>
          <w:bCs/>
        </w:rPr>
        <w:t xml:space="preserve"> Declaration on the Rights of Indigenous Peoples; </w:t>
      </w:r>
    </w:p>
    <w:p w:rsidR="00736D5F" w:rsidRPr="00793FDD" w:rsidRDefault="00875241" w:rsidP="00875241">
      <w:pPr>
        <w:pStyle w:val="SingleTxtG"/>
        <w:ind w:firstLine="567"/>
      </w:pPr>
      <w:r w:rsidRPr="00793FDD">
        <w:t>11</w:t>
      </w:r>
      <w:r w:rsidRPr="00793FDD">
        <w:rPr>
          <w:i/>
        </w:rPr>
        <w:t>.</w:t>
      </w:r>
      <w:r w:rsidRPr="00793FDD">
        <w:rPr>
          <w:i/>
        </w:rPr>
        <w:tab/>
      </w:r>
      <w:r w:rsidR="00736D5F" w:rsidRPr="00793FDD">
        <w:rPr>
          <w:i/>
        </w:rPr>
        <w:t>Encourages</w:t>
      </w:r>
      <w:r w:rsidR="00736D5F" w:rsidRPr="00793FDD">
        <w:t xml:space="preserve"> States to </w:t>
      </w:r>
      <w:r w:rsidR="00CF618C" w:rsidRPr="00793FDD">
        <w:t>adopt and strengthen sound policies</w:t>
      </w:r>
      <w:r w:rsidR="00183EFB" w:rsidRPr="00793FDD">
        <w:t>,</w:t>
      </w:r>
      <w:r w:rsidR="00CF618C" w:rsidRPr="00793FDD">
        <w:t xml:space="preserve"> enforceable legislation and transformative actions for the promotion of gender equality and women’s and girls’ empowerment at all levels</w:t>
      </w:r>
      <w:r w:rsidR="00736D5F" w:rsidRPr="00793FDD">
        <w:t xml:space="preserve">, including </w:t>
      </w:r>
      <w:r w:rsidR="005C7A53" w:rsidRPr="00793FDD">
        <w:t xml:space="preserve">of </w:t>
      </w:r>
      <w:r w:rsidR="00736D5F" w:rsidRPr="00793FDD">
        <w:t>indigenous women</w:t>
      </w:r>
      <w:r w:rsidR="00CF618C" w:rsidRPr="00793FDD">
        <w:t xml:space="preserve"> and girls</w:t>
      </w:r>
      <w:r w:rsidR="00736D5F" w:rsidRPr="00793FDD">
        <w:t xml:space="preserve">, to </w:t>
      </w:r>
      <w:r w:rsidR="00CF618C" w:rsidRPr="00793FDD">
        <w:t xml:space="preserve">promote </w:t>
      </w:r>
      <w:r w:rsidR="00736D5F" w:rsidRPr="00793FDD">
        <w:t>their</w:t>
      </w:r>
      <w:r w:rsidR="00CF618C" w:rsidRPr="00793FDD">
        <w:t xml:space="preserve"> equal rights,</w:t>
      </w:r>
      <w:r w:rsidR="00736D5F" w:rsidRPr="00793FDD">
        <w:t xml:space="preserve"> access</w:t>
      </w:r>
      <w:r w:rsidR="00CF618C" w:rsidRPr="00793FDD">
        <w:t xml:space="preserve"> </w:t>
      </w:r>
      <w:r w:rsidR="00183EFB" w:rsidRPr="00793FDD">
        <w:t xml:space="preserve">to </w:t>
      </w:r>
      <w:r w:rsidR="00CF618C" w:rsidRPr="00793FDD">
        <w:t>and opportunities for participation and leadership in the economy</w:t>
      </w:r>
      <w:r w:rsidR="004A6F4A" w:rsidRPr="00793FDD">
        <w:t xml:space="preserve"> and access to economic activities, to increase their level of employment, and to implement measures such as training, the provision of technical assistance and credit facilities</w:t>
      </w:r>
      <w:r w:rsidR="00CF618C" w:rsidRPr="00793FDD">
        <w:t xml:space="preserve"> </w:t>
      </w:r>
      <w:r w:rsidR="00736D5F" w:rsidRPr="00793FDD">
        <w:t xml:space="preserve">to </w:t>
      </w:r>
      <w:r w:rsidR="00CF618C" w:rsidRPr="00793FDD">
        <w:t>eliminate gender-based violence and discrimination in all its forms;</w:t>
      </w:r>
    </w:p>
    <w:p w:rsidR="00736D5F" w:rsidRPr="00793FDD" w:rsidRDefault="00875241" w:rsidP="00875241">
      <w:pPr>
        <w:pStyle w:val="SingleTxtG"/>
        <w:ind w:firstLine="567"/>
      </w:pPr>
      <w:r w:rsidRPr="00793FDD">
        <w:rPr>
          <w:iCs/>
        </w:rPr>
        <w:t>12</w:t>
      </w:r>
      <w:r w:rsidRPr="00793FDD">
        <w:rPr>
          <w:i/>
          <w:iCs/>
        </w:rPr>
        <w:t>.</w:t>
      </w:r>
      <w:r w:rsidRPr="00793FDD">
        <w:rPr>
          <w:i/>
          <w:iCs/>
        </w:rPr>
        <w:tab/>
      </w:r>
      <w:r w:rsidR="00DC6065" w:rsidRPr="00793FDD">
        <w:rPr>
          <w:i/>
          <w:iCs/>
        </w:rPr>
        <w:t>Also e</w:t>
      </w:r>
      <w:r w:rsidR="00736D5F" w:rsidRPr="00793FDD">
        <w:rPr>
          <w:i/>
          <w:iCs/>
        </w:rPr>
        <w:t xml:space="preserve">ncourages </w:t>
      </w:r>
      <w:r w:rsidR="00736D5F" w:rsidRPr="00793FDD">
        <w:t xml:space="preserve">States to improve the collection, harmonization and use of data disaggregated by sex, </w:t>
      </w:r>
      <w:r w:rsidR="00BF674D">
        <w:t xml:space="preserve">and </w:t>
      </w:r>
      <w:r w:rsidR="00736D5F" w:rsidRPr="00793FDD">
        <w:t xml:space="preserve">administrative data, including, where appropriate, from the police, the health sector and the judiciary, on incidents of </w:t>
      </w:r>
      <w:r w:rsidR="00736D5F" w:rsidRPr="00793FDD">
        <w:rPr>
          <w:bCs/>
        </w:rPr>
        <w:t xml:space="preserve">all forms of </w:t>
      </w:r>
      <w:r w:rsidR="00736D5F" w:rsidRPr="00793FDD">
        <w:t xml:space="preserve">violence against women and girls, </w:t>
      </w:r>
      <w:r w:rsidR="00736D5F" w:rsidRPr="00793FDD">
        <w:rPr>
          <w:bCs/>
        </w:rPr>
        <w:t xml:space="preserve">including against indigenous women and girls, </w:t>
      </w:r>
      <w:r w:rsidR="00736D5F" w:rsidRPr="00793FDD">
        <w:t xml:space="preserve">such as data on the relationship between the perpetrator and victim and geographic location, ensuring that confidentiality and ethical and safety considerations are taken into account in the process of data collection, and improving the effectiveness of the services and programmes provided and protecting the safety and security of the victim; </w:t>
      </w:r>
    </w:p>
    <w:p w:rsidR="00736D5F" w:rsidRPr="00793FDD" w:rsidRDefault="009A34C1" w:rsidP="009A34C1">
      <w:pPr>
        <w:pStyle w:val="SingleTxtG"/>
        <w:ind w:firstLine="567"/>
      </w:pPr>
      <w:r w:rsidRPr="00793FDD">
        <w:rPr>
          <w:bCs/>
        </w:rPr>
        <w:t>13.</w:t>
      </w:r>
      <w:r w:rsidRPr="00793FDD">
        <w:rPr>
          <w:bCs/>
          <w:i/>
        </w:rPr>
        <w:tab/>
      </w:r>
      <w:r w:rsidR="00736D5F" w:rsidRPr="00793FDD">
        <w:rPr>
          <w:bCs/>
          <w:i/>
        </w:rPr>
        <w:t>E</w:t>
      </w:r>
      <w:r w:rsidR="00736D5F" w:rsidRPr="00793FDD">
        <w:rPr>
          <w:i/>
        </w:rPr>
        <w:t>ncourage</w:t>
      </w:r>
      <w:r w:rsidR="00736D5F" w:rsidRPr="00793FDD">
        <w:rPr>
          <w:bCs/>
          <w:i/>
        </w:rPr>
        <w:t>s</w:t>
      </w:r>
      <w:r w:rsidR="00736D5F" w:rsidRPr="00793FDD">
        <w:rPr>
          <w:bCs/>
        </w:rPr>
        <w:t xml:space="preserve"> </w:t>
      </w:r>
      <w:r w:rsidR="003B3074" w:rsidRPr="00793FDD">
        <w:rPr>
          <w:bCs/>
        </w:rPr>
        <w:t xml:space="preserve">the </w:t>
      </w:r>
      <w:r w:rsidR="00736D5F" w:rsidRPr="00793FDD">
        <w:t xml:space="preserve">media to examine the impact of gender-role stereotypes, including those perpetuated by commercial advertisements that foster gender-based violence and inequalities, to promote zero tolerance for such violence and to remove the stigma of being a victim and survivor of violence, thus creating an enabling and accessible environment where women and girls can easily report incidents of violence and make use of the services available, including protection and assistance programmes; </w:t>
      </w:r>
    </w:p>
    <w:p w:rsidR="00736D5F" w:rsidRPr="00793FDD" w:rsidRDefault="009A34C1" w:rsidP="009A34C1">
      <w:pPr>
        <w:pStyle w:val="SingleTxtG"/>
        <w:ind w:firstLine="567"/>
      </w:pPr>
      <w:r w:rsidRPr="00793FDD">
        <w:t>14.</w:t>
      </w:r>
      <w:r w:rsidRPr="00793FDD">
        <w:tab/>
      </w:r>
      <w:r w:rsidR="00DC6065" w:rsidRPr="00793FDD">
        <w:rPr>
          <w:i/>
          <w:iCs/>
        </w:rPr>
        <w:t>C</w:t>
      </w:r>
      <w:r w:rsidR="00736D5F" w:rsidRPr="00793FDD">
        <w:rPr>
          <w:i/>
          <w:iCs/>
        </w:rPr>
        <w:t>alls</w:t>
      </w:r>
      <w:r w:rsidR="00736D5F" w:rsidRPr="00793FDD">
        <w:t xml:space="preserve"> </w:t>
      </w:r>
      <w:r w:rsidR="00736D5F" w:rsidRPr="00793FDD">
        <w:rPr>
          <w:i/>
        </w:rPr>
        <w:t>upon</w:t>
      </w:r>
      <w:r w:rsidR="00736D5F" w:rsidRPr="00793FDD">
        <w:t xml:space="preserve"> States to take effective action to respond to violence against women and girls, including indigenous women and girls, and </w:t>
      </w:r>
      <w:r w:rsidR="003B3074" w:rsidRPr="00793FDD">
        <w:t xml:space="preserve">to </w:t>
      </w:r>
      <w:r w:rsidR="00736D5F" w:rsidRPr="00793FDD">
        <w:t>protect all victims and survivors by:</w:t>
      </w:r>
    </w:p>
    <w:p w:rsidR="00736D5F" w:rsidRPr="00793FDD" w:rsidRDefault="009A34C1" w:rsidP="009A34C1">
      <w:pPr>
        <w:pStyle w:val="SingleTxtG"/>
        <w:ind w:firstLine="567"/>
      </w:pPr>
      <w:r w:rsidRPr="00793FDD">
        <w:t>(</w:t>
      </w:r>
      <w:r w:rsidRPr="00793FDD">
        <w:rPr>
          <w:i/>
        </w:rPr>
        <w:t>a</w:t>
      </w:r>
      <w:r w:rsidRPr="00793FDD">
        <w:t>)</w:t>
      </w:r>
      <w:r w:rsidRPr="00793FDD">
        <w:tab/>
      </w:r>
      <w:r w:rsidR="00736D5F" w:rsidRPr="00793FDD">
        <w:t>Tak</w:t>
      </w:r>
      <w:r w:rsidR="00736D5F" w:rsidRPr="00793FDD">
        <w:rPr>
          <w:bCs/>
        </w:rPr>
        <w:t xml:space="preserve">ing </w:t>
      </w:r>
      <w:r w:rsidR="00736D5F" w:rsidRPr="00793FDD">
        <w:t xml:space="preserve">practical and concrete steps </w:t>
      </w:r>
      <w:r w:rsidR="00736D5F" w:rsidRPr="00793FDD">
        <w:rPr>
          <w:bCs/>
        </w:rPr>
        <w:t xml:space="preserve">to </w:t>
      </w:r>
      <w:r w:rsidR="00736D5F" w:rsidRPr="00793FDD">
        <w:t>creat</w:t>
      </w:r>
      <w:r w:rsidR="00736D5F" w:rsidRPr="00793FDD">
        <w:rPr>
          <w:bCs/>
        </w:rPr>
        <w:t>e</w:t>
      </w:r>
      <w:r w:rsidR="00736D5F" w:rsidRPr="00793FDD">
        <w:t xml:space="preserve"> an enabling environment where women and girls can easily report incidents of violence, </w:t>
      </w:r>
      <w:r w:rsidR="00736D5F" w:rsidRPr="00793FDD">
        <w:rPr>
          <w:bCs/>
        </w:rPr>
        <w:t>including by</w:t>
      </w:r>
      <w:r w:rsidR="00736D5F" w:rsidRPr="00793FDD">
        <w:t xml:space="preserve"> providing law enforcement officials, </w:t>
      </w:r>
      <w:r w:rsidR="00736D5F" w:rsidRPr="00793FDD">
        <w:rPr>
          <w:bCs/>
        </w:rPr>
        <w:t>health</w:t>
      </w:r>
      <w:r w:rsidR="003B3074" w:rsidRPr="00793FDD">
        <w:rPr>
          <w:bCs/>
        </w:rPr>
        <w:t>-</w:t>
      </w:r>
      <w:r w:rsidR="00736D5F" w:rsidRPr="00793FDD">
        <w:rPr>
          <w:bCs/>
        </w:rPr>
        <w:t>care providers</w:t>
      </w:r>
      <w:r w:rsidR="00736D5F" w:rsidRPr="00793FDD">
        <w:t xml:space="preserve"> and </w:t>
      </w:r>
      <w:r w:rsidR="00736D5F" w:rsidRPr="00793FDD">
        <w:rPr>
          <w:bCs/>
        </w:rPr>
        <w:t xml:space="preserve">other </w:t>
      </w:r>
      <w:r w:rsidR="00736D5F" w:rsidRPr="00793FDD">
        <w:t xml:space="preserve">first responders with human rights training </w:t>
      </w:r>
      <w:r w:rsidR="00736D5F" w:rsidRPr="00793FDD">
        <w:rPr>
          <w:bCs/>
        </w:rPr>
        <w:t>to ensure</w:t>
      </w:r>
      <w:r w:rsidR="00736D5F" w:rsidRPr="00793FDD">
        <w:t xml:space="preserve"> services that are responsive to trauma </w:t>
      </w:r>
      <w:r w:rsidR="00736D5F" w:rsidRPr="00793FDD">
        <w:rPr>
          <w:bCs/>
        </w:rPr>
        <w:t>and free from discrimination;</w:t>
      </w:r>
    </w:p>
    <w:p w:rsidR="00736D5F" w:rsidRPr="00793FDD" w:rsidRDefault="009A34C1" w:rsidP="009A34C1">
      <w:pPr>
        <w:pStyle w:val="SingleTxtG"/>
        <w:ind w:firstLine="567"/>
      </w:pPr>
      <w:r w:rsidRPr="00793FDD">
        <w:t>(</w:t>
      </w:r>
      <w:r w:rsidRPr="00793FDD">
        <w:rPr>
          <w:i/>
        </w:rPr>
        <w:t>b</w:t>
      </w:r>
      <w:r w:rsidRPr="00793FDD">
        <w:t>)</w:t>
      </w:r>
      <w:r w:rsidRPr="00793FDD">
        <w:tab/>
      </w:r>
      <w:r w:rsidR="00736D5F" w:rsidRPr="00793FDD">
        <w:t>Adopt</w:t>
      </w:r>
      <w:r w:rsidR="00736D5F" w:rsidRPr="00793FDD">
        <w:rPr>
          <w:bCs/>
        </w:rPr>
        <w:t>ing</w:t>
      </w:r>
      <w:r w:rsidR="00736D5F" w:rsidRPr="00793FDD">
        <w:t xml:space="preserve"> and fund</w:t>
      </w:r>
      <w:r w:rsidR="00736D5F" w:rsidRPr="00793FDD">
        <w:rPr>
          <w:bCs/>
        </w:rPr>
        <w:t>ing</w:t>
      </w:r>
      <w:r w:rsidR="00736D5F" w:rsidRPr="00793FDD">
        <w:t xml:space="preserve"> policy reforms and programmes, and support education, in order to sensitize, train and strengthen the capacity of public officials and professionals, including the judiciary, </w:t>
      </w:r>
      <w:r w:rsidR="003B3074" w:rsidRPr="00793FDD">
        <w:t xml:space="preserve">the </w:t>
      </w:r>
      <w:r w:rsidR="00736D5F" w:rsidRPr="00793FDD">
        <w:t xml:space="preserve">police and </w:t>
      </w:r>
      <w:r w:rsidR="003B3074" w:rsidRPr="00793FDD">
        <w:t xml:space="preserve">the </w:t>
      </w:r>
      <w:r w:rsidR="00736D5F" w:rsidRPr="00793FDD">
        <w:t>military, as well as those working in the areas of education, health, social welfare, justice, defence and immigration; and hold</w:t>
      </w:r>
      <w:r w:rsidR="003B3074" w:rsidRPr="00793FDD">
        <w:t>ing</w:t>
      </w:r>
      <w:r w:rsidR="00736D5F" w:rsidRPr="00793FDD">
        <w:t xml:space="preserve"> public officials accountable for not complying with laws and regulations relating to violence against women and girls, in order to prevent and respond to such violence in a</w:t>
      </w:r>
      <w:r w:rsidR="00736D5F" w:rsidRPr="00793FDD">
        <w:rPr>
          <w:bCs/>
        </w:rPr>
        <w:t xml:space="preserve"> </w:t>
      </w:r>
      <w:r w:rsidR="00736D5F" w:rsidRPr="00793FDD">
        <w:t xml:space="preserve">gender-sensitive manner, </w:t>
      </w:r>
      <w:r w:rsidR="003B3074" w:rsidRPr="00793FDD">
        <w:t xml:space="preserve">to </w:t>
      </w:r>
      <w:r w:rsidR="00736D5F" w:rsidRPr="00793FDD">
        <w:t xml:space="preserve">end impunity and </w:t>
      </w:r>
      <w:r w:rsidR="003B3074" w:rsidRPr="00793FDD">
        <w:t xml:space="preserve">to </w:t>
      </w:r>
      <w:r w:rsidR="00736D5F" w:rsidRPr="00793FDD">
        <w:t xml:space="preserve">avoid the abuse of power leading to violence against women and the </w:t>
      </w:r>
      <w:proofErr w:type="spellStart"/>
      <w:r w:rsidR="00736D5F" w:rsidRPr="00793FDD">
        <w:t>revictimization</w:t>
      </w:r>
      <w:proofErr w:type="spellEnd"/>
      <w:r w:rsidR="00736D5F" w:rsidRPr="00793FDD">
        <w:t xml:space="preserve"> of victims and survivors;</w:t>
      </w:r>
    </w:p>
    <w:p w:rsidR="00736D5F" w:rsidRPr="00793FDD" w:rsidRDefault="009A34C1" w:rsidP="009A34C1">
      <w:pPr>
        <w:pStyle w:val="SingleTxtG"/>
        <w:ind w:firstLine="567"/>
      </w:pPr>
      <w:r w:rsidRPr="00793FDD">
        <w:t>(</w:t>
      </w:r>
      <w:r w:rsidRPr="00793FDD">
        <w:rPr>
          <w:i/>
        </w:rPr>
        <w:t>c</w:t>
      </w:r>
      <w:r w:rsidRPr="00793FDD">
        <w:t>)</w:t>
      </w:r>
      <w:r w:rsidRPr="00793FDD">
        <w:tab/>
      </w:r>
      <w:r w:rsidR="00736D5F" w:rsidRPr="00793FDD">
        <w:t>Establishing</w:t>
      </w:r>
      <w:r w:rsidR="004A6F4A" w:rsidRPr="00793FDD">
        <w:t>, as appropriate,</w:t>
      </w:r>
      <w:r w:rsidR="00736D5F" w:rsidRPr="00793FDD">
        <w:t xml:space="preserve"> comprehensive, coordinated, interdisciplinary, accessible and sustained multisectoral services, programmes and responses at all levels, with the support of all available technologies, for all victims and survivors of all forms of violence against women and girls based on their needs, that are adequately resourced and include effective and coordinated action by, as appropriate, </w:t>
      </w:r>
      <w:r w:rsidR="003B3074" w:rsidRPr="00793FDD">
        <w:t xml:space="preserve">the </w:t>
      </w:r>
      <w:r w:rsidR="00736D5F" w:rsidRPr="00793FDD">
        <w:t>police and the justice sector, legal aid services, health-care services, including sexual and reproductive health, and medical, psychological and other counselling services, including specialist services as appropriate, State and independent women’s shelters and counselling centres, 24-hour hotlines, social aid services, one-stop crisis centres, immigration services, child services, public housing services to provide low</w:t>
      </w:r>
      <w:r w:rsidR="003B3074" w:rsidRPr="00793FDD">
        <w:t>-</w:t>
      </w:r>
      <w:r w:rsidR="00736D5F" w:rsidRPr="00793FDD">
        <w:t>threshold, easy</w:t>
      </w:r>
      <w:r w:rsidR="003B3074" w:rsidRPr="00793FDD">
        <w:t>-</w:t>
      </w:r>
      <w:r w:rsidR="00736D5F" w:rsidRPr="00793FDD">
        <w:t>to</w:t>
      </w:r>
      <w:r w:rsidR="003B3074" w:rsidRPr="00793FDD">
        <w:t>-</w:t>
      </w:r>
      <w:r w:rsidR="00736D5F" w:rsidRPr="00793FDD">
        <w:t xml:space="preserve">reach and safe assistance for women and children, as well as assistance, protection and support through access to long-term accommodation, educational, employment and economic opportunities, and </w:t>
      </w:r>
      <w:r w:rsidR="00344112" w:rsidRPr="00793FDD">
        <w:t xml:space="preserve">to </w:t>
      </w:r>
      <w:r w:rsidR="00736D5F" w:rsidRPr="00793FDD">
        <w:t>take steps to ensure the safety and security of health-care workers and service providers who assist and support victims and survivors of violence and</w:t>
      </w:r>
      <w:r w:rsidR="00344112" w:rsidRPr="00793FDD">
        <w:t>,</w:t>
      </w:r>
      <w:r w:rsidR="00736D5F" w:rsidRPr="00793FDD">
        <w:t xml:space="preserve"> in cases of girl victims</w:t>
      </w:r>
      <w:r w:rsidR="00344112" w:rsidRPr="00793FDD">
        <w:t>,</w:t>
      </w:r>
      <w:r w:rsidR="00736D5F" w:rsidRPr="00793FDD">
        <w:t xml:space="preserve"> </w:t>
      </w:r>
      <w:r w:rsidR="00344112" w:rsidRPr="00793FDD">
        <w:t xml:space="preserve">to </w:t>
      </w:r>
      <w:r w:rsidR="00736D5F" w:rsidRPr="00793FDD">
        <w:t>ensure that such services and responses take into account the best interests of the child;</w:t>
      </w:r>
      <w:r w:rsidR="00736D5F" w:rsidRPr="00793FDD">
        <w:rPr>
          <w:u w:color="FF0000"/>
        </w:rPr>
        <w:t xml:space="preserve"> </w:t>
      </w:r>
    </w:p>
    <w:p w:rsidR="00736D5F" w:rsidRPr="00793FDD" w:rsidRDefault="009A34C1" w:rsidP="009A34C1">
      <w:pPr>
        <w:pStyle w:val="SingleTxtG"/>
        <w:ind w:firstLine="567"/>
      </w:pPr>
      <w:r w:rsidRPr="00793FDD">
        <w:rPr>
          <w:bCs/>
        </w:rPr>
        <w:t>(</w:t>
      </w:r>
      <w:r w:rsidRPr="00793FDD">
        <w:rPr>
          <w:bCs/>
          <w:i/>
        </w:rPr>
        <w:t>d</w:t>
      </w:r>
      <w:r w:rsidRPr="00793FDD">
        <w:rPr>
          <w:bCs/>
        </w:rPr>
        <w:t>)</w:t>
      </w:r>
      <w:r w:rsidRPr="00793FDD">
        <w:rPr>
          <w:bCs/>
        </w:rPr>
        <w:tab/>
      </w:r>
      <w:r w:rsidR="00736D5F" w:rsidRPr="00793FDD">
        <w:rPr>
          <w:bCs/>
        </w:rPr>
        <w:t>A</w:t>
      </w:r>
      <w:r w:rsidR="00736D5F" w:rsidRPr="00793FDD">
        <w:t>dopt</w:t>
      </w:r>
      <w:r w:rsidR="00736D5F" w:rsidRPr="00793FDD">
        <w:rPr>
          <w:bCs/>
        </w:rPr>
        <w:t>ing</w:t>
      </w:r>
      <w:r w:rsidR="00736D5F" w:rsidRPr="00793FDD">
        <w:t xml:space="preserve"> measures to </w:t>
      </w:r>
      <w:r w:rsidR="00A22B38" w:rsidRPr="00793FDD">
        <w:t xml:space="preserve">raise </w:t>
      </w:r>
      <w:r w:rsidR="00736D5F" w:rsidRPr="00793FDD">
        <w:t xml:space="preserve">the awareness of women </w:t>
      </w:r>
      <w:r w:rsidR="00736D5F" w:rsidRPr="00793FDD">
        <w:rPr>
          <w:bCs/>
        </w:rPr>
        <w:t>and girls</w:t>
      </w:r>
      <w:r w:rsidR="00736D5F" w:rsidRPr="00793FDD">
        <w:t xml:space="preserve">, </w:t>
      </w:r>
      <w:r w:rsidR="00736D5F" w:rsidRPr="00793FDD">
        <w:rPr>
          <w:bCs/>
        </w:rPr>
        <w:t>including</w:t>
      </w:r>
      <w:r w:rsidR="00736D5F" w:rsidRPr="00793FDD">
        <w:t xml:space="preserve"> </w:t>
      </w:r>
      <w:r w:rsidR="00736D5F" w:rsidRPr="00793FDD">
        <w:rPr>
          <w:bCs/>
        </w:rPr>
        <w:t>indigenous women</w:t>
      </w:r>
      <w:r w:rsidR="00736D5F" w:rsidRPr="00793FDD">
        <w:t xml:space="preserve"> </w:t>
      </w:r>
      <w:r w:rsidR="00736D5F" w:rsidRPr="00793FDD">
        <w:rPr>
          <w:bCs/>
        </w:rPr>
        <w:t xml:space="preserve">and girls, </w:t>
      </w:r>
      <w:r w:rsidR="00736D5F" w:rsidRPr="00793FDD">
        <w:t>and in particular</w:t>
      </w:r>
      <w:r w:rsidR="00736D5F" w:rsidRPr="00793FDD">
        <w:rPr>
          <w:bCs/>
        </w:rPr>
        <w:t xml:space="preserve"> those </w:t>
      </w:r>
      <w:r w:rsidR="00736D5F" w:rsidRPr="00793FDD">
        <w:t xml:space="preserve">at known risk of </w:t>
      </w:r>
      <w:r w:rsidR="00736D5F" w:rsidRPr="00793FDD">
        <w:rPr>
          <w:bCs/>
        </w:rPr>
        <w:t>sexual and</w:t>
      </w:r>
      <w:r w:rsidR="00736D5F" w:rsidRPr="00793FDD">
        <w:t xml:space="preserve"> gender-based violence, of their rights</w:t>
      </w:r>
      <w:r w:rsidR="00BF674D">
        <w:t xml:space="preserve"> and</w:t>
      </w:r>
      <w:r w:rsidR="00736D5F" w:rsidRPr="00793FDD">
        <w:t xml:space="preserve"> the law</w:t>
      </w:r>
      <w:r w:rsidR="00BF674D">
        <w:t>,</w:t>
      </w:r>
      <w:r w:rsidR="00736D5F" w:rsidRPr="00793FDD">
        <w:t xml:space="preserve"> and the protection and legal remedies it offers, including by disseminating information on the assistance available to women and families </w:t>
      </w:r>
      <w:r w:rsidR="00A22B38" w:rsidRPr="00793FDD">
        <w:t xml:space="preserve">that </w:t>
      </w:r>
      <w:r w:rsidR="00736D5F" w:rsidRPr="00793FDD">
        <w:t xml:space="preserve">have experienced violence, and ensuring that timely and appropriate information is available to all women </w:t>
      </w:r>
      <w:r w:rsidR="00736D5F" w:rsidRPr="00793FDD">
        <w:rPr>
          <w:bCs/>
        </w:rPr>
        <w:t xml:space="preserve">and girls </w:t>
      </w:r>
      <w:r w:rsidR="00736D5F" w:rsidRPr="00793FDD">
        <w:t xml:space="preserve">who have been subjected to violence, </w:t>
      </w:r>
      <w:r w:rsidR="00736D5F" w:rsidRPr="00793FDD">
        <w:rPr>
          <w:bCs/>
        </w:rPr>
        <w:t>when possible in a language in which they can effectively communicate</w:t>
      </w:r>
      <w:r w:rsidR="00736D5F" w:rsidRPr="00793FDD">
        <w:t xml:space="preserve">, </w:t>
      </w:r>
      <w:r w:rsidR="00736D5F" w:rsidRPr="00793FDD">
        <w:rPr>
          <w:bCs/>
        </w:rPr>
        <w:t>and at all stages of the justice system</w:t>
      </w:r>
      <w:r w:rsidR="00736D5F" w:rsidRPr="00793FDD">
        <w:t xml:space="preserve">; </w:t>
      </w:r>
    </w:p>
    <w:p w:rsidR="00736D5F" w:rsidRPr="00793FDD" w:rsidRDefault="009A34C1" w:rsidP="009A34C1">
      <w:pPr>
        <w:pStyle w:val="SingleTxtG"/>
        <w:ind w:firstLine="567"/>
        <w:rPr>
          <w:bCs/>
        </w:rPr>
      </w:pPr>
      <w:r w:rsidRPr="00793FDD">
        <w:t>(</w:t>
      </w:r>
      <w:r w:rsidRPr="00793FDD">
        <w:rPr>
          <w:i/>
        </w:rPr>
        <w:t>e</w:t>
      </w:r>
      <w:r w:rsidRPr="00793FDD">
        <w:t>)</w:t>
      </w:r>
      <w:r w:rsidRPr="00793FDD">
        <w:tab/>
      </w:r>
      <w:r w:rsidR="00736D5F" w:rsidRPr="00793FDD">
        <w:t xml:space="preserve">Ensuring women’s and girls’, including </w:t>
      </w:r>
      <w:r w:rsidR="00736D5F" w:rsidRPr="00793FDD">
        <w:rPr>
          <w:bCs/>
        </w:rPr>
        <w:t>indigenous</w:t>
      </w:r>
      <w:r w:rsidR="00736D5F" w:rsidRPr="00793FDD">
        <w:t xml:space="preserve"> </w:t>
      </w:r>
      <w:r w:rsidR="00736D5F" w:rsidRPr="00793FDD">
        <w:rPr>
          <w:bCs/>
        </w:rPr>
        <w:t>women’s and girls’,</w:t>
      </w:r>
      <w:r w:rsidR="00736D5F" w:rsidRPr="00793FDD">
        <w:t xml:space="preserve"> unimpeded access to justice, effective legal assistance and information regarding their </w:t>
      </w:r>
      <w:r w:rsidR="00736D5F" w:rsidRPr="00793FDD">
        <w:rPr>
          <w:bCs/>
        </w:rPr>
        <w:t xml:space="preserve">human </w:t>
      </w:r>
      <w:r w:rsidR="00736D5F" w:rsidRPr="00793FDD">
        <w:t xml:space="preserve">rights without discrimination so that they have access to just and effective remedies for the harm that they have </w:t>
      </w:r>
      <w:r w:rsidR="00736D5F" w:rsidRPr="00793FDD">
        <w:rPr>
          <w:bCs/>
        </w:rPr>
        <w:t>experienced</w:t>
      </w:r>
      <w:r w:rsidR="00736D5F" w:rsidRPr="00793FDD">
        <w:t>, including through the adoption of national legislation;</w:t>
      </w:r>
    </w:p>
    <w:p w:rsidR="00736D5F" w:rsidRPr="00793FDD" w:rsidRDefault="009A34C1" w:rsidP="009A34C1">
      <w:pPr>
        <w:pStyle w:val="SingleTxtG"/>
        <w:ind w:firstLine="567"/>
        <w:rPr>
          <w:bCs/>
        </w:rPr>
      </w:pPr>
      <w:r w:rsidRPr="00793FDD">
        <w:rPr>
          <w:bCs/>
        </w:rPr>
        <w:t>(</w:t>
      </w:r>
      <w:r w:rsidRPr="00793FDD">
        <w:rPr>
          <w:bCs/>
          <w:i/>
        </w:rPr>
        <w:t>f</w:t>
      </w:r>
      <w:r w:rsidRPr="00793FDD">
        <w:rPr>
          <w:bCs/>
        </w:rPr>
        <w:t>)</w:t>
      </w:r>
      <w:r w:rsidRPr="00793FDD">
        <w:rPr>
          <w:bCs/>
        </w:rPr>
        <w:tab/>
      </w:r>
      <w:r w:rsidR="00736D5F" w:rsidRPr="00793FDD">
        <w:rPr>
          <w:bCs/>
        </w:rPr>
        <w:t>E</w:t>
      </w:r>
      <w:r w:rsidR="00736D5F" w:rsidRPr="00793FDD">
        <w:t>nsur</w:t>
      </w:r>
      <w:r w:rsidR="00736D5F" w:rsidRPr="00793FDD">
        <w:rPr>
          <w:bCs/>
        </w:rPr>
        <w:t>ing</w:t>
      </w:r>
      <w:r w:rsidR="00736D5F" w:rsidRPr="00793FDD">
        <w:t xml:space="preserve"> that remedies for women and girls subjected to violence, whether judicial, administrative, policy or other measures, are available, accessible, acceptable, age- and gender-sensitive and adequately address victims’ needs, including by protecting confidentiality, preventing </w:t>
      </w:r>
      <w:r w:rsidR="00344112" w:rsidRPr="00793FDD">
        <w:t xml:space="preserve">the </w:t>
      </w:r>
      <w:r w:rsidR="00736D5F" w:rsidRPr="00793FDD">
        <w:t xml:space="preserve">stigmatization, </w:t>
      </w:r>
      <w:proofErr w:type="spellStart"/>
      <w:r w:rsidR="00736D5F" w:rsidRPr="00793FDD">
        <w:t>revictimization</w:t>
      </w:r>
      <w:proofErr w:type="spellEnd"/>
      <w:r w:rsidR="00736D5F" w:rsidRPr="00793FDD">
        <w:t xml:space="preserve"> or further harm to victims, allowing reasonable time for women subjected to violence to come forward to seek redress, </w:t>
      </w:r>
      <w:r w:rsidR="00BF674D">
        <w:t xml:space="preserve">and </w:t>
      </w:r>
      <w:r w:rsidR="00736D5F" w:rsidRPr="00793FDD">
        <w:t>ensuring reasonable evidentiary standards</w:t>
      </w:r>
      <w:r w:rsidRPr="00793FDD">
        <w:t>;</w:t>
      </w:r>
    </w:p>
    <w:p w:rsidR="00736D5F" w:rsidRPr="00793FDD" w:rsidRDefault="009A34C1" w:rsidP="009A34C1">
      <w:pPr>
        <w:pStyle w:val="SingleTxtG"/>
        <w:ind w:firstLine="567"/>
      </w:pPr>
      <w:r w:rsidRPr="00793FDD">
        <w:rPr>
          <w:bCs/>
        </w:rPr>
        <w:t>(</w:t>
      </w:r>
      <w:r w:rsidRPr="00793FDD">
        <w:rPr>
          <w:bCs/>
          <w:i/>
        </w:rPr>
        <w:t>g</w:t>
      </w:r>
      <w:r w:rsidRPr="00793FDD">
        <w:rPr>
          <w:bCs/>
        </w:rPr>
        <w:t>)</w:t>
      </w:r>
      <w:r w:rsidRPr="00793FDD">
        <w:rPr>
          <w:bCs/>
        </w:rPr>
        <w:tab/>
      </w:r>
      <w:r w:rsidR="00736D5F" w:rsidRPr="00793FDD">
        <w:rPr>
          <w:bCs/>
        </w:rPr>
        <w:t>D</w:t>
      </w:r>
      <w:r w:rsidR="00736D5F" w:rsidRPr="00793FDD">
        <w:t>evelop</w:t>
      </w:r>
      <w:r w:rsidR="00736D5F" w:rsidRPr="00793FDD">
        <w:rPr>
          <w:bCs/>
        </w:rPr>
        <w:t>ing</w:t>
      </w:r>
      <w:r w:rsidR="00736D5F" w:rsidRPr="00793FDD">
        <w:t xml:space="preserve"> and implement</w:t>
      </w:r>
      <w:r w:rsidR="00736D5F" w:rsidRPr="00793FDD">
        <w:rPr>
          <w:bCs/>
        </w:rPr>
        <w:t>ing</w:t>
      </w:r>
      <w:r w:rsidR="00736D5F" w:rsidRPr="00793FDD">
        <w:t xml:space="preserve"> the establishment of rehabilitative services in order to encourage and bring changes in the attitudes and behaviour of perpetrators of violence against women and girls and to reduce the likelihood of reoffending, </w:t>
      </w:r>
      <w:r w:rsidR="00344112" w:rsidRPr="00793FDD">
        <w:t>and</w:t>
      </w:r>
      <w:r w:rsidR="00736D5F" w:rsidRPr="00793FDD">
        <w:t xml:space="preserve"> </w:t>
      </w:r>
      <w:r w:rsidR="00344112" w:rsidRPr="00793FDD">
        <w:t xml:space="preserve">to </w:t>
      </w:r>
      <w:r w:rsidR="00736D5F" w:rsidRPr="00793FDD">
        <w:t xml:space="preserve">monitor and assess their impact and effect; </w:t>
      </w:r>
    </w:p>
    <w:p w:rsidR="00736D5F" w:rsidRPr="00793FDD" w:rsidRDefault="009A34C1" w:rsidP="009A34C1">
      <w:pPr>
        <w:pStyle w:val="SingleTxtG"/>
        <w:ind w:firstLine="567"/>
      </w:pPr>
      <w:r w:rsidRPr="00793FDD">
        <w:t>15.</w:t>
      </w:r>
      <w:r w:rsidRPr="00793FDD">
        <w:rPr>
          <w:i/>
        </w:rPr>
        <w:tab/>
      </w:r>
      <w:r w:rsidR="00736D5F" w:rsidRPr="00793FDD">
        <w:rPr>
          <w:i/>
        </w:rPr>
        <w:t>Calls</w:t>
      </w:r>
      <w:r w:rsidR="00736D5F" w:rsidRPr="00793FDD">
        <w:t xml:space="preserve"> </w:t>
      </w:r>
      <w:r w:rsidR="00DC6065" w:rsidRPr="00793FDD">
        <w:rPr>
          <w:i/>
        </w:rPr>
        <w:t>up</w:t>
      </w:r>
      <w:r w:rsidR="00736D5F" w:rsidRPr="00793FDD">
        <w:rPr>
          <w:i/>
        </w:rPr>
        <w:t>on</w:t>
      </w:r>
      <w:r w:rsidR="00736D5F" w:rsidRPr="00793FDD">
        <w:t xml:space="preserve"> States to consider ratifying or acceding to</w:t>
      </w:r>
      <w:r w:rsidR="00CF618C" w:rsidRPr="00793FDD">
        <w:t xml:space="preserve"> all relevant instruments, including</w:t>
      </w:r>
      <w:r w:rsidR="00736D5F" w:rsidRPr="00793FDD">
        <w:t xml:space="preserve"> the Convention on the Elimination of </w:t>
      </w:r>
      <w:r w:rsidR="00A22B38" w:rsidRPr="00793FDD">
        <w:t xml:space="preserve">All Forms of </w:t>
      </w:r>
      <w:r w:rsidR="00736D5F" w:rsidRPr="00793FDD">
        <w:t>Discrimination against Women</w:t>
      </w:r>
      <w:r w:rsidR="00344112" w:rsidRPr="00793FDD">
        <w:t>,</w:t>
      </w:r>
      <w:r w:rsidR="00736D5F" w:rsidRPr="00793FDD">
        <w:t xml:space="preserve"> the Convention on the Rights of the Child</w:t>
      </w:r>
      <w:r w:rsidR="00344112" w:rsidRPr="00793FDD">
        <w:t xml:space="preserve"> and</w:t>
      </w:r>
      <w:r w:rsidR="00736D5F" w:rsidRPr="00793FDD">
        <w:t xml:space="preserve"> the International Convention on the Elimination of All Forms of Racial Discrimination and the optional protocols</w:t>
      </w:r>
      <w:r w:rsidR="00344112" w:rsidRPr="00793FDD">
        <w:t xml:space="preserve"> thereto</w:t>
      </w:r>
      <w:r w:rsidR="00736D5F" w:rsidRPr="00793FDD">
        <w:t xml:space="preserve">, and to cooperate through regional conventions, instruments and initiatives to prevent and respond effectively to violence against women and girls; </w:t>
      </w:r>
    </w:p>
    <w:p w:rsidR="00736D5F" w:rsidRPr="00793FDD" w:rsidRDefault="009A34C1" w:rsidP="009A34C1">
      <w:pPr>
        <w:pStyle w:val="SingleTxtG"/>
        <w:ind w:firstLine="567"/>
      </w:pPr>
      <w:r w:rsidRPr="00793FDD">
        <w:rPr>
          <w:iCs/>
        </w:rPr>
        <w:t>16.</w:t>
      </w:r>
      <w:r w:rsidRPr="00793FDD">
        <w:rPr>
          <w:i/>
          <w:iCs/>
        </w:rPr>
        <w:tab/>
      </w:r>
      <w:r w:rsidR="00736D5F" w:rsidRPr="00793FDD">
        <w:rPr>
          <w:i/>
          <w:iCs/>
        </w:rPr>
        <w:t>Welcomes</w:t>
      </w:r>
      <w:r w:rsidR="00736D5F" w:rsidRPr="00793FDD">
        <w:t xml:space="preserve"> the mandate and the work of the Special Rapporteur on violence against women, its causes and consequences, and takes note of her report</w:t>
      </w:r>
      <w:r w:rsidR="00344112" w:rsidRPr="00793FDD">
        <w:t>,</w:t>
      </w:r>
      <w:r w:rsidR="00344112" w:rsidRPr="00793FDD">
        <w:rPr>
          <w:rStyle w:val="FootnoteReference"/>
        </w:rPr>
        <w:footnoteReference w:id="5"/>
      </w:r>
      <w:r w:rsidR="00736D5F" w:rsidRPr="00793FDD">
        <w:t xml:space="preserve"> </w:t>
      </w:r>
      <w:r w:rsidR="0037499B" w:rsidRPr="00793FDD">
        <w:t xml:space="preserve">in </w:t>
      </w:r>
      <w:r w:rsidR="00736D5F" w:rsidRPr="00793FDD">
        <w:t xml:space="preserve">which </w:t>
      </w:r>
      <w:r w:rsidR="0037499B" w:rsidRPr="00793FDD">
        <w:t xml:space="preserve">she </w:t>
      </w:r>
      <w:r w:rsidR="00736D5F" w:rsidRPr="00793FDD">
        <w:t xml:space="preserve">set out the priorities </w:t>
      </w:r>
      <w:r w:rsidR="0037499B" w:rsidRPr="00793FDD">
        <w:t>of</w:t>
      </w:r>
      <w:r w:rsidR="00736D5F" w:rsidRPr="00793FDD">
        <w:t xml:space="preserve"> her mandate;</w:t>
      </w:r>
    </w:p>
    <w:p w:rsidR="00736D5F" w:rsidRPr="00793FDD" w:rsidRDefault="009A34C1" w:rsidP="009A34C1">
      <w:pPr>
        <w:pStyle w:val="SingleTxtG"/>
        <w:ind w:firstLine="567"/>
      </w:pPr>
      <w:r w:rsidRPr="00793FDD">
        <w:rPr>
          <w:iCs/>
        </w:rPr>
        <w:t>17.</w:t>
      </w:r>
      <w:r w:rsidRPr="00793FDD">
        <w:rPr>
          <w:i/>
          <w:iCs/>
        </w:rPr>
        <w:tab/>
      </w:r>
      <w:r w:rsidR="00736D5F" w:rsidRPr="00793FDD">
        <w:rPr>
          <w:i/>
          <w:iCs/>
        </w:rPr>
        <w:t xml:space="preserve">Decides </w:t>
      </w:r>
      <w:r w:rsidR="00736D5F" w:rsidRPr="00793FDD">
        <w:t xml:space="preserve">to extend the mandate of the Special Rapporteur on violence against women, its causes and consequence, as set out by the Human Rights Council in its resolution </w:t>
      </w:r>
      <w:r w:rsidR="00CF618C" w:rsidRPr="00793FDD">
        <w:t>23/25</w:t>
      </w:r>
      <w:r w:rsidR="00183EFB" w:rsidRPr="00793FDD">
        <w:t xml:space="preserve"> of 14 June 2013</w:t>
      </w:r>
      <w:r w:rsidR="00736D5F" w:rsidRPr="00793FDD">
        <w:t xml:space="preserve">, for a period of three years; </w:t>
      </w:r>
    </w:p>
    <w:p w:rsidR="00736D5F" w:rsidRPr="00793FDD" w:rsidRDefault="009A34C1" w:rsidP="009A34C1">
      <w:pPr>
        <w:pStyle w:val="SingleTxtG"/>
        <w:ind w:firstLine="567"/>
        <w:rPr>
          <w:i/>
          <w:iCs/>
        </w:rPr>
      </w:pPr>
      <w:r w:rsidRPr="00793FDD">
        <w:rPr>
          <w:iCs/>
        </w:rPr>
        <w:t>18.</w:t>
      </w:r>
      <w:r w:rsidRPr="00793FDD">
        <w:rPr>
          <w:i/>
          <w:iCs/>
        </w:rPr>
        <w:tab/>
      </w:r>
      <w:r w:rsidR="00736D5F" w:rsidRPr="00793FDD">
        <w:rPr>
          <w:i/>
          <w:iCs/>
        </w:rPr>
        <w:t>Encourages</w:t>
      </w:r>
      <w:r w:rsidR="00736D5F" w:rsidRPr="00793FDD">
        <w:t xml:space="preserve"> </w:t>
      </w:r>
      <w:r w:rsidR="00CF618C" w:rsidRPr="00793FDD">
        <w:t>the special procedures</w:t>
      </w:r>
      <w:r w:rsidR="00736D5F" w:rsidRPr="00793FDD">
        <w:t xml:space="preserve"> to consider the issue of multiple and intersecting forms of discrimination faced by women and girls, including indigenous women and girls, </w:t>
      </w:r>
      <w:r w:rsidR="00CF618C" w:rsidRPr="00793FDD">
        <w:t xml:space="preserve">within </w:t>
      </w:r>
      <w:r w:rsidR="00736D5F" w:rsidRPr="00793FDD">
        <w:t xml:space="preserve">their </w:t>
      </w:r>
      <w:r w:rsidR="00CF618C" w:rsidRPr="00793FDD">
        <w:t xml:space="preserve">existing </w:t>
      </w:r>
      <w:r w:rsidR="00736D5F" w:rsidRPr="00793FDD">
        <w:t>mandates</w:t>
      </w:r>
      <w:r w:rsidR="00CF618C" w:rsidRPr="00793FDD">
        <w:t>, where applicable</w:t>
      </w:r>
      <w:r w:rsidR="00736D5F" w:rsidRPr="00793FDD">
        <w:t xml:space="preserve">; </w:t>
      </w:r>
    </w:p>
    <w:p w:rsidR="00736D5F" w:rsidRPr="00793FDD" w:rsidRDefault="009A34C1" w:rsidP="009A34C1">
      <w:pPr>
        <w:pStyle w:val="SingleTxtG"/>
        <w:ind w:firstLine="567"/>
      </w:pPr>
      <w:r w:rsidRPr="00793FDD">
        <w:rPr>
          <w:iCs/>
        </w:rPr>
        <w:t>19.</w:t>
      </w:r>
      <w:r w:rsidRPr="00793FDD">
        <w:rPr>
          <w:i/>
          <w:iCs/>
        </w:rPr>
        <w:tab/>
      </w:r>
      <w:r w:rsidR="00736D5F" w:rsidRPr="00793FDD">
        <w:rPr>
          <w:i/>
          <w:iCs/>
        </w:rPr>
        <w:t>Welcomes</w:t>
      </w:r>
      <w:r w:rsidR="00736D5F" w:rsidRPr="00793FDD">
        <w:t xml:space="preserve"> the panel discussion on violence against women and girls, held during the annual full-day discussion on women’s human rights at the thirty-second session of the Human Rights Council, and requests the Office of the United Nations High Commissioner for Human Rights to present a summary report on the discussion to the Council at its thirty-third session;</w:t>
      </w:r>
    </w:p>
    <w:p w:rsidR="00736D5F" w:rsidRPr="00793FDD" w:rsidRDefault="009A34C1" w:rsidP="009A34C1">
      <w:pPr>
        <w:pStyle w:val="SingleTxtG"/>
        <w:ind w:firstLine="567"/>
        <w:rPr>
          <w:i/>
          <w:iCs/>
        </w:rPr>
      </w:pPr>
      <w:r w:rsidRPr="00793FDD">
        <w:rPr>
          <w:iCs/>
        </w:rPr>
        <w:t>20.</w:t>
      </w:r>
      <w:r w:rsidRPr="00793FDD">
        <w:rPr>
          <w:iCs/>
        </w:rPr>
        <w:tab/>
      </w:r>
      <w:r w:rsidR="00736D5F" w:rsidRPr="00793FDD">
        <w:rPr>
          <w:i/>
          <w:iCs/>
        </w:rPr>
        <w:t xml:space="preserve">Requests </w:t>
      </w:r>
      <w:r w:rsidR="00736D5F" w:rsidRPr="00793FDD">
        <w:t>the</w:t>
      </w:r>
      <w:r w:rsidR="00736D5F" w:rsidRPr="00793FDD">
        <w:rPr>
          <w:i/>
          <w:iCs/>
        </w:rPr>
        <w:t xml:space="preserve"> </w:t>
      </w:r>
      <w:r w:rsidR="00736D5F" w:rsidRPr="00793FDD">
        <w:t xml:space="preserve">Special Rapporteur on violence against women, its causes and consequences to </w:t>
      </w:r>
      <w:r w:rsidR="00CF618C" w:rsidRPr="00793FDD">
        <w:t>hold consultations or</w:t>
      </w:r>
      <w:r w:rsidR="00736D5F" w:rsidRPr="00793FDD">
        <w:t xml:space="preserve"> participate in </w:t>
      </w:r>
      <w:r w:rsidR="00CF618C" w:rsidRPr="00793FDD">
        <w:t>the work, as appropriate, and by the invitation of</w:t>
      </w:r>
      <w:r w:rsidR="00736D5F" w:rsidRPr="00793FDD">
        <w:t xml:space="preserve"> the </w:t>
      </w:r>
      <w:r w:rsidR="00D557B7" w:rsidRPr="00793FDD">
        <w:t xml:space="preserve">Commission on Crime Prevention and Criminal Justice of the </w:t>
      </w:r>
      <w:r w:rsidR="00736D5F" w:rsidRPr="00793FDD">
        <w:t>U</w:t>
      </w:r>
      <w:r w:rsidR="00DC6065" w:rsidRPr="00793FDD">
        <w:t xml:space="preserve">nited </w:t>
      </w:r>
      <w:r w:rsidR="00736D5F" w:rsidRPr="00793FDD">
        <w:t>N</w:t>
      </w:r>
      <w:r w:rsidR="00DC6065" w:rsidRPr="00793FDD">
        <w:t>ations</w:t>
      </w:r>
      <w:r w:rsidR="00736D5F" w:rsidRPr="00793FDD">
        <w:t xml:space="preserve"> Office on Drugs and Crime in order to accelerate the implementation of the </w:t>
      </w:r>
      <w:r w:rsidR="00D557B7" w:rsidRPr="00793FDD">
        <w:t xml:space="preserve">goals of the </w:t>
      </w:r>
      <w:r w:rsidR="00736D5F" w:rsidRPr="00793FDD">
        <w:t xml:space="preserve">Special Rapporteur on prevention </w:t>
      </w:r>
      <w:r w:rsidR="00D557B7" w:rsidRPr="00793FDD">
        <w:t xml:space="preserve">of </w:t>
      </w:r>
      <w:r w:rsidR="00736D5F" w:rsidRPr="00793FDD">
        <w:t>and response to violence against women;</w:t>
      </w:r>
      <w:r w:rsidR="00736D5F" w:rsidRPr="00793FDD">
        <w:rPr>
          <w:u w:color="FF0000"/>
        </w:rPr>
        <w:t xml:space="preserve"> </w:t>
      </w:r>
    </w:p>
    <w:p w:rsidR="00736D5F" w:rsidRPr="00793FDD" w:rsidRDefault="009A34C1" w:rsidP="009A34C1">
      <w:pPr>
        <w:pStyle w:val="SingleTxtG"/>
        <w:ind w:firstLine="567"/>
      </w:pPr>
      <w:r w:rsidRPr="00793FDD">
        <w:rPr>
          <w:iCs/>
        </w:rPr>
        <w:t>21.</w:t>
      </w:r>
      <w:r w:rsidRPr="00793FDD">
        <w:rPr>
          <w:iCs/>
        </w:rPr>
        <w:tab/>
      </w:r>
      <w:r w:rsidR="00736D5F" w:rsidRPr="00793FDD">
        <w:rPr>
          <w:i/>
          <w:iCs/>
        </w:rPr>
        <w:t xml:space="preserve">Encourages </w:t>
      </w:r>
      <w:r w:rsidR="00736D5F" w:rsidRPr="00793FDD">
        <w:t>regular consultations by the</w:t>
      </w:r>
      <w:r w:rsidR="00736D5F" w:rsidRPr="00793FDD">
        <w:rPr>
          <w:i/>
          <w:iCs/>
        </w:rPr>
        <w:t xml:space="preserve"> </w:t>
      </w:r>
      <w:r w:rsidR="00736D5F" w:rsidRPr="00793FDD">
        <w:t>Special Rapporteur on violence against women, its causes and consequences, with</w:t>
      </w:r>
      <w:r w:rsidR="00CF618C" w:rsidRPr="00793FDD">
        <w:t>, inter alia, the Commission on the Status of Women</w:t>
      </w:r>
      <w:r w:rsidR="00B64627" w:rsidRPr="00793FDD">
        <w:t>,</w:t>
      </w:r>
      <w:r w:rsidR="00F14765" w:rsidRPr="00793FDD">
        <w:t xml:space="preserve"> the </w:t>
      </w:r>
      <w:r w:rsidR="00DC6065" w:rsidRPr="00793FDD">
        <w:t>World Health Organization</w:t>
      </w:r>
      <w:r w:rsidR="00736D5F" w:rsidRPr="00793FDD">
        <w:t xml:space="preserve">, </w:t>
      </w:r>
      <w:r w:rsidR="00DC6065" w:rsidRPr="00793FDD">
        <w:t xml:space="preserve">the United Nations Entity for </w:t>
      </w:r>
      <w:r w:rsidR="00D557B7" w:rsidRPr="00793FDD">
        <w:t xml:space="preserve">Gender Equality and </w:t>
      </w:r>
      <w:r w:rsidR="00DC6065" w:rsidRPr="00793FDD">
        <w:t xml:space="preserve">the </w:t>
      </w:r>
      <w:r w:rsidR="00D557B7" w:rsidRPr="00793FDD">
        <w:t>Empowerment of</w:t>
      </w:r>
      <w:r w:rsidR="00736D5F" w:rsidRPr="00793FDD">
        <w:t xml:space="preserve"> Women, </w:t>
      </w:r>
      <w:r w:rsidR="00D557B7" w:rsidRPr="00793FDD">
        <w:t>the United Nations Population Fund</w:t>
      </w:r>
      <w:r w:rsidR="00736D5F" w:rsidRPr="00793FDD">
        <w:t xml:space="preserve"> and the Statistics Division </w:t>
      </w:r>
      <w:r w:rsidR="00D557B7" w:rsidRPr="00793FDD">
        <w:t xml:space="preserve">of the United Nations </w:t>
      </w:r>
      <w:r w:rsidR="00736D5F" w:rsidRPr="00793FDD">
        <w:t xml:space="preserve">on the issue of disaggregated data on violence against women and effective ways of advancing the elimination of violence against women; </w:t>
      </w:r>
    </w:p>
    <w:p w:rsidR="00736D5F" w:rsidRPr="00793FDD" w:rsidRDefault="009A34C1" w:rsidP="00A22B38">
      <w:pPr>
        <w:pStyle w:val="SingleTxtG"/>
        <w:ind w:firstLine="567"/>
      </w:pPr>
      <w:r w:rsidRPr="00793FDD">
        <w:rPr>
          <w:iCs/>
        </w:rPr>
        <w:t>22.</w:t>
      </w:r>
      <w:r w:rsidRPr="00793FDD">
        <w:rPr>
          <w:i/>
          <w:iCs/>
        </w:rPr>
        <w:tab/>
      </w:r>
      <w:r w:rsidR="00DC6065" w:rsidRPr="00793FDD">
        <w:rPr>
          <w:i/>
          <w:iCs/>
        </w:rPr>
        <w:t>D</w:t>
      </w:r>
      <w:r w:rsidR="00736D5F" w:rsidRPr="00793FDD">
        <w:rPr>
          <w:i/>
          <w:iCs/>
        </w:rPr>
        <w:t xml:space="preserve">ecides </w:t>
      </w:r>
      <w:r w:rsidR="00736D5F" w:rsidRPr="00793FDD">
        <w:t xml:space="preserve">to continue </w:t>
      </w:r>
      <w:r w:rsidR="00D557B7" w:rsidRPr="00793FDD">
        <w:t xml:space="preserve">its </w:t>
      </w:r>
      <w:r w:rsidR="00736D5F" w:rsidRPr="00793FDD">
        <w:t xml:space="preserve">consideration of the issue of the elimination of all forms of violence against women and girls, its causes and consequences, as a matter of high priority, in conformity with its annual programme of work. </w:t>
      </w:r>
    </w:p>
    <w:p w:rsidR="00E463A4" w:rsidRPr="009836C9" w:rsidRDefault="00E463A4" w:rsidP="00E463A4">
      <w:pPr>
        <w:pStyle w:val="Default"/>
        <w:ind w:right="1134"/>
        <w:jc w:val="right"/>
        <w:rPr>
          <w:sz w:val="20"/>
          <w:szCs w:val="20"/>
          <w:lang w:val="en-GB"/>
        </w:rPr>
      </w:pPr>
      <w:r w:rsidRPr="009836C9">
        <w:rPr>
          <w:i/>
          <w:iCs/>
          <w:sz w:val="20"/>
          <w:szCs w:val="20"/>
          <w:lang w:val="en-GB"/>
        </w:rPr>
        <w:t>43rd meeting</w:t>
      </w:r>
    </w:p>
    <w:p w:rsidR="00E463A4" w:rsidRPr="009836C9" w:rsidRDefault="00E463A4" w:rsidP="00E463A4">
      <w:pPr>
        <w:pStyle w:val="Default"/>
        <w:ind w:right="1134"/>
        <w:jc w:val="right"/>
        <w:rPr>
          <w:sz w:val="20"/>
          <w:szCs w:val="20"/>
          <w:lang w:val="en-GB"/>
        </w:rPr>
      </w:pPr>
      <w:r w:rsidRPr="009836C9">
        <w:rPr>
          <w:i/>
          <w:iCs/>
          <w:sz w:val="20"/>
          <w:szCs w:val="20"/>
          <w:lang w:val="en-GB"/>
        </w:rPr>
        <w:t>1 July 2016</w:t>
      </w:r>
    </w:p>
    <w:p w:rsidR="00E463A4" w:rsidRPr="00793FDD" w:rsidRDefault="00E463A4" w:rsidP="00E463A4">
      <w:pPr>
        <w:pStyle w:val="SingleTxtG"/>
      </w:pPr>
      <w:proofErr w:type="gramStart"/>
      <w:r w:rsidRPr="00793FDD">
        <w:t>[Adopted without a vote.]</w:t>
      </w:r>
      <w:proofErr w:type="gramEnd"/>
    </w:p>
    <w:p w:rsidR="002F006E" w:rsidRPr="00793FDD" w:rsidRDefault="003D206B" w:rsidP="003D206B">
      <w:pPr>
        <w:pStyle w:val="SingleTxtG"/>
        <w:spacing w:before="240" w:after="0"/>
        <w:jc w:val="center"/>
        <w:rPr>
          <w:rFonts w:eastAsia="SimSun"/>
          <w:u w:val="single"/>
        </w:rPr>
      </w:pPr>
      <w:r w:rsidRPr="00793FDD">
        <w:rPr>
          <w:rFonts w:eastAsia="SimSun"/>
          <w:u w:val="single"/>
          <w:lang w:eastAsia="ar-SA"/>
        </w:rPr>
        <w:tab/>
      </w:r>
      <w:r w:rsidRPr="00793FDD">
        <w:rPr>
          <w:rFonts w:eastAsia="SimSun"/>
          <w:u w:val="single"/>
          <w:lang w:eastAsia="ar-SA"/>
        </w:rPr>
        <w:tab/>
      </w:r>
      <w:r w:rsidRPr="00793FDD">
        <w:rPr>
          <w:rFonts w:eastAsia="SimSun"/>
          <w:u w:val="single"/>
          <w:lang w:eastAsia="ar-SA"/>
        </w:rPr>
        <w:tab/>
      </w:r>
    </w:p>
    <w:sectPr w:rsidR="002F006E" w:rsidRPr="00793FDD" w:rsidSect="00F225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EA8" w:rsidRDefault="00670EA8"/>
  </w:endnote>
  <w:endnote w:type="continuationSeparator" w:id="0">
    <w:p w:rsidR="00670EA8" w:rsidRDefault="00670EA8"/>
  </w:endnote>
  <w:endnote w:type="continuationNotice" w:id="1">
    <w:p w:rsidR="00670EA8" w:rsidRDefault="00670E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053C93">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053C93">
      <w:rPr>
        <w:b/>
        <w:noProof/>
        <w:sz w:val="18"/>
      </w:rPr>
      <w:t>3</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C93" w:rsidRDefault="00053C93" w:rsidP="00053C93">
    <w:pPr>
      <w:pStyle w:val="Footer"/>
    </w:pPr>
    <w:r w:rsidRPr="00DA43F5">
      <w:rPr>
        <w:rFonts w:ascii="C39T30Lfz" w:hAnsi="C39T30Lfz"/>
        <w:noProof/>
        <w:sz w:val="56"/>
        <w:u w:val="single"/>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053C93" w:rsidRDefault="00053C93" w:rsidP="00053C93">
    <w:pPr>
      <w:pStyle w:val="Footer"/>
      <w:ind w:right="1134"/>
      <w:rPr>
        <w:sz w:val="20"/>
      </w:rPr>
    </w:pPr>
    <w:r>
      <w:rPr>
        <w:sz w:val="20"/>
      </w:rPr>
      <w:t>GE.16-12410(E)</w:t>
    </w:r>
  </w:p>
  <w:p w:rsidR="00053C93" w:rsidRPr="00053C93" w:rsidRDefault="00053C93" w:rsidP="00053C9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A/HRC/RES/32/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RES/32/1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EA8" w:rsidRPr="000B175B" w:rsidRDefault="00670EA8" w:rsidP="000B175B">
      <w:pPr>
        <w:tabs>
          <w:tab w:val="right" w:pos="2155"/>
        </w:tabs>
        <w:spacing w:after="80"/>
        <w:ind w:left="680"/>
        <w:rPr>
          <w:u w:val="single"/>
        </w:rPr>
      </w:pPr>
      <w:r>
        <w:rPr>
          <w:u w:val="single"/>
        </w:rPr>
        <w:tab/>
      </w:r>
    </w:p>
  </w:footnote>
  <w:footnote w:type="continuationSeparator" w:id="0">
    <w:p w:rsidR="00670EA8" w:rsidRPr="00FC68B7" w:rsidRDefault="00670EA8" w:rsidP="00FC68B7">
      <w:pPr>
        <w:tabs>
          <w:tab w:val="left" w:pos="2155"/>
        </w:tabs>
        <w:spacing w:after="80"/>
        <w:ind w:left="680"/>
        <w:rPr>
          <w:u w:val="single"/>
        </w:rPr>
      </w:pPr>
      <w:r>
        <w:rPr>
          <w:u w:val="single"/>
        </w:rPr>
        <w:tab/>
      </w:r>
    </w:p>
  </w:footnote>
  <w:footnote w:type="continuationNotice" w:id="1">
    <w:p w:rsidR="00670EA8" w:rsidRDefault="00670EA8"/>
  </w:footnote>
  <w:footnote w:id="2">
    <w:p w:rsidR="00C54837" w:rsidRPr="00A22B38" w:rsidRDefault="00C54837">
      <w:pPr>
        <w:pStyle w:val="FootnoteText"/>
        <w:rPr>
          <w:lang w:val="en-US"/>
        </w:rPr>
      </w:pPr>
      <w:r>
        <w:tab/>
      </w:r>
      <w:r>
        <w:rPr>
          <w:rStyle w:val="FootnoteReference"/>
        </w:rPr>
        <w:footnoteRef/>
      </w:r>
      <w:r>
        <w:t xml:space="preserve"> </w:t>
      </w:r>
      <w:r>
        <w:tab/>
      </w:r>
      <w:proofErr w:type="gramStart"/>
      <w:r>
        <w:rPr>
          <w:lang w:val="en-US"/>
        </w:rPr>
        <w:t>General Assembly resolution 70/1.</w:t>
      </w:r>
      <w:proofErr w:type="gramEnd"/>
    </w:p>
  </w:footnote>
  <w:footnote w:id="3">
    <w:p w:rsidR="00C54837" w:rsidRPr="00A22B38" w:rsidRDefault="00C54837">
      <w:pPr>
        <w:pStyle w:val="FootnoteText"/>
        <w:rPr>
          <w:lang w:val="en-US"/>
        </w:rPr>
      </w:pPr>
      <w:r>
        <w:tab/>
      </w:r>
      <w:r>
        <w:rPr>
          <w:rStyle w:val="FootnoteReference"/>
        </w:rPr>
        <w:footnoteRef/>
      </w:r>
      <w:r>
        <w:t xml:space="preserve"> </w:t>
      </w:r>
      <w:r>
        <w:tab/>
      </w:r>
      <w:r>
        <w:rPr>
          <w:lang w:val="en-US"/>
        </w:rPr>
        <w:t>General Assembly resolution 69/313, annex.</w:t>
      </w:r>
    </w:p>
  </w:footnote>
  <w:footnote w:id="4">
    <w:p w:rsidR="00E548B5" w:rsidRPr="00A22B38" w:rsidRDefault="00E548B5">
      <w:pPr>
        <w:pStyle w:val="FootnoteText"/>
        <w:rPr>
          <w:lang w:val="en-US"/>
        </w:rPr>
      </w:pPr>
      <w:r>
        <w:tab/>
      </w:r>
      <w:r>
        <w:rPr>
          <w:rStyle w:val="FootnoteReference"/>
        </w:rPr>
        <w:footnoteRef/>
      </w:r>
      <w:r>
        <w:t xml:space="preserve"> </w:t>
      </w:r>
      <w:r>
        <w:tab/>
      </w:r>
      <w:proofErr w:type="gramStart"/>
      <w:r>
        <w:rPr>
          <w:lang w:val="en-US"/>
        </w:rPr>
        <w:t>General Assembly resolution 69/2.</w:t>
      </w:r>
      <w:proofErr w:type="gramEnd"/>
    </w:p>
  </w:footnote>
  <w:footnote w:id="5">
    <w:p w:rsidR="00344112" w:rsidRPr="00A22B38" w:rsidRDefault="00344112">
      <w:pPr>
        <w:pStyle w:val="FootnoteText"/>
        <w:rPr>
          <w:lang w:val="en-US"/>
        </w:rPr>
      </w:pPr>
      <w:r>
        <w:tab/>
      </w:r>
      <w:r>
        <w:rPr>
          <w:rStyle w:val="FootnoteReference"/>
        </w:rPr>
        <w:footnoteRef/>
      </w:r>
      <w:r>
        <w:t xml:space="preserve"> </w:t>
      </w:r>
      <w:r>
        <w:tab/>
      </w:r>
      <w:proofErr w:type="gramStart"/>
      <w:r>
        <w:rPr>
          <w:lang w:val="en-US"/>
        </w:rPr>
        <w:t>A/HRC/32/42 and Corr.1</w:t>
      </w:r>
      <w:r w:rsidR="00A22B38">
        <w:rPr>
          <w:lang w:val="en-US"/>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E463A4">
      <w:t>RES/</w:t>
    </w:r>
    <w:r w:rsidR="00402A2C">
      <w:t>3</w:t>
    </w:r>
    <w:r w:rsidR="00F714CA">
      <w:t>2</w:t>
    </w:r>
    <w:r w:rsidR="00E10083">
      <w:t>/</w:t>
    </w:r>
    <w:r w:rsidR="00E463A4">
      <w:t>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E463A4">
      <w:t>RES/</w:t>
    </w:r>
    <w:r w:rsidR="00402A2C">
      <w:t>3</w:t>
    </w:r>
    <w:r w:rsidR="000E59F5">
      <w:t>2</w:t>
    </w:r>
    <w:r w:rsidR="00E10083">
      <w:t>/</w:t>
    </w:r>
    <w:r w:rsidR="00E463A4">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1265D"/>
    <w:multiLevelType w:val="hybridMultilevel"/>
    <w:tmpl w:val="6FEE7348"/>
    <w:numStyleLink w:val="ImportedStyle3"/>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B486004"/>
    <w:multiLevelType w:val="hybridMultilevel"/>
    <w:tmpl w:val="B73C0878"/>
    <w:numStyleLink w:val="ImportedStyle4"/>
  </w:abstractNum>
  <w:abstractNum w:abstractNumId="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170BDC"/>
    <w:multiLevelType w:val="hybridMultilevel"/>
    <w:tmpl w:val="6FEE7348"/>
    <w:styleLink w:val="ImportedStyle3"/>
    <w:lvl w:ilvl="0" w:tplc="0C3A53F0">
      <w:start w:val="1"/>
      <w:numFmt w:val="decimal"/>
      <w:lvlText w:val="%1."/>
      <w:lvlJc w:val="left"/>
      <w:pPr>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1" w:tplc="861413D6">
      <w:start w:val="1"/>
      <w:numFmt w:val="lowerLetter"/>
      <w:lvlText w:val="(%2)"/>
      <w:lvlJc w:val="left"/>
      <w:pPr>
        <w:ind w:left="14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7BE44412">
      <w:start w:val="1"/>
      <w:numFmt w:val="lowerLetter"/>
      <w:lvlText w:val="%3)"/>
      <w:lvlJc w:val="left"/>
      <w:pPr>
        <w:ind w:left="23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D0587EC6">
      <w:start w:val="1"/>
      <w:numFmt w:val="decimal"/>
      <w:lvlText w:val="%4."/>
      <w:lvlJc w:val="left"/>
      <w:pPr>
        <w:ind w:left="28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D9F06D9E">
      <w:start w:val="1"/>
      <w:numFmt w:val="lowerLetter"/>
      <w:lvlText w:val="%5."/>
      <w:lvlJc w:val="left"/>
      <w:pPr>
        <w:ind w:left="36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CC4E5FFE">
      <w:start w:val="1"/>
      <w:numFmt w:val="lowerRoman"/>
      <w:lvlText w:val="%6."/>
      <w:lvlJc w:val="left"/>
      <w:pPr>
        <w:ind w:left="4320" w:hanging="27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ED209882">
      <w:start w:val="1"/>
      <w:numFmt w:val="decimal"/>
      <w:lvlText w:val="%7."/>
      <w:lvlJc w:val="left"/>
      <w:pPr>
        <w:ind w:left="50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531848FA">
      <w:start w:val="1"/>
      <w:numFmt w:val="lowerLetter"/>
      <w:lvlText w:val="%8."/>
      <w:lvlJc w:val="left"/>
      <w:pPr>
        <w:ind w:left="57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0BF8AC52">
      <w:start w:val="1"/>
      <w:numFmt w:val="lowerRoman"/>
      <w:lvlText w:val="%9."/>
      <w:lvlJc w:val="left"/>
      <w:pPr>
        <w:ind w:left="6480" w:hanging="27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8">
    <w:nsid w:val="3E921AB0"/>
    <w:multiLevelType w:val="hybridMultilevel"/>
    <w:tmpl w:val="621670FA"/>
    <w:numStyleLink w:val="ImportedStyle1"/>
  </w:abstractNum>
  <w:abstractNum w:abstractNumId="9">
    <w:nsid w:val="4DEA5B4C"/>
    <w:multiLevelType w:val="hybridMultilevel"/>
    <w:tmpl w:val="84E231E0"/>
    <w:styleLink w:val="ImportedStyle2"/>
    <w:lvl w:ilvl="0" w:tplc="B34A9DAE">
      <w:start w:val="1"/>
      <w:numFmt w:val="decimal"/>
      <w:lvlText w:val="%1."/>
      <w:lvlJc w:val="left"/>
      <w:pPr>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8C30A334">
      <w:start w:val="1"/>
      <w:numFmt w:val="lowerLetter"/>
      <w:lvlText w:val="(%2)"/>
      <w:lvlJc w:val="left"/>
      <w:pPr>
        <w:ind w:left="147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912CB7FE">
      <w:start w:val="1"/>
      <w:numFmt w:val="lowerRoman"/>
      <w:lvlText w:val="%3."/>
      <w:lvlJc w:val="left"/>
      <w:pPr>
        <w:ind w:left="2188"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3E826C24">
      <w:start w:val="1"/>
      <w:numFmt w:val="decimal"/>
      <w:lvlText w:val="%4."/>
      <w:lvlJc w:val="left"/>
      <w:pPr>
        <w:ind w:left="291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000E72DC">
      <w:start w:val="1"/>
      <w:numFmt w:val="lowerLetter"/>
      <w:lvlText w:val="%5."/>
      <w:lvlJc w:val="left"/>
      <w:pPr>
        <w:ind w:left="363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C0840F2A">
      <w:start w:val="1"/>
      <w:numFmt w:val="lowerRoman"/>
      <w:lvlText w:val="%6."/>
      <w:lvlJc w:val="left"/>
      <w:pPr>
        <w:ind w:left="4348"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3814DE60">
      <w:start w:val="1"/>
      <w:numFmt w:val="decimal"/>
      <w:lvlText w:val="%7."/>
      <w:lvlJc w:val="left"/>
      <w:pPr>
        <w:ind w:left="507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C450A212">
      <w:start w:val="1"/>
      <w:numFmt w:val="lowerLetter"/>
      <w:lvlText w:val="%8."/>
      <w:lvlJc w:val="left"/>
      <w:pPr>
        <w:ind w:left="579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2A4C1744">
      <w:start w:val="1"/>
      <w:numFmt w:val="lowerRoman"/>
      <w:lvlText w:val="%9."/>
      <w:lvlJc w:val="left"/>
      <w:pPr>
        <w:ind w:left="6508"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59177D99"/>
    <w:multiLevelType w:val="hybridMultilevel"/>
    <w:tmpl w:val="621670FA"/>
    <w:styleLink w:val="ImportedStyle1"/>
    <w:lvl w:ilvl="0" w:tplc="BC94FE40">
      <w:start w:val="1"/>
      <w:numFmt w:val="decimal"/>
      <w:lvlText w:val="%1."/>
      <w:lvlJc w:val="left"/>
      <w:pPr>
        <w:ind w:left="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42EE40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6483E66">
      <w:start w:val="1"/>
      <w:numFmt w:val="lowerRoman"/>
      <w:lvlText w:val="%3."/>
      <w:lvlJc w:val="left"/>
      <w:pPr>
        <w:ind w:left="2160" w:hanging="2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FB6896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6B2298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9C27F98">
      <w:start w:val="1"/>
      <w:numFmt w:val="lowerRoman"/>
      <w:lvlText w:val="%6."/>
      <w:lvlJc w:val="left"/>
      <w:pPr>
        <w:ind w:left="4320" w:hanging="2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7684C4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C74600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97A8006">
      <w:start w:val="1"/>
      <w:numFmt w:val="lowerRoman"/>
      <w:lvlText w:val="%9."/>
      <w:lvlJc w:val="left"/>
      <w:pPr>
        <w:ind w:left="6480" w:hanging="26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94716E6"/>
    <w:multiLevelType w:val="hybridMultilevel"/>
    <w:tmpl w:val="84E231E0"/>
    <w:numStyleLink w:val="ImportedStyle2"/>
  </w:abstractNum>
  <w:abstractNum w:abstractNumId="13">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7B99697B"/>
    <w:multiLevelType w:val="hybridMultilevel"/>
    <w:tmpl w:val="B73C0878"/>
    <w:styleLink w:val="ImportedStyle4"/>
    <w:lvl w:ilvl="0" w:tplc="3948DAEA">
      <w:start w:val="1"/>
      <w:numFmt w:val="decimal"/>
      <w:lvlText w:val="%1."/>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047AF6A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33C0BF4">
      <w:start w:val="1"/>
      <w:numFmt w:val="lowerRoman"/>
      <w:lvlText w:val="%3."/>
      <w:lvlJc w:val="left"/>
      <w:pPr>
        <w:ind w:left="2160" w:hanging="2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66A7CD0">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C87756">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59058FA">
      <w:start w:val="1"/>
      <w:numFmt w:val="lowerRoman"/>
      <w:lvlText w:val="%6."/>
      <w:lvlJc w:val="left"/>
      <w:pPr>
        <w:ind w:left="4320" w:hanging="2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E4A6BC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A40388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770A76C">
      <w:start w:val="1"/>
      <w:numFmt w:val="lowerRoman"/>
      <w:lvlText w:val="%9."/>
      <w:lvlJc w:val="left"/>
      <w:pPr>
        <w:ind w:left="6480" w:hanging="26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6"/>
  </w:num>
  <w:num w:numId="2">
    <w:abstractNumId w:val="5"/>
  </w:num>
  <w:num w:numId="3">
    <w:abstractNumId w:val="13"/>
  </w:num>
  <w:num w:numId="4">
    <w:abstractNumId w:val="3"/>
  </w:num>
  <w:num w:numId="5">
    <w:abstractNumId w:val="0"/>
  </w:num>
  <w:num w:numId="6">
    <w:abstractNumId w:val="2"/>
  </w:num>
  <w:num w:numId="7">
    <w:abstractNumId w:val="11"/>
  </w:num>
  <w:num w:numId="8">
    <w:abstractNumId w:val="10"/>
  </w:num>
  <w:num w:numId="9">
    <w:abstractNumId w:val="8"/>
    <w:lvlOverride w:ilvl="0">
      <w:lvl w:ilvl="0" w:tplc="C7EE8318">
        <w:start w:val="1"/>
        <w:numFmt w:val="decimal"/>
        <w:lvlText w:val="%1."/>
        <w:lvlJc w:val="left"/>
        <w:pPr>
          <w:ind w:left="644" w:hanging="360"/>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8"/>
    <w:lvlOverride w:ilvl="0">
      <w:lvl w:ilvl="0" w:tplc="C7EE8318">
        <w:start w:val="1"/>
        <w:numFmt w:val="decimal"/>
        <w:lvlText w:val="%1."/>
        <w:lvlJc w:val="left"/>
        <w:pPr>
          <w:ind w:left="644" w:hanging="360"/>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E7E40DA">
        <w:start w:val="1"/>
        <w:numFmt w:val="lowerLetter"/>
        <w:lvlText w:val="%2."/>
        <w:lvlJc w:val="left"/>
        <w:pPr>
          <w:ind w:left="14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358A664">
        <w:start w:val="1"/>
        <w:numFmt w:val="lowerRoman"/>
        <w:lvlText w:val="%3."/>
        <w:lvlJc w:val="left"/>
        <w:pPr>
          <w:ind w:left="2160" w:hanging="27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8920534">
        <w:start w:val="1"/>
        <w:numFmt w:val="decimal"/>
        <w:lvlText w:val="%4."/>
        <w:lvlJc w:val="left"/>
        <w:pPr>
          <w:ind w:left="28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DAA74B0">
        <w:start w:val="1"/>
        <w:numFmt w:val="lowerLetter"/>
        <w:lvlText w:val="%5."/>
        <w:lvlJc w:val="left"/>
        <w:pPr>
          <w:ind w:left="36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8DAB07C">
        <w:start w:val="1"/>
        <w:numFmt w:val="lowerRoman"/>
        <w:lvlText w:val="%6."/>
        <w:lvlJc w:val="left"/>
        <w:pPr>
          <w:ind w:left="4320" w:hanging="27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566E296">
        <w:start w:val="1"/>
        <w:numFmt w:val="decimal"/>
        <w:lvlText w:val="%7."/>
        <w:lvlJc w:val="left"/>
        <w:pPr>
          <w:ind w:left="50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AAEBC26">
        <w:start w:val="1"/>
        <w:numFmt w:val="lowerLetter"/>
        <w:lvlText w:val="%8."/>
        <w:lvlJc w:val="left"/>
        <w:pPr>
          <w:ind w:left="57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07A33A2">
        <w:start w:val="1"/>
        <w:numFmt w:val="lowerRoman"/>
        <w:lvlText w:val="%9."/>
        <w:lvlJc w:val="left"/>
        <w:pPr>
          <w:ind w:left="6480" w:hanging="27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9"/>
  </w:num>
  <w:num w:numId="12">
    <w:abstractNumId w:val="12"/>
  </w:num>
  <w:num w:numId="13">
    <w:abstractNumId w:val="12"/>
    <w:lvlOverride w:ilvl="0">
      <w:lvl w:ilvl="0" w:tplc="131EBAEC">
        <w:start w:val="1"/>
        <w:numFmt w:val="decimal"/>
        <w:lvlText w:val="%1."/>
        <w:lvlJc w:val="left"/>
        <w:pPr>
          <w:ind w:left="72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lvl w:ilvl="1" w:tplc="9DC8885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250347C">
        <w:start w:val="1"/>
        <w:numFmt w:val="lowerRoman"/>
        <w:lvlText w:val="%3."/>
        <w:lvlJc w:val="left"/>
        <w:pPr>
          <w:ind w:left="2160" w:hanging="2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0A9E8AC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DD943B8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53E1000">
        <w:start w:val="1"/>
        <w:numFmt w:val="lowerRoman"/>
        <w:lvlText w:val="%6."/>
        <w:lvlJc w:val="left"/>
        <w:pPr>
          <w:ind w:left="4320" w:hanging="2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860139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C1B6148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FBC6906E">
        <w:start w:val="1"/>
        <w:numFmt w:val="lowerRoman"/>
        <w:lvlText w:val="%9."/>
        <w:lvlJc w:val="left"/>
        <w:pPr>
          <w:ind w:left="6480" w:hanging="27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
    <w:abstractNumId w:val="12"/>
    <w:lvlOverride w:ilvl="0">
      <w:lvl w:ilvl="0" w:tplc="131EBAE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DC8885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250347C">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A9E8AC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D943B8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53E1000">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860139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1B614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BC6906E">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2"/>
    <w:lvlOverride w:ilvl="0">
      <w:lvl w:ilvl="0" w:tplc="131EBAEC">
        <w:start w:val="1"/>
        <w:numFmt w:val="decimal"/>
        <w:lvlText w:val="%1."/>
        <w:lvlJc w:val="left"/>
        <w:pPr>
          <w:ind w:left="7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DC88850">
        <w:start w:val="1"/>
        <w:numFmt w:val="lowerLetter"/>
        <w:lvlText w:val="(%2)"/>
        <w:lvlJc w:val="left"/>
        <w:pPr>
          <w:ind w:left="14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250347C">
        <w:start w:val="1"/>
        <w:numFmt w:val="lowerRoman"/>
        <w:lvlText w:val="%3."/>
        <w:lvlJc w:val="left"/>
        <w:pPr>
          <w:ind w:left="2148"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A9E8ACA">
        <w:start w:val="1"/>
        <w:numFmt w:val="decimal"/>
        <w:lvlText w:val="%4."/>
        <w:lvlJc w:val="left"/>
        <w:pPr>
          <w:ind w:left="286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D943B88">
        <w:start w:val="1"/>
        <w:numFmt w:val="lowerLetter"/>
        <w:lvlText w:val="%5."/>
        <w:lvlJc w:val="left"/>
        <w:pPr>
          <w:ind w:left="35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53E1000">
        <w:start w:val="1"/>
        <w:numFmt w:val="lowerRoman"/>
        <w:lvlText w:val="%6."/>
        <w:lvlJc w:val="left"/>
        <w:pPr>
          <w:ind w:left="4308"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860139C">
        <w:start w:val="1"/>
        <w:numFmt w:val="decimal"/>
        <w:lvlText w:val="%7."/>
        <w:lvlJc w:val="left"/>
        <w:pPr>
          <w:ind w:left="50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1B61482">
        <w:start w:val="1"/>
        <w:numFmt w:val="lowerLetter"/>
        <w:lvlText w:val="%8."/>
        <w:lvlJc w:val="left"/>
        <w:pPr>
          <w:ind w:left="57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BC6906E">
        <w:start w:val="1"/>
        <w:numFmt w:val="lowerRoman"/>
        <w:lvlText w:val="%9."/>
        <w:lvlJc w:val="left"/>
        <w:pPr>
          <w:ind w:left="6468" w:hanging="26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7"/>
  </w:num>
  <w:num w:numId="17">
    <w:abstractNumId w:val="1"/>
    <w:lvlOverride w:ilvl="1">
      <w:lvl w:ilvl="1" w:tplc="D3FAC31E">
        <w:start w:val="1"/>
        <w:numFmt w:val="lowerLetter"/>
        <w:lvlText w:val="(%2)"/>
        <w:lvlJc w:val="left"/>
        <w:pPr>
          <w:ind w:left="1440" w:hanging="360"/>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1"/>
    <w:lvlOverride w:ilvl="0">
      <w:lvl w:ilvl="0" w:tplc="643A8B5C">
        <w:start w:val="1"/>
        <w:numFmt w:val="decimal"/>
        <w:lvlText w:val="%1."/>
        <w:lvlJc w:val="left"/>
        <w:pPr>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3FAC31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C78C7BA">
        <w:start w:val="1"/>
        <w:numFmt w:val="lowerLetter"/>
        <w:lvlText w:val="%3)"/>
        <w:lvlJc w:val="left"/>
        <w:pPr>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3A8B26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C84499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3B0CA30">
        <w:start w:val="1"/>
        <w:numFmt w:val="lowerRoman"/>
        <w:lvlText w:val="%6."/>
        <w:lvlJc w:val="left"/>
        <w:pPr>
          <w:ind w:left="4320" w:hanging="2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248ED64">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656E43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82248E2">
        <w:start w:val="1"/>
        <w:numFmt w:val="lowerRoman"/>
        <w:lvlText w:val="%9."/>
        <w:lvlJc w:val="left"/>
        <w:pPr>
          <w:ind w:left="6480" w:hanging="2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14"/>
  </w:num>
  <w:num w:numId="20">
    <w:abstractNumId w:val="4"/>
    <w:lvlOverride w:ilvl="1">
      <w:lvl w:ilvl="1" w:tplc="957E6EC6">
        <w:start w:val="1"/>
        <w:numFmt w:val="lowerLetter"/>
        <w:lvlText w:val="(%2)"/>
        <w:lvlJc w:val="left"/>
        <w:pPr>
          <w:ind w:left="1440" w:hanging="360"/>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12"/>
    <w:lvlOverride w:ilvl="0">
      <w:lvl w:ilvl="0" w:tplc="131EBAEC">
        <w:start w:val="1"/>
        <w:numFmt w:val="decimal"/>
        <w:lvlText w:val="%1."/>
        <w:lvlJc w:val="left"/>
        <w:pPr>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DC88850">
        <w:start w:val="1"/>
        <w:numFmt w:val="lowerLetter"/>
        <w:lvlText w:val="(%2)"/>
        <w:lvlJc w:val="left"/>
        <w:pPr>
          <w:ind w:left="147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250347C">
        <w:start w:val="1"/>
        <w:numFmt w:val="lowerRoman"/>
        <w:lvlText w:val="%3."/>
        <w:lvlJc w:val="left"/>
        <w:pPr>
          <w:ind w:left="2188"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A9E8ACA">
        <w:start w:val="1"/>
        <w:numFmt w:val="decimal"/>
        <w:lvlText w:val="%4."/>
        <w:lvlJc w:val="left"/>
        <w:pPr>
          <w:ind w:left="291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D943B88">
        <w:start w:val="1"/>
        <w:numFmt w:val="lowerLetter"/>
        <w:lvlText w:val="%5."/>
        <w:lvlJc w:val="left"/>
        <w:pPr>
          <w:ind w:left="363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53E1000">
        <w:start w:val="1"/>
        <w:numFmt w:val="lowerRoman"/>
        <w:lvlText w:val="%6."/>
        <w:lvlJc w:val="left"/>
        <w:pPr>
          <w:ind w:left="4348"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860139C">
        <w:start w:val="1"/>
        <w:numFmt w:val="decimal"/>
        <w:lvlText w:val="%7."/>
        <w:lvlJc w:val="left"/>
        <w:pPr>
          <w:ind w:left="507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1B61482">
        <w:start w:val="1"/>
        <w:numFmt w:val="lowerLetter"/>
        <w:lvlText w:val="%8."/>
        <w:lvlJc w:val="left"/>
        <w:pPr>
          <w:ind w:left="579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BC6906E">
        <w:start w:val="1"/>
        <w:numFmt w:val="lowerRoman"/>
        <w:lvlText w:val="%9."/>
        <w:lvlJc w:val="left"/>
        <w:pPr>
          <w:ind w:left="6508"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2"/>
    <w:lvlOverride w:ilvl="0">
      <w:lvl w:ilvl="0" w:tplc="131EBAEC">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9DC88850">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0250347C">
        <w:start w:val="1"/>
        <w:numFmt w:val="lowerRoman"/>
        <w:lvlText w:val="%3."/>
        <w:lvlJc w:val="left"/>
        <w:pPr>
          <w:ind w:left="2160" w:hanging="27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0A9E8ACA">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DD943B88">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253E1000">
        <w:start w:val="1"/>
        <w:numFmt w:val="lowerRoman"/>
        <w:lvlText w:val="%6."/>
        <w:lvlJc w:val="left"/>
        <w:pPr>
          <w:ind w:left="4320" w:hanging="27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4860139C">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C1B61482">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FBC6906E">
        <w:start w:val="1"/>
        <w:numFmt w:val="lowerRoman"/>
        <w:lvlText w:val="%9."/>
        <w:lvlJc w:val="left"/>
        <w:pPr>
          <w:ind w:left="6480" w:hanging="271"/>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457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331F6"/>
    <w:rsid w:val="000403D1"/>
    <w:rsid w:val="00042566"/>
    <w:rsid w:val="000449AA"/>
    <w:rsid w:val="00050F6B"/>
    <w:rsid w:val="0005216E"/>
    <w:rsid w:val="00053C93"/>
    <w:rsid w:val="00072C8C"/>
    <w:rsid w:val="00073E70"/>
    <w:rsid w:val="000773D4"/>
    <w:rsid w:val="000876EB"/>
    <w:rsid w:val="00091419"/>
    <w:rsid w:val="000931C0"/>
    <w:rsid w:val="000A2AFE"/>
    <w:rsid w:val="000B175B"/>
    <w:rsid w:val="000B1E07"/>
    <w:rsid w:val="000B3A0F"/>
    <w:rsid w:val="000B4A3B"/>
    <w:rsid w:val="000D1851"/>
    <w:rsid w:val="000E0415"/>
    <w:rsid w:val="000E59F5"/>
    <w:rsid w:val="00111F87"/>
    <w:rsid w:val="0011209E"/>
    <w:rsid w:val="00114904"/>
    <w:rsid w:val="00146D32"/>
    <w:rsid w:val="001509BA"/>
    <w:rsid w:val="00153FA2"/>
    <w:rsid w:val="00154B0E"/>
    <w:rsid w:val="00183EFB"/>
    <w:rsid w:val="00190DA0"/>
    <w:rsid w:val="00195879"/>
    <w:rsid w:val="001B4B04"/>
    <w:rsid w:val="001C6663"/>
    <w:rsid w:val="001C7895"/>
    <w:rsid w:val="001D26DF"/>
    <w:rsid w:val="001E0251"/>
    <w:rsid w:val="001E2790"/>
    <w:rsid w:val="00211E0B"/>
    <w:rsid w:val="00211E72"/>
    <w:rsid w:val="0021400F"/>
    <w:rsid w:val="00214047"/>
    <w:rsid w:val="0022130F"/>
    <w:rsid w:val="00237785"/>
    <w:rsid w:val="002410DD"/>
    <w:rsid w:val="00241466"/>
    <w:rsid w:val="00253D58"/>
    <w:rsid w:val="00267829"/>
    <w:rsid w:val="00272541"/>
    <w:rsid w:val="0027725F"/>
    <w:rsid w:val="0028185A"/>
    <w:rsid w:val="002C21F0"/>
    <w:rsid w:val="002C6F0A"/>
    <w:rsid w:val="002D4176"/>
    <w:rsid w:val="002E7C76"/>
    <w:rsid w:val="002F006E"/>
    <w:rsid w:val="002F00A8"/>
    <w:rsid w:val="003107FA"/>
    <w:rsid w:val="003229D8"/>
    <w:rsid w:val="003235BA"/>
    <w:rsid w:val="00325194"/>
    <w:rsid w:val="003314D1"/>
    <w:rsid w:val="003325EF"/>
    <w:rsid w:val="00335A2F"/>
    <w:rsid w:val="00341937"/>
    <w:rsid w:val="00344112"/>
    <w:rsid w:val="0036088C"/>
    <w:rsid w:val="00364A1C"/>
    <w:rsid w:val="0037499B"/>
    <w:rsid w:val="00390052"/>
    <w:rsid w:val="0039277A"/>
    <w:rsid w:val="003972E0"/>
    <w:rsid w:val="003975ED"/>
    <w:rsid w:val="003B2BFC"/>
    <w:rsid w:val="003B3074"/>
    <w:rsid w:val="003C12B3"/>
    <w:rsid w:val="003C1FD4"/>
    <w:rsid w:val="003C2CC4"/>
    <w:rsid w:val="003D206B"/>
    <w:rsid w:val="003D2765"/>
    <w:rsid w:val="003D4B23"/>
    <w:rsid w:val="003E7D53"/>
    <w:rsid w:val="003F1FF5"/>
    <w:rsid w:val="00402A2C"/>
    <w:rsid w:val="00407004"/>
    <w:rsid w:val="00410A25"/>
    <w:rsid w:val="00424C80"/>
    <w:rsid w:val="004259FA"/>
    <w:rsid w:val="00427510"/>
    <w:rsid w:val="004325CB"/>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A6F4A"/>
    <w:rsid w:val="004B3734"/>
    <w:rsid w:val="004B75D2"/>
    <w:rsid w:val="004C0361"/>
    <w:rsid w:val="004D0109"/>
    <w:rsid w:val="004D1140"/>
    <w:rsid w:val="004F55ED"/>
    <w:rsid w:val="0052176C"/>
    <w:rsid w:val="005261E5"/>
    <w:rsid w:val="005420F2"/>
    <w:rsid w:val="00542574"/>
    <w:rsid w:val="005436AB"/>
    <w:rsid w:val="0054626B"/>
    <w:rsid w:val="00546DBF"/>
    <w:rsid w:val="00553D76"/>
    <w:rsid w:val="00554B96"/>
    <w:rsid w:val="005552B5"/>
    <w:rsid w:val="0056117B"/>
    <w:rsid w:val="00567613"/>
    <w:rsid w:val="00571365"/>
    <w:rsid w:val="00576396"/>
    <w:rsid w:val="00597B57"/>
    <w:rsid w:val="005A69B3"/>
    <w:rsid w:val="005B3DB3"/>
    <w:rsid w:val="005B4D83"/>
    <w:rsid w:val="005B6E48"/>
    <w:rsid w:val="005C2413"/>
    <w:rsid w:val="005C52C8"/>
    <w:rsid w:val="005C69BB"/>
    <w:rsid w:val="005C7A53"/>
    <w:rsid w:val="005D707B"/>
    <w:rsid w:val="005E1712"/>
    <w:rsid w:val="005E37A5"/>
    <w:rsid w:val="005F52A9"/>
    <w:rsid w:val="0061165E"/>
    <w:rsid w:val="00611ABD"/>
    <w:rsid w:val="00611FC4"/>
    <w:rsid w:val="006176FB"/>
    <w:rsid w:val="00640B26"/>
    <w:rsid w:val="006601B6"/>
    <w:rsid w:val="00662CA3"/>
    <w:rsid w:val="00670741"/>
    <w:rsid w:val="00670EA8"/>
    <w:rsid w:val="00674C17"/>
    <w:rsid w:val="00692F7F"/>
    <w:rsid w:val="006947AE"/>
    <w:rsid w:val="00696BD6"/>
    <w:rsid w:val="00697307"/>
    <w:rsid w:val="006A6B9D"/>
    <w:rsid w:val="006A7392"/>
    <w:rsid w:val="006B3189"/>
    <w:rsid w:val="006B57AA"/>
    <w:rsid w:val="006B7D65"/>
    <w:rsid w:val="006C28EE"/>
    <w:rsid w:val="006C35AD"/>
    <w:rsid w:val="006D4961"/>
    <w:rsid w:val="006D5F84"/>
    <w:rsid w:val="006D6DA6"/>
    <w:rsid w:val="006E564B"/>
    <w:rsid w:val="006E59E7"/>
    <w:rsid w:val="006F13F0"/>
    <w:rsid w:val="006F5035"/>
    <w:rsid w:val="0070635F"/>
    <w:rsid w:val="007065EB"/>
    <w:rsid w:val="0071420D"/>
    <w:rsid w:val="0071701A"/>
    <w:rsid w:val="00720183"/>
    <w:rsid w:val="0072632A"/>
    <w:rsid w:val="00736D5F"/>
    <w:rsid w:val="0074200B"/>
    <w:rsid w:val="00750619"/>
    <w:rsid w:val="007751E2"/>
    <w:rsid w:val="007803FC"/>
    <w:rsid w:val="00793FDD"/>
    <w:rsid w:val="007A6296"/>
    <w:rsid w:val="007B208E"/>
    <w:rsid w:val="007B5706"/>
    <w:rsid w:val="007B6BA5"/>
    <w:rsid w:val="007B7C6F"/>
    <w:rsid w:val="007C1B62"/>
    <w:rsid w:val="007C3390"/>
    <w:rsid w:val="007C4F4B"/>
    <w:rsid w:val="007C5E9C"/>
    <w:rsid w:val="007D2CDC"/>
    <w:rsid w:val="007D5327"/>
    <w:rsid w:val="007E15F4"/>
    <w:rsid w:val="007E1B61"/>
    <w:rsid w:val="007F6611"/>
    <w:rsid w:val="008155C3"/>
    <w:rsid w:val="008175E9"/>
    <w:rsid w:val="0082243E"/>
    <w:rsid w:val="008242D7"/>
    <w:rsid w:val="008402E9"/>
    <w:rsid w:val="00856CD2"/>
    <w:rsid w:val="00861BC6"/>
    <w:rsid w:val="00871FD5"/>
    <w:rsid w:val="00875241"/>
    <w:rsid w:val="008979B1"/>
    <w:rsid w:val="008A58E4"/>
    <w:rsid w:val="008A6B25"/>
    <w:rsid w:val="008A6C4F"/>
    <w:rsid w:val="008C1E4D"/>
    <w:rsid w:val="008E0E46"/>
    <w:rsid w:val="0090452C"/>
    <w:rsid w:val="00907C3F"/>
    <w:rsid w:val="00921662"/>
    <w:rsid w:val="0092237C"/>
    <w:rsid w:val="0093707B"/>
    <w:rsid w:val="009400EB"/>
    <w:rsid w:val="009427E3"/>
    <w:rsid w:val="00944104"/>
    <w:rsid w:val="00956D9B"/>
    <w:rsid w:val="00963CBA"/>
    <w:rsid w:val="009654B7"/>
    <w:rsid w:val="00970521"/>
    <w:rsid w:val="00976B90"/>
    <w:rsid w:val="009836C9"/>
    <w:rsid w:val="00991261"/>
    <w:rsid w:val="009A0B83"/>
    <w:rsid w:val="009A34C1"/>
    <w:rsid w:val="009A6518"/>
    <w:rsid w:val="009B019A"/>
    <w:rsid w:val="009B3800"/>
    <w:rsid w:val="009D22AC"/>
    <w:rsid w:val="009D50DB"/>
    <w:rsid w:val="009D663E"/>
    <w:rsid w:val="009E1C4E"/>
    <w:rsid w:val="009F34F1"/>
    <w:rsid w:val="009F58A8"/>
    <w:rsid w:val="00A003D2"/>
    <w:rsid w:val="00A02B35"/>
    <w:rsid w:val="00A05E0B"/>
    <w:rsid w:val="00A1427D"/>
    <w:rsid w:val="00A22B38"/>
    <w:rsid w:val="00A24044"/>
    <w:rsid w:val="00A32301"/>
    <w:rsid w:val="00A4634F"/>
    <w:rsid w:val="00A51CF3"/>
    <w:rsid w:val="00A72F22"/>
    <w:rsid w:val="00A748A6"/>
    <w:rsid w:val="00A75F32"/>
    <w:rsid w:val="00A879A4"/>
    <w:rsid w:val="00A87E95"/>
    <w:rsid w:val="00A92E29"/>
    <w:rsid w:val="00AB3CE4"/>
    <w:rsid w:val="00AB5495"/>
    <w:rsid w:val="00AB61A8"/>
    <w:rsid w:val="00AC2E56"/>
    <w:rsid w:val="00AD0613"/>
    <w:rsid w:val="00AD09E9"/>
    <w:rsid w:val="00AD7489"/>
    <w:rsid w:val="00AF0576"/>
    <w:rsid w:val="00AF3829"/>
    <w:rsid w:val="00B037F0"/>
    <w:rsid w:val="00B2327D"/>
    <w:rsid w:val="00B2715D"/>
    <w:rsid w:val="00B2718F"/>
    <w:rsid w:val="00B300F9"/>
    <w:rsid w:val="00B30179"/>
    <w:rsid w:val="00B3317B"/>
    <w:rsid w:val="00B334DC"/>
    <w:rsid w:val="00B3631A"/>
    <w:rsid w:val="00B3636E"/>
    <w:rsid w:val="00B376C0"/>
    <w:rsid w:val="00B4035F"/>
    <w:rsid w:val="00B53013"/>
    <w:rsid w:val="00B57EDB"/>
    <w:rsid w:val="00B64627"/>
    <w:rsid w:val="00B67F5E"/>
    <w:rsid w:val="00B73E65"/>
    <w:rsid w:val="00B81E12"/>
    <w:rsid w:val="00B87110"/>
    <w:rsid w:val="00B94B00"/>
    <w:rsid w:val="00B97FA8"/>
    <w:rsid w:val="00BB5313"/>
    <w:rsid w:val="00BC1385"/>
    <w:rsid w:val="00BC68C3"/>
    <w:rsid w:val="00BC74E9"/>
    <w:rsid w:val="00BE00DE"/>
    <w:rsid w:val="00BE618E"/>
    <w:rsid w:val="00BF674D"/>
    <w:rsid w:val="00C24693"/>
    <w:rsid w:val="00C359A4"/>
    <w:rsid w:val="00C35F0B"/>
    <w:rsid w:val="00C42278"/>
    <w:rsid w:val="00C463DD"/>
    <w:rsid w:val="00C54837"/>
    <w:rsid w:val="00C62C58"/>
    <w:rsid w:val="00C64458"/>
    <w:rsid w:val="00C745C3"/>
    <w:rsid w:val="00C74AAE"/>
    <w:rsid w:val="00C86EEF"/>
    <w:rsid w:val="00CA2A58"/>
    <w:rsid w:val="00CC0B55"/>
    <w:rsid w:val="00CD1E06"/>
    <w:rsid w:val="00CD6995"/>
    <w:rsid w:val="00CE4A8F"/>
    <w:rsid w:val="00CE5514"/>
    <w:rsid w:val="00CF0214"/>
    <w:rsid w:val="00CF0545"/>
    <w:rsid w:val="00CF3588"/>
    <w:rsid w:val="00CF586F"/>
    <w:rsid w:val="00CF618C"/>
    <w:rsid w:val="00CF7D43"/>
    <w:rsid w:val="00D11129"/>
    <w:rsid w:val="00D2031B"/>
    <w:rsid w:val="00D22332"/>
    <w:rsid w:val="00D25FE2"/>
    <w:rsid w:val="00D26EBE"/>
    <w:rsid w:val="00D42B42"/>
    <w:rsid w:val="00D43252"/>
    <w:rsid w:val="00D44D1E"/>
    <w:rsid w:val="00D550F9"/>
    <w:rsid w:val="00D557B7"/>
    <w:rsid w:val="00D572B0"/>
    <w:rsid w:val="00D62E90"/>
    <w:rsid w:val="00D76BE5"/>
    <w:rsid w:val="00D978C6"/>
    <w:rsid w:val="00DA5A30"/>
    <w:rsid w:val="00DA67AD"/>
    <w:rsid w:val="00DB18CE"/>
    <w:rsid w:val="00DC6065"/>
    <w:rsid w:val="00DE3EC0"/>
    <w:rsid w:val="00DF614B"/>
    <w:rsid w:val="00DF7FD5"/>
    <w:rsid w:val="00E051D8"/>
    <w:rsid w:val="00E10083"/>
    <w:rsid w:val="00E11593"/>
    <w:rsid w:val="00E12B6B"/>
    <w:rsid w:val="00E130AB"/>
    <w:rsid w:val="00E23BBC"/>
    <w:rsid w:val="00E438D9"/>
    <w:rsid w:val="00E463A4"/>
    <w:rsid w:val="00E548B5"/>
    <w:rsid w:val="00E5536D"/>
    <w:rsid w:val="00E5644E"/>
    <w:rsid w:val="00E608C2"/>
    <w:rsid w:val="00E61A6C"/>
    <w:rsid w:val="00E7260F"/>
    <w:rsid w:val="00E806EE"/>
    <w:rsid w:val="00E9471B"/>
    <w:rsid w:val="00E96630"/>
    <w:rsid w:val="00EA5EC1"/>
    <w:rsid w:val="00EB0C95"/>
    <w:rsid w:val="00EB0FB9"/>
    <w:rsid w:val="00EC250E"/>
    <w:rsid w:val="00ED0CA9"/>
    <w:rsid w:val="00ED7A2A"/>
    <w:rsid w:val="00EE2A77"/>
    <w:rsid w:val="00EE36FF"/>
    <w:rsid w:val="00EF1D7F"/>
    <w:rsid w:val="00EF54D0"/>
    <w:rsid w:val="00EF5BDB"/>
    <w:rsid w:val="00F07FD9"/>
    <w:rsid w:val="00F14765"/>
    <w:rsid w:val="00F15AA7"/>
    <w:rsid w:val="00F225CB"/>
    <w:rsid w:val="00F23933"/>
    <w:rsid w:val="00F24119"/>
    <w:rsid w:val="00F40E75"/>
    <w:rsid w:val="00F42CD9"/>
    <w:rsid w:val="00F4793B"/>
    <w:rsid w:val="00F52936"/>
    <w:rsid w:val="00F674F3"/>
    <w:rsid w:val="00F677CB"/>
    <w:rsid w:val="00F7042F"/>
    <w:rsid w:val="00F714CA"/>
    <w:rsid w:val="00F96A1E"/>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 w:type="paragraph" w:customStyle="1" w:styleId="Body">
    <w:name w:val="Body"/>
    <w:rsid w:val="00736D5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it-IT" w:eastAsia="fr-CA"/>
    </w:rPr>
  </w:style>
  <w:style w:type="paragraph" w:customStyle="1" w:styleId="Default">
    <w:name w:val="Default"/>
    <w:rsid w:val="00736D5F"/>
    <w:pPr>
      <w:pBdr>
        <w:top w:val="nil"/>
        <w:left w:val="nil"/>
        <w:bottom w:val="nil"/>
        <w:right w:val="nil"/>
        <w:between w:val="nil"/>
        <w:bar w:val="nil"/>
      </w:pBdr>
    </w:pPr>
    <w:rPr>
      <w:rFonts w:eastAsia="Arial Unicode MS" w:cs="Arial Unicode MS"/>
      <w:color w:val="000000"/>
      <w:sz w:val="24"/>
      <w:szCs w:val="24"/>
      <w:u w:color="000000"/>
      <w:bdr w:val="nil"/>
      <w:lang w:val="fr-FR" w:eastAsia="fr-CA"/>
    </w:rPr>
  </w:style>
  <w:style w:type="numbering" w:customStyle="1" w:styleId="ImportedStyle1">
    <w:name w:val="Imported Style 1"/>
    <w:rsid w:val="00736D5F"/>
    <w:pPr>
      <w:numPr>
        <w:numId w:val="8"/>
      </w:numPr>
    </w:pPr>
  </w:style>
  <w:style w:type="paragraph" w:styleId="ListParagraph">
    <w:name w:val="List Paragraph"/>
    <w:rsid w:val="00736D5F"/>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fr-FR" w:eastAsia="fr-CA"/>
    </w:rPr>
  </w:style>
  <w:style w:type="numbering" w:customStyle="1" w:styleId="ImportedStyle2">
    <w:name w:val="Imported Style 2"/>
    <w:rsid w:val="00736D5F"/>
    <w:pPr>
      <w:numPr>
        <w:numId w:val="11"/>
      </w:numPr>
    </w:pPr>
  </w:style>
  <w:style w:type="numbering" w:customStyle="1" w:styleId="ImportedStyle3">
    <w:name w:val="Imported Style 3"/>
    <w:rsid w:val="00736D5F"/>
    <w:pPr>
      <w:numPr>
        <w:numId w:val="16"/>
      </w:numPr>
    </w:pPr>
  </w:style>
  <w:style w:type="numbering" w:customStyle="1" w:styleId="ImportedStyle4">
    <w:name w:val="Imported Style 4"/>
    <w:rsid w:val="00736D5F"/>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 w:type="paragraph" w:customStyle="1" w:styleId="Body">
    <w:name w:val="Body"/>
    <w:rsid w:val="00736D5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it-IT" w:eastAsia="fr-CA"/>
    </w:rPr>
  </w:style>
  <w:style w:type="paragraph" w:customStyle="1" w:styleId="Default">
    <w:name w:val="Default"/>
    <w:rsid w:val="00736D5F"/>
    <w:pPr>
      <w:pBdr>
        <w:top w:val="nil"/>
        <w:left w:val="nil"/>
        <w:bottom w:val="nil"/>
        <w:right w:val="nil"/>
        <w:between w:val="nil"/>
        <w:bar w:val="nil"/>
      </w:pBdr>
    </w:pPr>
    <w:rPr>
      <w:rFonts w:eastAsia="Arial Unicode MS" w:cs="Arial Unicode MS"/>
      <w:color w:val="000000"/>
      <w:sz w:val="24"/>
      <w:szCs w:val="24"/>
      <w:u w:color="000000"/>
      <w:bdr w:val="nil"/>
      <w:lang w:val="fr-FR" w:eastAsia="fr-CA"/>
    </w:rPr>
  </w:style>
  <w:style w:type="numbering" w:customStyle="1" w:styleId="ImportedStyle1">
    <w:name w:val="Imported Style 1"/>
    <w:rsid w:val="00736D5F"/>
    <w:pPr>
      <w:numPr>
        <w:numId w:val="8"/>
      </w:numPr>
    </w:pPr>
  </w:style>
  <w:style w:type="paragraph" w:styleId="ListParagraph">
    <w:name w:val="List Paragraph"/>
    <w:rsid w:val="00736D5F"/>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fr-FR" w:eastAsia="fr-CA"/>
    </w:rPr>
  </w:style>
  <w:style w:type="numbering" w:customStyle="1" w:styleId="ImportedStyle2">
    <w:name w:val="Imported Style 2"/>
    <w:rsid w:val="00736D5F"/>
    <w:pPr>
      <w:numPr>
        <w:numId w:val="11"/>
      </w:numPr>
    </w:pPr>
  </w:style>
  <w:style w:type="numbering" w:customStyle="1" w:styleId="ImportedStyle3">
    <w:name w:val="Imported Style 3"/>
    <w:rsid w:val="00736D5F"/>
    <w:pPr>
      <w:numPr>
        <w:numId w:val="16"/>
      </w:numPr>
    </w:pPr>
  </w:style>
  <w:style w:type="numbering" w:customStyle="1" w:styleId="ImportedStyle4">
    <w:name w:val="Imported Style 4"/>
    <w:rsid w:val="00736D5F"/>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DDDDD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9F79B-69DF-47A0-BBB8-B718C0901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3848</Words>
  <Characters>22421</Characters>
  <Application>Microsoft Office Word</Application>
  <DocSecurity>0</DocSecurity>
  <Lines>350</Lines>
  <Paragraphs>77</Paragraphs>
  <ScaleCrop>false</ScaleCrop>
  <HeadingPairs>
    <vt:vector size="2" baseType="variant">
      <vt:variant>
        <vt:lpstr>Title</vt:lpstr>
      </vt:variant>
      <vt:variant>
        <vt:i4>1</vt:i4>
      </vt:variant>
    </vt:vector>
  </HeadingPairs>
  <TitlesOfParts>
    <vt:vector size="1" baseType="lpstr">
      <vt:lpstr>1611222</vt:lpstr>
    </vt:vector>
  </TitlesOfParts>
  <Company>CSD</Company>
  <LinksUpToDate>false</LinksUpToDate>
  <CharactersWithSpaces>26235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1612410</dc:title>
  <dc:subject>A/HRC/RES/32/19</dc:subject>
  <dc:creator>Kiatsurayanon</dc:creator>
  <cp:keywords/>
  <dc:description/>
  <cp:lastModifiedBy>Brigoli</cp:lastModifiedBy>
  <cp:revision>2</cp:revision>
  <cp:lastPrinted>2016-07-14T10:20:00Z</cp:lastPrinted>
  <dcterms:created xsi:type="dcterms:W3CDTF">2016-07-25T09:03:00Z</dcterms:created>
  <dcterms:modified xsi:type="dcterms:W3CDTF">2016-07-25T09:03:00Z</dcterms:modified>
</cp:coreProperties>
</file>