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14:paraId="4729A20E" w14:textId="77777777" w:rsidTr="00E6618E">
        <w:trPr>
          <w:trHeight w:hRule="exact" w:val="851"/>
        </w:trPr>
        <w:tc>
          <w:tcPr>
            <w:tcW w:w="1276" w:type="dxa"/>
            <w:tcBorders>
              <w:bottom w:val="single" w:sz="4" w:space="0" w:color="auto"/>
            </w:tcBorders>
          </w:tcPr>
          <w:p w14:paraId="1AB77A77" w14:textId="77777777" w:rsidR="00A12E20" w:rsidRPr="00DB58B5" w:rsidRDefault="00A12E20" w:rsidP="002147BC"/>
        </w:tc>
        <w:tc>
          <w:tcPr>
            <w:tcW w:w="2268" w:type="dxa"/>
            <w:tcBorders>
              <w:bottom w:val="single" w:sz="4" w:space="0" w:color="auto"/>
            </w:tcBorders>
            <w:vAlign w:val="bottom"/>
          </w:tcPr>
          <w:p w14:paraId="0BE1F370" w14:textId="77777777"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644C43F" w14:textId="6CFC379C" w:rsidR="00A12E20" w:rsidRPr="00DB58B5" w:rsidRDefault="002147BC" w:rsidP="002147BC">
            <w:pPr>
              <w:jc w:val="right"/>
            </w:pPr>
            <w:r w:rsidRPr="002147BC">
              <w:rPr>
                <w:sz w:val="40"/>
              </w:rPr>
              <w:t>A</w:t>
            </w:r>
            <w:r>
              <w:t>/HRC/RES/51/13</w:t>
            </w:r>
          </w:p>
        </w:tc>
      </w:tr>
      <w:tr w:rsidR="00A12E20" w:rsidRPr="00DB58B5" w14:paraId="09A0BD57" w14:textId="77777777" w:rsidTr="00E6618E">
        <w:trPr>
          <w:trHeight w:hRule="exact" w:val="2835"/>
        </w:trPr>
        <w:tc>
          <w:tcPr>
            <w:tcW w:w="1276" w:type="dxa"/>
            <w:tcBorders>
              <w:top w:val="single" w:sz="4" w:space="0" w:color="auto"/>
              <w:bottom w:val="single" w:sz="12" w:space="0" w:color="auto"/>
            </w:tcBorders>
          </w:tcPr>
          <w:p w14:paraId="233ACA61" w14:textId="77777777" w:rsidR="00A12E20" w:rsidRPr="00DB58B5" w:rsidRDefault="00A12E20" w:rsidP="00E6618E">
            <w:pPr>
              <w:spacing w:before="120"/>
              <w:jc w:val="center"/>
            </w:pPr>
            <w:r>
              <w:rPr>
                <w:noProof/>
                <w:lang w:eastAsia="fr-CH"/>
              </w:rPr>
              <w:drawing>
                <wp:inline distT="0" distB="0" distL="0" distR="0" wp14:anchorId="5D711623" wp14:editId="566B287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172B62B" w14:textId="77777777"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14:paraId="2BD5503C" w14:textId="77777777" w:rsidR="00A12E20" w:rsidRDefault="002147BC" w:rsidP="00E6618E">
            <w:pPr>
              <w:spacing w:before="240"/>
            </w:pPr>
            <w:r>
              <w:t>Distr. générale</w:t>
            </w:r>
          </w:p>
          <w:p w14:paraId="071CCB1C" w14:textId="32FA2EC4" w:rsidR="002147BC" w:rsidRDefault="002147BC" w:rsidP="002147BC">
            <w:pPr>
              <w:spacing w:line="240" w:lineRule="exact"/>
            </w:pPr>
            <w:r>
              <w:t>12 octobre 2022</w:t>
            </w:r>
          </w:p>
          <w:p w14:paraId="76968D7B" w14:textId="77777777" w:rsidR="002147BC" w:rsidRDefault="002147BC" w:rsidP="002147BC">
            <w:pPr>
              <w:spacing w:line="240" w:lineRule="exact"/>
            </w:pPr>
            <w:r>
              <w:t>Français</w:t>
            </w:r>
          </w:p>
          <w:p w14:paraId="48C35BAC" w14:textId="47BB67A3" w:rsidR="002147BC" w:rsidRPr="00DB58B5" w:rsidRDefault="002147BC" w:rsidP="002147BC">
            <w:pPr>
              <w:spacing w:line="240" w:lineRule="exact"/>
            </w:pPr>
            <w:r>
              <w:t>Original : anglais</w:t>
            </w:r>
          </w:p>
        </w:tc>
      </w:tr>
    </w:tbl>
    <w:p w14:paraId="768C5CA3" w14:textId="77777777" w:rsidR="00D45432" w:rsidRDefault="00D45432" w:rsidP="00D45432">
      <w:pPr>
        <w:spacing w:before="120"/>
        <w:rPr>
          <w:b/>
          <w:sz w:val="24"/>
          <w:szCs w:val="24"/>
        </w:rPr>
      </w:pPr>
      <w:r w:rsidRPr="00BA184E">
        <w:rPr>
          <w:b/>
          <w:sz w:val="24"/>
          <w:szCs w:val="24"/>
        </w:rPr>
        <w:t>Conseil des droits de l’homme</w:t>
      </w:r>
    </w:p>
    <w:p w14:paraId="6F8D00B4" w14:textId="371DB60F" w:rsidR="002147BC" w:rsidRPr="00E50532" w:rsidRDefault="002147BC" w:rsidP="00721020">
      <w:pPr>
        <w:rPr>
          <w:b/>
        </w:rPr>
      </w:pPr>
      <w:r>
        <w:rPr>
          <w:b/>
        </w:rPr>
        <w:t>Cinquante et unième</w:t>
      </w:r>
      <w:r w:rsidRPr="00E50532">
        <w:rPr>
          <w:b/>
        </w:rPr>
        <w:t xml:space="preserve"> session</w:t>
      </w:r>
    </w:p>
    <w:p w14:paraId="2C5AEACC" w14:textId="7DD6B3DB" w:rsidR="002147BC" w:rsidRPr="002147BC" w:rsidRDefault="002147BC" w:rsidP="00721020">
      <w:r>
        <w:t>12 septembre-7 octobre 2022</w:t>
      </w:r>
    </w:p>
    <w:p w14:paraId="0F60D94D" w14:textId="2E3F041B" w:rsidR="002147BC" w:rsidRDefault="002147BC" w:rsidP="00721020">
      <w:r w:rsidRPr="00E50532">
        <w:t>Poin</w:t>
      </w:r>
      <w:r>
        <w:t xml:space="preserve">t 3 </w:t>
      </w:r>
      <w:r w:rsidRPr="00E50532">
        <w:t>de l’ordre du jour</w:t>
      </w:r>
    </w:p>
    <w:p w14:paraId="3FE3B2F3" w14:textId="0D871ACA" w:rsidR="002147BC" w:rsidRPr="003D5CBC" w:rsidRDefault="002147BC" w:rsidP="002147BC">
      <w:pPr>
        <w:rPr>
          <w:b/>
          <w:lang w:val="fr-FR"/>
        </w:rPr>
      </w:pPr>
      <w:r>
        <w:rPr>
          <w:b/>
          <w:bCs/>
          <w:lang w:val="fr-FR"/>
        </w:rPr>
        <w:t xml:space="preserve">Promotion et protection de tous les droits de l’homme, </w:t>
      </w:r>
      <w:r>
        <w:rPr>
          <w:b/>
          <w:bCs/>
          <w:lang w:val="fr-FR"/>
        </w:rPr>
        <w:br/>
        <w:t xml:space="preserve">civils, politiques, économiques, sociaux et culturels, </w:t>
      </w:r>
      <w:r>
        <w:rPr>
          <w:b/>
          <w:bCs/>
          <w:lang w:val="fr-FR"/>
        </w:rPr>
        <w:br/>
        <w:t>y</w:t>
      </w:r>
      <w:r>
        <w:rPr>
          <w:b/>
          <w:bCs/>
          <w:lang w:val="fr-FR"/>
        </w:rPr>
        <w:t> </w:t>
      </w:r>
      <w:r>
        <w:rPr>
          <w:b/>
          <w:bCs/>
          <w:lang w:val="fr-FR"/>
        </w:rPr>
        <w:t>compris le droit au développement</w:t>
      </w:r>
    </w:p>
    <w:p w14:paraId="1D54DB63" w14:textId="17015FC8" w:rsidR="002147BC" w:rsidRPr="00212182" w:rsidRDefault="002147BC" w:rsidP="002147BC">
      <w:pPr>
        <w:pStyle w:val="HChG"/>
      </w:pPr>
      <w:r>
        <w:rPr>
          <w:lang w:val="fr-FR"/>
        </w:rPr>
        <w:tab/>
      </w:r>
      <w:r>
        <w:rPr>
          <w:lang w:val="fr-FR"/>
        </w:rPr>
        <w:tab/>
      </w:r>
      <w:r w:rsidRPr="00212182">
        <w:t>Résolution adoptée par le Conseil des droits de l</w:t>
      </w:r>
      <w:r>
        <w:t>’</w:t>
      </w:r>
      <w:r w:rsidRPr="00212182">
        <w:t xml:space="preserve">homme </w:t>
      </w:r>
      <w:r w:rsidRPr="00212182">
        <w:br/>
        <w:t>le 6</w:t>
      </w:r>
      <w:r>
        <w:t> </w:t>
      </w:r>
      <w:r w:rsidRPr="00212182">
        <w:t>octobre 2022</w:t>
      </w:r>
    </w:p>
    <w:p w14:paraId="5B7126E7" w14:textId="079DE484" w:rsidR="002147BC" w:rsidRPr="003D5CBC" w:rsidRDefault="002147BC" w:rsidP="002147BC">
      <w:pPr>
        <w:pStyle w:val="H1G"/>
        <w:rPr>
          <w:lang w:val="fr-FR"/>
        </w:rPr>
      </w:pPr>
      <w:r>
        <w:rPr>
          <w:lang w:val="fr-FR"/>
        </w:rPr>
        <w:tab/>
      </w:r>
      <w:r>
        <w:rPr>
          <w:lang w:val="fr-FR"/>
        </w:rPr>
        <w:t>51/13.</w:t>
      </w:r>
      <w:r>
        <w:rPr>
          <w:lang w:val="fr-FR"/>
        </w:rPr>
        <w:tab/>
        <w:t xml:space="preserve">Mandat du Groupe de travail sur l’utilisation de mercenaires comme moyen de violer les droits de l’homme et d’empêcher l’exercice </w:t>
      </w:r>
      <w:r>
        <w:rPr>
          <w:lang w:val="fr-FR"/>
        </w:rPr>
        <w:br/>
      </w:r>
      <w:r>
        <w:rPr>
          <w:lang w:val="fr-FR"/>
        </w:rPr>
        <w:t>du droit des peuples à disposer d’eux-mêmes</w:t>
      </w:r>
    </w:p>
    <w:p w14:paraId="1EEE3FC4" w14:textId="7B370AB3" w:rsidR="002147BC" w:rsidRPr="003D5CBC" w:rsidRDefault="002147BC" w:rsidP="002147BC">
      <w:pPr>
        <w:pStyle w:val="SingleTxtG"/>
        <w:ind w:firstLine="567"/>
        <w:rPr>
          <w:lang w:val="fr-FR"/>
        </w:rPr>
      </w:pPr>
      <w:r w:rsidRPr="00293544">
        <w:rPr>
          <w:i/>
          <w:iCs/>
          <w:lang w:val="fr-FR"/>
        </w:rPr>
        <w:t>Le Conseil des droits de l</w:t>
      </w:r>
      <w:r>
        <w:rPr>
          <w:i/>
          <w:iCs/>
          <w:lang w:val="fr-FR"/>
        </w:rPr>
        <w:t>’</w:t>
      </w:r>
      <w:r w:rsidRPr="00293544">
        <w:rPr>
          <w:i/>
          <w:iCs/>
          <w:lang w:val="fr-FR"/>
        </w:rPr>
        <w:t>homme</w:t>
      </w:r>
      <w:r>
        <w:rPr>
          <w:lang w:val="fr-FR"/>
        </w:rPr>
        <w:t>,</w:t>
      </w:r>
    </w:p>
    <w:p w14:paraId="3510FF7F" w14:textId="30BED88A" w:rsidR="002147BC" w:rsidRPr="003D5CBC" w:rsidRDefault="002147BC" w:rsidP="002147BC">
      <w:pPr>
        <w:pStyle w:val="SingleTxtG"/>
        <w:ind w:firstLine="567"/>
        <w:rPr>
          <w:lang w:val="fr-FR"/>
        </w:rPr>
      </w:pPr>
      <w:r>
        <w:rPr>
          <w:i/>
          <w:iCs/>
          <w:lang w:val="fr-FR"/>
        </w:rPr>
        <w:t xml:space="preserve">Rappelant </w:t>
      </w:r>
      <w:r>
        <w:rPr>
          <w:lang w:val="fr-FR"/>
        </w:rPr>
        <w:t>toutes les résolutions antérieures que l’Assemblée générale, lui-même et la Commission des droits de l’homme ont adoptées sur la question,</w:t>
      </w:r>
    </w:p>
    <w:p w14:paraId="682674F0" w14:textId="3F5E774F" w:rsidR="002147BC" w:rsidRPr="003D5CBC" w:rsidRDefault="002147BC" w:rsidP="002147BC">
      <w:pPr>
        <w:pStyle w:val="SingleTxtG"/>
        <w:ind w:firstLine="567"/>
        <w:rPr>
          <w:bCs/>
          <w:lang w:val="fr-FR"/>
        </w:rPr>
      </w:pPr>
      <w:r>
        <w:rPr>
          <w:i/>
          <w:iCs/>
          <w:lang w:val="fr-FR"/>
        </w:rPr>
        <w:t xml:space="preserve">Rappelant également </w:t>
      </w:r>
      <w:r>
        <w:rPr>
          <w:lang w:val="fr-FR"/>
        </w:rPr>
        <w:t>ses résolutions</w:t>
      </w:r>
      <w:r>
        <w:rPr>
          <w:lang w:val="fr-FR"/>
        </w:rPr>
        <w:t> </w:t>
      </w:r>
      <w:r>
        <w:rPr>
          <w:lang w:val="fr-FR"/>
        </w:rPr>
        <w:t>5/1, sur la mise en place de ses institutions, et</w:t>
      </w:r>
      <w:r>
        <w:rPr>
          <w:lang w:val="fr-FR"/>
        </w:rPr>
        <w:t> </w:t>
      </w:r>
      <w:r>
        <w:rPr>
          <w:lang w:val="fr-FR"/>
        </w:rPr>
        <w:t>5/2, sur le Code de conduite pour les titulaires de mandat au titre des procédures spéciales, du 18</w:t>
      </w:r>
      <w:r>
        <w:rPr>
          <w:lang w:val="fr-FR"/>
        </w:rPr>
        <w:t> </w:t>
      </w:r>
      <w:r>
        <w:rPr>
          <w:lang w:val="fr-FR"/>
        </w:rPr>
        <w:t>juin 2007, et soulignant que tous les titulaires de mandat doivent s’acquitter de leurs fonctions conformément à ces résolutions et à leurs annexes,</w:t>
      </w:r>
    </w:p>
    <w:p w14:paraId="2661182B" w14:textId="3CBE0D3B" w:rsidR="002147BC" w:rsidRPr="003D5CBC" w:rsidRDefault="002147BC" w:rsidP="002147BC">
      <w:pPr>
        <w:pStyle w:val="SingleTxtG"/>
        <w:ind w:firstLine="567"/>
        <w:rPr>
          <w:lang w:val="fr-FR"/>
        </w:rPr>
      </w:pPr>
      <w:r>
        <w:rPr>
          <w:i/>
          <w:iCs/>
          <w:lang w:val="fr-FR"/>
        </w:rPr>
        <w:t>Réaffirmant</w:t>
      </w:r>
      <w:r>
        <w:rPr>
          <w:lang w:val="fr-FR"/>
        </w:rPr>
        <w:t xml:space="preserve"> les buts et principes énoncés dans la Charte des Nations</w:t>
      </w:r>
      <w:r>
        <w:rPr>
          <w:lang w:val="fr-FR"/>
        </w:rPr>
        <w:t> </w:t>
      </w:r>
      <w:r>
        <w:rPr>
          <w:lang w:val="fr-FR"/>
        </w:rPr>
        <w:t>Unies concernant le strict respect des principes de l’égalité souveraine, de l’indépendance politique et de l’intégrité territoriale des États, de l’autodétermination des peuples, du non-recours à la menace ou à l’emploi de la force dans les relations internationales et de la non-ingérence dans les affaires intérieures des États,</w:t>
      </w:r>
    </w:p>
    <w:p w14:paraId="75E9028F" w14:textId="05BDA9F9" w:rsidR="002147BC" w:rsidRPr="003D5CBC" w:rsidRDefault="002147BC" w:rsidP="002147BC">
      <w:pPr>
        <w:pStyle w:val="SingleTxtG"/>
        <w:ind w:firstLine="567"/>
        <w:rPr>
          <w:bCs/>
          <w:lang w:val="fr-FR"/>
        </w:rPr>
      </w:pPr>
      <w:r>
        <w:rPr>
          <w:i/>
          <w:iCs/>
          <w:lang w:val="fr-FR"/>
        </w:rPr>
        <w:t xml:space="preserve">Priant de nouveau </w:t>
      </w:r>
      <w:r>
        <w:rPr>
          <w:lang w:val="fr-FR"/>
        </w:rPr>
        <w:t>tous les États de faire preuve de la plus grande vigilance pour empêcher toute forme de recrutement, d’instruction, d’engagement ou de financement de mercenaires,</w:t>
      </w:r>
    </w:p>
    <w:p w14:paraId="07141918" w14:textId="443EBD54" w:rsidR="002147BC" w:rsidRPr="003D5CBC" w:rsidRDefault="002147BC" w:rsidP="002147BC">
      <w:pPr>
        <w:pStyle w:val="SingleTxtG"/>
        <w:ind w:firstLine="567"/>
        <w:rPr>
          <w:bCs/>
          <w:lang w:val="fr-FR"/>
        </w:rPr>
      </w:pPr>
      <w:r>
        <w:rPr>
          <w:lang w:val="fr-FR"/>
        </w:rPr>
        <w:t>1.</w:t>
      </w:r>
      <w:r>
        <w:rPr>
          <w:lang w:val="fr-FR"/>
        </w:rPr>
        <w:tab/>
      </w:r>
      <w:r>
        <w:rPr>
          <w:i/>
          <w:iCs/>
          <w:lang w:val="fr-FR"/>
        </w:rPr>
        <w:t xml:space="preserve">Décide </w:t>
      </w:r>
      <w:r>
        <w:rPr>
          <w:lang w:val="fr-FR"/>
        </w:rPr>
        <w:t>de proroger, pour une période de trois ans, le mandat du Groupe de travail sur l’utilisation de mercenaires comme moyen de violer les droits de l’homme et d’empêcher l’exercice du droit des peuples à disposer d’eux-mêmes, afin qu’il continue de s’acquitter des tâches</w:t>
      </w:r>
      <w:r w:rsidRPr="004A3BB3">
        <w:rPr>
          <w:rStyle w:val="Appelnotedebasdep"/>
        </w:rPr>
        <w:footnoteReference w:id="2"/>
      </w:r>
      <w:r>
        <w:rPr>
          <w:lang w:val="fr-FR"/>
        </w:rPr>
        <w:t xml:space="preserve"> décrites par le Conseil dans sa résolution</w:t>
      </w:r>
      <w:r>
        <w:rPr>
          <w:lang w:val="fr-FR"/>
        </w:rPr>
        <w:t> </w:t>
      </w:r>
      <w:r>
        <w:rPr>
          <w:lang w:val="fr-FR"/>
        </w:rPr>
        <w:t>7/21 du 28</w:t>
      </w:r>
      <w:r>
        <w:rPr>
          <w:lang w:val="fr-FR"/>
        </w:rPr>
        <w:t> </w:t>
      </w:r>
      <w:r>
        <w:rPr>
          <w:lang w:val="fr-FR"/>
        </w:rPr>
        <w:t>mars 2008 et dans toutes les autres résolutions pertinentes sur cette question ;</w:t>
      </w:r>
    </w:p>
    <w:p w14:paraId="29136BFC" w14:textId="0662B72D" w:rsidR="002147BC" w:rsidRPr="003D5CBC" w:rsidRDefault="002147BC" w:rsidP="002147BC">
      <w:pPr>
        <w:pStyle w:val="SingleTxtG"/>
        <w:ind w:firstLine="567"/>
        <w:rPr>
          <w:lang w:val="fr-FR"/>
        </w:rPr>
      </w:pPr>
      <w:r>
        <w:rPr>
          <w:lang w:val="fr-FR"/>
        </w:rPr>
        <w:t>2.</w:t>
      </w:r>
      <w:r>
        <w:rPr>
          <w:lang w:val="fr-FR"/>
        </w:rPr>
        <w:tab/>
      </w:r>
      <w:r>
        <w:rPr>
          <w:i/>
          <w:iCs/>
          <w:lang w:val="fr-FR"/>
        </w:rPr>
        <w:t xml:space="preserve">Exhorte </w:t>
      </w:r>
      <w:r>
        <w:rPr>
          <w:lang w:val="fr-FR"/>
        </w:rPr>
        <w:t>tous les États à coopérer pleinement avec le Groupe de travail dans l’accomplissement de son mandat ;</w:t>
      </w:r>
    </w:p>
    <w:p w14:paraId="69227A36" w14:textId="219302F3" w:rsidR="002147BC" w:rsidRPr="003D5CBC" w:rsidRDefault="002147BC" w:rsidP="002147BC">
      <w:pPr>
        <w:pStyle w:val="SingleTxtG"/>
        <w:ind w:firstLine="567"/>
        <w:rPr>
          <w:lang w:val="fr-FR"/>
        </w:rPr>
      </w:pPr>
      <w:r>
        <w:rPr>
          <w:lang w:val="fr-FR"/>
        </w:rPr>
        <w:lastRenderedPageBreak/>
        <w:t>3.</w:t>
      </w:r>
      <w:r>
        <w:rPr>
          <w:lang w:val="fr-FR"/>
        </w:rPr>
        <w:tab/>
      </w:r>
      <w:r>
        <w:rPr>
          <w:i/>
          <w:iCs/>
          <w:lang w:val="fr-FR"/>
        </w:rPr>
        <w:t xml:space="preserve">Prie </w:t>
      </w:r>
      <w:r>
        <w:rPr>
          <w:lang w:val="fr-FR"/>
        </w:rPr>
        <w:t>le Secrétaire général et le Haut-Commissaire des Nations</w:t>
      </w:r>
      <w:r>
        <w:rPr>
          <w:lang w:val="fr-FR"/>
        </w:rPr>
        <w:t> </w:t>
      </w:r>
      <w:r>
        <w:rPr>
          <w:lang w:val="fr-FR"/>
        </w:rPr>
        <w:t>Unies aux droits de l’homme de fournir au Groupe de travail toute l’assistance et tout l’appui nécessaires à l’accomplissement de son mandat ;</w:t>
      </w:r>
    </w:p>
    <w:p w14:paraId="6AB75763" w14:textId="57D6E873" w:rsidR="002147BC" w:rsidRPr="003D5CBC" w:rsidRDefault="002147BC" w:rsidP="002147BC">
      <w:pPr>
        <w:pStyle w:val="SingleTxtG"/>
        <w:ind w:firstLine="567"/>
        <w:rPr>
          <w:lang w:val="fr-FR"/>
        </w:rPr>
      </w:pPr>
      <w:r>
        <w:rPr>
          <w:lang w:val="fr-FR"/>
        </w:rPr>
        <w:t>4.</w:t>
      </w:r>
      <w:r>
        <w:rPr>
          <w:lang w:val="fr-FR"/>
        </w:rPr>
        <w:tab/>
      </w:r>
      <w:r>
        <w:rPr>
          <w:i/>
          <w:iCs/>
          <w:lang w:val="fr-FR"/>
        </w:rPr>
        <w:t xml:space="preserve">Demande </w:t>
      </w:r>
      <w:r>
        <w:rPr>
          <w:lang w:val="fr-FR"/>
        </w:rPr>
        <w:t>au Groupe de travail de consulter les États, les organisations intergouvernementales, les organisations non gouvernementales et d’autres acteurs pertinents, y</w:t>
      </w:r>
      <w:r>
        <w:rPr>
          <w:lang w:val="fr-FR"/>
        </w:rPr>
        <w:t> </w:t>
      </w:r>
      <w:r>
        <w:rPr>
          <w:lang w:val="fr-FR"/>
        </w:rPr>
        <w:t>compris les organisations de la société civile, aux fins de l’application de la présente résolution, et de lui rendre compte, ainsi qu’à l’Assemblée générale, de ses conclusions, conformément à leurs programmes de travail ;</w:t>
      </w:r>
    </w:p>
    <w:p w14:paraId="16A04EC7" w14:textId="3E3DB0A8" w:rsidR="002147BC" w:rsidRDefault="002147BC" w:rsidP="002147BC">
      <w:pPr>
        <w:pStyle w:val="SingleTxtG"/>
        <w:ind w:firstLine="567"/>
        <w:rPr>
          <w:lang w:val="fr-FR"/>
        </w:rPr>
      </w:pPr>
      <w:r>
        <w:rPr>
          <w:lang w:val="fr-FR"/>
        </w:rPr>
        <w:t>5.</w:t>
      </w:r>
      <w:r>
        <w:rPr>
          <w:lang w:val="fr-FR"/>
        </w:rPr>
        <w:tab/>
      </w:r>
      <w:r>
        <w:rPr>
          <w:i/>
          <w:iCs/>
          <w:lang w:val="fr-FR"/>
        </w:rPr>
        <w:t xml:space="preserve">Décide </w:t>
      </w:r>
      <w:r>
        <w:rPr>
          <w:lang w:val="fr-FR"/>
        </w:rPr>
        <w:t>de poursuivre l’examen de la question au titre du même point de l’ordre du jour, conformément à son programme de travail.</w:t>
      </w:r>
    </w:p>
    <w:p w14:paraId="1EFAEBA8" w14:textId="74CC4546" w:rsidR="002147BC" w:rsidRPr="00212182" w:rsidRDefault="002147BC" w:rsidP="002147BC">
      <w:pPr>
        <w:pStyle w:val="SingleTxtG"/>
        <w:jc w:val="right"/>
        <w:rPr>
          <w:i/>
          <w:iCs/>
          <w:lang w:val="fr-FR"/>
        </w:rPr>
      </w:pPr>
      <w:r w:rsidRPr="00212182">
        <w:rPr>
          <w:i/>
          <w:iCs/>
          <w:lang w:val="fr-FR"/>
        </w:rPr>
        <w:t>4</w:t>
      </w:r>
      <w:r>
        <w:rPr>
          <w:i/>
          <w:iCs/>
          <w:lang w:val="fr-FR"/>
        </w:rPr>
        <w:t>1</w:t>
      </w:r>
      <w:r w:rsidRPr="00212182">
        <w:rPr>
          <w:i/>
          <w:iCs/>
          <w:vertAlign w:val="superscript"/>
          <w:lang w:val="fr-FR"/>
        </w:rPr>
        <w:t>e</w:t>
      </w:r>
      <w:r>
        <w:rPr>
          <w:i/>
          <w:iCs/>
          <w:lang w:val="fr-FR"/>
        </w:rPr>
        <w:t> </w:t>
      </w:r>
      <w:r w:rsidRPr="00212182">
        <w:rPr>
          <w:i/>
          <w:iCs/>
          <w:lang w:val="fr-FR"/>
        </w:rPr>
        <w:t>séance</w:t>
      </w:r>
      <w:r w:rsidRPr="00212182">
        <w:rPr>
          <w:i/>
          <w:iCs/>
          <w:lang w:val="fr-FR"/>
        </w:rPr>
        <w:br/>
        <w:t>6</w:t>
      </w:r>
      <w:r>
        <w:rPr>
          <w:i/>
          <w:iCs/>
          <w:lang w:val="fr-FR"/>
        </w:rPr>
        <w:t> </w:t>
      </w:r>
      <w:r w:rsidRPr="00212182">
        <w:rPr>
          <w:i/>
          <w:iCs/>
          <w:lang w:val="fr-FR"/>
        </w:rPr>
        <w:t>octobre 2022</w:t>
      </w:r>
    </w:p>
    <w:p w14:paraId="1B2F4AD3" w14:textId="521EFD67" w:rsidR="002147BC" w:rsidRDefault="002147BC" w:rsidP="002147BC">
      <w:pPr>
        <w:pStyle w:val="SingleTxtG"/>
        <w:rPr>
          <w:rFonts w:eastAsia="Times New Roman"/>
        </w:rPr>
      </w:pPr>
      <w:r>
        <w:rPr>
          <w:lang w:val="fr-FR"/>
        </w:rPr>
        <w:t>[Adoptée à l’issue d’un vote enregistré par 28</w:t>
      </w:r>
      <w:r>
        <w:rPr>
          <w:lang w:val="fr-FR"/>
        </w:rPr>
        <w:t> </w:t>
      </w:r>
      <w:r>
        <w:rPr>
          <w:lang w:val="fr-FR"/>
        </w:rPr>
        <w:t>voix contre 15, avec 4</w:t>
      </w:r>
      <w:r>
        <w:rPr>
          <w:lang w:val="fr-FR"/>
        </w:rPr>
        <w:t> </w:t>
      </w:r>
      <w:r>
        <w:rPr>
          <w:lang w:val="fr-FR"/>
        </w:rPr>
        <w:t>abstentions. Les voix se sont réparties comme suit</w:t>
      </w:r>
      <w:r>
        <w:rPr>
          <w:lang w:val="fr-FR"/>
        </w:rPr>
        <w:t> </w:t>
      </w:r>
      <w:r>
        <w:rPr>
          <w:lang w:val="fr-FR"/>
        </w:rPr>
        <w:t>:</w:t>
      </w:r>
    </w:p>
    <w:p w14:paraId="00563C60" w14:textId="259AF56A" w:rsidR="002147BC" w:rsidRDefault="002147BC" w:rsidP="002147BC">
      <w:pPr>
        <w:pStyle w:val="SingleTxtG"/>
        <w:ind w:left="1701"/>
      </w:pPr>
      <w:r w:rsidRPr="00212182">
        <w:rPr>
          <w:i/>
          <w:iCs/>
          <w:lang w:val="fr-FR"/>
        </w:rPr>
        <w:t>Ont voté pour</w:t>
      </w:r>
      <w:r>
        <w:rPr>
          <w:lang w:val="fr-FR"/>
        </w:rPr>
        <w:t> </w:t>
      </w:r>
      <w:r>
        <w:rPr>
          <w:lang w:val="fr-FR"/>
        </w:rPr>
        <w:t>:</w:t>
      </w:r>
    </w:p>
    <w:p w14:paraId="0756D970" w14:textId="635734CA" w:rsidR="002147BC" w:rsidRDefault="002147BC" w:rsidP="002147BC">
      <w:pPr>
        <w:pStyle w:val="SingleTxtG"/>
        <w:ind w:left="2268"/>
      </w:pPr>
      <w:bookmarkStart w:id="0" w:name="_Hlk116290610"/>
      <w:r>
        <w:rPr>
          <w:lang w:val="fr-FR"/>
        </w:rPr>
        <w:t>Argentine, Arménie, Bénin, Bolivie (État plurinational de), Cameroun, Chine, Côte</w:t>
      </w:r>
      <w:r>
        <w:rPr>
          <w:lang w:val="fr-FR"/>
        </w:rPr>
        <w:t> </w:t>
      </w:r>
      <w:r>
        <w:rPr>
          <w:lang w:val="fr-FR"/>
        </w:rPr>
        <w:t>d’Ivoire, Cuba, Émirats arabes unis, Érythrée, Gabon, Gambie, Honduras, Inde, Indonésie, Libye, Malaisie, Malawi, Mauritanie, Namibie, Népal, Ouzbékistan, Pakistan, Paraguay, Qatar, Sénégal, Soudan et Venezuela (République bolivarienne du)</w:t>
      </w:r>
    </w:p>
    <w:bookmarkEnd w:id="0"/>
    <w:p w14:paraId="29E057C3" w14:textId="709375C9" w:rsidR="002147BC" w:rsidRDefault="002147BC" w:rsidP="002147BC">
      <w:pPr>
        <w:pStyle w:val="SingleTxtG"/>
        <w:ind w:left="1701"/>
      </w:pPr>
      <w:r w:rsidRPr="00212182">
        <w:rPr>
          <w:i/>
          <w:iCs/>
          <w:lang w:val="fr-FR"/>
        </w:rPr>
        <w:t>Ont voté contre</w:t>
      </w:r>
      <w:r>
        <w:rPr>
          <w:lang w:val="fr-FR"/>
        </w:rPr>
        <w:t> </w:t>
      </w:r>
      <w:r>
        <w:rPr>
          <w:lang w:val="fr-FR"/>
        </w:rPr>
        <w:t>:</w:t>
      </w:r>
    </w:p>
    <w:p w14:paraId="1E938CEE" w14:textId="23910CD1" w:rsidR="002147BC" w:rsidRDefault="002147BC" w:rsidP="002147BC">
      <w:pPr>
        <w:pStyle w:val="SingleTxtG"/>
        <w:ind w:left="2268"/>
      </w:pPr>
      <w:r>
        <w:rPr>
          <w:lang w:val="fr-FR"/>
        </w:rPr>
        <w:t>Allemagne, États-Unis d’Amérique, Finlande, France, Îles Marshall, Japon, Lituanie, Luxembourg, Monténégro, Pays-Bas, Pologne, République de Corée, Royaume-Uni de Grande-Bretagne et d’Irlande du Nord, Tchéquie et Ukraine</w:t>
      </w:r>
      <w:bookmarkStart w:id="1" w:name="_Hlk116290627"/>
    </w:p>
    <w:bookmarkEnd w:id="1"/>
    <w:p w14:paraId="1D923A6D" w14:textId="0A715A6C" w:rsidR="002147BC" w:rsidRDefault="002147BC" w:rsidP="002147BC">
      <w:pPr>
        <w:pStyle w:val="SingleTxtG"/>
        <w:ind w:left="1701"/>
      </w:pPr>
      <w:r w:rsidRPr="00212182">
        <w:rPr>
          <w:i/>
          <w:iCs/>
          <w:lang w:val="fr-FR"/>
        </w:rPr>
        <w:t>Se sont abstenus</w:t>
      </w:r>
      <w:r>
        <w:rPr>
          <w:lang w:val="fr-FR"/>
        </w:rPr>
        <w:t> </w:t>
      </w:r>
      <w:r>
        <w:rPr>
          <w:lang w:val="fr-FR"/>
        </w:rPr>
        <w:t>:</w:t>
      </w:r>
    </w:p>
    <w:p w14:paraId="428D402C" w14:textId="0DD82D06" w:rsidR="002147BC" w:rsidRPr="00E50532" w:rsidRDefault="002147BC" w:rsidP="002147BC">
      <w:pPr>
        <w:pStyle w:val="SingleTxtG"/>
        <w:ind w:left="2268"/>
      </w:pPr>
      <w:r>
        <w:rPr>
          <w:lang w:val="fr-FR"/>
        </w:rPr>
        <w:t>Brésil, Kazakhstan, Mexique et Somalie]</w:t>
      </w:r>
    </w:p>
    <w:p w14:paraId="519094BA" w14:textId="39A8BB50" w:rsidR="00552797" w:rsidRPr="002147BC" w:rsidRDefault="002147BC" w:rsidP="002147BC">
      <w:pPr>
        <w:pStyle w:val="SingleTxtG"/>
        <w:spacing w:before="240" w:after="0"/>
        <w:jc w:val="center"/>
        <w:rPr>
          <w:u w:val="single"/>
        </w:rPr>
      </w:pPr>
      <w:r>
        <w:rPr>
          <w:u w:val="single"/>
        </w:rPr>
        <w:tab/>
      </w:r>
      <w:r>
        <w:rPr>
          <w:u w:val="single"/>
        </w:rPr>
        <w:tab/>
      </w:r>
      <w:r>
        <w:rPr>
          <w:u w:val="single"/>
        </w:rPr>
        <w:tab/>
      </w:r>
    </w:p>
    <w:sectPr w:rsidR="00552797" w:rsidRPr="002147BC" w:rsidSect="002147BC">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3B92C" w14:textId="77777777" w:rsidR="001F00A0" w:rsidRPr="00EF7F30" w:rsidRDefault="001F00A0" w:rsidP="00EF7F30">
      <w:pPr>
        <w:pStyle w:val="Pieddepage"/>
      </w:pPr>
    </w:p>
  </w:endnote>
  <w:endnote w:type="continuationSeparator" w:id="0">
    <w:p w14:paraId="16488B76" w14:textId="77777777" w:rsidR="001F00A0" w:rsidRPr="00EF7F30" w:rsidRDefault="001F00A0" w:rsidP="00EF7F30">
      <w:pPr>
        <w:pStyle w:val="Pieddepage"/>
      </w:pPr>
    </w:p>
  </w:endnote>
  <w:endnote w:type="continuationNotice" w:id="1">
    <w:p w14:paraId="3D06DED4" w14:textId="77777777" w:rsidR="001F00A0" w:rsidRDefault="001F00A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24F07" w14:textId="43A2D7A7" w:rsidR="002147BC" w:rsidRPr="002147BC" w:rsidRDefault="002147BC" w:rsidP="002147BC">
    <w:pPr>
      <w:pStyle w:val="Pieddepage"/>
      <w:tabs>
        <w:tab w:val="right" w:pos="9638"/>
      </w:tabs>
    </w:pPr>
    <w:r w:rsidRPr="002147BC">
      <w:rPr>
        <w:b/>
        <w:sz w:val="18"/>
      </w:rPr>
      <w:fldChar w:fldCharType="begin"/>
    </w:r>
    <w:r w:rsidRPr="002147BC">
      <w:rPr>
        <w:b/>
        <w:sz w:val="18"/>
      </w:rPr>
      <w:instrText xml:space="preserve"> PAGE  \* MERGEFORMAT </w:instrText>
    </w:r>
    <w:r w:rsidRPr="002147BC">
      <w:rPr>
        <w:b/>
        <w:sz w:val="18"/>
      </w:rPr>
      <w:fldChar w:fldCharType="separate"/>
    </w:r>
    <w:r w:rsidRPr="002147BC">
      <w:rPr>
        <w:b/>
        <w:noProof/>
        <w:sz w:val="18"/>
      </w:rPr>
      <w:t>2</w:t>
    </w:r>
    <w:r w:rsidRPr="002147BC">
      <w:rPr>
        <w:b/>
        <w:sz w:val="18"/>
      </w:rPr>
      <w:fldChar w:fldCharType="end"/>
    </w:r>
    <w:r>
      <w:rPr>
        <w:b/>
        <w:sz w:val="18"/>
      </w:rPr>
      <w:tab/>
    </w:r>
    <w:r>
      <w:t>GE.22-16502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1F0B2" w14:textId="525A93E5" w:rsidR="002147BC" w:rsidRPr="002147BC" w:rsidRDefault="002147BC" w:rsidP="002147BC">
    <w:pPr>
      <w:pStyle w:val="Pieddepage"/>
      <w:tabs>
        <w:tab w:val="right" w:pos="9638"/>
      </w:tabs>
      <w:rPr>
        <w:b/>
        <w:sz w:val="18"/>
      </w:rPr>
    </w:pPr>
    <w:r>
      <w:t>GE.22-16502</w:t>
    </w:r>
    <w:r>
      <w:tab/>
    </w:r>
    <w:r w:rsidRPr="002147BC">
      <w:rPr>
        <w:b/>
        <w:sz w:val="18"/>
      </w:rPr>
      <w:fldChar w:fldCharType="begin"/>
    </w:r>
    <w:r w:rsidRPr="002147BC">
      <w:rPr>
        <w:b/>
        <w:sz w:val="18"/>
      </w:rPr>
      <w:instrText xml:space="preserve"> PAGE  \* MERGEFORMAT </w:instrText>
    </w:r>
    <w:r w:rsidRPr="002147BC">
      <w:rPr>
        <w:b/>
        <w:sz w:val="18"/>
      </w:rPr>
      <w:fldChar w:fldCharType="separate"/>
    </w:r>
    <w:r w:rsidRPr="002147BC">
      <w:rPr>
        <w:b/>
        <w:noProof/>
        <w:sz w:val="18"/>
      </w:rPr>
      <w:t>3</w:t>
    </w:r>
    <w:r w:rsidRPr="002147B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7433" w14:textId="77F64275" w:rsidR="0094352E" w:rsidRPr="002147BC" w:rsidRDefault="002147BC" w:rsidP="002147BC">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36332FD6" wp14:editId="0E1001B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22-16502  (F)</w:t>
    </w:r>
    <w:r>
      <w:rPr>
        <w:noProof/>
        <w:sz w:val="20"/>
      </w:rPr>
      <w:drawing>
        <wp:anchor distT="0" distB="0" distL="114300" distR="114300" simplePos="0" relativeHeight="251660288" behindDoc="0" locked="0" layoutInCell="1" allowOverlap="1" wp14:anchorId="19A0DD9D" wp14:editId="6E21043B">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201022    201022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C2F5A" w14:textId="77777777" w:rsidR="001F00A0" w:rsidRPr="00EF7F30" w:rsidRDefault="001F00A0" w:rsidP="00EF7F30">
      <w:pPr>
        <w:pStyle w:val="Pieddepage"/>
        <w:tabs>
          <w:tab w:val="right" w:pos="2155"/>
        </w:tabs>
        <w:spacing w:after="80" w:line="240" w:lineRule="atLeast"/>
        <w:ind w:left="680"/>
        <w:rPr>
          <w:u w:val="single"/>
        </w:rPr>
      </w:pPr>
      <w:r w:rsidRPr="00EF7F30">
        <w:rPr>
          <w:u w:val="single"/>
        </w:rPr>
        <w:tab/>
      </w:r>
    </w:p>
  </w:footnote>
  <w:footnote w:type="continuationSeparator" w:id="0">
    <w:p w14:paraId="419D7945" w14:textId="77777777" w:rsidR="001F00A0" w:rsidRPr="00EF7F30" w:rsidRDefault="001F00A0" w:rsidP="000E5ADA">
      <w:pPr>
        <w:pStyle w:val="Pieddepage"/>
        <w:tabs>
          <w:tab w:val="right" w:pos="2155"/>
        </w:tabs>
        <w:spacing w:after="80" w:line="240" w:lineRule="atLeast"/>
        <w:ind w:left="680"/>
      </w:pPr>
      <w:r w:rsidRPr="00EF7F30">
        <w:rPr>
          <w:u w:val="single"/>
        </w:rPr>
        <w:tab/>
      </w:r>
    </w:p>
  </w:footnote>
  <w:footnote w:type="continuationNotice" w:id="1">
    <w:p w14:paraId="6FEEDB62" w14:textId="77777777" w:rsidR="001F00A0" w:rsidRPr="000F2457" w:rsidRDefault="001F00A0">
      <w:pPr>
        <w:spacing w:line="240" w:lineRule="auto"/>
        <w:rPr>
          <w:sz w:val="2"/>
          <w:szCs w:val="2"/>
        </w:rPr>
      </w:pPr>
    </w:p>
  </w:footnote>
  <w:footnote w:id="2">
    <w:p w14:paraId="3943EA9A" w14:textId="44BF4294" w:rsidR="002147BC" w:rsidRPr="003D5CBC" w:rsidRDefault="002147BC" w:rsidP="002147BC">
      <w:pPr>
        <w:pStyle w:val="Notedebasdepage"/>
        <w:rPr>
          <w:lang w:val="fr-FR"/>
        </w:rPr>
      </w:pPr>
      <w:r>
        <w:rPr>
          <w:lang w:val="fr-FR"/>
        </w:rPr>
        <w:tab/>
      </w:r>
      <w:r w:rsidRPr="004A3BB3">
        <w:rPr>
          <w:rStyle w:val="Appelnotedebasdep"/>
        </w:rPr>
        <w:footnoteRef/>
      </w:r>
      <w:r>
        <w:rPr>
          <w:lang w:val="fr-FR"/>
        </w:rPr>
        <w:tab/>
        <w:t xml:space="preserve">Voir le </w:t>
      </w:r>
      <w:r w:rsidRPr="002147BC">
        <w:rPr>
          <w:lang w:val="fr-FR"/>
        </w:rPr>
        <w:t xml:space="preserve">document </w:t>
      </w:r>
      <w:hyperlink r:id="rId1" w:history="1">
        <w:r w:rsidRPr="002147BC">
          <w:rPr>
            <w:rStyle w:val="Lienhypertexte"/>
            <w:color w:val="auto"/>
            <w:lang w:val="fr-FR"/>
          </w:rPr>
          <w:t>A/HRC/51/25</w:t>
        </w:r>
      </w:hyperlink>
      <w:r w:rsidRPr="002147BC">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060B3" w14:textId="3B5D077F" w:rsidR="002147BC" w:rsidRPr="002147BC" w:rsidRDefault="002147BC">
    <w:pPr>
      <w:pStyle w:val="En-tte"/>
    </w:pPr>
    <w:fldSimple w:instr=" TITLE  \* MERGEFORMAT ">
      <w:r>
        <w:t>A/HRC/RES/51/13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C8E35" w14:textId="7CD98495" w:rsidR="002147BC" w:rsidRPr="002147BC" w:rsidRDefault="002147BC" w:rsidP="002147BC">
    <w:pPr>
      <w:pStyle w:val="En-tte"/>
      <w:jc w:val="right"/>
    </w:pPr>
    <w:fldSimple w:instr=" TITLE  \* MERGEFORMAT ">
      <w:r>
        <w:t>A/HRC/RES/51/13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856116688">
    <w:abstractNumId w:val="12"/>
  </w:num>
  <w:num w:numId="2" w16cid:durableId="1134640402">
    <w:abstractNumId w:val="11"/>
  </w:num>
  <w:num w:numId="3" w16cid:durableId="2040080365">
    <w:abstractNumId w:val="10"/>
  </w:num>
  <w:num w:numId="4" w16cid:durableId="961765265">
    <w:abstractNumId w:val="8"/>
  </w:num>
  <w:num w:numId="5" w16cid:durableId="224920727">
    <w:abstractNumId w:val="3"/>
  </w:num>
  <w:num w:numId="6" w16cid:durableId="1573075951">
    <w:abstractNumId w:val="2"/>
  </w:num>
  <w:num w:numId="7" w16cid:durableId="508443754">
    <w:abstractNumId w:val="1"/>
  </w:num>
  <w:num w:numId="8" w16cid:durableId="603540238">
    <w:abstractNumId w:val="0"/>
  </w:num>
  <w:num w:numId="9" w16cid:durableId="2089299954">
    <w:abstractNumId w:val="9"/>
  </w:num>
  <w:num w:numId="10" w16cid:durableId="2011177974">
    <w:abstractNumId w:val="7"/>
  </w:num>
  <w:num w:numId="11" w16cid:durableId="2072581197">
    <w:abstractNumId w:val="6"/>
  </w:num>
  <w:num w:numId="12" w16cid:durableId="875970751">
    <w:abstractNumId w:val="5"/>
  </w:num>
  <w:num w:numId="13" w16cid:durableId="296573020">
    <w:abstractNumId w:val="4"/>
  </w:num>
  <w:num w:numId="14" w16cid:durableId="736709740">
    <w:abstractNumId w:val="12"/>
  </w:num>
  <w:num w:numId="15" w16cid:durableId="1310670244">
    <w:abstractNumId w:val="11"/>
  </w:num>
  <w:num w:numId="16" w16cid:durableId="6336818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0A0"/>
    <w:rsid w:val="00023842"/>
    <w:rsid w:val="0007796D"/>
    <w:rsid w:val="000E5ADA"/>
    <w:rsid w:val="000F2457"/>
    <w:rsid w:val="00111F2F"/>
    <w:rsid w:val="00131E73"/>
    <w:rsid w:val="0014365E"/>
    <w:rsid w:val="00176178"/>
    <w:rsid w:val="001F00A0"/>
    <w:rsid w:val="001F525A"/>
    <w:rsid w:val="00212168"/>
    <w:rsid w:val="002147BC"/>
    <w:rsid w:val="002165E2"/>
    <w:rsid w:val="00260711"/>
    <w:rsid w:val="002E0D9C"/>
    <w:rsid w:val="003547BE"/>
    <w:rsid w:val="00446FE5"/>
    <w:rsid w:val="004D4CB4"/>
    <w:rsid w:val="00552797"/>
    <w:rsid w:val="00573BE5"/>
    <w:rsid w:val="00586ED3"/>
    <w:rsid w:val="00587A52"/>
    <w:rsid w:val="005B4E23"/>
    <w:rsid w:val="00617B29"/>
    <w:rsid w:val="0068446C"/>
    <w:rsid w:val="00695AED"/>
    <w:rsid w:val="00710BD6"/>
    <w:rsid w:val="0071601D"/>
    <w:rsid w:val="00721020"/>
    <w:rsid w:val="00731589"/>
    <w:rsid w:val="0080684C"/>
    <w:rsid w:val="00840FB4"/>
    <w:rsid w:val="00871C75"/>
    <w:rsid w:val="008776DC"/>
    <w:rsid w:val="008B386A"/>
    <w:rsid w:val="0094352E"/>
    <w:rsid w:val="00962015"/>
    <w:rsid w:val="009705C8"/>
    <w:rsid w:val="009A47AB"/>
    <w:rsid w:val="00A12E20"/>
    <w:rsid w:val="00A2307A"/>
    <w:rsid w:val="00A92E0F"/>
    <w:rsid w:val="00AC7BEB"/>
    <w:rsid w:val="00AE323C"/>
    <w:rsid w:val="00B16AAF"/>
    <w:rsid w:val="00B22A9E"/>
    <w:rsid w:val="00B24C75"/>
    <w:rsid w:val="00B528BF"/>
    <w:rsid w:val="00BE2FA2"/>
    <w:rsid w:val="00C02897"/>
    <w:rsid w:val="00C12613"/>
    <w:rsid w:val="00D45432"/>
    <w:rsid w:val="00DB1831"/>
    <w:rsid w:val="00DD3BFD"/>
    <w:rsid w:val="00E228A8"/>
    <w:rsid w:val="00E6618E"/>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91999"/>
  <w15:docId w15:val="{B1F10FA6-936D-453B-8678-02A552754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2307A"/>
    <w:pPr>
      <w:tabs>
        <w:tab w:val="left" w:pos="1701"/>
        <w:tab w:val="left" w:pos="2268"/>
        <w:tab w:val="left" w:pos="2835"/>
      </w:tabs>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character" w:styleId="Mentionnonrsolue">
    <w:name w:val="Unresolved Mention"/>
    <w:basedOn w:val="Policepardfaut"/>
    <w:uiPriority w:val="99"/>
    <w:semiHidden/>
    <w:unhideWhenUsed/>
    <w:rsid w:val="00214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docs.org/fr/A/HRC/51/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4D617-A2D7-4690-9F2E-EACAD79E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2</Pages>
  <Words>540</Words>
  <Characters>3245</Characters>
  <Application>Microsoft Office Word</Application>
  <DocSecurity>0</DocSecurity>
  <Lines>463</Lines>
  <Paragraphs>199</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A/HRC/RES/51/13</dc:title>
  <dc:subject/>
  <dc:creator>Marie DESCHAMPS</dc:creator>
  <cp:keywords/>
  <cp:lastModifiedBy>Marie Deschamps</cp:lastModifiedBy>
  <cp:revision>2</cp:revision>
  <dcterms:created xsi:type="dcterms:W3CDTF">2022-10-20T14:42:00Z</dcterms:created>
  <dcterms:modified xsi:type="dcterms:W3CDTF">2022-10-20T14:42:00Z</dcterms:modified>
</cp:coreProperties>
</file>