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3B1C79D" w14:textId="77777777" w:rsidTr="00281242">
        <w:trPr>
          <w:trHeight w:hRule="exact" w:val="851"/>
        </w:trPr>
        <w:tc>
          <w:tcPr>
            <w:tcW w:w="1274" w:type="dxa"/>
            <w:tcBorders>
              <w:bottom w:val="single" w:sz="4" w:space="0" w:color="auto"/>
            </w:tcBorders>
            <w:shd w:val="clear" w:color="auto" w:fill="auto"/>
          </w:tcPr>
          <w:p w14:paraId="756E0131"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8309C48"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1BE823CA" w14:textId="77777777" w:rsidR="006B3E27" w:rsidRPr="00281242" w:rsidRDefault="001731F9" w:rsidP="00195060">
            <w:pPr>
              <w:bidi w:val="0"/>
              <w:spacing w:after="20"/>
              <w:jc w:val="left"/>
              <w:rPr>
                <w:szCs w:val="20"/>
              </w:rPr>
            </w:pPr>
            <w:r w:rsidRPr="001731F9">
              <w:rPr>
                <w:sz w:val="40"/>
                <w:szCs w:val="20"/>
              </w:rPr>
              <w:t>A</w:t>
            </w:r>
            <w:r>
              <w:rPr>
                <w:szCs w:val="20"/>
              </w:rPr>
              <w:t>/HRC/RES/</w:t>
            </w:r>
            <w:r w:rsidRPr="00195060">
              <w:rPr>
                <w:szCs w:val="20"/>
              </w:rPr>
              <w:t>43</w:t>
            </w:r>
            <w:r>
              <w:rPr>
                <w:szCs w:val="20"/>
              </w:rPr>
              <w:t>/</w:t>
            </w:r>
            <w:r w:rsidRPr="00195060">
              <w:rPr>
                <w:szCs w:val="20"/>
              </w:rPr>
              <w:t>4</w:t>
            </w:r>
          </w:p>
        </w:tc>
      </w:tr>
      <w:tr w:rsidR="006B3E27" w:rsidRPr="00ED7442" w14:paraId="0CA41760" w14:textId="77777777" w:rsidTr="00281242">
        <w:trPr>
          <w:trHeight w:hRule="exact" w:val="2835"/>
        </w:trPr>
        <w:tc>
          <w:tcPr>
            <w:tcW w:w="1274" w:type="dxa"/>
            <w:tcBorders>
              <w:top w:val="single" w:sz="4" w:space="0" w:color="auto"/>
              <w:bottom w:val="single" w:sz="12" w:space="0" w:color="auto"/>
            </w:tcBorders>
            <w:shd w:val="clear" w:color="auto" w:fill="auto"/>
          </w:tcPr>
          <w:p w14:paraId="46439399" w14:textId="478C163F" w:rsidR="006B3E27" w:rsidRPr="00281242" w:rsidRDefault="004144E8" w:rsidP="00281242">
            <w:pPr>
              <w:jc w:val="center"/>
              <w:rPr>
                <w:sz w:val="56"/>
                <w:szCs w:val="56"/>
                <w:rtl/>
              </w:rPr>
            </w:pPr>
            <w:r>
              <w:rPr>
                <w:noProof/>
                <w:sz w:val="56"/>
                <w:szCs w:val="56"/>
              </w:rPr>
              <w:drawing>
                <wp:inline distT="0" distB="0" distL="0" distR="0" wp14:anchorId="6689BD4C" wp14:editId="7D0BC4DC">
                  <wp:extent cx="62801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9822BF3"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01DCDB2E" w14:textId="77777777" w:rsidR="006B3E27" w:rsidRDefault="00195060" w:rsidP="00195060">
            <w:pPr>
              <w:bidi w:val="0"/>
              <w:spacing w:before="240"/>
              <w:jc w:val="left"/>
              <w:rPr>
                <w:szCs w:val="20"/>
              </w:rPr>
            </w:pPr>
            <w:r>
              <w:rPr>
                <w:szCs w:val="20"/>
              </w:rPr>
              <w:t>Distr.: General</w:t>
            </w:r>
          </w:p>
          <w:p w14:paraId="10D11548" w14:textId="77777777" w:rsidR="00195060" w:rsidRDefault="00195060" w:rsidP="00195060">
            <w:pPr>
              <w:bidi w:val="0"/>
              <w:jc w:val="left"/>
              <w:rPr>
                <w:szCs w:val="20"/>
              </w:rPr>
            </w:pPr>
            <w:r w:rsidRPr="00195060">
              <w:rPr>
                <w:szCs w:val="20"/>
              </w:rPr>
              <w:t>30</w:t>
            </w:r>
            <w:r>
              <w:rPr>
                <w:szCs w:val="20"/>
              </w:rPr>
              <w:t xml:space="preserve"> June </w:t>
            </w:r>
            <w:r w:rsidRPr="00195060">
              <w:rPr>
                <w:szCs w:val="20"/>
              </w:rPr>
              <w:t>2020</w:t>
            </w:r>
          </w:p>
          <w:p w14:paraId="402A2D05" w14:textId="77777777" w:rsidR="00195060" w:rsidRDefault="00195060" w:rsidP="00195060">
            <w:pPr>
              <w:bidi w:val="0"/>
              <w:jc w:val="left"/>
              <w:rPr>
                <w:szCs w:val="20"/>
              </w:rPr>
            </w:pPr>
            <w:r>
              <w:rPr>
                <w:szCs w:val="20"/>
              </w:rPr>
              <w:t>Arabic</w:t>
            </w:r>
          </w:p>
          <w:p w14:paraId="2D0DFCB3" w14:textId="77777777" w:rsidR="00195060" w:rsidRPr="00281242" w:rsidRDefault="00195060" w:rsidP="00195060">
            <w:pPr>
              <w:bidi w:val="0"/>
              <w:jc w:val="left"/>
              <w:rPr>
                <w:szCs w:val="20"/>
              </w:rPr>
            </w:pPr>
            <w:r>
              <w:rPr>
                <w:szCs w:val="20"/>
              </w:rPr>
              <w:t>Original: English</w:t>
            </w:r>
          </w:p>
        </w:tc>
      </w:tr>
    </w:tbl>
    <w:p w14:paraId="0E218822" w14:textId="77777777" w:rsidR="00195060" w:rsidRDefault="00673245" w:rsidP="00195060">
      <w:pPr>
        <w:pStyle w:val="SingleTxtGA"/>
        <w:spacing w:before="120" w:after="0"/>
        <w:ind w:left="0"/>
        <w:rPr>
          <w:b/>
          <w:bCs/>
          <w:sz w:val="36"/>
          <w:szCs w:val="36"/>
          <w:rtl/>
        </w:rPr>
      </w:pPr>
      <w:r w:rsidRPr="00673245">
        <w:rPr>
          <w:rFonts w:hint="cs"/>
          <w:b/>
          <w:bCs/>
          <w:sz w:val="36"/>
          <w:szCs w:val="36"/>
          <w:rtl/>
        </w:rPr>
        <w:t>مجلس حقوق الإنسان</w:t>
      </w:r>
    </w:p>
    <w:p w14:paraId="01E48819" w14:textId="77777777" w:rsidR="00195060" w:rsidRPr="000E58E2" w:rsidRDefault="00195060" w:rsidP="00195060">
      <w:pPr>
        <w:pStyle w:val="SingleTxtGA"/>
        <w:spacing w:after="0"/>
        <w:ind w:left="0" w:right="4820"/>
        <w:rPr>
          <w:b/>
          <w:bCs/>
          <w:rtl/>
        </w:rPr>
      </w:pPr>
      <w:r w:rsidRPr="000E58E2">
        <w:rPr>
          <w:b/>
          <w:bCs/>
          <w:rtl/>
        </w:rPr>
        <w:t>الدورة الثالثة والأربعون</w:t>
      </w:r>
    </w:p>
    <w:p w14:paraId="3745C966" w14:textId="77777777" w:rsidR="00195060" w:rsidRPr="000E58E2" w:rsidRDefault="00195060" w:rsidP="00195060">
      <w:pPr>
        <w:pStyle w:val="SingleTxtGA"/>
        <w:spacing w:after="0"/>
        <w:ind w:left="0" w:right="4820"/>
        <w:rPr>
          <w:rtl/>
        </w:rPr>
      </w:pPr>
      <w:r w:rsidRPr="00195060">
        <w:rPr>
          <w:szCs w:val="20"/>
          <w:rtl/>
        </w:rPr>
        <w:t>24</w:t>
      </w:r>
      <w:r w:rsidRPr="000E58E2">
        <w:rPr>
          <w:rtl/>
        </w:rPr>
        <w:t xml:space="preserve"> شباط/فبراير - </w:t>
      </w:r>
      <w:r w:rsidRPr="00195060">
        <w:rPr>
          <w:szCs w:val="20"/>
          <w:rtl/>
        </w:rPr>
        <w:t>13</w:t>
      </w:r>
      <w:r w:rsidRPr="000E58E2">
        <w:rPr>
          <w:rtl/>
        </w:rPr>
        <w:t xml:space="preserve"> آذار/مارس</w:t>
      </w:r>
      <w:r>
        <w:rPr>
          <w:rFonts w:hint="cs"/>
          <w:rtl/>
        </w:rPr>
        <w:t xml:space="preserve"> </w:t>
      </w:r>
      <w:proofErr w:type="spellStart"/>
      <w:r>
        <w:rPr>
          <w:rFonts w:hint="cs"/>
          <w:rtl/>
        </w:rPr>
        <w:t>و</w:t>
      </w:r>
      <w:r w:rsidRPr="00195060">
        <w:rPr>
          <w:szCs w:val="20"/>
          <w:rtl/>
        </w:rPr>
        <w:t>15</w:t>
      </w:r>
      <w:proofErr w:type="spellEnd"/>
      <w:r w:rsidRPr="00AD748D">
        <w:rPr>
          <w:szCs w:val="20"/>
          <w:rtl/>
        </w:rPr>
        <w:t>-</w:t>
      </w:r>
      <w:r w:rsidRPr="00195060">
        <w:rPr>
          <w:szCs w:val="20"/>
          <w:rtl/>
        </w:rPr>
        <w:t>23</w:t>
      </w:r>
      <w:r>
        <w:rPr>
          <w:rFonts w:hint="cs"/>
          <w:rtl/>
        </w:rPr>
        <w:t xml:space="preserve"> حزيران/</w:t>
      </w:r>
      <w:proofErr w:type="gramStart"/>
      <w:r>
        <w:rPr>
          <w:rFonts w:hint="cs"/>
          <w:rtl/>
        </w:rPr>
        <w:t>يونيه</w:t>
      </w:r>
      <w:proofErr w:type="gramEnd"/>
      <w:r w:rsidRPr="000E58E2">
        <w:rPr>
          <w:rtl/>
        </w:rPr>
        <w:t xml:space="preserve"> </w:t>
      </w:r>
      <w:r w:rsidRPr="00195060">
        <w:rPr>
          <w:szCs w:val="20"/>
          <w:rtl/>
        </w:rPr>
        <w:t>2020</w:t>
      </w:r>
    </w:p>
    <w:p w14:paraId="0B4C2F3E" w14:textId="77777777" w:rsidR="00195060" w:rsidRPr="000E58E2" w:rsidRDefault="00195060" w:rsidP="00195060">
      <w:pPr>
        <w:pStyle w:val="SingleTxtGA"/>
        <w:spacing w:after="0"/>
        <w:ind w:left="0" w:right="4820"/>
        <w:rPr>
          <w:rtl/>
        </w:rPr>
      </w:pPr>
      <w:r w:rsidRPr="000E58E2">
        <w:rPr>
          <w:rtl/>
        </w:rPr>
        <w:t xml:space="preserve">البند </w:t>
      </w:r>
      <w:r w:rsidRPr="00195060">
        <w:rPr>
          <w:szCs w:val="20"/>
          <w:rtl/>
        </w:rPr>
        <w:t>3</w:t>
      </w:r>
      <w:r w:rsidRPr="000E58E2">
        <w:rPr>
          <w:rtl/>
        </w:rPr>
        <w:t xml:space="preserve"> من جدول الأعمال</w:t>
      </w:r>
    </w:p>
    <w:p w14:paraId="04BD1832" w14:textId="77777777" w:rsidR="00195060" w:rsidRPr="000E58E2" w:rsidRDefault="00195060" w:rsidP="00195060">
      <w:pPr>
        <w:pStyle w:val="SingleTxtGA"/>
        <w:spacing w:after="0"/>
        <w:ind w:left="0" w:right="4820"/>
        <w:rPr>
          <w:b/>
          <w:bCs/>
          <w:rtl/>
        </w:rPr>
      </w:pPr>
      <w:r w:rsidRPr="000E58E2">
        <w:rPr>
          <w:b/>
          <w:bCs/>
          <w:rtl/>
        </w:rPr>
        <w:t>تعزيز وحماية جميع حقوق الإنسان، المدنية والسياسية والاقتصادية والاجتماعية والثقافية، بما في ذلك الحق في التنمية</w:t>
      </w:r>
    </w:p>
    <w:p w14:paraId="6555F241" w14:textId="77777777" w:rsidR="00195060" w:rsidRDefault="00195060" w:rsidP="00195060">
      <w:pPr>
        <w:pStyle w:val="HChGA"/>
        <w:rPr>
          <w:rtl/>
        </w:rPr>
      </w:pPr>
      <w:r>
        <w:rPr>
          <w:rtl/>
        </w:rPr>
        <w:tab/>
      </w:r>
      <w:r>
        <w:rPr>
          <w:rtl/>
        </w:rPr>
        <w:tab/>
        <w:t>قرار</w:t>
      </w:r>
      <w:r>
        <w:rPr>
          <w:rFonts w:hint="cs"/>
          <w:rtl/>
        </w:rPr>
        <w:t xml:space="preserve"> اعتمده مجلس حقوق الإنسان في </w:t>
      </w:r>
      <w:r w:rsidRPr="00195060">
        <w:rPr>
          <w:rFonts w:hint="cs"/>
          <w:szCs w:val="28"/>
          <w:rtl/>
        </w:rPr>
        <w:t>19</w:t>
      </w:r>
      <w:r>
        <w:rPr>
          <w:rFonts w:hint="cs"/>
          <w:rtl/>
        </w:rPr>
        <w:t xml:space="preserve"> حزيران/</w:t>
      </w:r>
      <w:proofErr w:type="gramStart"/>
      <w:r>
        <w:rPr>
          <w:rFonts w:hint="cs"/>
          <w:rtl/>
        </w:rPr>
        <w:t>يونيه</w:t>
      </w:r>
      <w:proofErr w:type="gramEnd"/>
      <w:r>
        <w:rPr>
          <w:rFonts w:hint="cs"/>
          <w:rtl/>
        </w:rPr>
        <w:t xml:space="preserve"> </w:t>
      </w:r>
      <w:r w:rsidRPr="00195060">
        <w:rPr>
          <w:rFonts w:hint="cs"/>
          <w:szCs w:val="28"/>
          <w:rtl/>
        </w:rPr>
        <w:t>2020</w:t>
      </w:r>
    </w:p>
    <w:p w14:paraId="2D3B9B61" w14:textId="22720014" w:rsidR="00195060" w:rsidRDefault="00195060" w:rsidP="00195060">
      <w:pPr>
        <w:pStyle w:val="H1GA"/>
        <w:rPr>
          <w:rtl/>
        </w:rPr>
      </w:pPr>
      <w:r>
        <w:rPr>
          <w:szCs w:val="24"/>
          <w:rtl/>
        </w:rPr>
        <w:tab/>
      </w:r>
      <w:r w:rsidRPr="00195060">
        <w:rPr>
          <w:szCs w:val="24"/>
          <w:rtl/>
        </w:rPr>
        <w:t>43</w:t>
      </w:r>
      <w:r w:rsidRPr="00FF72DA">
        <w:rPr>
          <w:szCs w:val="24"/>
          <w:rtl/>
        </w:rPr>
        <w:t>/</w:t>
      </w:r>
      <w:r w:rsidRPr="00195060">
        <w:rPr>
          <w:rFonts w:hint="cs"/>
          <w:szCs w:val="24"/>
          <w:rtl/>
        </w:rPr>
        <w:t>4</w:t>
      </w:r>
      <w:r>
        <w:rPr>
          <w:rFonts w:hint="cs"/>
          <w:rtl/>
        </w:rPr>
        <w:t>-</w:t>
      </w:r>
      <w:r>
        <w:rPr>
          <w:rtl/>
        </w:rPr>
        <w:tab/>
        <w:t>حرية الرأي والتعبير: ولاية المقرر الخاص المعني بتعزيز وحماية الحق في حرية الرأي</w:t>
      </w:r>
      <w:r>
        <w:rPr>
          <w:rFonts w:hint="cs"/>
          <w:rtl/>
        </w:rPr>
        <w:t xml:space="preserve"> </w:t>
      </w:r>
      <w:r>
        <w:rPr>
          <w:rtl/>
        </w:rPr>
        <w:t>والتعبير</w:t>
      </w:r>
    </w:p>
    <w:p w14:paraId="62C4A410" w14:textId="77777777" w:rsidR="00195060" w:rsidRPr="000E58E2" w:rsidRDefault="00195060" w:rsidP="00195060">
      <w:pPr>
        <w:pStyle w:val="SingleTxtGA"/>
        <w:rPr>
          <w:i/>
          <w:iCs/>
          <w:rtl/>
        </w:rPr>
      </w:pPr>
      <w:r w:rsidRPr="000E58E2">
        <w:rPr>
          <w:i/>
          <w:iCs/>
          <w:rtl/>
        </w:rPr>
        <w:tab/>
        <w:t>إن مجلس حقوق الإنسان،</w:t>
      </w:r>
    </w:p>
    <w:p w14:paraId="2CD6F31F" w14:textId="77777777" w:rsidR="00195060" w:rsidRDefault="00195060" w:rsidP="00195060">
      <w:pPr>
        <w:pStyle w:val="SingleTxtGA"/>
        <w:rPr>
          <w:rtl/>
        </w:rPr>
      </w:pPr>
      <w:r>
        <w:rPr>
          <w:rtl/>
        </w:rPr>
        <w:tab/>
      </w:r>
      <w:r w:rsidRPr="0081551D">
        <w:rPr>
          <w:i/>
          <w:iCs/>
          <w:spacing w:val="-4"/>
          <w:rtl/>
        </w:rPr>
        <w:t>إذ يشير</w:t>
      </w:r>
      <w:r w:rsidRPr="000E58E2">
        <w:rPr>
          <w:spacing w:val="-4"/>
          <w:rtl/>
        </w:rPr>
        <w:t xml:space="preserve"> إلى قرارات مجلس حقوق الإنسان </w:t>
      </w:r>
      <w:r w:rsidRPr="00195060">
        <w:rPr>
          <w:spacing w:val="-4"/>
          <w:szCs w:val="20"/>
          <w:rtl/>
        </w:rPr>
        <w:t>7</w:t>
      </w:r>
      <w:r w:rsidRPr="000E58E2">
        <w:rPr>
          <w:spacing w:val="-4"/>
          <w:rtl/>
        </w:rPr>
        <w:t>/</w:t>
      </w:r>
      <w:r w:rsidRPr="00195060">
        <w:rPr>
          <w:spacing w:val="-4"/>
          <w:szCs w:val="20"/>
          <w:rtl/>
        </w:rPr>
        <w:t>36</w:t>
      </w:r>
      <w:r w:rsidRPr="000E58E2">
        <w:rPr>
          <w:spacing w:val="-4"/>
          <w:rtl/>
        </w:rPr>
        <w:t xml:space="preserve"> المؤرخ </w:t>
      </w:r>
      <w:r w:rsidRPr="00195060">
        <w:rPr>
          <w:spacing w:val="-4"/>
          <w:szCs w:val="20"/>
          <w:rtl/>
        </w:rPr>
        <w:t>28</w:t>
      </w:r>
      <w:r w:rsidRPr="000E58E2">
        <w:rPr>
          <w:spacing w:val="-4"/>
          <w:rtl/>
        </w:rPr>
        <w:t xml:space="preserve"> آذار/مارس </w:t>
      </w:r>
      <w:r w:rsidRPr="00195060">
        <w:rPr>
          <w:spacing w:val="-4"/>
          <w:szCs w:val="20"/>
          <w:rtl/>
        </w:rPr>
        <w:t>2008</w:t>
      </w:r>
      <w:r w:rsidRPr="000E58E2">
        <w:rPr>
          <w:spacing w:val="-4"/>
          <w:rtl/>
        </w:rPr>
        <w:t xml:space="preserve"> </w:t>
      </w:r>
      <w:proofErr w:type="spellStart"/>
      <w:r w:rsidRPr="000E58E2">
        <w:rPr>
          <w:spacing w:val="-4"/>
          <w:rtl/>
        </w:rPr>
        <w:t>و</w:t>
      </w:r>
      <w:r w:rsidRPr="00195060">
        <w:rPr>
          <w:spacing w:val="-4"/>
          <w:szCs w:val="20"/>
          <w:rtl/>
        </w:rPr>
        <w:t>12</w:t>
      </w:r>
      <w:proofErr w:type="spellEnd"/>
      <w:r w:rsidRPr="000E58E2">
        <w:rPr>
          <w:spacing w:val="-4"/>
          <w:rtl/>
        </w:rPr>
        <w:t>/</w:t>
      </w:r>
      <w:r w:rsidRPr="00195060">
        <w:rPr>
          <w:spacing w:val="-4"/>
          <w:szCs w:val="20"/>
          <w:rtl/>
        </w:rPr>
        <w:t>16</w:t>
      </w:r>
      <w:r w:rsidRPr="000E58E2">
        <w:rPr>
          <w:spacing w:val="-4"/>
          <w:rtl/>
        </w:rPr>
        <w:t xml:space="preserve"> المؤرخ </w:t>
      </w:r>
      <w:r w:rsidRPr="00195060">
        <w:rPr>
          <w:spacing w:val="-4"/>
          <w:szCs w:val="20"/>
          <w:rtl/>
        </w:rPr>
        <w:t>2</w:t>
      </w:r>
      <w:r>
        <w:rPr>
          <w:rtl/>
        </w:rPr>
        <w:t xml:space="preserve"> تشرين الأول/أكتوبر </w:t>
      </w:r>
      <w:r w:rsidRPr="00195060">
        <w:rPr>
          <w:szCs w:val="20"/>
          <w:rtl/>
        </w:rPr>
        <w:t>2009</w:t>
      </w:r>
      <w:r>
        <w:rPr>
          <w:rtl/>
        </w:rPr>
        <w:t xml:space="preserve"> </w:t>
      </w:r>
      <w:proofErr w:type="spellStart"/>
      <w:r>
        <w:rPr>
          <w:rtl/>
        </w:rPr>
        <w:t>و</w:t>
      </w:r>
      <w:r w:rsidRPr="00195060">
        <w:rPr>
          <w:szCs w:val="20"/>
          <w:rtl/>
        </w:rPr>
        <w:t>16</w:t>
      </w:r>
      <w:proofErr w:type="spellEnd"/>
      <w:r>
        <w:rPr>
          <w:rtl/>
        </w:rPr>
        <w:t>/</w:t>
      </w:r>
      <w:r w:rsidRPr="00195060">
        <w:rPr>
          <w:szCs w:val="20"/>
          <w:rtl/>
        </w:rPr>
        <w:t>4</w:t>
      </w:r>
      <w:r>
        <w:rPr>
          <w:rtl/>
        </w:rPr>
        <w:t xml:space="preserve"> المؤرخ </w:t>
      </w:r>
      <w:r w:rsidRPr="00195060">
        <w:rPr>
          <w:szCs w:val="20"/>
          <w:rtl/>
        </w:rPr>
        <w:t>24</w:t>
      </w:r>
      <w:r>
        <w:rPr>
          <w:rtl/>
        </w:rPr>
        <w:t xml:space="preserve"> آذار/مارس </w:t>
      </w:r>
      <w:r w:rsidRPr="00195060">
        <w:rPr>
          <w:szCs w:val="20"/>
          <w:rtl/>
        </w:rPr>
        <w:t>2011</w:t>
      </w:r>
      <w:r>
        <w:rPr>
          <w:rtl/>
        </w:rPr>
        <w:t xml:space="preserve"> </w:t>
      </w:r>
      <w:proofErr w:type="spellStart"/>
      <w:r>
        <w:rPr>
          <w:rtl/>
        </w:rPr>
        <w:t>و</w:t>
      </w:r>
      <w:r w:rsidRPr="00195060">
        <w:rPr>
          <w:szCs w:val="20"/>
          <w:rtl/>
        </w:rPr>
        <w:t>23</w:t>
      </w:r>
      <w:proofErr w:type="spellEnd"/>
      <w:r>
        <w:rPr>
          <w:rtl/>
        </w:rPr>
        <w:t>/</w:t>
      </w:r>
      <w:r w:rsidRPr="00195060">
        <w:rPr>
          <w:szCs w:val="20"/>
          <w:rtl/>
        </w:rPr>
        <w:t>2</w:t>
      </w:r>
      <w:r>
        <w:rPr>
          <w:rtl/>
        </w:rPr>
        <w:t xml:space="preserve"> المؤرخ </w:t>
      </w:r>
      <w:r w:rsidRPr="00195060">
        <w:rPr>
          <w:szCs w:val="20"/>
          <w:rtl/>
        </w:rPr>
        <w:t>13</w:t>
      </w:r>
      <w:r>
        <w:rPr>
          <w:rtl/>
        </w:rPr>
        <w:t xml:space="preserve"> حزيران/</w:t>
      </w:r>
      <w:proofErr w:type="gramStart"/>
      <w:r>
        <w:rPr>
          <w:rtl/>
        </w:rPr>
        <w:t>يونيه</w:t>
      </w:r>
      <w:proofErr w:type="gramEnd"/>
      <w:r>
        <w:rPr>
          <w:rtl/>
        </w:rPr>
        <w:t xml:space="preserve"> </w:t>
      </w:r>
      <w:r w:rsidRPr="00195060">
        <w:rPr>
          <w:szCs w:val="20"/>
          <w:rtl/>
        </w:rPr>
        <w:t>2013</w:t>
      </w:r>
      <w:r>
        <w:rPr>
          <w:rtl/>
        </w:rPr>
        <w:t xml:space="preserve"> </w:t>
      </w:r>
      <w:proofErr w:type="spellStart"/>
      <w:r>
        <w:rPr>
          <w:rtl/>
        </w:rPr>
        <w:t>و</w:t>
      </w:r>
      <w:r w:rsidRPr="00195060">
        <w:rPr>
          <w:szCs w:val="20"/>
          <w:rtl/>
        </w:rPr>
        <w:t>25</w:t>
      </w:r>
      <w:proofErr w:type="spellEnd"/>
      <w:r>
        <w:rPr>
          <w:rtl/>
        </w:rPr>
        <w:t>/</w:t>
      </w:r>
      <w:r w:rsidRPr="00195060">
        <w:rPr>
          <w:szCs w:val="20"/>
          <w:rtl/>
        </w:rPr>
        <w:t>2</w:t>
      </w:r>
      <w:r>
        <w:rPr>
          <w:rtl/>
        </w:rPr>
        <w:t xml:space="preserve"> المؤرخ </w:t>
      </w:r>
      <w:r w:rsidRPr="00195060">
        <w:rPr>
          <w:szCs w:val="20"/>
          <w:rtl/>
        </w:rPr>
        <w:t>27</w:t>
      </w:r>
      <w:r>
        <w:rPr>
          <w:rtl/>
        </w:rPr>
        <w:t xml:space="preserve"> آذار/مارس </w:t>
      </w:r>
      <w:r w:rsidRPr="00195060">
        <w:rPr>
          <w:szCs w:val="20"/>
          <w:rtl/>
        </w:rPr>
        <w:t>2014</w:t>
      </w:r>
      <w:r>
        <w:rPr>
          <w:rtl/>
        </w:rPr>
        <w:t xml:space="preserve"> </w:t>
      </w:r>
      <w:proofErr w:type="spellStart"/>
      <w:r>
        <w:rPr>
          <w:rtl/>
        </w:rPr>
        <w:t>و</w:t>
      </w:r>
      <w:r w:rsidRPr="00195060">
        <w:rPr>
          <w:szCs w:val="20"/>
          <w:rtl/>
        </w:rPr>
        <w:t>34</w:t>
      </w:r>
      <w:proofErr w:type="spellEnd"/>
      <w:r>
        <w:rPr>
          <w:rtl/>
        </w:rPr>
        <w:t>/</w:t>
      </w:r>
      <w:r w:rsidRPr="00195060">
        <w:rPr>
          <w:szCs w:val="20"/>
          <w:rtl/>
        </w:rPr>
        <w:t>18</w:t>
      </w:r>
      <w:r>
        <w:rPr>
          <w:rtl/>
        </w:rPr>
        <w:t xml:space="preserve"> المؤرخ </w:t>
      </w:r>
      <w:r w:rsidRPr="00195060">
        <w:rPr>
          <w:szCs w:val="20"/>
          <w:rtl/>
        </w:rPr>
        <w:t>24</w:t>
      </w:r>
      <w:r>
        <w:rPr>
          <w:rtl/>
        </w:rPr>
        <w:t xml:space="preserve"> آذار/مارس </w:t>
      </w:r>
      <w:r w:rsidRPr="00195060">
        <w:rPr>
          <w:szCs w:val="20"/>
          <w:rtl/>
        </w:rPr>
        <w:t>2017</w:t>
      </w:r>
      <w:r>
        <w:rPr>
          <w:rtl/>
        </w:rPr>
        <w:t xml:space="preserve">، وإلى جميع القرارات السابقة للجنة حقوق الإنسان والمجلس بشأن الحق في حرية الرأي والتعبير، </w:t>
      </w:r>
    </w:p>
    <w:p w14:paraId="4D39C906" w14:textId="77777777" w:rsidR="00195060" w:rsidRDefault="00195060" w:rsidP="00195060">
      <w:pPr>
        <w:pStyle w:val="SingleTxtGA"/>
        <w:rPr>
          <w:rtl/>
        </w:rPr>
      </w:pPr>
      <w:r>
        <w:rPr>
          <w:rtl/>
        </w:rPr>
        <w:tab/>
      </w:r>
      <w:r w:rsidRPr="0081551D">
        <w:rPr>
          <w:i/>
          <w:iCs/>
          <w:rtl/>
        </w:rPr>
        <w:t>وإذ يسلّم</w:t>
      </w:r>
      <w:r>
        <w:rPr>
          <w:rtl/>
        </w:rPr>
        <w:t xml:space="preserve"> بأن الممارسة الفعلية للحق في حرية الرأي والتعبير، المكرّسة في العهد الدولي الخاص بالحقوق المدنية والسياسية والإعلان العالمي لحقوق الإنسان، جوهرية للتمتع بسائر حقوق الإنسان والحريات، وتشكل دعامة أساسية لإقامة مجتمع ديمقراطي ولتعزيز الديمقراطية، وإذ يضع في اعتباره أن حقوق الإنسان جميعها عالمية ومترابطة ومتشابكة</w:t>
      </w:r>
      <w:r w:rsidRPr="00151B8B">
        <w:rPr>
          <w:rtl/>
        </w:rPr>
        <w:t xml:space="preserve"> </w:t>
      </w:r>
      <w:r>
        <w:rPr>
          <w:rtl/>
        </w:rPr>
        <w:t xml:space="preserve">وغير قابلة للتجزئة، </w:t>
      </w:r>
    </w:p>
    <w:p w14:paraId="3CE1C013" w14:textId="77777777" w:rsidR="00195060" w:rsidRPr="00195060" w:rsidRDefault="00195060" w:rsidP="00195060">
      <w:pPr>
        <w:pStyle w:val="SingleTxtGA"/>
        <w:rPr>
          <w:rtl/>
        </w:rPr>
      </w:pPr>
      <w:r w:rsidRPr="00195060">
        <w:rPr>
          <w:rtl/>
        </w:rPr>
        <w:tab/>
      </w:r>
      <w:r w:rsidRPr="00195060">
        <w:rPr>
          <w:i/>
          <w:iCs/>
          <w:rtl/>
        </w:rPr>
        <w:t>وإذ يشير</w:t>
      </w:r>
      <w:r w:rsidRPr="00195060">
        <w:rPr>
          <w:rtl/>
        </w:rPr>
        <w:t xml:space="preserve"> إلى قراري مجلس حقوق الإنسان </w:t>
      </w:r>
      <w:r w:rsidRPr="00195060">
        <w:rPr>
          <w:szCs w:val="20"/>
          <w:rtl/>
        </w:rPr>
        <w:t>5</w:t>
      </w:r>
      <w:r w:rsidRPr="00195060">
        <w:rPr>
          <w:rtl/>
        </w:rPr>
        <w:t>/</w:t>
      </w:r>
      <w:r w:rsidRPr="00195060">
        <w:rPr>
          <w:szCs w:val="20"/>
          <w:rtl/>
        </w:rPr>
        <w:t>1</w:t>
      </w:r>
      <w:r w:rsidRPr="00195060">
        <w:rPr>
          <w:rtl/>
        </w:rPr>
        <w:t xml:space="preserve"> المتعلق ببناء مؤسسات </w:t>
      </w:r>
      <w:r w:rsidRPr="00195060">
        <w:rPr>
          <w:rFonts w:hint="cs"/>
          <w:rtl/>
        </w:rPr>
        <w:t>ال</w:t>
      </w:r>
      <w:r w:rsidRPr="00195060">
        <w:rPr>
          <w:rtl/>
        </w:rPr>
        <w:t xml:space="preserve">مجلس </w:t>
      </w:r>
      <w:proofErr w:type="spellStart"/>
      <w:r w:rsidRPr="00195060">
        <w:rPr>
          <w:rtl/>
        </w:rPr>
        <w:t>و</w:t>
      </w:r>
      <w:r w:rsidRPr="00195060">
        <w:rPr>
          <w:szCs w:val="20"/>
          <w:rtl/>
        </w:rPr>
        <w:t>5</w:t>
      </w:r>
      <w:proofErr w:type="spellEnd"/>
      <w:r w:rsidRPr="00195060">
        <w:rPr>
          <w:rtl/>
        </w:rPr>
        <w:t>/</w:t>
      </w:r>
      <w:r w:rsidRPr="00195060">
        <w:rPr>
          <w:szCs w:val="20"/>
          <w:rtl/>
        </w:rPr>
        <w:t>2</w:t>
      </w:r>
      <w:r w:rsidRPr="00195060">
        <w:rPr>
          <w:rtl/>
        </w:rPr>
        <w:t xml:space="preserve"> المتعلق بمدونة قواعد السلوك للمكلفين بولايات في إطار الإجراءات الخاصة للمجلس، المؤرخيْن </w:t>
      </w:r>
      <w:r w:rsidRPr="00195060">
        <w:rPr>
          <w:szCs w:val="20"/>
          <w:rtl/>
        </w:rPr>
        <w:t>18</w:t>
      </w:r>
      <w:r w:rsidRPr="00195060">
        <w:rPr>
          <w:rtl/>
        </w:rPr>
        <w:t xml:space="preserve"> حزيران/</w:t>
      </w:r>
      <w:proofErr w:type="gramStart"/>
      <w:r w:rsidRPr="00195060">
        <w:rPr>
          <w:rtl/>
        </w:rPr>
        <w:t>يونيه</w:t>
      </w:r>
      <w:proofErr w:type="gramEnd"/>
      <w:r w:rsidRPr="00195060">
        <w:rPr>
          <w:rtl/>
        </w:rPr>
        <w:t xml:space="preserve"> </w:t>
      </w:r>
      <w:r w:rsidRPr="00195060">
        <w:rPr>
          <w:szCs w:val="20"/>
          <w:rtl/>
        </w:rPr>
        <w:t>2007</w:t>
      </w:r>
      <w:r w:rsidRPr="00195060">
        <w:rPr>
          <w:rtl/>
        </w:rPr>
        <w:t xml:space="preserve">، وإذ يشدد على أن يضطلع/تضطلع المكلف(ة) بالولاية بواجباته(ا) طبقاً للقرارين المذكورين ومرفقيهما، </w:t>
      </w:r>
    </w:p>
    <w:p w14:paraId="3B926B06" w14:textId="5E44F830" w:rsidR="00195060" w:rsidRDefault="00195060" w:rsidP="00195060">
      <w:pPr>
        <w:pStyle w:val="SingleTxtGA"/>
        <w:rPr>
          <w:rtl/>
        </w:rPr>
      </w:pPr>
      <w:r>
        <w:rPr>
          <w:szCs w:val="20"/>
          <w:rtl/>
        </w:rPr>
        <w:tab/>
      </w:r>
      <w:r w:rsidRPr="00195060">
        <w:rPr>
          <w:szCs w:val="20"/>
          <w:rtl/>
        </w:rPr>
        <w:t>1</w:t>
      </w:r>
      <w:r>
        <w:rPr>
          <w:rtl/>
        </w:rPr>
        <w:t>-</w:t>
      </w:r>
      <w:r>
        <w:rPr>
          <w:rtl/>
        </w:rPr>
        <w:tab/>
      </w:r>
      <w:r w:rsidRPr="0081551D">
        <w:rPr>
          <w:i/>
          <w:iCs/>
          <w:rtl/>
        </w:rPr>
        <w:t>يرحب</w:t>
      </w:r>
      <w:r>
        <w:rPr>
          <w:rtl/>
        </w:rPr>
        <w:t xml:space="preserve"> بعمل المقرر الخاص المعني بتعزيز وحماية الحق في حرية الرأي </w:t>
      </w:r>
      <w:proofErr w:type="gramStart"/>
      <w:r>
        <w:rPr>
          <w:rtl/>
        </w:rPr>
        <w:t>والتعبير</w:t>
      </w:r>
      <w:r>
        <w:rPr>
          <w:vertAlign w:val="superscript"/>
          <w:rtl/>
        </w:rPr>
        <w:t>(</w:t>
      </w:r>
      <w:proofErr w:type="gramEnd"/>
      <w:r w:rsidRPr="00FD775A">
        <w:rPr>
          <w:rStyle w:val="FootnoteReference"/>
          <w:position w:val="4"/>
          <w:rtl/>
        </w:rPr>
        <w:footnoteReference w:id="1"/>
      </w:r>
      <w:r>
        <w:rPr>
          <w:vertAlign w:val="superscript"/>
          <w:rtl/>
        </w:rPr>
        <w:t>)</w:t>
      </w:r>
      <w:r>
        <w:rPr>
          <w:rtl/>
        </w:rPr>
        <w:t xml:space="preserve">؛ </w:t>
      </w:r>
    </w:p>
    <w:p w14:paraId="7B20A203" w14:textId="77777777" w:rsidR="00195060" w:rsidRDefault="00195060" w:rsidP="00195060">
      <w:pPr>
        <w:pStyle w:val="SingleTxtGA"/>
        <w:rPr>
          <w:rtl/>
        </w:rPr>
      </w:pPr>
      <w:r>
        <w:rPr>
          <w:szCs w:val="20"/>
          <w:rtl/>
        </w:rPr>
        <w:tab/>
      </w:r>
      <w:r w:rsidRPr="00195060">
        <w:rPr>
          <w:szCs w:val="20"/>
          <w:rtl/>
        </w:rPr>
        <w:t>2</w:t>
      </w:r>
      <w:r>
        <w:rPr>
          <w:rtl/>
        </w:rPr>
        <w:t>-</w:t>
      </w:r>
      <w:r>
        <w:rPr>
          <w:rtl/>
        </w:rPr>
        <w:tab/>
      </w:r>
      <w:r w:rsidRPr="0081551D">
        <w:rPr>
          <w:i/>
          <w:iCs/>
          <w:rtl/>
        </w:rPr>
        <w:t>يقرر</w:t>
      </w:r>
      <w:r>
        <w:rPr>
          <w:rtl/>
        </w:rPr>
        <w:t xml:space="preserve"> تمديد ولاي</w:t>
      </w:r>
      <w:bookmarkStart w:id="0" w:name="_GoBack"/>
      <w:bookmarkEnd w:id="0"/>
      <w:r>
        <w:rPr>
          <w:rtl/>
        </w:rPr>
        <w:t>ة المقرر الخاص لمدة ثلاث سنوات إضافية؛</w:t>
      </w:r>
      <w:r>
        <w:rPr>
          <w:rFonts w:cs="Times New Roman" w:hint="cs"/>
          <w:rtl/>
        </w:rPr>
        <w:t>‬</w:t>
      </w:r>
      <w:r>
        <w:rPr>
          <w:rtl/>
        </w:rPr>
        <w:t xml:space="preserve"> </w:t>
      </w:r>
    </w:p>
    <w:p w14:paraId="2DF44F51" w14:textId="77777777" w:rsidR="00195060" w:rsidRPr="00195060" w:rsidRDefault="00195060" w:rsidP="00195060">
      <w:pPr>
        <w:pStyle w:val="SingleTxtGA"/>
        <w:rPr>
          <w:spacing w:val="-4"/>
          <w:rtl/>
        </w:rPr>
      </w:pPr>
      <w:r w:rsidRPr="00195060">
        <w:rPr>
          <w:spacing w:val="-4"/>
          <w:szCs w:val="20"/>
          <w:rtl/>
        </w:rPr>
        <w:tab/>
        <w:t>3</w:t>
      </w:r>
      <w:r w:rsidRPr="00195060">
        <w:rPr>
          <w:spacing w:val="-4"/>
          <w:rtl/>
        </w:rPr>
        <w:t>-</w:t>
      </w:r>
      <w:r w:rsidRPr="00195060">
        <w:rPr>
          <w:spacing w:val="-4"/>
          <w:rtl/>
        </w:rPr>
        <w:tab/>
      </w:r>
      <w:r w:rsidRPr="00195060">
        <w:rPr>
          <w:i/>
          <w:iCs/>
          <w:spacing w:val="-4"/>
          <w:rtl/>
        </w:rPr>
        <w:t>يحث</w:t>
      </w:r>
      <w:r w:rsidRPr="00195060">
        <w:rPr>
          <w:spacing w:val="-4"/>
          <w:rtl/>
        </w:rPr>
        <w:t xml:space="preserve"> جميع الدول على التعاون التام مع المقرر الخاص ومساعدته في أداء مهامه، وعلى تقديم جميع المعلومات اللازمة التي يطلبها، وعلى الاستجابة لطلباته المتعلقة بالزيارات وبتنفيذ توصياته؛ </w:t>
      </w:r>
    </w:p>
    <w:p w14:paraId="1093A494" w14:textId="77777777" w:rsidR="00195060" w:rsidRDefault="00195060" w:rsidP="00195060">
      <w:pPr>
        <w:pStyle w:val="SingleTxtGA"/>
        <w:rPr>
          <w:rtl/>
        </w:rPr>
      </w:pPr>
      <w:r>
        <w:rPr>
          <w:szCs w:val="20"/>
          <w:rtl/>
        </w:rPr>
        <w:tab/>
      </w:r>
      <w:r w:rsidRPr="00195060">
        <w:rPr>
          <w:szCs w:val="20"/>
          <w:rtl/>
        </w:rPr>
        <w:t>4</w:t>
      </w:r>
      <w:r>
        <w:rPr>
          <w:rtl/>
        </w:rPr>
        <w:t>-</w:t>
      </w:r>
      <w:r>
        <w:rPr>
          <w:rtl/>
        </w:rPr>
        <w:tab/>
      </w:r>
      <w:r w:rsidRPr="0081551D">
        <w:rPr>
          <w:i/>
          <w:iCs/>
          <w:spacing w:val="-4"/>
          <w:rtl/>
        </w:rPr>
        <w:t>يطلب</w:t>
      </w:r>
      <w:r w:rsidRPr="00767C1C">
        <w:rPr>
          <w:spacing w:val="-4"/>
          <w:rtl/>
        </w:rPr>
        <w:t xml:space="preserve"> إلى الأمين العام أن يقدم إلى المقرر الخاص ما يلزمه من مساعدة لإنجاز</w:t>
      </w:r>
      <w:r>
        <w:rPr>
          <w:rtl/>
        </w:rPr>
        <w:t xml:space="preserve"> ولايته، لا سيما بوضع ما يكفي من الموارد البشرية والمادية تحت تصرفه؛ </w:t>
      </w:r>
    </w:p>
    <w:p w14:paraId="0B1D868E" w14:textId="77777777" w:rsidR="00195060" w:rsidRPr="003754F3" w:rsidRDefault="00195060" w:rsidP="00195060">
      <w:pPr>
        <w:pStyle w:val="SingleTxtGA"/>
        <w:rPr>
          <w:rtl/>
        </w:rPr>
      </w:pPr>
      <w:r>
        <w:rPr>
          <w:szCs w:val="20"/>
          <w:rtl/>
        </w:rPr>
        <w:tab/>
      </w:r>
      <w:r w:rsidRPr="00195060">
        <w:rPr>
          <w:szCs w:val="20"/>
          <w:rtl/>
        </w:rPr>
        <w:t>5</w:t>
      </w:r>
      <w:r>
        <w:rPr>
          <w:rtl/>
        </w:rPr>
        <w:t>-</w:t>
      </w:r>
      <w:r>
        <w:rPr>
          <w:rtl/>
        </w:rPr>
        <w:tab/>
      </w:r>
      <w:r w:rsidRPr="0081551D">
        <w:rPr>
          <w:i/>
          <w:iCs/>
          <w:spacing w:val="-2"/>
          <w:rtl/>
        </w:rPr>
        <w:t>يطلب</w:t>
      </w:r>
      <w:r w:rsidRPr="00767C1C">
        <w:rPr>
          <w:spacing w:val="-2"/>
          <w:rtl/>
        </w:rPr>
        <w:t xml:space="preserve"> إلى المقرر الخاص أن يقدم تقريراً سنوياً إلى مجلس حقوق الإنسان </w:t>
      </w:r>
      <w:r w:rsidRPr="003754F3">
        <w:rPr>
          <w:rtl/>
        </w:rPr>
        <w:t>والجمعية العامة يغطي جميع الأنشطة المتصلة بولايته بغية تحقيق أقصى المنافع الممكنة من</w:t>
      </w:r>
      <w:r w:rsidRPr="003754F3">
        <w:rPr>
          <w:rFonts w:hint="cs"/>
          <w:rtl/>
        </w:rPr>
        <w:t> </w:t>
      </w:r>
      <w:r w:rsidRPr="003754F3">
        <w:rPr>
          <w:rtl/>
        </w:rPr>
        <w:t xml:space="preserve">عملية الإبلاغ؛ </w:t>
      </w:r>
    </w:p>
    <w:p w14:paraId="06BF9F53" w14:textId="77777777" w:rsidR="00195060" w:rsidRDefault="00195060" w:rsidP="00195060">
      <w:pPr>
        <w:pStyle w:val="SingleTxtGA"/>
        <w:rPr>
          <w:rtl/>
        </w:rPr>
      </w:pPr>
      <w:r>
        <w:rPr>
          <w:szCs w:val="20"/>
          <w:rtl/>
        </w:rPr>
        <w:tab/>
      </w:r>
      <w:r w:rsidRPr="00195060">
        <w:rPr>
          <w:szCs w:val="20"/>
          <w:rtl/>
        </w:rPr>
        <w:t>6</w:t>
      </w:r>
      <w:r>
        <w:rPr>
          <w:rtl/>
        </w:rPr>
        <w:t>-</w:t>
      </w:r>
      <w:r>
        <w:rPr>
          <w:rtl/>
        </w:rPr>
        <w:tab/>
      </w:r>
      <w:r w:rsidRPr="0081551D">
        <w:rPr>
          <w:i/>
          <w:iCs/>
          <w:rtl/>
        </w:rPr>
        <w:t>يقرِّر</w:t>
      </w:r>
      <w:r>
        <w:rPr>
          <w:rtl/>
        </w:rPr>
        <w:t xml:space="preserve"> أن يواصل نظره في مسألة الحق في حرية الرأي والتعبير وفقاً لبرنامج عمله.</w:t>
      </w:r>
    </w:p>
    <w:p w14:paraId="154F54A7" w14:textId="7A8B8C07" w:rsidR="00195060" w:rsidRPr="00195060" w:rsidRDefault="00195060" w:rsidP="00195060">
      <w:pPr>
        <w:pStyle w:val="SingleTxtGA"/>
        <w:jc w:val="right"/>
        <w:rPr>
          <w:i/>
          <w:iCs/>
          <w:rtl/>
          <w:lang w:val="fr-CH"/>
        </w:rPr>
      </w:pPr>
      <w:r w:rsidRPr="00195060">
        <w:rPr>
          <w:rFonts w:hint="eastAsia"/>
          <w:i/>
          <w:iCs/>
          <w:sz w:val="30"/>
          <w:szCs w:val="30"/>
          <w:rtl/>
          <w:lang w:val="fr-CH"/>
        </w:rPr>
        <w:t>الجلسة</w:t>
      </w:r>
      <w:r w:rsidRPr="00195060">
        <w:rPr>
          <w:rFonts w:hint="cs"/>
          <w:i/>
          <w:iCs/>
          <w:rtl/>
          <w:lang w:val="fr-CH"/>
        </w:rPr>
        <w:t xml:space="preserve"> </w:t>
      </w:r>
      <w:r w:rsidRPr="00195060">
        <w:rPr>
          <w:rFonts w:hint="cs"/>
          <w:i/>
          <w:iCs/>
          <w:szCs w:val="20"/>
          <w:rtl/>
          <w:lang w:val="fr-CH"/>
        </w:rPr>
        <w:t>44</w:t>
      </w:r>
      <w:r>
        <w:rPr>
          <w:i/>
          <w:iCs/>
          <w:rtl/>
          <w:lang w:val="fr-CH"/>
        </w:rPr>
        <w:br/>
      </w:r>
      <w:r w:rsidRPr="00195060">
        <w:rPr>
          <w:rFonts w:hint="cs"/>
          <w:i/>
          <w:iCs/>
          <w:szCs w:val="20"/>
          <w:rtl/>
          <w:lang w:val="fr-CH"/>
        </w:rPr>
        <w:t>19</w:t>
      </w:r>
      <w:r w:rsidRPr="00195060">
        <w:rPr>
          <w:rFonts w:hint="cs"/>
          <w:i/>
          <w:iCs/>
          <w:rtl/>
          <w:lang w:val="fr-CH"/>
        </w:rPr>
        <w:t xml:space="preserve"> </w:t>
      </w:r>
      <w:r w:rsidRPr="00195060">
        <w:rPr>
          <w:rFonts w:hint="eastAsia"/>
          <w:i/>
          <w:iCs/>
          <w:sz w:val="30"/>
          <w:szCs w:val="30"/>
          <w:rtl/>
          <w:lang w:val="fr-CH"/>
        </w:rPr>
        <w:t>حزيران</w:t>
      </w:r>
      <w:r w:rsidRPr="00195060">
        <w:rPr>
          <w:i/>
          <w:iCs/>
          <w:sz w:val="30"/>
          <w:szCs w:val="30"/>
          <w:rtl/>
          <w:lang w:val="fr-CH"/>
        </w:rPr>
        <w:t>/</w:t>
      </w:r>
      <w:proofErr w:type="gramStart"/>
      <w:r w:rsidRPr="00195060">
        <w:rPr>
          <w:i/>
          <w:iCs/>
          <w:sz w:val="30"/>
          <w:szCs w:val="30"/>
          <w:rtl/>
          <w:lang w:val="fr-CH"/>
        </w:rPr>
        <w:t>يونيه</w:t>
      </w:r>
      <w:proofErr w:type="gramEnd"/>
      <w:r w:rsidRPr="00195060">
        <w:rPr>
          <w:rFonts w:hint="cs"/>
          <w:i/>
          <w:iCs/>
          <w:rtl/>
          <w:lang w:val="fr-CH"/>
        </w:rPr>
        <w:t xml:space="preserve"> </w:t>
      </w:r>
      <w:r w:rsidRPr="00195060">
        <w:rPr>
          <w:rFonts w:hint="cs"/>
          <w:i/>
          <w:iCs/>
          <w:szCs w:val="20"/>
          <w:rtl/>
          <w:lang w:val="fr-CH"/>
        </w:rPr>
        <w:t>2020</w:t>
      </w:r>
    </w:p>
    <w:p w14:paraId="1F6F4E8F" w14:textId="77777777" w:rsidR="00195060" w:rsidRPr="00AD748D" w:rsidRDefault="00195060" w:rsidP="00195060">
      <w:pPr>
        <w:pStyle w:val="SingleTxtGA"/>
        <w:rPr>
          <w:lang w:val="fr-CH"/>
        </w:rPr>
      </w:pPr>
      <w:r>
        <w:rPr>
          <w:rFonts w:hint="cs"/>
          <w:rtl/>
          <w:lang w:val="fr-CH"/>
        </w:rPr>
        <w:t>[اعتُمِد دون تصويت.]</w:t>
      </w:r>
    </w:p>
    <w:p w14:paraId="7581FC9F" w14:textId="5687E0BA" w:rsidR="00195060" w:rsidRPr="00195060" w:rsidRDefault="00195060" w:rsidP="00195060">
      <w:pPr>
        <w:spacing w:before="120"/>
        <w:jc w:val="center"/>
        <w:rPr>
          <w:rFonts w:hint="cs"/>
          <w:u w:val="single"/>
          <w:rtl/>
        </w:rPr>
      </w:pPr>
      <w:r>
        <w:rPr>
          <w:u w:val="single"/>
          <w:rtl/>
        </w:rPr>
        <w:tab/>
      </w:r>
      <w:r>
        <w:rPr>
          <w:u w:val="single"/>
          <w:rtl/>
        </w:rPr>
        <w:tab/>
      </w:r>
      <w:r>
        <w:rPr>
          <w:u w:val="single"/>
          <w:rtl/>
        </w:rPr>
        <w:tab/>
      </w:r>
    </w:p>
    <w:sectPr w:rsidR="00195060" w:rsidRPr="00195060" w:rsidSect="001731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9341" w14:textId="77777777" w:rsidR="006A2A5A" w:rsidRPr="002901D9" w:rsidRDefault="006A2A5A" w:rsidP="002901D9">
      <w:pPr>
        <w:spacing w:after="60" w:line="240" w:lineRule="auto"/>
        <w:rPr>
          <w:i/>
          <w:iCs/>
        </w:rPr>
      </w:pPr>
      <w:r>
        <w:rPr>
          <w:rFonts w:hint="cs"/>
          <w:i/>
          <w:iCs/>
          <w:rtl/>
        </w:rPr>
        <w:t>الحواشي</w:t>
      </w:r>
    </w:p>
  </w:endnote>
  <w:endnote w:type="continuationSeparator" w:id="0">
    <w:p w14:paraId="0F4C74D9" w14:textId="77777777" w:rsidR="006A2A5A" w:rsidRDefault="006A2A5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32AC" w14:textId="77777777" w:rsidR="001731F9" w:rsidRPr="00195060" w:rsidRDefault="00195060" w:rsidP="00195060">
    <w:pPr>
      <w:pStyle w:val="Footer"/>
      <w:tabs>
        <w:tab w:val="right" w:pos="9598"/>
      </w:tabs>
      <w:rPr>
        <w:sz w:val="17"/>
      </w:rPr>
    </w:pPr>
    <w:r>
      <w:rPr>
        <w:sz w:val="17"/>
      </w:rPr>
      <w:t>GE.20-08624</w:t>
    </w:r>
    <w:r>
      <w:rPr>
        <w:sz w:val="17"/>
      </w:rPr>
      <w:tab/>
    </w:r>
    <w:r w:rsidRPr="00195060">
      <w:rPr>
        <w:b/>
        <w:sz w:val="18"/>
      </w:rPr>
      <w:fldChar w:fldCharType="begin"/>
    </w:r>
    <w:r w:rsidRPr="00195060">
      <w:rPr>
        <w:b/>
        <w:sz w:val="18"/>
      </w:rPr>
      <w:instrText xml:space="preserve"> PAGE  \* MERGEFORMAT </w:instrText>
    </w:r>
    <w:r w:rsidRPr="00195060">
      <w:rPr>
        <w:b/>
        <w:sz w:val="18"/>
      </w:rPr>
      <w:fldChar w:fldCharType="separate"/>
    </w:r>
    <w:r>
      <w:rPr>
        <w:b/>
        <w:sz w:val="18"/>
      </w:rPr>
      <w:t>2</w:t>
    </w:r>
    <w:r w:rsidRPr="0019506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2B86" w14:textId="77777777" w:rsidR="006959B0" w:rsidRPr="00195060" w:rsidRDefault="00195060" w:rsidP="006959B0">
    <w:pPr>
      <w:pStyle w:val="Footer"/>
      <w:tabs>
        <w:tab w:val="right" w:pos="9599"/>
      </w:tabs>
      <w:jc w:val="left"/>
      <w:rPr>
        <w:b/>
        <w:sz w:val="18"/>
        <w:lang w:val="en-US"/>
      </w:rPr>
    </w:pPr>
    <w:r w:rsidRPr="00195060">
      <w:rPr>
        <w:b/>
        <w:sz w:val="18"/>
        <w:lang w:val="en-US"/>
      </w:rPr>
      <w:fldChar w:fldCharType="begin"/>
    </w:r>
    <w:r w:rsidRPr="00195060">
      <w:rPr>
        <w:b/>
        <w:sz w:val="18"/>
        <w:lang w:val="en-US"/>
      </w:rPr>
      <w:instrText xml:space="preserve"> PAGE  \* MERGEFORMAT </w:instrText>
    </w:r>
    <w:r w:rsidRPr="00195060">
      <w:rPr>
        <w:b/>
        <w:sz w:val="18"/>
        <w:lang w:val="en-US"/>
      </w:rPr>
      <w:fldChar w:fldCharType="separate"/>
    </w:r>
    <w:r w:rsidRPr="00195060">
      <w:rPr>
        <w:b/>
        <w:noProof/>
        <w:sz w:val="18"/>
        <w:lang w:val="en-US"/>
      </w:rPr>
      <w:t>3</w:t>
    </w:r>
    <w:r w:rsidRPr="00195060">
      <w:rPr>
        <w:b/>
        <w:sz w:val="18"/>
        <w:lang w:val="en-US"/>
      </w:rPr>
      <w:fldChar w:fldCharType="end"/>
    </w:r>
    <w:r>
      <w:rPr>
        <w:b/>
        <w:sz w:val="18"/>
        <w:lang w:val="en-US"/>
      </w:rPr>
      <w:tab/>
    </w:r>
    <w:r>
      <w:rPr>
        <w:sz w:val="17"/>
        <w:lang w:val="en-US"/>
      </w:rPr>
      <w:t>GE.20-08624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B8EB" w14:textId="2547B341" w:rsidR="00FD4BC9" w:rsidRDefault="001731F9" w:rsidP="00F6741C">
    <w:pPr>
      <w:pStyle w:val="Footer"/>
      <w:spacing w:before="360"/>
      <w:jc w:val="right"/>
      <w:rPr>
        <w:sz w:val="20"/>
        <w:szCs w:val="20"/>
      </w:rPr>
    </w:pPr>
    <w:r>
      <w:rPr>
        <w:sz w:val="20"/>
        <w:szCs w:val="20"/>
      </w:rPr>
      <w:t>GE.20-08624</w:t>
    </w:r>
    <w:r w:rsidR="004144E8">
      <w:rPr>
        <w:noProof/>
      </w:rPr>
      <w:drawing>
        <wp:anchor distT="0" distB="0" distL="114300" distR="114300" simplePos="0" relativeHeight="251657728" behindDoc="1" locked="1" layoutInCell="0" allowOverlap="1" wp14:anchorId="02D41E1A" wp14:editId="5AE8851E">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36FCE4F1" w14:textId="66754AF4" w:rsidR="001731F9" w:rsidRPr="001731F9" w:rsidRDefault="001731F9" w:rsidP="001731F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4144E8">
      <w:rPr>
        <w:noProof/>
      </w:rPr>
      <w:drawing>
        <wp:anchor distT="0" distB="0" distL="114300" distR="114300" simplePos="0" relativeHeight="251659776" behindDoc="0" locked="0" layoutInCell="1" allowOverlap="1" wp14:anchorId="1E9379C1" wp14:editId="162D6480">
          <wp:simplePos x="0" y="0"/>
          <wp:positionH relativeFrom="page">
            <wp:posOffset>719455</wp:posOffset>
          </wp:positionH>
          <wp:positionV relativeFrom="page">
            <wp:posOffset>9611995</wp:posOffset>
          </wp:positionV>
          <wp:extent cx="560705"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1C08" w14:textId="77777777" w:rsidR="006A2A5A" w:rsidRPr="0054762C" w:rsidRDefault="006A2A5A" w:rsidP="000E524A">
      <w:pPr>
        <w:pStyle w:val="Footer"/>
        <w:bidi/>
        <w:spacing w:after="80" w:line="200" w:lineRule="exact"/>
        <w:ind w:left="680"/>
      </w:pPr>
      <w:r>
        <w:rPr>
          <w:rtl/>
        </w:rPr>
        <w:t>__________</w:t>
      </w:r>
    </w:p>
  </w:footnote>
  <w:footnote w:type="continuationSeparator" w:id="0">
    <w:p w14:paraId="7008ADFD" w14:textId="77777777" w:rsidR="006A2A5A" w:rsidRDefault="006A2A5A" w:rsidP="00656392">
      <w:pPr>
        <w:spacing w:line="240" w:lineRule="auto"/>
      </w:pPr>
      <w:r>
        <w:continuationSeparator/>
      </w:r>
    </w:p>
  </w:footnote>
  <w:footnote w:id="1">
    <w:p w14:paraId="16F22EBE" w14:textId="77777777" w:rsidR="00195060" w:rsidRPr="00195060" w:rsidRDefault="00195060" w:rsidP="00195060">
      <w:pPr>
        <w:pStyle w:val="FootnoteText1"/>
        <w:rPr>
          <w:rFonts w:hint="cs"/>
        </w:rPr>
      </w:pPr>
      <w:r w:rsidRPr="00195060">
        <w:rPr>
          <w:rtl/>
        </w:rPr>
        <w:t>(</w:t>
      </w:r>
      <w:r w:rsidRPr="00195060">
        <w:rPr>
          <w:rStyle w:val="FootnoteReference"/>
          <w:rFonts w:ascii="Times New Roman"/>
          <w:b w:val="0"/>
          <w:vertAlign w:val="baseline"/>
        </w:rPr>
        <w:footnoteRef/>
      </w:r>
      <w:r>
        <w:rPr>
          <w:sz w:val="26"/>
          <w:rtl/>
        </w:rPr>
        <w:t>)</w:t>
      </w:r>
      <w:r>
        <w:rPr>
          <w:sz w:val="26"/>
          <w:rtl/>
        </w:rPr>
        <w:tab/>
      </w:r>
      <w:r>
        <w:rPr>
          <w:rFonts w:hint="cs"/>
          <w:sz w:val="24"/>
          <w:szCs w:val="24"/>
          <w:rtl/>
        </w:rPr>
        <w:t xml:space="preserve">انظر </w:t>
      </w:r>
      <w:r>
        <w:t>A/HRC/</w:t>
      </w:r>
      <w:r w:rsidRPr="00195060">
        <w:rPr>
          <w:szCs w:val="18"/>
        </w:rPr>
        <w:t>41</w:t>
      </w:r>
      <w:r>
        <w:t>/</w:t>
      </w:r>
      <w:r w:rsidRPr="00195060">
        <w:rPr>
          <w:szCs w:val="18"/>
        </w:rPr>
        <w:t>35</w:t>
      </w:r>
      <w:r>
        <w:rPr>
          <w:rFonts w:hint="cs"/>
          <w:sz w:val="24"/>
          <w:szCs w:val="24"/>
          <w:rtl/>
        </w:rPr>
        <w:t xml:space="preserve"> و</w:t>
      </w:r>
      <w:proofErr w:type="spellStart"/>
      <w:r>
        <w:t>Adds.</w:t>
      </w:r>
      <w:r w:rsidRPr="00195060">
        <w:rPr>
          <w:szCs w:val="18"/>
        </w:rPr>
        <w:t>1</w:t>
      </w:r>
      <w:proofErr w:type="spellEnd"/>
      <w:r>
        <w:t>–</w:t>
      </w:r>
      <w:r w:rsidRPr="00195060">
        <w:rPr>
          <w:szCs w:val="18"/>
        </w:rPr>
        <w:t>4</w:t>
      </w:r>
      <w:r>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91D8" w14:textId="77777777" w:rsidR="001731F9" w:rsidRPr="00195060" w:rsidRDefault="00195060" w:rsidP="00195060">
    <w:pPr>
      <w:pStyle w:val="Header"/>
      <w:jc w:val="right"/>
    </w:pPr>
    <w:r w:rsidRPr="00195060">
      <w:t>A/HRC/RES/43/4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7E48" w14:textId="77777777" w:rsidR="001731F9" w:rsidRPr="00195060" w:rsidRDefault="00195060" w:rsidP="00195060">
    <w:pPr>
      <w:pStyle w:val="Header"/>
      <w:jc w:val="left"/>
    </w:pPr>
    <w:r w:rsidRPr="00195060">
      <w:t>A/HRC/RES/43/4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A2A5A"/>
    <w:rsid w:val="000076D5"/>
    <w:rsid w:val="00043663"/>
    <w:rsid w:val="000505CF"/>
    <w:rsid w:val="000D701C"/>
    <w:rsid w:val="000E2A71"/>
    <w:rsid w:val="000E524A"/>
    <w:rsid w:val="000F4D63"/>
    <w:rsid w:val="00160263"/>
    <w:rsid w:val="001731F9"/>
    <w:rsid w:val="001773DB"/>
    <w:rsid w:val="00181F96"/>
    <w:rsid w:val="00195060"/>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144E8"/>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A2A5A"/>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33CE"/>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D775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CDB761"/>
  <w15:docId w15:val="{8566AA09-B557-4734-BB55-FB85CB07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5FD4-9384-41EE-A358-B40F547C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353</Words>
  <Characters>1890</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A/HRC/RES/43/4</dc:title>
  <dc:subject>GE. 2008624</dc:subject>
  <dc:creator>IBAL</dc:creator>
  <cp:keywords>ODS No.</cp:keywords>
  <dc:description>Original: English _x000d_
Distribution: General_x000d_
Date:</dc:description>
  <cp:lastModifiedBy>Ibrahim Balan</cp:lastModifiedBy>
  <cp:revision>3</cp:revision>
  <cp:lastPrinted>2020-07-03T08:02:00Z</cp:lastPrinted>
  <dcterms:created xsi:type="dcterms:W3CDTF">2020-07-03T08:02:00Z</dcterms:created>
  <dcterms:modified xsi:type="dcterms:W3CDTF">2020-07-03T08:03:00Z</dcterms:modified>
  <cp:category>Final</cp:category>
</cp:coreProperties>
</file>