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14:paraId="25CA2996" w14:textId="77777777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516250" w14:textId="77777777" w:rsidR="00A12E20" w:rsidRPr="00DB58B5" w:rsidRDefault="00A12E20" w:rsidP="006C623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354BAA" w14:textId="77777777"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A47FDE" w14:textId="77777777" w:rsidR="00A12E20" w:rsidRPr="00DB58B5" w:rsidRDefault="006C623F" w:rsidP="006C623F">
            <w:pPr>
              <w:jc w:val="right"/>
            </w:pPr>
            <w:r w:rsidRPr="006C623F">
              <w:rPr>
                <w:sz w:val="40"/>
              </w:rPr>
              <w:t>A</w:t>
            </w:r>
            <w:r>
              <w:t>/HRC/RES/45/3</w:t>
            </w:r>
          </w:p>
        </w:tc>
      </w:tr>
      <w:tr w:rsidR="00A12E20" w:rsidRPr="00DB58B5" w14:paraId="18B4A531" w14:textId="77777777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AA3356" w14:textId="77777777"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AE3285E" wp14:editId="7790A82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804DE6" w14:textId="77777777"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0393A5C" w14:textId="77777777" w:rsidR="00A12E20" w:rsidRDefault="006C623F" w:rsidP="00E6618E">
            <w:pPr>
              <w:spacing w:before="240"/>
            </w:pPr>
            <w:r>
              <w:t>Distr. générale</w:t>
            </w:r>
          </w:p>
          <w:p w14:paraId="3E80B20A" w14:textId="77777777" w:rsidR="006C623F" w:rsidRDefault="006C623F" w:rsidP="006C623F">
            <w:pPr>
              <w:spacing w:line="240" w:lineRule="exact"/>
            </w:pPr>
            <w:r>
              <w:t>8 octobre 2020</w:t>
            </w:r>
          </w:p>
          <w:p w14:paraId="6A3B0292" w14:textId="77777777" w:rsidR="006C623F" w:rsidRDefault="006C623F" w:rsidP="006C623F">
            <w:pPr>
              <w:spacing w:line="240" w:lineRule="exact"/>
            </w:pPr>
            <w:r>
              <w:t>Français</w:t>
            </w:r>
          </w:p>
          <w:p w14:paraId="74DE8C2E" w14:textId="77777777" w:rsidR="006C623F" w:rsidRPr="00DB58B5" w:rsidRDefault="006C623F" w:rsidP="006C623F">
            <w:pPr>
              <w:spacing w:line="240" w:lineRule="exact"/>
            </w:pPr>
            <w:r>
              <w:t>Original : anglais</w:t>
            </w:r>
          </w:p>
        </w:tc>
      </w:tr>
    </w:tbl>
    <w:p w14:paraId="6532129A" w14:textId="77777777"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B7061F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14:paraId="4D009AED" w14:textId="77777777" w:rsidR="006C623F" w:rsidRPr="00EE06CD" w:rsidRDefault="006C623F" w:rsidP="006C623F">
      <w:pPr>
        <w:rPr>
          <w:b/>
        </w:rPr>
      </w:pPr>
      <w:r>
        <w:rPr>
          <w:b/>
          <w:bCs/>
          <w:lang w:val="fr-FR"/>
        </w:rPr>
        <w:t>Quarante-cinquième session</w:t>
      </w:r>
    </w:p>
    <w:p w14:paraId="2B444F0A" w14:textId="77777777" w:rsidR="006C623F" w:rsidRPr="00EE06CD" w:rsidRDefault="006C623F" w:rsidP="006C623F">
      <w:r>
        <w:rPr>
          <w:lang w:val="fr-FR"/>
        </w:rPr>
        <w:t>14 septembre-7 octobre 2020</w:t>
      </w:r>
    </w:p>
    <w:p w14:paraId="7698FD69" w14:textId="77777777" w:rsidR="006C623F" w:rsidRPr="00EE06CD" w:rsidRDefault="006C623F" w:rsidP="006C623F">
      <w:r>
        <w:rPr>
          <w:lang w:val="fr-FR"/>
        </w:rPr>
        <w:t>Point 3 de l</w:t>
      </w:r>
      <w:r w:rsidR="00B7061F">
        <w:rPr>
          <w:lang w:val="fr-FR"/>
        </w:rPr>
        <w:t>’</w:t>
      </w:r>
      <w:r>
        <w:rPr>
          <w:lang w:val="fr-FR"/>
        </w:rPr>
        <w:t>ordre du jour</w:t>
      </w:r>
    </w:p>
    <w:p w14:paraId="663E899F" w14:textId="77777777" w:rsidR="006C623F" w:rsidRDefault="006C623F" w:rsidP="006C623F">
      <w:pPr>
        <w:rPr>
          <w:b/>
          <w:bCs/>
          <w:lang w:val="fr-FR"/>
        </w:rPr>
      </w:pPr>
      <w:r>
        <w:rPr>
          <w:b/>
          <w:bCs/>
          <w:lang w:val="fr-FR"/>
        </w:rPr>
        <w:t>Promotion et protection de tous les droits de l</w:t>
      </w:r>
      <w:r w:rsidR="00B7061F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homme, </w:t>
      </w:r>
      <w:r>
        <w:rPr>
          <w:b/>
          <w:bCs/>
          <w:lang w:val="fr-FR"/>
        </w:rPr>
        <w:br/>
        <w:t xml:space="preserve">civils, politiques, économiques, sociaux et culturels, </w:t>
      </w:r>
      <w:r>
        <w:rPr>
          <w:b/>
          <w:bCs/>
          <w:lang w:val="fr-FR"/>
        </w:rPr>
        <w:br/>
        <w:t>y compris le droit au développement</w:t>
      </w:r>
    </w:p>
    <w:p w14:paraId="083288EF" w14:textId="77777777" w:rsidR="006C623F" w:rsidRDefault="006C623F" w:rsidP="006C623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Résolution adoptée par le Conseil des droits de l</w:t>
      </w:r>
      <w:r w:rsidR="00B7061F">
        <w:rPr>
          <w:lang w:val="fr-FR"/>
        </w:rPr>
        <w:t>’</w:t>
      </w:r>
      <w:r>
        <w:rPr>
          <w:lang w:val="fr-FR"/>
        </w:rPr>
        <w:t>homme le</w:t>
      </w:r>
      <w:r>
        <w:rPr>
          <w:lang w:val="fr-FR"/>
        </w:rPr>
        <w:t> </w:t>
      </w:r>
      <w:r>
        <w:rPr>
          <w:lang w:val="fr-FR"/>
        </w:rPr>
        <w:t>6</w:t>
      </w:r>
      <w:r>
        <w:rPr>
          <w:lang w:val="fr-FR"/>
        </w:rPr>
        <w:t> </w:t>
      </w:r>
      <w:r>
        <w:rPr>
          <w:lang w:val="fr-FR"/>
        </w:rPr>
        <w:t>octobre 2020</w:t>
      </w:r>
    </w:p>
    <w:p w14:paraId="15BBE915" w14:textId="77777777" w:rsidR="006C623F" w:rsidRPr="00EE06CD" w:rsidRDefault="006C623F" w:rsidP="006C623F">
      <w:pPr>
        <w:pStyle w:val="H1G"/>
        <w:ind w:left="1701" w:hanging="567"/>
      </w:pPr>
      <w:r>
        <w:rPr>
          <w:lang w:val="fr-FR"/>
        </w:rPr>
        <w:t>45/3</w:t>
      </w:r>
      <w:r w:rsidR="00E1228E">
        <w:rPr>
          <w:lang w:val="fr-FR"/>
        </w:rPr>
        <w:t>.</w:t>
      </w:r>
      <w:r>
        <w:rPr>
          <w:lang w:val="fr-FR"/>
        </w:rPr>
        <w:tab/>
        <w:t>Disparitions forcées ou involontaires</w:t>
      </w:r>
    </w:p>
    <w:p w14:paraId="64E97D34" w14:textId="77777777" w:rsidR="006C623F" w:rsidRDefault="006C623F" w:rsidP="006C623F">
      <w:pPr>
        <w:pStyle w:val="SingleTxtG"/>
        <w:ind w:firstLine="567"/>
      </w:pPr>
      <w:r w:rsidRPr="006C623F">
        <w:rPr>
          <w:i/>
          <w:iCs/>
          <w:lang w:val="fr-FR"/>
        </w:rPr>
        <w:t>Le Conseil des droits de l</w:t>
      </w:r>
      <w:r w:rsidR="00B7061F">
        <w:rPr>
          <w:i/>
          <w:iCs/>
          <w:lang w:val="fr-FR"/>
        </w:rPr>
        <w:t>’</w:t>
      </w:r>
      <w:r w:rsidRPr="006C623F">
        <w:rPr>
          <w:i/>
          <w:iCs/>
          <w:lang w:val="fr-FR"/>
        </w:rPr>
        <w:t>homme</w:t>
      </w:r>
      <w:r>
        <w:rPr>
          <w:lang w:val="fr-FR"/>
        </w:rPr>
        <w:t>,</w:t>
      </w:r>
    </w:p>
    <w:p w14:paraId="6C752508" w14:textId="77777777" w:rsidR="006C623F" w:rsidRPr="00D914D2" w:rsidRDefault="006C623F" w:rsidP="006C623F">
      <w:pPr>
        <w:pStyle w:val="SingleTxtG"/>
        <w:ind w:firstLine="567"/>
      </w:pPr>
      <w:r w:rsidRPr="00703249">
        <w:rPr>
          <w:i/>
          <w:iCs/>
          <w:lang w:val="fr-FR"/>
        </w:rPr>
        <w:t>Guidé</w:t>
      </w:r>
      <w:r>
        <w:rPr>
          <w:lang w:val="fr-FR"/>
        </w:rPr>
        <w:t xml:space="preserve"> par les buts et principes énoncés dans la Charte des Nations Unies,</w:t>
      </w:r>
    </w:p>
    <w:p w14:paraId="651A8862" w14:textId="77777777" w:rsidR="006C623F" w:rsidRPr="00D914D2" w:rsidRDefault="006C623F" w:rsidP="006C623F">
      <w:pPr>
        <w:pStyle w:val="SingleTxtG"/>
        <w:ind w:firstLine="567"/>
      </w:pPr>
      <w:r w:rsidRPr="00703249">
        <w:rPr>
          <w:i/>
          <w:iCs/>
          <w:lang w:val="fr-FR"/>
        </w:rPr>
        <w:t>Réaffirmant</w:t>
      </w:r>
      <w:r>
        <w:rPr>
          <w:lang w:val="fr-FR"/>
        </w:rPr>
        <w:t xml:space="preserve"> les articles de la Déclaration universelle des droits de l</w:t>
      </w:r>
      <w:r w:rsidR="00B7061F">
        <w:rPr>
          <w:lang w:val="fr-FR"/>
        </w:rPr>
        <w:t>’</w:t>
      </w:r>
      <w:r>
        <w:rPr>
          <w:lang w:val="fr-FR"/>
        </w:rPr>
        <w:t>homme et du Pacte international relatif aux droits civils et politiques qui protègent le droit à la vie, le droit à la liberté et à la sécurité de la personne, le droit de ne pas être soumis à la torture ou à d</w:t>
      </w:r>
      <w:r w:rsidR="00B7061F">
        <w:rPr>
          <w:lang w:val="fr-FR"/>
        </w:rPr>
        <w:t>’</w:t>
      </w:r>
      <w:r>
        <w:rPr>
          <w:lang w:val="fr-FR"/>
        </w:rPr>
        <w:t>autres peines ou traitements cruels, inhumains ou dégradants et le droit à la reconnaissance de la personnalité juridique,</w:t>
      </w:r>
    </w:p>
    <w:p w14:paraId="45EF07C5" w14:textId="77777777" w:rsidR="006C623F" w:rsidRPr="00D914D2" w:rsidRDefault="006C623F" w:rsidP="006C623F">
      <w:pPr>
        <w:pStyle w:val="SingleTxtG"/>
        <w:ind w:firstLine="567"/>
      </w:pPr>
      <w:r w:rsidRPr="00703249">
        <w:rPr>
          <w:i/>
          <w:iCs/>
          <w:lang w:val="fr-FR"/>
        </w:rPr>
        <w:t>Rappelant</w:t>
      </w:r>
      <w:r>
        <w:rPr>
          <w:lang w:val="fr-FR"/>
        </w:rPr>
        <w:t xml:space="preserve"> la résolution 20 (XXXVI) du 29 février 1980, par laquelle la Commission des droits de l</w:t>
      </w:r>
      <w:r w:rsidR="00B7061F">
        <w:rPr>
          <w:lang w:val="fr-FR"/>
        </w:rPr>
        <w:t>’</w:t>
      </w:r>
      <w:r>
        <w:rPr>
          <w:lang w:val="fr-FR"/>
        </w:rPr>
        <w:t>homme a décidé de créer un groupe de travail composé de cinq experts nommés à titre personnel pour examiner les q</w:t>
      </w:r>
      <w:bookmarkStart w:id="0" w:name="_GoBack"/>
      <w:bookmarkEnd w:id="0"/>
      <w:r>
        <w:rPr>
          <w:lang w:val="fr-FR"/>
        </w:rPr>
        <w:t>uestions concernant les disparitions forcées ou involontaires, ainsi que toutes les résolutions antérieures sur ce sujet, en particulier ses résolutions 7/12 du 27 mars 2008 et 16/16 du 24 mars 2011, par lesquelles il a prorogé par consensus le mandat du Groupe de travail sur les disparitions forcées ou involontaires, ainsi que sa décision 25/116 du 27 mars 2014 et ses résolutions 21/4 du 27 septembre 2012, 27/1 du 25 septembre 2014 et 36/6 du 28 septembre 2017,</w:t>
      </w:r>
    </w:p>
    <w:p w14:paraId="7E09E72E" w14:textId="77777777" w:rsidR="006C623F" w:rsidRPr="00D914D2" w:rsidRDefault="006C623F" w:rsidP="006C623F">
      <w:pPr>
        <w:pStyle w:val="SingleTxtG"/>
        <w:ind w:firstLine="567"/>
      </w:pPr>
      <w:r w:rsidRPr="00703249">
        <w:rPr>
          <w:i/>
          <w:iCs/>
          <w:lang w:val="fr-FR"/>
        </w:rPr>
        <w:t>Rappelant également</w:t>
      </w:r>
      <w:r>
        <w:rPr>
          <w:lang w:val="fr-FR"/>
        </w:rPr>
        <w:t xml:space="preserve"> la résolution 47/133 du 18 décembre 1992, par laquelle l</w:t>
      </w:r>
      <w:r w:rsidR="00B7061F">
        <w:rPr>
          <w:lang w:val="fr-FR"/>
        </w:rPr>
        <w:t>’</w:t>
      </w:r>
      <w:r>
        <w:rPr>
          <w:lang w:val="fr-FR"/>
        </w:rPr>
        <w:t>Assemblée générale a adopté la Déclaration sur la protection de toutes les personnes contre les disparitions forcées en tant qu</w:t>
      </w:r>
      <w:r w:rsidR="00B7061F">
        <w:rPr>
          <w:lang w:val="fr-FR"/>
        </w:rPr>
        <w:t>’</w:t>
      </w:r>
      <w:r>
        <w:rPr>
          <w:lang w:val="fr-FR"/>
        </w:rPr>
        <w:t>ensemble de principes devant être appliqués par tous les États, la résolution 61/177 du 20 décembre 2006, par laquelle l</w:t>
      </w:r>
      <w:r w:rsidR="00B7061F">
        <w:rPr>
          <w:lang w:val="fr-FR"/>
        </w:rPr>
        <w:t>’</w:t>
      </w:r>
      <w:r>
        <w:rPr>
          <w:lang w:val="fr-FR"/>
        </w:rPr>
        <w:t>Assemblée a adopté la Convention internationale pour la protection de toutes les personnes contre les disparitions forcées, entrée en vigueur le 23 décembre 2010, et les résolutions 70/160 du 17 décembre 2015 et 74/161 du 18 décembre 2019, également adoptées par l</w:t>
      </w:r>
      <w:r w:rsidR="00B7061F">
        <w:rPr>
          <w:lang w:val="fr-FR"/>
        </w:rPr>
        <w:t>’</w:t>
      </w:r>
      <w:r>
        <w:rPr>
          <w:lang w:val="fr-FR"/>
        </w:rPr>
        <w:t>Assemblée,</w:t>
      </w:r>
    </w:p>
    <w:p w14:paraId="5CF6CF03" w14:textId="77777777" w:rsidR="006C623F" w:rsidRPr="00D914D2" w:rsidRDefault="006C623F" w:rsidP="006C623F">
      <w:pPr>
        <w:pStyle w:val="SingleTxtG"/>
        <w:ind w:firstLine="567"/>
      </w:pPr>
      <w:r w:rsidRPr="00703249">
        <w:rPr>
          <w:i/>
          <w:iCs/>
          <w:lang w:val="fr-FR"/>
        </w:rPr>
        <w:t>Rappelant en outre</w:t>
      </w:r>
      <w:r>
        <w:rPr>
          <w:lang w:val="fr-FR"/>
        </w:rPr>
        <w:t xml:space="preserve"> que nul ne doit être soumis à la disparition forcée et qu</w:t>
      </w:r>
      <w:r w:rsidR="00B7061F">
        <w:rPr>
          <w:lang w:val="fr-FR"/>
        </w:rPr>
        <w:t>’</w:t>
      </w:r>
      <w:r>
        <w:rPr>
          <w:lang w:val="fr-FR"/>
        </w:rPr>
        <w:t>aucune circonstance exceptionnelle quelle qu</w:t>
      </w:r>
      <w:r w:rsidR="00B7061F">
        <w:rPr>
          <w:lang w:val="fr-FR"/>
        </w:rPr>
        <w:t>’</w:t>
      </w:r>
      <w:r>
        <w:rPr>
          <w:lang w:val="fr-FR"/>
        </w:rPr>
        <w:t>elle soit ne peut être invoquée pour justifier les disparitions forcées,</w:t>
      </w:r>
    </w:p>
    <w:p w14:paraId="0370974F" w14:textId="77777777" w:rsidR="006C623F" w:rsidRPr="00D914D2" w:rsidRDefault="006C623F" w:rsidP="006C623F">
      <w:pPr>
        <w:pStyle w:val="SingleTxtG"/>
        <w:ind w:firstLine="567"/>
      </w:pPr>
      <w:r w:rsidRPr="00703249">
        <w:rPr>
          <w:i/>
          <w:iCs/>
          <w:lang w:val="fr-FR"/>
        </w:rPr>
        <w:t>Se félicitant</w:t>
      </w:r>
      <w:r>
        <w:rPr>
          <w:lang w:val="fr-FR"/>
        </w:rPr>
        <w:t xml:space="preserve"> du fait que 98 États ont signé la Convention et 63 États l</w:t>
      </w:r>
      <w:r w:rsidR="00B7061F">
        <w:rPr>
          <w:lang w:val="fr-FR"/>
        </w:rPr>
        <w:t>’</w:t>
      </w:r>
      <w:r>
        <w:rPr>
          <w:lang w:val="fr-FR"/>
        </w:rPr>
        <w:t>ont ratifiée ou y ont adhéré, et étant conscient que l</w:t>
      </w:r>
      <w:r w:rsidR="00B7061F">
        <w:rPr>
          <w:lang w:val="fr-FR"/>
        </w:rPr>
        <w:t>’</w:t>
      </w:r>
      <w:r>
        <w:rPr>
          <w:lang w:val="fr-FR"/>
        </w:rPr>
        <w:t>application de cet instrument contribue largement à mettre fin à l</w:t>
      </w:r>
      <w:r w:rsidR="00B7061F">
        <w:rPr>
          <w:lang w:val="fr-FR"/>
        </w:rPr>
        <w:t>’</w:t>
      </w:r>
      <w:r>
        <w:rPr>
          <w:lang w:val="fr-FR"/>
        </w:rPr>
        <w:t>impunité et à promouvoir et protéger tous les droits de l</w:t>
      </w:r>
      <w:r w:rsidR="00B7061F">
        <w:rPr>
          <w:lang w:val="fr-FR"/>
        </w:rPr>
        <w:t>’</w:t>
      </w:r>
      <w:r>
        <w:rPr>
          <w:lang w:val="fr-FR"/>
        </w:rPr>
        <w:t>homme pour tous,</w:t>
      </w:r>
    </w:p>
    <w:p w14:paraId="116976C9" w14:textId="77777777" w:rsidR="006C623F" w:rsidRPr="00D914D2" w:rsidRDefault="006C623F" w:rsidP="006C623F">
      <w:pPr>
        <w:pStyle w:val="SingleTxtG"/>
        <w:ind w:firstLine="567"/>
      </w:pPr>
      <w:r w:rsidRPr="00394E92">
        <w:rPr>
          <w:i/>
          <w:iCs/>
          <w:lang w:val="fr-FR"/>
        </w:rPr>
        <w:lastRenderedPageBreak/>
        <w:t>Rappelant</w:t>
      </w:r>
      <w:r>
        <w:rPr>
          <w:lang w:val="fr-FR"/>
        </w:rPr>
        <w:t xml:space="preserve"> le quarantième anniversaire de la création du Groupe de travail sur les disparitions forcées ou involontaires et le dixième anniversaire de l</w:t>
      </w:r>
      <w:r w:rsidR="00B7061F">
        <w:rPr>
          <w:lang w:val="fr-FR"/>
        </w:rPr>
        <w:t>’</w:t>
      </w:r>
      <w:r>
        <w:rPr>
          <w:lang w:val="fr-FR"/>
        </w:rPr>
        <w:t>entrée en vigueur de la Convention internationale pour la protection de toutes les personnes contre les disparitions forcées, qui sont l</w:t>
      </w:r>
      <w:r w:rsidR="00B7061F">
        <w:rPr>
          <w:lang w:val="fr-FR"/>
        </w:rPr>
        <w:t>’</w:t>
      </w:r>
      <w:r>
        <w:rPr>
          <w:lang w:val="fr-FR"/>
        </w:rPr>
        <w:t>occasion d</w:t>
      </w:r>
      <w:r w:rsidR="00B7061F">
        <w:rPr>
          <w:lang w:val="fr-FR"/>
        </w:rPr>
        <w:t>’</w:t>
      </w:r>
      <w:r>
        <w:rPr>
          <w:lang w:val="fr-FR"/>
        </w:rPr>
        <w:t>examiner les effets positifs de la Convention et d</w:t>
      </w:r>
      <w:r w:rsidR="00B7061F">
        <w:rPr>
          <w:lang w:val="fr-FR"/>
        </w:rPr>
        <w:t>’</w:t>
      </w:r>
      <w:r>
        <w:rPr>
          <w:lang w:val="fr-FR"/>
        </w:rPr>
        <w:t>échanger des points de vue au sujet des moyens et meilleures pratiques à mettre en œuvre pour empêcher les disparitions forcées et combattre l</w:t>
      </w:r>
      <w:r w:rsidR="00B7061F">
        <w:rPr>
          <w:lang w:val="fr-FR"/>
        </w:rPr>
        <w:t>’</w:t>
      </w:r>
      <w:r>
        <w:rPr>
          <w:lang w:val="fr-FR"/>
        </w:rPr>
        <w:t>impunité, notamment en promouvant la ratification universelle de la Convention,</w:t>
      </w:r>
    </w:p>
    <w:p w14:paraId="15FEC2A1" w14:textId="77777777" w:rsidR="006C623F" w:rsidRPr="00D914D2" w:rsidRDefault="006C623F" w:rsidP="006C623F">
      <w:pPr>
        <w:pStyle w:val="SingleTxtG"/>
        <w:ind w:firstLine="567"/>
      </w:pPr>
      <w:r w:rsidRPr="002E313B">
        <w:rPr>
          <w:i/>
          <w:iCs/>
          <w:lang w:val="fr-FR"/>
        </w:rPr>
        <w:t>Profondément préoccupé</w:t>
      </w:r>
      <w:r>
        <w:rPr>
          <w:lang w:val="fr-FR"/>
        </w:rPr>
        <w:t>, en particulier, par la multiplication, dans différentes régions du monde, des disparitions forcées ou involontaires, y compris les arrestations, détentions et enlèvements qui relèvent ou participent de la disparition forcée, et par le nombre croissant d</w:t>
      </w:r>
      <w:r w:rsidR="00B7061F">
        <w:rPr>
          <w:lang w:val="fr-FR"/>
        </w:rPr>
        <w:t>’</w:t>
      </w:r>
      <w:r>
        <w:rPr>
          <w:lang w:val="fr-FR"/>
        </w:rPr>
        <w:t>informations indiquant que des témoins de disparitions et des proches de personnes disparues sont victimes de harcèlement, de mauvais traitements et d</w:t>
      </w:r>
      <w:r w:rsidR="00B7061F">
        <w:rPr>
          <w:lang w:val="fr-FR"/>
        </w:rPr>
        <w:t>’</w:t>
      </w:r>
      <w:r>
        <w:rPr>
          <w:lang w:val="fr-FR"/>
        </w:rPr>
        <w:t>intimidation,</w:t>
      </w:r>
    </w:p>
    <w:p w14:paraId="697D6A82" w14:textId="77777777" w:rsidR="006C623F" w:rsidRPr="00D914D2" w:rsidRDefault="006C623F" w:rsidP="006C623F">
      <w:pPr>
        <w:pStyle w:val="SingleTxtG"/>
        <w:ind w:firstLine="567"/>
        <w:rPr>
          <w:i/>
        </w:rPr>
      </w:pPr>
      <w:r w:rsidRPr="002E313B">
        <w:rPr>
          <w:i/>
          <w:iCs/>
          <w:lang w:val="fr-FR"/>
        </w:rPr>
        <w:t>Rappelant</w:t>
      </w:r>
      <w:r>
        <w:rPr>
          <w:lang w:val="fr-FR"/>
        </w:rPr>
        <w:t xml:space="preserve"> que la Convention consacre le droit des victimes de savoir la vérité sur les circonstances de la disparition forcée, le déroulement et les résultats de l</w:t>
      </w:r>
      <w:r w:rsidR="00B7061F">
        <w:rPr>
          <w:lang w:val="fr-FR"/>
        </w:rPr>
        <w:t>’</w:t>
      </w:r>
      <w:r>
        <w:rPr>
          <w:lang w:val="fr-FR"/>
        </w:rPr>
        <w:t>enquête et le sort de la personne disparue, dispose que l</w:t>
      </w:r>
      <w:r w:rsidR="00B7061F">
        <w:rPr>
          <w:lang w:val="fr-FR"/>
        </w:rPr>
        <w:t>’</w:t>
      </w:r>
      <w:r>
        <w:rPr>
          <w:lang w:val="fr-FR"/>
        </w:rPr>
        <w:t>accès aux informations concernant le lieu où se trouve la personne privée de liberté doit être garanti à toute personne ayant un intérêt légitime pour ces informations et fait obligation à l</w:t>
      </w:r>
      <w:r w:rsidR="00B7061F">
        <w:rPr>
          <w:lang w:val="fr-FR"/>
        </w:rPr>
        <w:t>’</w:t>
      </w:r>
      <w:r>
        <w:rPr>
          <w:lang w:val="fr-FR"/>
        </w:rPr>
        <w:t>État partie de prendre les mesures appropriées à cet égard,</w:t>
      </w:r>
    </w:p>
    <w:p w14:paraId="0B6BFD22" w14:textId="77777777" w:rsidR="006C623F" w:rsidRPr="00D914D2" w:rsidRDefault="006C623F" w:rsidP="006C623F">
      <w:pPr>
        <w:pStyle w:val="SingleTxtG"/>
        <w:ind w:firstLine="567"/>
        <w:rPr>
          <w:i/>
        </w:rPr>
      </w:pPr>
      <w:r w:rsidRPr="00580E8A">
        <w:rPr>
          <w:i/>
          <w:iCs/>
          <w:lang w:val="fr-FR"/>
        </w:rPr>
        <w:t>Prenant note avec intérêt</w:t>
      </w:r>
      <w:r>
        <w:rPr>
          <w:lang w:val="fr-FR"/>
        </w:rPr>
        <w:t xml:space="preserve"> de la recommandation du Groupe de travail sur les disparitions forcées ou involontaires selon laquelle il faudrait davantage aider les familles et les membres de la société civile à lui signaler les cas présumés de disparition forcée étant donné que, bien souvent, la sous-déclaration des cas de disparition forcée demeure un problème majeur qui s</w:t>
      </w:r>
      <w:r w:rsidR="00B7061F">
        <w:rPr>
          <w:lang w:val="fr-FR"/>
        </w:rPr>
        <w:t>’</w:t>
      </w:r>
      <w:r>
        <w:rPr>
          <w:lang w:val="fr-FR"/>
        </w:rPr>
        <w:t>explique par différentes raisons, notamment la crainte de représailles, la mauvaise administration de la justice, la pauvreté et l</w:t>
      </w:r>
      <w:r w:rsidR="00B7061F">
        <w:rPr>
          <w:lang w:val="fr-FR"/>
        </w:rPr>
        <w:t>’</w:t>
      </w:r>
      <w:r>
        <w:rPr>
          <w:lang w:val="fr-FR"/>
        </w:rPr>
        <w:t>analphabétisme,</w:t>
      </w:r>
    </w:p>
    <w:p w14:paraId="48DAB726" w14:textId="77777777" w:rsidR="006C623F" w:rsidRPr="00D914D2" w:rsidRDefault="006C623F" w:rsidP="006C623F">
      <w:pPr>
        <w:pStyle w:val="SingleTxtG"/>
        <w:ind w:firstLine="567"/>
      </w:pPr>
      <w:r w:rsidRPr="00123A67">
        <w:rPr>
          <w:i/>
          <w:iCs/>
          <w:lang w:val="fr-FR"/>
        </w:rPr>
        <w:t>Prenant également note avec intérêt</w:t>
      </w:r>
      <w:r>
        <w:rPr>
          <w:lang w:val="fr-FR"/>
        </w:rPr>
        <w:t xml:space="preserve"> des plus récents rapports thématiques établis par le Groupe de travail, notamment l</w:t>
      </w:r>
      <w:r w:rsidR="00B7061F">
        <w:rPr>
          <w:lang w:val="fr-FR"/>
        </w:rPr>
        <w:t>’</w:t>
      </w:r>
      <w:r>
        <w:rPr>
          <w:lang w:val="fr-FR"/>
        </w:rPr>
        <w:t>étude sur les normes et les politiques publiques propres à assurer des enquêtes efficaces sur les disparitions forcées</w:t>
      </w:r>
      <w:r w:rsidRPr="000C703B">
        <w:rPr>
          <w:rStyle w:val="Appelnotedebasdep"/>
        </w:rPr>
        <w:footnoteReference w:id="2"/>
      </w:r>
      <w:r>
        <w:rPr>
          <w:lang w:val="fr-FR"/>
        </w:rPr>
        <w:t>,</w:t>
      </w:r>
    </w:p>
    <w:p w14:paraId="09B116AF" w14:textId="77777777" w:rsidR="006C623F" w:rsidRPr="00D914D2" w:rsidRDefault="006C623F" w:rsidP="006C623F">
      <w:pPr>
        <w:pStyle w:val="SingleTxtG"/>
        <w:ind w:firstLine="567"/>
        <w:rPr>
          <w:i/>
        </w:rPr>
      </w:pPr>
      <w:r w:rsidRPr="00123A67">
        <w:rPr>
          <w:i/>
          <w:iCs/>
          <w:lang w:val="fr-FR"/>
        </w:rPr>
        <w:t>Sachant</w:t>
      </w:r>
      <w:r>
        <w:rPr>
          <w:lang w:val="fr-FR"/>
        </w:rPr>
        <w:t xml:space="preserve"> que les actes de disparition forcée peuvent constituer des crimes contre l</w:t>
      </w:r>
      <w:r w:rsidR="00B7061F">
        <w:rPr>
          <w:lang w:val="fr-FR"/>
        </w:rPr>
        <w:t>’</w:t>
      </w:r>
      <w:r>
        <w:rPr>
          <w:lang w:val="fr-FR"/>
        </w:rPr>
        <w:t>humanité au sens du Statut de Rome de la Cour pénale internationale,</w:t>
      </w:r>
    </w:p>
    <w:p w14:paraId="69BFDDEF" w14:textId="77777777" w:rsidR="006C623F" w:rsidRPr="00D914D2" w:rsidRDefault="006C623F" w:rsidP="006C623F">
      <w:pPr>
        <w:pStyle w:val="SingleTxtG"/>
        <w:ind w:firstLine="567"/>
        <w:rPr>
          <w:i/>
        </w:rPr>
      </w:pPr>
      <w:r w:rsidRPr="003003F1">
        <w:rPr>
          <w:i/>
          <w:iCs/>
          <w:lang w:val="fr-FR"/>
        </w:rPr>
        <w:t>Se félicitant</w:t>
      </w:r>
      <w:r>
        <w:rPr>
          <w:lang w:val="fr-FR"/>
        </w:rPr>
        <w:t xml:space="preserve"> que l</w:t>
      </w:r>
      <w:r w:rsidR="00B7061F">
        <w:rPr>
          <w:lang w:val="fr-FR"/>
        </w:rPr>
        <w:t>’</w:t>
      </w:r>
      <w:r>
        <w:rPr>
          <w:lang w:val="fr-FR"/>
        </w:rPr>
        <w:t>Assemblée générale ait proclamé le 30 août Journée internationale des victimes de disparition forcée et ait décidé, dans sa résolution 65/196 du 21 décembre 2010, de suivre la recommandation qu</w:t>
      </w:r>
      <w:r w:rsidR="00B7061F">
        <w:rPr>
          <w:lang w:val="fr-FR"/>
        </w:rPr>
        <w:t>’</w:t>
      </w:r>
      <w:r>
        <w:rPr>
          <w:lang w:val="fr-FR"/>
        </w:rPr>
        <w:t>il avait formulée dans sa résolution 14/7 du 17 juin 2010 en faisant du 24 mars la Journée internationale pour le droit à la vérité en ce qui concerne les violations flagrantes des droits de l</w:t>
      </w:r>
      <w:r w:rsidR="00B7061F">
        <w:rPr>
          <w:lang w:val="fr-FR"/>
        </w:rPr>
        <w:t>’</w:t>
      </w:r>
      <w:r>
        <w:rPr>
          <w:lang w:val="fr-FR"/>
        </w:rPr>
        <w:t>homme et pour la dignité des victimes, et qu</w:t>
      </w:r>
      <w:r w:rsidR="00B7061F">
        <w:rPr>
          <w:lang w:val="fr-FR"/>
        </w:rPr>
        <w:t>’</w:t>
      </w:r>
      <w:r>
        <w:rPr>
          <w:lang w:val="fr-FR"/>
        </w:rPr>
        <w:t>elle ait invité les États Membres, les entités des Nations Unies et les autres organisations internationales et régionales, les institutions nationales des droits de l</w:t>
      </w:r>
      <w:r w:rsidR="00B7061F">
        <w:rPr>
          <w:lang w:val="fr-FR"/>
        </w:rPr>
        <w:t>’</w:t>
      </w:r>
      <w:r>
        <w:rPr>
          <w:lang w:val="fr-FR"/>
        </w:rPr>
        <w:t>homme, la société civile et les autres parties prenantes concernées à célébrer ces journées,</w:t>
      </w:r>
    </w:p>
    <w:p w14:paraId="00B21A08" w14:textId="77777777" w:rsidR="006C623F" w:rsidRPr="00D914D2" w:rsidRDefault="006C623F" w:rsidP="006C623F">
      <w:pPr>
        <w:pStyle w:val="SingleTxtG"/>
        <w:ind w:firstLine="567"/>
        <w:rPr>
          <w:i/>
        </w:rPr>
      </w:pPr>
      <w:r>
        <w:rPr>
          <w:i/>
          <w:iCs/>
          <w:lang w:val="fr-FR"/>
        </w:rPr>
        <w:t>Constatant</w:t>
      </w:r>
      <w:r>
        <w:rPr>
          <w:lang w:val="fr-FR"/>
        </w:rPr>
        <w:t xml:space="preserve"> que de nombreux États coopèrent avec le Groupe de travail, notamment en répondant favorablement à ses demandes de visite de pays,</w:t>
      </w:r>
    </w:p>
    <w:p w14:paraId="4B9D5037" w14:textId="77777777" w:rsidR="006C623F" w:rsidRPr="00D914D2" w:rsidRDefault="006C623F" w:rsidP="006C623F">
      <w:pPr>
        <w:pStyle w:val="SingleTxtG"/>
        <w:ind w:firstLine="567"/>
      </w:pPr>
      <w:r w:rsidRPr="000B5961">
        <w:rPr>
          <w:i/>
          <w:iCs/>
          <w:lang w:val="fr-FR"/>
        </w:rPr>
        <w:t>Rappelant</w:t>
      </w:r>
      <w:r>
        <w:rPr>
          <w:lang w:val="fr-FR"/>
        </w:rPr>
        <w:t xml:space="preserve"> ses propres résolutions 5/1, sur la mise en place de ses institutions, et 5/2, sur le Code de conduite pour les titulaires de mandat au titre des procédures spéciales, toutes deux datées du 18 juin 2007, et soulignant que les titulaires de mandat doivent s</w:t>
      </w:r>
      <w:r w:rsidR="00B7061F">
        <w:rPr>
          <w:lang w:val="fr-FR"/>
        </w:rPr>
        <w:t>’</w:t>
      </w:r>
      <w:r>
        <w:rPr>
          <w:lang w:val="fr-FR"/>
        </w:rPr>
        <w:t>acquitter de leurs obligations conformément à ces résolutions et à leurs annexes,</w:t>
      </w:r>
    </w:p>
    <w:p w14:paraId="6D1B275E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t>1.</w:t>
      </w:r>
      <w:r>
        <w:rPr>
          <w:lang w:val="fr-FR"/>
        </w:rPr>
        <w:tab/>
      </w:r>
      <w:r w:rsidRPr="000B5961">
        <w:rPr>
          <w:i/>
          <w:iCs/>
          <w:lang w:val="fr-FR"/>
        </w:rPr>
        <w:t>Demande</w:t>
      </w:r>
      <w:r>
        <w:rPr>
          <w:lang w:val="fr-FR"/>
        </w:rPr>
        <w:t xml:space="preserve"> à tous les États qui n</w:t>
      </w:r>
      <w:r w:rsidR="00B7061F">
        <w:rPr>
          <w:lang w:val="fr-FR"/>
        </w:rPr>
        <w:t>’</w:t>
      </w:r>
      <w:r>
        <w:rPr>
          <w:lang w:val="fr-FR"/>
        </w:rPr>
        <w:t>ont pas encore signé ou ratifié la Convention internationale pour la protection de toutes les personnes contre les disparitions forcées ou n</w:t>
      </w:r>
      <w:r w:rsidR="00B7061F">
        <w:rPr>
          <w:lang w:val="fr-FR"/>
        </w:rPr>
        <w:t>’</w:t>
      </w:r>
      <w:r>
        <w:rPr>
          <w:lang w:val="fr-FR"/>
        </w:rPr>
        <w:t>y ont pas encore adhéré d</w:t>
      </w:r>
      <w:r w:rsidR="00B7061F">
        <w:rPr>
          <w:lang w:val="fr-FR"/>
        </w:rPr>
        <w:t>’</w:t>
      </w:r>
      <w:r>
        <w:rPr>
          <w:lang w:val="fr-FR"/>
        </w:rPr>
        <w:t>envisager de le faire à titre prioritaire, et d</w:t>
      </w:r>
      <w:r w:rsidR="00B7061F">
        <w:rPr>
          <w:lang w:val="fr-FR"/>
        </w:rPr>
        <w:t>’</w:t>
      </w:r>
      <w:r>
        <w:rPr>
          <w:lang w:val="fr-FR"/>
        </w:rPr>
        <w:t>envisager également de tirer parti de l</w:t>
      </w:r>
      <w:r w:rsidR="00B7061F">
        <w:rPr>
          <w:lang w:val="fr-FR"/>
        </w:rPr>
        <w:t>’</w:t>
      </w:r>
      <w:r>
        <w:rPr>
          <w:lang w:val="fr-FR"/>
        </w:rPr>
        <w:t>option prévue aux articles 31 et 32 de la Convention en ce qui concerne le Comité des disparitions forcées</w:t>
      </w:r>
      <w:r w:rsidR="00E1228E">
        <w:rPr>
          <w:lang w:val="fr-FR"/>
        </w:rPr>
        <w:t> </w:t>
      </w:r>
      <w:r>
        <w:rPr>
          <w:lang w:val="fr-FR"/>
        </w:rPr>
        <w:t>;</w:t>
      </w:r>
    </w:p>
    <w:p w14:paraId="45C24133" w14:textId="77777777" w:rsidR="006C623F" w:rsidRPr="00D914D2" w:rsidRDefault="006C623F" w:rsidP="006C623F">
      <w:pPr>
        <w:pStyle w:val="SingleTxtG"/>
        <w:ind w:firstLine="567"/>
        <w:rPr>
          <w:i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E93E91">
        <w:rPr>
          <w:i/>
          <w:iCs/>
          <w:lang w:val="fr-FR"/>
        </w:rPr>
        <w:t>Demande</w:t>
      </w:r>
      <w:r>
        <w:rPr>
          <w:lang w:val="fr-FR"/>
        </w:rPr>
        <w:t xml:space="preserve"> aux États de coopérer avec le Groupe de travail sur les disparitions forcées ou involontaires et de répondre favorablement à ses demandes de visite</w:t>
      </w:r>
      <w:r w:rsidR="00E1228E">
        <w:rPr>
          <w:lang w:val="fr-FR"/>
        </w:rPr>
        <w:t> </w:t>
      </w:r>
      <w:r>
        <w:rPr>
          <w:lang w:val="fr-FR"/>
        </w:rPr>
        <w:t>;</w:t>
      </w:r>
    </w:p>
    <w:p w14:paraId="484C2BB3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lastRenderedPageBreak/>
        <w:t>3.</w:t>
      </w:r>
      <w:r>
        <w:rPr>
          <w:lang w:val="fr-FR"/>
        </w:rPr>
        <w:tab/>
      </w:r>
      <w:r w:rsidRPr="007441E5">
        <w:rPr>
          <w:i/>
          <w:iCs/>
          <w:lang w:val="fr-FR"/>
        </w:rPr>
        <w:t>Prie</w:t>
      </w:r>
      <w:r>
        <w:rPr>
          <w:lang w:val="fr-FR"/>
        </w:rPr>
        <w:t xml:space="preserve"> le Secrétaire général et la Haute-Commissaire des Nations Unies aux droits de l</w:t>
      </w:r>
      <w:r w:rsidR="00B7061F">
        <w:rPr>
          <w:lang w:val="fr-FR"/>
        </w:rPr>
        <w:t>’</w:t>
      </w:r>
      <w:r>
        <w:rPr>
          <w:lang w:val="fr-FR"/>
        </w:rPr>
        <w:t>homme de continuer à s</w:t>
      </w:r>
      <w:r w:rsidR="00B7061F">
        <w:rPr>
          <w:lang w:val="fr-FR"/>
        </w:rPr>
        <w:t>’</w:t>
      </w:r>
      <w:r>
        <w:rPr>
          <w:lang w:val="fr-FR"/>
        </w:rPr>
        <w:t>employer activement à aider les États qui le souhaitent à devenir parties à la Convention, tout en sachant qu</w:t>
      </w:r>
      <w:r w:rsidR="00B7061F">
        <w:rPr>
          <w:lang w:val="fr-FR"/>
        </w:rPr>
        <w:t>’</w:t>
      </w:r>
      <w:r>
        <w:rPr>
          <w:lang w:val="fr-FR"/>
        </w:rPr>
        <w:t>un grand nombre d</w:t>
      </w:r>
      <w:r w:rsidR="00B7061F">
        <w:rPr>
          <w:lang w:val="fr-FR"/>
        </w:rPr>
        <w:t>’</w:t>
      </w:r>
      <w:r>
        <w:rPr>
          <w:lang w:val="fr-FR"/>
        </w:rPr>
        <w:t>États promeuvent la ratification universelle</w:t>
      </w:r>
      <w:r w:rsidR="00E1228E">
        <w:rPr>
          <w:lang w:val="fr-FR"/>
        </w:rPr>
        <w:t> </w:t>
      </w:r>
      <w:r>
        <w:rPr>
          <w:lang w:val="fr-FR"/>
        </w:rPr>
        <w:t>;</w:t>
      </w:r>
    </w:p>
    <w:p w14:paraId="2D355AA1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t>4.</w:t>
      </w:r>
      <w:r>
        <w:rPr>
          <w:lang w:val="fr-FR"/>
        </w:rPr>
        <w:tab/>
      </w:r>
      <w:r w:rsidRPr="00D83399">
        <w:rPr>
          <w:i/>
          <w:iCs/>
          <w:lang w:val="fr-FR"/>
        </w:rPr>
        <w:t>Prend note avec satisfaction</w:t>
      </w:r>
      <w:r>
        <w:rPr>
          <w:lang w:val="fr-FR"/>
        </w:rPr>
        <w:t xml:space="preserve"> des rapports du Groupe de travail</w:t>
      </w:r>
      <w:r w:rsidRPr="000C703B">
        <w:rPr>
          <w:rStyle w:val="Appelnotedebasdep"/>
        </w:rPr>
        <w:footnoteReference w:id="3"/>
      </w:r>
      <w:r>
        <w:rPr>
          <w:lang w:val="fr-FR"/>
        </w:rPr>
        <w:t xml:space="preserve"> et engage les États à tenir dûment compte des observations et recommandations qui y figurent ;</w:t>
      </w:r>
    </w:p>
    <w:p w14:paraId="72E29BD7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t>5.</w:t>
      </w:r>
      <w:r>
        <w:rPr>
          <w:lang w:val="fr-FR"/>
        </w:rPr>
        <w:tab/>
      </w:r>
      <w:r w:rsidRPr="00D83399">
        <w:rPr>
          <w:i/>
          <w:iCs/>
          <w:lang w:val="fr-FR"/>
        </w:rPr>
        <w:t>Remercie</w:t>
      </w:r>
      <w:r>
        <w:rPr>
          <w:lang w:val="fr-FR"/>
        </w:rPr>
        <w:t xml:space="preserve"> le Groupe de travail des efforts importants qu</w:t>
      </w:r>
      <w:r w:rsidR="00B7061F">
        <w:rPr>
          <w:lang w:val="fr-FR"/>
        </w:rPr>
        <w:t>’</w:t>
      </w:r>
      <w:r>
        <w:rPr>
          <w:lang w:val="fr-FR"/>
        </w:rPr>
        <w:t>il déploie pour traiter tous les cas de disparition forcée</w:t>
      </w:r>
      <w:r w:rsidR="00E1228E">
        <w:rPr>
          <w:lang w:val="fr-FR"/>
        </w:rPr>
        <w:t> </w:t>
      </w:r>
      <w:r>
        <w:rPr>
          <w:lang w:val="fr-FR"/>
        </w:rPr>
        <w:t>;</w:t>
      </w:r>
    </w:p>
    <w:p w14:paraId="7A8180A3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t>6.</w:t>
      </w:r>
      <w:r>
        <w:rPr>
          <w:lang w:val="fr-FR"/>
        </w:rPr>
        <w:tab/>
      </w:r>
      <w:r w:rsidRPr="0059456D">
        <w:rPr>
          <w:i/>
          <w:iCs/>
          <w:lang w:val="fr-FR"/>
        </w:rPr>
        <w:t>Engage</w:t>
      </w:r>
      <w:r>
        <w:rPr>
          <w:lang w:val="fr-FR"/>
        </w:rPr>
        <w:t xml:space="preserve"> le Groupe de travail à continuer d</w:t>
      </w:r>
      <w:r w:rsidR="00B7061F">
        <w:rPr>
          <w:lang w:val="fr-FR"/>
        </w:rPr>
        <w:t>’</w:t>
      </w:r>
      <w:r>
        <w:rPr>
          <w:lang w:val="fr-FR"/>
        </w:rPr>
        <w:t>examiner les questions relatives à la disparition forcée et de lui présenter des rapports, conformément à son mandat</w:t>
      </w:r>
      <w:r w:rsidR="00E1228E">
        <w:rPr>
          <w:lang w:val="fr-FR"/>
        </w:rPr>
        <w:t> </w:t>
      </w:r>
      <w:r>
        <w:rPr>
          <w:lang w:val="fr-FR"/>
        </w:rPr>
        <w:t>;</w:t>
      </w:r>
    </w:p>
    <w:p w14:paraId="5530DF08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t>7.</w:t>
      </w:r>
      <w:r>
        <w:rPr>
          <w:lang w:val="fr-FR"/>
        </w:rPr>
        <w:tab/>
      </w:r>
      <w:r w:rsidRPr="0087600F">
        <w:rPr>
          <w:i/>
          <w:iCs/>
          <w:lang w:val="fr-FR"/>
        </w:rPr>
        <w:t>Salue</w:t>
      </w:r>
      <w:r>
        <w:rPr>
          <w:lang w:val="fr-FR"/>
        </w:rPr>
        <w:t xml:space="preserve"> la coopération établie entre le Groupe de travail et le Comité des disparitions forcées, ainsi que d</w:t>
      </w:r>
      <w:r w:rsidR="00B7061F">
        <w:rPr>
          <w:lang w:val="fr-FR"/>
        </w:rPr>
        <w:t>’</w:t>
      </w:r>
      <w:r>
        <w:rPr>
          <w:lang w:val="fr-FR"/>
        </w:rPr>
        <w:t>autres mécanismes relevant des procédures spéciales et organes conventionnels compétents, dans le cadre de leurs mandats respectifs, et engage ces entités à continuer de travailler ensemble</w:t>
      </w:r>
      <w:r w:rsidR="00E1228E">
        <w:rPr>
          <w:lang w:val="fr-FR"/>
        </w:rPr>
        <w:t> </w:t>
      </w:r>
      <w:r>
        <w:rPr>
          <w:lang w:val="fr-FR"/>
        </w:rPr>
        <w:t>;</w:t>
      </w:r>
    </w:p>
    <w:p w14:paraId="4EE90C73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t>8.</w:t>
      </w:r>
      <w:r>
        <w:rPr>
          <w:lang w:val="fr-FR"/>
        </w:rPr>
        <w:tab/>
      </w:r>
      <w:r w:rsidRPr="00545BC1">
        <w:rPr>
          <w:i/>
          <w:iCs/>
          <w:lang w:val="fr-FR"/>
        </w:rPr>
        <w:t>Décide</w:t>
      </w:r>
      <w:r>
        <w:rPr>
          <w:lang w:val="fr-FR"/>
        </w:rPr>
        <w:t xml:space="preserve"> de proroger le mandat du Groupe de travail sur les disparitions forcées ou involontaires pour une nouvelle période de trois ans, conformément aux dispositions de sa résolution 7/12 ;</w:t>
      </w:r>
    </w:p>
    <w:p w14:paraId="5D8F69BF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t>9.</w:t>
      </w:r>
      <w:r>
        <w:rPr>
          <w:lang w:val="fr-FR"/>
        </w:rPr>
        <w:tab/>
      </w:r>
      <w:r w:rsidRPr="00545BC1">
        <w:rPr>
          <w:i/>
          <w:iCs/>
          <w:lang w:val="fr-FR"/>
        </w:rPr>
        <w:t>Demande</w:t>
      </w:r>
      <w:r>
        <w:rPr>
          <w:lang w:val="fr-FR"/>
        </w:rPr>
        <w:t xml:space="preserve"> aux États n</w:t>
      </w:r>
      <w:r w:rsidR="00B7061F">
        <w:rPr>
          <w:lang w:val="fr-FR"/>
        </w:rPr>
        <w:t>’</w:t>
      </w:r>
      <w:r>
        <w:rPr>
          <w:lang w:val="fr-FR"/>
        </w:rPr>
        <w:t>ayant pas répondu sur le fond à des allégations concernant des disparitions forcées qui seraient survenues sur leur territoire d</w:t>
      </w:r>
      <w:r w:rsidR="00B7061F">
        <w:rPr>
          <w:lang w:val="fr-FR"/>
        </w:rPr>
        <w:t>’</w:t>
      </w:r>
      <w:r>
        <w:rPr>
          <w:lang w:val="fr-FR"/>
        </w:rPr>
        <w:t>y répondre et de tenir dûment compte des recommandations pertinentes formulées dans les rapports du Groupe de travail ;</w:t>
      </w:r>
    </w:p>
    <w:p w14:paraId="61D8B9A6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t>10.</w:t>
      </w:r>
      <w:r>
        <w:rPr>
          <w:lang w:val="fr-FR"/>
        </w:rPr>
        <w:tab/>
      </w:r>
      <w:r w:rsidRPr="00545BC1">
        <w:rPr>
          <w:i/>
          <w:iCs/>
          <w:lang w:val="fr-FR"/>
        </w:rPr>
        <w:t>Engage</w:t>
      </w:r>
      <w:r>
        <w:rPr>
          <w:lang w:val="fr-FR"/>
        </w:rPr>
        <w:t xml:space="preserve"> le Groupe de travail à continuer de fournir aux États concernés des informations pertinentes et détaillées sur les allégations de disparition forcée, conformément à ses méthodes de travail, afin de les aider à répondre rapidement aux questions de fond soulevées dans les communications, sans préjudice de la nécessité pour ces États de coopérer avec lui ;</w:t>
      </w:r>
    </w:p>
    <w:p w14:paraId="5256F968" w14:textId="77777777" w:rsidR="006C623F" w:rsidRPr="00D914D2" w:rsidRDefault="006C623F" w:rsidP="006C623F">
      <w:pPr>
        <w:pStyle w:val="SingleTxtG"/>
        <w:ind w:firstLine="567"/>
      </w:pPr>
      <w:r>
        <w:rPr>
          <w:lang w:val="fr-FR"/>
        </w:rPr>
        <w:t>11.</w:t>
      </w:r>
      <w:r>
        <w:rPr>
          <w:lang w:val="fr-FR"/>
        </w:rPr>
        <w:tab/>
      </w:r>
      <w:r w:rsidRPr="00545BC1">
        <w:rPr>
          <w:i/>
          <w:iCs/>
          <w:lang w:val="fr-FR"/>
        </w:rPr>
        <w:t>Prie</w:t>
      </w:r>
      <w:r>
        <w:rPr>
          <w:lang w:val="fr-FR"/>
        </w:rPr>
        <w:t xml:space="preserve"> le Secrétaire général de continuer de fournir au Groupe de travail toutes les ressources financières et humaines dont il a besoin pour s</w:t>
      </w:r>
      <w:r w:rsidR="00B7061F">
        <w:rPr>
          <w:lang w:val="fr-FR"/>
        </w:rPr>
        <w:t>’</w:t>
      </w:r>
      <w:r>
        <w:rPr>
          <w:lang w:val="fr-FR"/>
        </w:rPr>
        <w:t>acquitter pleinement de son mandat ;</w:t>
      </w:r>
    </w:p>
    <w:p w14:paraId="6DAAFE65" w14:textId="77777777" w:rsidR="006C623F" w:rsidRDefault="006C623F" w:rsidP="006C623F">
      <w:pPr>
        <w:pStyle w:val="SingleTxtG"/>
        <w:ind w:firstLine="567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</w:r>
      <w:r w:rsidRPr="00753E1E">
        <w:rPr>
          <w:i/>
          <w:iCs/>
          <w:lang w:val="fr-FR"/>
        </w:rPr>
        <w:t>Décide</w:t>
      </w:r>
      <w:r>
        <w:rPr>
          <w:lang w:val="fr-FR"/>
        </w:rPr>
        <w:t xml:space="preserve"> de poursuivre l</w:t>
      </w:r>
      <w:r w:rsidR="00B7061F">
        <w:rPr>
          <w:lang w:val="fr-FR"/>
        </w:rPr>
        <w:t>’</w:t>
      </w:r>
      <w:r>
        <w:rPr>
          <w:lang w:val="fr-FR"/>
        </w:rPr>
        <w:t>examen de la question des disparitions forcées ou involontaires conformément à son programme de travail.</w:t>
      </w:r>
    </w:p>
    <w:p w14:paraId="53EE4CF2" w14:textId="77777777" w:rsidR="006C623F" w:rsidRPr="00E1228E" w:rsidRDefault="006C623F" w:rsidP="00E1228E">
      <w:pPr>
        <w:pStyle w:val="SingleTxtG"/>
        <w:jc w:val="right"/>
        <w:rPr>
          <w:i/>
          <w:iCs/>
          <w:lang w:val="fr-FR"/>
        </w:rPr>
      </w:pPr>
      <w:r w:rsidRPr="00E1228E">
        <w:rPr>
          <w:i/>
          <w:iCs/>
          <w:lang w:val="fr-FR"/>
        </w:rPr>
        <w:t>36</w:t>
      </w:r>
      <w:r w:rsidRPr="00E1228E">
        <w:rPr>
          <w:i/>
          <w:iCs/>
          <w:vertAlign w:val="superscript"/>
          <w:lang w:val="fr-FR"/>
        </w:rPr>
        <w:t>e</w:t>
      </w:r>
      <w:r w:rsidRPr="00E1228E">
        <w:rPr>
          <w:i/>
          <w:iCs/>
          <w:lang w:val="fr-FR"/>
        </w:rPr>
        <w:t xml:space="preserve"> séance</w:t>
      </w:r>
      <w:r w:rsidR="00BD4B75" w:rsidRPr="00E1228E">
        <w:rPr>
          <w:i/>
          <w:iCs/>
          <w:lang w:val="fr-FR"/>
        </w:rPr>
        <w:t xml:space="preserve"> </w:t>
      </w:r>
      <w:r w:rsidR="00BD4B75" w:rsidRPr="00E1228E">
        <w:rPr>
          <w:i/>
          <w:iCs/>
          <w:lang w:val="fr-FR"/>
        </w:rPr>
        <w:br/>
      </w:r>
      <w:r w:rsidRPr="00E1228E">
        <w:rPr>
          <w:i/>
          <w:iCs/>
          <w:lang w:val="fr-FR"/>
        </w:rPr>
        <w:t>6 octobre 2020</w:t>
      </w:r>
    </w:p>
    <w:p w14:paraId="780ABB40" w14:textId="77777777" w:rsidR="00552797" w:rsidRDefault="006C623F" w:rsidP="00E1228E">
      <w:pPr>
        <w:pStyle w:val="SingleTxtG"/>
        <w:jc w:val="left"/>
      </w:pPr>
      <w:r>
        <w:t>[Adoptée sans vote]</w:t>
      </w:r>
    </w:p>
    <w:p w14:paraId="4EBE7033" w14:textId="77777777" w:rsidR="00E1228E" w:rsidRPr="00E1228E" w:rsidRDefault="00E1228E" w:rsidP="00E122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28E" w:rsidRPr="00E1228E" w:rsidSect="006C623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3F5F" w14:textId="77777777" w:rsidR="00006A0E" w:rsidRPr="00EF7F30" w:rsidRDefault="00006A0E" w:rsidP="00EF7F30">
      <w:pPr>
        <w:pStyle w:val="Pieddepage"/>
      </w:pPr>
    </w:p>
  </w:endnote>
  <w:endnote w:type="continuationSeparator" w:id="0">
    <w:p w14:paraId="71E9569E" w14:textId="77777777" w:rsidR="00006A0E" w:rsidRPr="00EF7F30" w:rsidRDefault="00006A0E" w:rsidP="00EF7F30">
      <w:pPr>
        <w:pStyle w:val="Pieddepage"/>
      </w:pPr>
    </w:p>
  </w:endnote>
  <w:endnote w:type="continuationNotice" w:id="1">
    <w:p w14:paraId="46CED097" w14:textId="77777777" w:rsidR="00006A0E" w:rsidRDefault="00006A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A26B" w14:textId="77777777" w:rsidR="006C623F" w:rsidRPr="006C623F" w:rsidRDefault="006C623F" w:rsidP="006C623F">
    <w:pPr>
      <w:pStyle w:val="Pieddepage"/>
      <w:tabs>
        <w:tab w:val="right" w:pos="9638"/>
      </w:tabs>
    </w:pPr>
    <w:r w:rsidRPr="006C623F">
      <w:rPr>
        <w:b/>
        <w:sz w:val="18"/>
      </w:rPr>
      <w:fldChar w:fldCharType="begin"/>
    </w:r>
    <w:r w:rsidRPr="006C623F">
      <w:rPr>
        <w:b/>
        <w:sz w:val="18"/>
      </w:rPr>
      <w:instrText xml:space="preserve"> PAGE  \* MERGEFORMAT </w:instrText>
    </w:r>
    <w:r w:rsidRPr="006C623F">
      <w:rPr>
        <w:b/>
        <w:sz w:val="18"/>
      </w:rPr>
      <w:fldChar w:fldCharType="separate"/>
    </w:r>
    <w:r w:rsidRPr="006C623F">
      <w:rPr>
        <w:b/>
        <w:noProof/>
        <w:sz w:val="18"/>
      </w:rPr>
      <w:t>2</w:t>
    </w:r>
    <w:r w:rsidRPr="006C623F">
      <w:rPr>
        <w:b/>
        <w:sz w:val="18"/>
      </w:rPr>
      <w:fldChar w:fldCharType="end"/>
    </w:r>
    <w:r>
      <w:rPr>
        <w:b/>
        <w:sz w:val="18"/>
      </w:rPr>
      <w:tab/>
    </w:r>
    <w:r>
      <w:t>GE.20-13206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EC96" w14:textId="77777777" w:rsidR="006C623F" w:rsidRPr="006C623F" w:rsidRDefault="006C623F" w:rsidP="006C623F">
    <w:pPr>
      <w:pStyle w:val="Pieddepage"/>
      <w:tabs>
        <w:tab w:val="right" w:pos="9638"/>
      </w:tabs>
      <w:rPr>
        <w:b/>
        <w:sz w:val="18"/>
      </w:rPr>
    </w:pPr>
    <w:r>
      <w:t>GE.20-13206</w:t>
    </w:r>
    <w:r>
      <w:tab/>
    </w:r>
    <w:r w:rsidRPr="006C623F">
      <w:rPr>
        <w:b/>
        <w:sz w:val="18"/>
      </w:rPr>
      <w:fldChar w:fldCharType="begin"/>
    </w:r>
    <w:r w:rsidRPr="006C623F">
      <w:rPr>
        <w:b/>
        <w:sz w:val="18"/>
      </w:rPr>
      <w:instrText xml:space="preserve"> PAGE  \* MERGEFORMAT </w:instrText>
    </w:r>
    <w:r w:rsidRPr="006C623F">
      <w:rPr>
        <w:b/>
        <w:sz w:val="18"/>
      </w:rPr>
      <w:fldChar w:fldCharType="separate"/>
    </w:r>
    <w:r w:rsidRPr="006C623F">
      <w:rPr>
        <w:b/>
        <w:noProof/>
        <w:sz w:val="18"/>
      </w:rPr>
      <w:t>3</w:t>
    </w:r>
    <w:r w:rsidRPr="006C62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CD5F" w14:textId="77777777" w:rsidR="0094352E" w:rsidRPr="006C623F" w:rsidRDefault="006C623F" w:rsidP="006C623F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972EFB8" wp14:editId="0963469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20-13206  (F)</w:t>
    </w:r>
    <w:r w:rsidR="00E1228E">
      <w:rPr>
        <w:sz w:val="20"/>
      </w:rPr>
      <w:t xml:space="preserve">    091020    091020</w:t>
    </w:r>
    <w:r>
      <w:rPr>
        <w:sz w:val="20"/>
      </w:rPr>
      <w:br/>
    </w:r>
    <w:r w:rsidRPr="006C623F">
      <w:rPr>
        <w:rFonts w:ascii="C39T30Lfz" w:hAnsi="C39T30Lfz"/>
        <w:sz w:val="56"/>
      </w:rPr>
      <w:t></w:t>
    </w:r>
    <w:r w:rsidRPr="006C623F">
      <w:rPr>
        <w:rFonts w:ascii="C39T30Lfz" w:hAnsi="C39T30Lfz"/>
        <w:sz w:val="56"/>
      </w:rPr>
      <w:t></w:t>
    </w:r>
    <w:r w:rsidRPr="006C623F">
      <w:rPr>
        <w:rFonts w:ascii="C39T30Lfz" w:hAnsi="C39T30Lfz"/>
        <w:sz w:val="56"/>
      </w:rPr>
      <w:t></w:t>
    </w:r>
    <w:r w:rsidRPr="006C623F">
      <w:rPr>
        <w:rFonts w:ascii="C39T30Lfz" w:hAnsi="C39T30Lfz"/>
        <w:sz w:val="56"/>
      </w:rPr>
      <w:t></w:t>
    </w:r>
    <w:r w:rsidRPr="006C623F">
      <w:rPr>
        <w:rFonts w:ascii="C39T30Lfz" w:hAnsi="C39T30Lfz"/>
        <w:sz w:val="56"/>
      </w:rPr>
      <w:t></w:t>
    </w:r>
    <w:r w:rsidRPr="006C623F">
      <w:rPr>
        <w:rFonts w:ascii="C39T30Lfz" w:hAnsi="C39T30Lfz"/>
        <w:sz w:val="56"/>
      </w:rPr>
      <w:t></w:t>
    </w:r>
    <w:r w:rsidRPr="006C623F">
      <w:rPr>
        <w:rFonts w:ascii="C39T30Lfz" w:hAnsi="C39T30Lfz"/>
        <w:sz w:val="56"/>
      </w:rPr>
      <w:t></w:t>
    </w:r>
    <w:r w:rsidRPr="006C623F">
      <w:rPr>
        <w:rFonts w:ascii="C39T30Lfz" w:hAnsi="C39T30Lfz"/>
        <w:sz w:val="56"/>
      </w:rPr>
      <w:t></w:t>
    </w:r>
    <w:r w:rsidRPr="006C623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A86879B" wp14:editId="460D388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2AD1" w14:textId="77777777" w:rsidR="00006A0E" w:rsidRPr="00EF7F30" w:rsidRDefault="00006A0E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14:paraId="31456DA0" w14:textId="77777777" w:rsidR="00006A0E" w:rsidRPr="00EF7F30" w:rsidRDefault="00006A0E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14:paraId="337B4A6B" w14:textId="77777777" w:rsidR="00006A0E" w:rsidRPr="000F2457" w:rsidRDefault="00006A0E">
      <w:pPr>
        <w:spacing w:line="240" w:lineRule="auto"/>
        <w:rPr>
          <w:sz w:val="2"/>
          <w:szCs w:val="2"/>
        </w:rPr>
      </w:pPr>
    </w:p>
  </w:footnote>
  <w:footnote w:id="2">
    <w:p w14:paraId="043F3AA4" w14:textId="77777777" w:rsidR="006C623F" w:rsidRPr="00EA3FF7" w:rsidRDefault="006C623F" w:rsidP="006C623F">
      <w:pPr>
        <w:pStyle w:val="Notedebasdepage"/>
      </w:pPr>
      <w:r>
        <w:rPr>
          <w:lang w:val="fr-FR"/>
        </w:rPr>
        <w:tab/>
      </w:r>
      <w:r w:rsidRPr="000C703B">
        <w:rPr>
          <w:rStyle w:val="Appelnotedebasdep"/>
        </w:rPr>
        <w:footnoteRef/>
      </w:r>
      <w:r>
        <w:rPr>
          <w:lang w:val="fr-FR"/>
        </w:rPr>
        <w:tab/>
        <w:t>A/HRC/45/13/Add.3.</w:t>
      </w:r>
    </w:p>
  </w:footnote>
  <w:footnote w:id="3">
    <w:p w14:paraId="08B948A6" w14:textId="77777777" w:rsidR="006C623F" w:rsidRDefault="006C623F" w:rsidP="006C623F">
      <w:pPr>
        <w:pStyle w:val="Notedebasdepage"/>
      </w:pPr>
      <w:r>
        <w:rPr>
          <w:lang w:val="fr-FR"/>
        </w:rPr>
        <w:tab/>
      </w:r>
      <w:r w:rsidRPr="000C703B">
        <w:rPr>
          <w:rStyle w:val="Appelnotedebasdep"/>
        </w:rPr>
        <w:footnoteRef/>
      </w:r>
      <w:r>
        <w:rPr>
          <w:lang w:val="fr-FR"/>
        </w:rPr>
        <w:tab/>
        <w:t>A/HRC/45/13 et Add.1 à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BCD8" w14:textId="4172A466" w:rsidR="006C623F" w:rsidRPr="006C623F" w:rsidRDefault="006C623F">
    <w:pPr>
      <w:pStyle w:val="En-tte"/>
    </w:pPr>
    <w:fldSimple w:instr=" TITLE  \* MERGEFORMAT ">
      <w:r w:rsidR="007346CB">
        <w:t>A/HRC/RES/45/3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F68D" w14:textId="00CFC04B" w:rsidR="006C623F" w:rsidRPr="006C623F" w:rsidRDefault="006C623F" w:rsidP="006C623F">
    <w:pPr>
      <w:pStyle w:val="En-tte"/>
      <w:jc w:val="right"/>
    </w:pPr>
    <w:fldSimple w:instr=" TITLE  \* MERGEFORMAT ">
      <w:r w:rsidR="007346CB">
        <w:t>A/HRC/RES/45/3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6A0E"/>
    <w:rsid w:val="00006A0E"/>
    <w:rsid w:val="00012B97"/>
    <w:rsid w:val="00023842"/>
    <w:rsid w:val="0007796D"/>
    <w:rsid w:val="000E5ADA"/>
    <w:rsid w:val="000F2457"/>
    <w:rsid w:val="00111F2F"/>
    <w:rsid w:val="00131E73"/>
    <w:rsid w:val="0014365E"/>
    <w:rsid w:val="00176178"/>
    <w:rsid w:val="001F525A"/>
    <w:rsid w:val="00212168"/>
    <w:rsid w:val="002165E2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6C623F"/>
    <w:rsid w:val="00710BD6"/>
    <w:rsid w:val="0071601D"/>
    <w:rsid w:val="00721020"/>
    <w:rsid w:val="00731589"/>
    <w:rsid w:val="007346CB"/>
    <w:rsid w:val="00753E1E"/>
    <w:rsid w:val="0080684C"/>
    <w:rsid w:val="00871C75"/>
    <w:rsid w:val="008776DC"/>
    <w:rsid w:val="008B386A"/>
    <w:rsid w:val="0094352E"/>
    <w:rsid w:val="00962015"/>
    <w:rsid w:val="009705C8"/>
    <w:rsid w:val="009A47AB"/>
    <w:rsid w:val="009E40BD"/>
    <w:rsid w:val="00A12E20"/>
    <w:rsid w:val="00A2307A"/>
    <w:rsid w:val="00AC7BEB"/>
    <w:rsid w:val="00AE323C"/>
    <w:rsid w:val="00B16AAF"/>
    <w:rsid w:val="00B22A9E"/>
    <w:rsid w:val="00B24C75"/>
    <w:rsid w:val="00B528BF"/>
    <w:rsid w:val="00B7061F"/>
    <w:rsid w:val="00BD4B75"/>
    <w:rsid w:val="00C02897"/>
    <w:rsid w:val="00C12613"/>
    <w:rsid w:val="00D45432"/>
    <w:rsid w:val="00DB1831"/>
    <w:rsid w:val="00DD3BFD"/>
    <w:rsid w:val="00E1228E"/>
    <w:rsid w:val="00E228A8"/>
    <w:rsid w:val="00E6618E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BDB921"/>
  <w15:docId w15:val="{65CE8FD9-9172-44F8-A3C9-93CB0B15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3FC9-8BBB-4FCA-8874-63647C5B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1307</Words>
  <Characters>7842</Characters>
  <Application>Microsoft Office Word</Application>
  <DocSecurity>0</DocSecurity>
  <Lines>1120</Lines>
  <Paragraphs>481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A/HRC/RES/45/3</vt:lpstr>
    </vt:vector>
  </TitlesOfParts>
  <Company>DCM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A/HRC/RES/45/3</dc:title>
  <dc:subject/>
  <dc:creator>Julien OKRZESIK</dc:creator>
  <cp:keywords/>
  <cp:lastModifiedBy>Julien Okrzesik</cp:lastModifiedBy>
  <cp:revision>3</cp:revision>
  <cp:lastPrinted>2020-10-09T15:21:00Z</cp:lastPrinted>
  <dcterms:created xsi:type="dcterms:W3CDTF">2020-10-09T15:21:00Z</dcterms:created>
  <dcterms:modified xsi:type="dcterms:W3CDTF">2020-10-09T15:22:00Z</dcterms:modified>
</cp:coreProperties>
</file>