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80"/>
        <w:gridCol w:w="2273"/>
        <w:gridCol w:w="3267"/>
        <w:gridCol w:w="2819"/>
      </w:tblGrid>
      <w:tr w:rsidR="00F53D4C">
        <w:trPr>
          <w:trHeight w:hRule="exact" w:val="851"/>
        </w:trPr>
        <w:tc>
          <w:tcPr>
            <w:tcW w:w="1280" w:type="dxa"/>
            <w:tcBorders>
              <w:bottom w:val="single" w:sz="4" w:space="0" w:color="auto"/>
            </w:tcBorders>
          </w:tcPr>
          <w:p w:rsidR="00F53D4C" w:rsidRDefault="00F53D4C">
            <w:pPr>
              <w:rPr>
                <w:rFonts w:hint="eastAsia"/>
              </w:rPr>
            </w:pPr>
          </w:p>
        </w:tc>
        <w:tc>
          <w:tcPr>
            <w:tcW w:w="2273" w:type="dxa"/>
            <w:tcBorders>
              <w:bottom w:val="single" w:sz="4" w:space="0" w:color="auto"/>
            </w:tcBorders>
            <w:vAlign w:val="bottom"/>
          </w:tcPr>
          <w:p w:rsidR="00F53D4C" w:rsidRDefault="00F53D4C">
            <w:pPr>
              <w:spacing w:after="80" w:line="300" w:lineRule="exact"/>
              <w:rPr>
                <w:rFonts w:ascii="Time New Roman" w:eastAsia="SimHei" w:hAnsi="Time New Roman" w:hint="eastAsia"/>
                <w:sz w:val="28"/>
              </w:rPr>
            </w:pPr>
            <w:r>
              <w:rPr>
                <w:rFonts w:ascii="Time New Roman" w:eastAsia="SimHei" w:hAnsi="Time New Roman" w:hint="eastAsia"/>
                <w:sz w:val="28"/>
              </w:rPr>
              <w:t>联</w:t>
            </w:r>
            <w:r>
              <w:rPr>
                <w:rFonts w:ascii="Time New Roman" w:eastAsia="SimHei" w:hAnsi="Time New Roman" w:hint="eastAsia"/>
                <w:sz w:val="28"/>
              </w:rPr>
              <w:t xml:space="preserve"> </w:t>
            </w:r>
            <w:r>
              <w:rPr>
                <w:rFonts w:ascii="Time New Roman" w:eastAsia="SimHei" w:hAnsi="Time New Roman" w:hint="eastAsia"/>
                <w:sz w:val="28"/>
              </w:rPr>
              <w:t>合</w:t>
            </w:r>
            <w:r>
              <w:rPr>
                <w:rFonts w:ascii="Time New Roman" w:eastAsia="SimHei" w:hAnsi="Time New Roman" w:hint="eastAsia"/>
                <w:sz w:val="28"/>
              </w:rPr>
              <w:t xml:space="preserve"> </w:t>
            </w:r>
            <w:r>
              <w:rPr>
                <w:rFonts w:ascii="Time New Roman" w:eastAsia="SimHei" w:hAnsi="Time New Roman" w:hint="eastAsia"/>
                <w:sz w:val="28"/>
              </w:rPr>
              <w:t>国</w:t>
            </w:r>
          </w:p>
        </w:tc>
        <w:tc>
          <w:tcPr>
            <w:tcW w:w="6086" w:type="dxa"/>
            <w:gridSpan w:val="2"/>
            <w:tcBorders>
              <w:bottom w:val="single" w:sz="4" w:space="0" w:color="auto"/>
            </w:tcBorders>
            <w:vAlign w:val="bottom"/>
          </w:tcPr>
          <w:p w:rsidR="00F53D4C" w:rsidRDefault="00BC25ED" w:rsidP="00AE4D20">
            <w:pPr>
              <w:spacing w:line="240" w:lineRule="atLeast"/>
              <w:jc w:val="right"/>
              <w:rPr>
                <w:rFonts w:hint="eastAsia"/>
                <w:szCs w:val="21"/>
              </w:rPr>
            </w:pPr>
            <w:r>
              <w:rPr>
                <w:sz w:val="40"/>
                <w:szCs w:val="40"/>
              </w:rPr>
              <w:t>A</w:t>
            </w:r>
            <w:r w:rsidR="00F53D4C" w:rsidRPr="00637834">
              <w:rPr>
                <w:sz w:val="20"/>
              </w:rPr>
              <w:t>/</w:t>
            </w:r>
            <w:r>
              <w:rPr>
                <w:sz w:val="20"/>
              </w:rPr>
              <w:t>HRC</w:t>
            </w:r>
            <w:r w:rsidR="00F53D4C" w:rsidRPr="00637834">
              <w:rPr>
                <w:sz w:val="20"/>
              </w:rPr>
              <w:t>/</w:t>
            </w:r>
            <w:r>
              <w:rPr>
                <w:rFonts w:hint="eastAsia"/>
                <w:sz w:val="20"/>
              </w:rPr>
              <w:t>RES</w:t>
            </w:r>
            <w:r w:rsidR="001E23E3">
              <w:rPr>
                <w:rFonts w:hint="eastAsia"/>
                <w:sz w:val="20"/>
              </w:rPr>
              <w:t>/</w:t>
            </w:r>
            <w:r>
              <w:rPr>
                <w:rFonts w:hint="eastAsia"/>
                <w:sz w:val="20"/>
              </w:rPr>
              <w:t>26</w:t>
            </w:r>
            <w:r w:rsidR="001E23E3">
              <w:rPr>
                <w:rFonts w:hint="eastAsia"/>
                <w:sz w:val="20"/>
              </w:rPr>
              <w:t>/</w:t>
            </w:r>
            <w:r>
              <w:rPr>
                <w:rFonts w:hint="eastAsia"/>
                <w:sz w:val="20"/>
              </w:rPr>
              <w:t>22</w:t>
            </w:r>
          </w:p>
        </w:tc>
      </w:tr>
      <w:tr w:rsidR="00F53D4C">
        <w:trPr>
          <w:trHeight w:hRule="exact" w:val="2835"/>
        </w:trPr>
        <w:tc>
          <w:tcPr>
            <w:tcW w:w="1280" w:type="dxa"/>
            <w:tcBorders>
              <w:top w:val="single" w:sz="4" w:space="0" w:color="auto"/>
              <w:bottom w:val="single" w:sz="12" w:space="0" w:color="auto"/>
            </w:tcBorders>
          </w:tcPr>
          <w:p w:rsidR="00F53D4C" w:rsidRDefault="00F53D4C">
            <w:pPr>
              <w:spacing w:line="120" w:lineRule="atLeast"/>
              <w:rPr>
                <w:sz w:val="10"/>
                <w:szCs w:val="10"/>
              </w:rPr>
            </w:pPr>
          </w:p>
          <w:p w:rsidR="00F53D4C" w:rsidRDefault="00F53D4C">
            <w:pPr>
              <w:spacing w:line="120" w:lineRule="atLeast"/>
              <w:rPr>
                <w:sz w:val="10"/>
                <w:szCs w:val="1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F53D4C" w:rsidRPr="00A067AD" w:rsidRDefault="00F53D4C">
            <w:pPr>
              <w:spacing w:before="240" w:line="420" w:lineRule="exact"/>
              <w:rPr>
                <w:rFonts w:ascii="Time New Roman" w:eastAsia="SimHei" w:hAnsi="Time New Roman" w:hint="eastAsia"/>
                <w:sz w:val="40"/>
                <w:szCs w:val="40"/>
              </w:rPr>
            </w:pPr>
            <w:r w:rsidRPr="00A067AD">
              <w:rPr>
                <w:rFonts w:ascii="Time New Roman" w:eastAsia="SimHei" w:hAnsi="Time New Roman" w:hint="eastAsia"/>
                <w:sz w:val="40"/>
                <w:szCs w:val="40"/>
              </w:rPr>
              <w:t>大</w:t>
            </w:r>
            <w:r w:rsidRPr="00A067AD">
              <w:rPr>
                <w:rFonts w:ascii="Time New Roman" w:eastAsia="SimHei" w:hAnsi="Time New Roman" w:hint="eastAsia"/>
                <w:sz w:val="40"/>
                <w:szCs w:val="40"/>
              </w:rPr>
              <w:t xml:space="preserve">  </w:t>
            </w:r>
            <w:r w:rsidRPr="00A067AD">
              <w:rPr>
                <w:rFonts w:ascii="Time New Roman" w:eastAsia="SimHei" w:hAnsi="Time New Roman" w:hint="eastAsia"/>
                <w:sz w:val="40"/>
                <w:szCs w:val="40"/>
              </w:rPr>
              <w:t>会</w:t>
            </w:r>
          </w:p>
        </w:tc>
        <w:tc>
          <w:tcPr>
            <w:tcW w:w="2819" w:type="dxa"/>
            <w:tcBorders>
              <w:top w:val="single" w:sz="4" w:space="0" w:color="auto"/>
              <w:bottom w:val="single" w:sz="12" w:space="0" w:color="auto"/>
            </w:tcBorders>
          </w:tcPr>
          <w:p w:rsidR="00F53D4C" w:rsidRPr="00637834" w:rsidRDefault="00BC25ED" w:rsidP="00637834">
            <w:pPr>
              <w:spacing w:before="240" w:line="240" w:lineRule="atLeast"/>
              <w:rPr>
                <w:sz w:val="20"/>
              </w:rPr>
            </w:pPr>
            <w:r>
              <w:rPr>
                <w:sz w:val="20"/>
              </w:rPr>
              <w:t>Distr.: General</w:t>
            </w:r>
          </w:p>
          <w:p w:rsidR="00F53D4C" w:rsidRPr="00637834" w:rsidRDefault="000F1C2F">
            <w:pPr>
              <w:spacing w:line="240" w:lineRule="atLeast"/>
              <w:rPr>
                <w:rFonts w:hint="eastAsia"/>
                <w:sz w:val="20"/>
              </w:rPr>
            </w:pPr>
            <w:r>
              <w:rPr>
                <w:rFonts w:hint="eastAsia"/>
                <w:sz w:val="20"/>
              </w:rPr>
              <w:t xml:space="preserve">15 </w:t>
            </w:r>
            <w:r w:rsidRPr="000F1C2F">
              <w:rPr>
                <w:sz w:val="20"/>
              </w:rPr>
              <w:t>July</w:t>
            </w:r>
            <w:r w:rsidR="001C3E9A">
              <w:rPr>
                <w:sz w:val="20"/>
              </w:rPr>
              <w:t xml:space="preserve"> </w:t>
            </w:r>
            <w:r w:rsidR="00BC25ED">
              <w:rPr>
                <w:sz w:val="20"/>
              </w:rPr>
              <w:t>2</w:t>
            </w:r>
            <w:r w:rsidR="001C3E9A">
              <w:rPr>
                <w:sz w:val="20"/>
              </w:rPr>
              <w:t>0</w:t>
            </w:r>
            <w:r w:rsidR="00BC25ED">
              <w:rPr>
                <w:rFonts w:hint="eastAsia"/>
                <w:sz w:val="20"/>
              </w:rPr>
              <w:t>14</w:t>
            </w:r>
          </w:p>
          <w:p w:rsidR="00F53D4C" w:rsidRPr="00637834" w:rsidRDefault="00BC25ED">
            <w:pPr>
              <w:spacing w:line="240" w:lineRule="atLeast"/>
              <w:rPr>
                <w:sz w:val="20"/>
              </w:rPr>
            </w:pPr>
            <w:r>
              <w:rPr>
                <w:sz w:val="20"/>
              </w:rPr>
              <w:t>Chinese</w:t>
            </w:r>
            <w:r w:rsidR="00F53D4C" w:rsidRPr="00637834">
              <w:rPr>
                <w:sz w:val="20"/>
              </w:rPr>
              <w:t xml:space="preserve"> </w:t>
            </w:r>
          </w:p>
          <w:p w:rsidR="00F53D4C" w:rsidRPr="00637834" w:rsidRDefault="00BC25ED" w:rsidP="00751C2E">
            <w:pPr>
              <w:spacing w:line="240" w:lineRule="atLeast"/>
              <w:rPr>
                <w:rFonts w:hint="eastAsia"/>
              </w:rPr>
            </w:pPr>
            <w:r>
              <w:rPr>
                <w:sz w:val="20"/>
              </w:rPr>
              <w:t>Original: English</w:t>
            </w:r>
          </w:p>
        </w:tc>
      </w:tr>
    </w:tbl>
    <w:p w:rsidR="00F53D4C" w:rsidRDefault="00F53D4C">
      <w:pPr>
        <w:spacing w:before="120"/>
        <w:rPr>
          <w:rFonts w:eastAsia="SimHei" w:hint="eastAsia"/>
          <w:sz w:val="24"/>
          <w:szCs w:val="24"/>
          <w:lang w:val="fr-CH"/>
        </w:rPr>
      </w:pPr>
      <w:r>
        <w:rPr>
          <w:rFonts w:eastAsia="SimHei" w:hint="eastAsia"/>
          <w:sz w:val="24"/>
          <w:szCs w:val="24"/>
          <w:lang w:val="fr-CH"/>
        </w:rPr>
        <w:t>人权理事会</w:t>
      </w:r>
    </w:p>
    <w:p w:rsidR="00F53D4C" w:rsidRPr="000F1C2F" w:rsidRDefault="002F3F47">
      <w:pPr>
        <w:rPr>
          <w:rFonts w:eastAsia="SimHei" w:hint="eastAsia"/>
          <w:szCs w:val="21"/>
          <w:lang w:val="fr-CH"/>
        </w:rPr>
      </w:pPr>
      <w:r w:rsidRPr="000F1C2F">
        <w:rPr>
          <w:rFonts w:eastAsia="SimHei" w:hint="eastAsia"/>
          <w:szCs w:val="21"/>
          <w:lang w:val="fr-CH"/>
        </w:rPr>
        <w:t>第</w:t>
      </w:r>
      <w:r w:rsidR="00BC25ED" w:rsidRPr="000F1C2F">
        <w:rPr>
          <w:rFonts w:eastAsia="SimHei"/>
          <w:lang w:val="fr-CH"/>
        </w:rPr>
        <w:t>二十六</w:t>
      </w:r>
      <w:r w:rsidR="00F53D4C" w:rsidRPr="000F1C2F">
        <w:rPr>
          <w:rFonts w:eastAsia="SimHei" w:hint="eastAsia"/>
          <w:szCs w:val="21"/>
          <w:lang w:val="fr-CH"/>
        </w:rPr>
        <w:t>届会议</w:t>
      </w:r>
    </w:p>
    <w:p w:rsidR="00F53D4C" w:rsidRDefault="00F53D4C">
      <w:pPr>
        <w:rPr>
          <w:rFonts w:hint="eastAsia"/>
          <w:szCs w:val="21"/>
          <w:lang w:val="fr-CH"/>
        </w:rPr>
      </w:pPr>
      <w:r>
        <w:rPr>
          <w:rFonts w:hint="eastAsia"/>
          <w:szCs w:val="21"/>
          <w:lang w:val="fr-CH"/>
        </w:rPr>
        <w:t>议程项目</w:t>
      </w:r>
      <w:r w:rsidR="00BC25ED">
        <w:rPr>
          <w:rFonts w:hint="eastAsia"/>
          <w:szCs w:val="21"/>
          <w:lang w:val="fr-CH"/>
        </w:rPr>
        <w:t>3</w:t>
      </w:r>
    </w:p>
    <w:p w:rsidR="00BC25ED" w:rsidRPr="000F1C2F" w:rsidRDefault="00F77F01" w:rsidP="000F1C2F">
      <w:pPr>
        <w:rPr>
          <w:rFonts w:eastAsia="SimHei" w:hint="eastAsia"/>
          <w:lang w:val="fr-CH"/>
        </w:rPr>
      </w:pPr>
      <w:r w:rsidRPr="000F1C2F">
        <w:rPr>
          <w:rFonts w:eastAsia="SimHei"/>
        </w:rPr>
        <w:t>增进和保护所有人权</w:t>
      </w:r>
      <w:r w:rsidR="000F1C2F" w:rsidRPr="000F1C2F">
        <w:rPr>
          <w:rFonts w:eastAsia="SimHei" w:hint="eastAsia"/>
          <w:spacing w:val="-50"/>
        </w:rPr>
        <w:t>―</w:t>
      </w:r>
      <w:r w:rsidR="000F1C2F" w:rsidRPr="000F1C2F">
        <w:rPr>
          <w:rFonts w:eastAsia="SimHei" w:hint="eastAsia"/>
        </w:rPr>
        <w:t>―</w:t>
      </w:r>
      <w:r w:rsidRPr="000F1C2F">
        <w:rPr>
          <w:rFonts w:eastAsia="SimHei"/>
        </w:rPr>
        <w:t>公民权利、政治权利、</w:t>
      </w:r>
      <w:r w:rsidRPr="000F1C2F">
        <w:rPr>
          <w:rFonts w:eastAsia="SimHei" w:hint="eastAsia"/>
        </w:rPr>
        <w:br/>
      </w:r>
      <w:r w:rsidRPr="000F1C2F">
        <w:rPr>
          <w:rFonts w:eastAsia="SimHei"/>
        </w:rPr>
        <w:t>经济、社会和文化权利，包括发展权</w:t>
      </w:r>
    </w:p>
    <w:p w:rsidR="00BC25ED" w:rsidRPr="00BC25ED" w:rsidRDefault="00BC25ED" w:rsidP="000F1C2F">
      <w:pPr>
        <w:pStyle w:val="H1GC"/>
        <w:spacing w:before="560"/>
      </w:pPr>
      <w:r w:rsidRPr="00BC25ED">
        <w:tab/>
      </w:r>
      <w:r w:rsidRPr="00BC25ED">
        <w:tab/>
      </w:r>
      <w:r w:rsidRPr="00BC25ED">
        <w:rPr>
          <w:rFonts w:hint="eastAsia"/>
          <w:lang w:val="en-GB"/>
        </w:rPr>
        <w:t>人权理事会通过的决议</w:t>
      </w:r>
    </w:p>
    <w:p w:rsidR="00BC25ED" w:rsidRPr="00BC25ED" w:rsidRDefault="00BC25ED" w:rsidP="001A4A70">
      <w:pPr>
        <w:pStyle w:val="H1GC"/>
      </w:pPr>
      <w:r w:rsidRPr="00BC25ED">
        <w:tab/>
      </w:r>
      <w:r w:rsidRPr="00BC25ED">
        <w:tab/>
      </w:r>
      <w:r>
        <w:t>26</w:t>
      </w:r>
      <w:r w:rsidRPr="00BC25ED">
        <w:t>/</w:t>
      </w:r>
      <w:r>
        <w:rPr>
          <w:rFonts w:hint="eastAsia"/>
        </w:rPr>
        <w:t>22</w:t>
      </w:r>
      <w:r w:rsidR="000F1C2F">
        <w:rPr>
          <w:rFonts w:hint="eastAsia"/>
        </w:rPr>
        <w:t>|</w:t>
      </w:r>
      <w:r w:rsidR="001A4A70">
        <w:br/>
      </w:r>
      <w:r w:rsidRPr="00BC25ED">
        <w:t>人权与跨国公司和其他工商企业</w:t>
      </w:r>
    </w:p>
    <w:p w:rsidR="00BC25ED" w:rsidRPr="00BC25ED" w:rsidRDefault="00BC25ED" w:rsidP="00BC25ED">
      <w:pPr>
        <w:pStyle w:val="SingleTxtGC"/>
      </w:pPr>
      <w:r w:rsidRPr="00BC25ED">
        <w:tab/>
      </w:r>
      <w:r w:rsidRPr="00CC7406">
        <w:rPr>
          <w:rFonts w:eastAsia="KaiTi_GB2312"/>
        </w:rPr>
        <w:t>人权理事会</w:t>
      </w:r>
      <w:r w:rsidRPr="00BC25ED">
        <w:t>，</w:t>
      </w:r>
    </w:p>
    <w:p w:rsidR="00BC25ED" w:rsidRPr="00BC25ED" w:rsidRDefault="00BC25ED" w:rsidP="00BC25ED">
      <w:pPr>
        <w:pStyle w:val="SingleTxtGC"/>
      </w:pPr>
      <w:r w:rsidRPr="00BC25ED">
        <w:rPr>
          <w:rFonts w:hint="eastAsia"/>
        </w:rPr>
        <w:tab/>
      </w:r>
      <w:r w:rsidRPr="00CC7406">
        <w:rPr>
          <w:rFonts w:eastAsia="KaiTi_GB2312"/>
        </w:rPr>
        <w:t>回顾</w:t>
      </w:r>
      <w:r w:rsidRPr="00BC25ED">
        <w:t>理事会</w:t>
      </w:r>
      <w:r w:rsidRPr="00BC25ED">
        <w:rPr>
          <w:iCs/>
        </w:rPr>
        <w:t>关于人权与跨国公司和其他工商企业问题的</w:t>
      </w:r>
      <w:r>
        <w:rPr>
          <w:iCs/>
        </w:rPr>
        <w:t>2</w:t>
      </w:r>
      <w:r w:rsidRPr="00BC25ED">
        <w:rPr>
          <w:iCs/>
        </w:rPr>
        <w:t>00</w:t>
      </w:r>
      <w:r>
        <w:rPr>
          <w:iCs/>
        </w:rPr>
        <w:t>8</w:t>
      </w:r>
      <w:r w:rsidRPr="00BC25ED">
        <w:rPr>
          <w:iCs/>
        </w:rPr>
        <w:t>年</w:t>
      </w:r>
      <w:r>
        <w:rPr>
          <w:iCs/>
        </w:rPr>
        <w:t>6</w:t>
      </w:r>
      <w:r w:rsidRPr="00BC25ED">
        <w:rPr>
          <w:iCs/>
        </w:rPr>
        <w:t>月</w:t>
      </w:r>
      <w:r>
        <w:rPr>
          <w:iCs/>
        </w:rPr>
        <w:t>18</w:t>
      </w:r>
      <w:r w:rsidRPr="00BC25ED">
        <w:rPr>
          <w:iCs/>
        </w:rPr>
        <w:t>日第</w:t>
      </w:r>
      <w:r>
        <w:rPr>
          <w:iCs/>
        </w:rPr>
        <w:t>8</w:t>
      </w:r>
      <w:r w:rsidRPr="00BC25ED">
        <w:rPr>
          <w:iCs/>
        </w:rPr>
        <w:t>/</w:t>
      </w:r>
      <w:r>
        <w:rPr>
          <w:iCs/>
        </w:rPr>
        <w:t>7</w:t>
      </w:r>
      <w:r w:rsidRPr="00BC25ED">
        <w:rPr>
          <w:iCs/>
        </w:rPr>
        <w:t>号决议</w:t>
      </w:r>
      <w:r w:rsidRPr="00BC25ED">
        <w:rPr>
          <w:rFonts w:hint="eastAsia"/>
          <w:iCs/>
        </w:rPr>
        <w:t>、</w:t>
      </w:r>
      <w:r>
        <w:t>2</w:t>
      </w:r>
      <w:r w:rsidRPr="00BC25ED">
        <w:t>0</w:t>
      </w:r>
      <w:r>
        <w:t>11</w:t>
      </w:r>
      <w:r w:rsidRPr="00BC25ED">
        <w:rPr>
          <w:rFonts w:hint="eastAsia"/>
        </w:rPr>
        <w:t>年</w:t>
      </w:r>
      <w:r>
        <w:rPr>
          <w:rFonts w:hint="eastAsia"/>
        </w:rPr>
        <w:t>7</w:t>
      </w:r>
      <w:r w:rsidRPr="00BC25ED">
        <w:rPr>
          <w:rFonts w:hint="eastAsia"/>
        </w:rPr>
        <w:t>月</w:t>
      </w:r>
      <w:r>
        <w:rPr>
          <w:rFonts w:hint="eastAsia"/>
        </w:rPr>
        <w:t>6</w:t>
      </w:r>
      <w:r w:rsidRPr="00BC25ED">
        <w:rPr>
          <w:rFonts w:hint="eastAsia"/>
        </w:rPr>
        <w:t>日第</w:t>
      </w:r>
      <w:r>
        <w:t>17</w:t>
      </w:r>
      <w:r w:rsidRPr="00BC25ED">
        <w:t>/</w:t>
      </w:r>
      <w:r>
        <w:t>4</w:t>
      </w:r>
      <w:r w:rsidRPr="00BC25ED">
        <w:rPr>
          <w:rFonts w:hint="eastAsia"/>
        </w:rPr>
        <w:t>号决议</w:t>
      </w:r>
      <w:r w:rsidRPr="00BC25ED">
        <w:rPr>
          <w:iCs/>
        </w:rPr>
        <w:t>和</w:t>
      </w:r>
      <w:r>
        <w:rPr>
          <w:iCs/>
        </w:rPr>
        <w:t>2</w:t>
      </w:r>
      <w:r w:rsidRPr="00BC25ED">
        <w:rPr>
          <w:iCs/>
        </w:rPr>
        <w:t>0</w:t>
      </w:r>
      <w:r>
        <w:rPr>
          <w:iCs/>
        </w:rPr>
        <w:t>12</w:t>
      </w:r>
      <w:r w:rsidRPr="00BC25ED">
        <w:rPr>
          <w:iCs/>
        </w:rPr>
        <w:t>年</w:t>
      </w:r>
      <w:r>
        <w:rPr>
          <w:iCs/>
        </w:rPr>
        <w:t>9</w:t>
      </w:r>
      <w:r w:rsidRPr="00BC25ED">
        <w:rPr>
          <w:iCs/>
        </w:rPr>
        <w:t>月</w:t>
      </w:r>
      <w:r>
        <w:rPr>
          <w:iCs/>
        </w:rPr>
        <w:t>27</w:t>
      </w:r>
      <w:r w:rsidRPr="00BC25ED">
        <w:rPr>
          <w:iCs/>
        </w:rPr>
        <w:t>日第</w:t>
      </w:r>
      <w:r>
        <w:t>21</w:t>
      </w:r>
      <w:r w:rsidRPr="00BC25ED">
        <w:t>/</w:t>
      </w:r>
      <w:r>
        <w:t>5</w:t>
      </w:r>
      <w:r w:rsidRPr="00BC25ED">
        <w:t>号决议</w:t>
      </w:r>
      <w:r w:rsidRPr="00BC25ED">
        <w:rPr>
          <w:iCs/>
        </w:rPr>
        <w:t>，以及人权委员会</w:t>
      </w:r>
      <w:r>
        <w:rPr>
          <w:iCs/>
        </w:rPr>
        <w:t>2</w:t>
      </w:r>
      <w:r w:rsidRPr="00BC25ED">
        <w:rPr>
          <w:iCs/>
        </w:rPr>
        <w:t>00</w:t>
      </w:r>
      <w:r>
        <w:rPr>
          <w:iCs/>
        </w:rPr>
        <w:t>5</w:t>
      </w:r>
      <w:r w:rsidRPr="00BC25ED">
        <w:rPr>
          <w:iCs/>
        </w:rPr>
        <w:t>年</w:t>
      </w:r>
      <w:r>
        <w:rPr>
          <w:iCs/>
        </w:rPr>
        <w:t>4</w:t>
      </w:r>
      <w:r w:rsidRPr="00BC25ED">
        <w:rPr>
          <w:iCs/>
        </w:rPr>
        <w:t>月</w:t>
      </w:r>
      <w:r>
        <w:rPr>
          <w:iCs/>
        </w:rPr>
        <w:t>2</w:t>
      </w:r>
      <w:r w:rsidRPr="00BC25ED">
        <w:rPr>
          <w:iCs/>
        </w:rPr>
        <w:t>0</w:t>
      </w:r>
      <w:r w:rsidRPr="00BC25ED">
        <w:rPr>
          <w:iCs/>
        </w:rPr>
        <w:t>日第</w:t>
      </w:r>
      <w:r>
        <w:t>2</w:t>
      </w:r>
      <w:r w:rsidRPr="00BC25ED">
        <w:t>00</w:t>
      </w:r>
      <w:r>
        <w:t>5</w:t>
      </w:r>
      <w:r w:rsidRPr="00BC25ED">
        <w:t>/</w:t>
      </w:r>
      <w:r>
        <w:t>69</w:t>
      </w:r>
      <w:r w:rsidRPr="00BC25ED">
        <w:t>号决议，</w:t>
      </w:r>
    </w:p>
    <w:p w:rsidR="00BC25ED" w:rsidRPr="00BC25ED" w:rsidRDefault="00BC25ED" w:rsidP="00BC25ED">
      <w:pPr>
        <w:pStyle w:val="SingleTxtGC"/>
      </w:pPr>
      <w:r w:rsidRPr="00BC25ED">
        <w:rPr>
          <w:rFonts w:hint="eastAsia"/>
        </w:rPr>
        <w:tab/>
      </w:r>
      <w:r w:rsidRPr="00CC7406">
        <w:rPr>
          <w:rFonts w:eastAsia="KaiTi_GB2312"/>
        </w:rPr>
        <w:t>特别回顾</w:t>
      </w:r>
      <w:r w:rsidRPr="00BC25ED">
        <w:t>人权理事会第</w:t>
      </w:r>
      <w:r>
        <w:t>17</w:t>
      </w:r>
      <w:r w:rsidRPr="00BC25ED">
        <w:t>/</w:t>
      </w:r>
      <w:r>
        <w:t>4</w:t>
      </w:r>
      <w:r w:rsidRPr="00BC25ED">
        <w:t>号决议对《工商业与人权指导原则》的一致核可确立了一个权威性框架，以在联合国</w:t>
      </w:r>
      <w:r>
        <w:rPr>
          <w:rFonts w:hint="eastAsia"/>
        </w:rPr>
        <w:t>“</w:t>
      </w:r>
      <w:r w:rsidRPr="00BC25ED">
        <w:t>保护、尊重和补救</w:t>
      </w:r>
      <w:r>
        <w:rPr>
          <w:rFonts w:hint="eastAsia"/>
        </w:rPr>
        <w:t>”</w:t>
      </w:r>
      <w:r w:rsidRPr="00BC25ED">
        <w:t>框架</w:t>
      </w:r>
      <w:r w:rsidRPr="00BC25ED">
        <w:rPr>
          <w:rFonts w:hint="eastAsia"/>
        </w:rPr>
        <w:t xml:space="preserve"> </w:t>
      </w:r>
      <w:r w:rsidRPr="00BC25ED">
        <w:rPr>
          <w:vertAlign w:val="superscript"/>
        </w:rPr>
        <w:footnoteReference w:id="2"/>
      </w:r>
      <w:r w:rsidRPr="00BC25ED">
        <w:rPr>
          <w:rFonts w:hint="eastAsia"/>
        </w:rPr>
        <w:t xml:space="preserve"> </w:t>
      </w:r>
      <w:r w:rsidRPr="00BC25ED">
        <w:t>三大支柱的基础上防止和处理企业活动的不利人权风险和影响，</w:t>
      </w:r>
    </w:p>
    <w:p w:rsidR="00BC25ED" w:rsidRPr="00BC25ED" w:rsidRDefault="00BC25ED" w:rsidP="00BC25ED">
      <w:pPr>
        <w:pStyle w:val="SingleTxtGC"/>
      </w:pPr>
      <w:r w:rsidRPr="00BC25ED">
        <w:rPr>
          <w:rFonts w:hint="eastAsia"/>
        </w:rPr>
        <w:tab/>
      </w:r>
      <w:r w:rsidRPr="00CC7406">
        <w:rPr>
          <w:rFonts w:eastAsia="KaiTi_GB2312"/>
        </w:rPr>
        <w:t>回顾</w:t>
      </w:r>
      <w:r w:rsidRPr="00BC25ED">
        <w:t>理事会</w:t>
      </w:r>
      <w:r>
        <w:t>2</w:t>
      </w:r>
      <w:r w:rsidRPr="00BC25ED">
        <w:t>00</w:t>
      </w:r>
      <w:r>
        <w:t>7</w:t>
      </w:r>
      <w:r w:rsidRPr="00BC25ED">
        <w:t>年</w:t>
      </w:r>
      <w:r>
        <w:t>6</w:t>
      </w:r>
      <w:r w:rsidRPr="00BC25ED">
        <w:t>月</w:t>
      </w:r>
      <w:r>
        <w:t>18</w:t>
      </w:r>
      <w:r w:rsidRPr="00BC25ED">
        <w:t>日关于人权理事会体制建设的第</w:t>
      </w:r>
      <w:r>
        <w:t>5</w:t>
      </w:r>
      <w:r w:rsidRPr="00BC25ED">
        <w:t>/</w:t>
      </w:r>
      <w:r>
        <w:t>1</w:t>
      </w:r>
      <w:r w:rsidRPr="00BC25ED">
        <w:t>号决议和关于理事会特别程序任务负责人行为守则的第</w:t>
      </w:r>
      <w:r>
        <w:t>5</w:t>
      </w:r>
      <w:r w:rsidRPr="00BC25ED">
        <w:t>/</w:t>
      </w:r>
      <w:r>
        <w:t>2</w:t>
      </w:r>
      <w:r w:rsidRPr="00BC25ED">
        <w:t>号决议，强调任务负责人应根据这两项决议及其附件履行职责，</w:t>
      </w:r>
    </w:p>
    <w:p w:rsidR="00BC25ED" w:rsidRPr="00BC25ED" w:rsidRDefault="00A83BCF" w:rsidP="00BC25ED">
      <w:pPr>
        <w:pStyle w:val="SingleTxtGC"/>
      </w:pPr>
      <w:r>
        <w:br w:type="page"/>
      </w:r>
      <w:r w:rsidR="00BC25ED" w:rsidRPr="00BC25ED">
        <w:rPr>
          <w:rFonts w:hint="eastAsia"/>
        </w:rPr>
        <w:tab/>
      </w:r>
      <w:r w:rsidR="00BC25ED" w:rsidRPr="00D5424E">
        <w:rPr>
          <w:rFonts w:eastAsia="KaiTi_GB2312"/>
        </w:rPr>
        <w:t>强调</w:t>
      </w:r>
      <w:r w:rsidR="00BC25ED" w:rsidRPr="00BC25ED">
        <w:t>增进和保护人权和基本自由的义务和主要责任在于国家，</w:t>
      </w:r>
    </w:p>
    <w:p w:rsidR="00BC25ED" w:rsidRPr="00BC25ED" w:rsidRDefault="00BC25ED" w:rsidP="00BC25ED">
      <w:pPr>
        <w:pStyle w:val="SingleTxtGC"/>
      </w:pPr>
      <w:r w:rsidRPr="00BC25ED">
        <w:rPr>
          <w:rFonts w:hint="eastAsia"/>
        </w:rPr>
        <w:tab/>
      </w:r>
      <w:r w:rsidRPr="00D5424E">
        <w:rPr>
          <w:rFonts w:eastAsia="KaiTi_GB2312"/>
        </w:rPr>
        <w:t>强调</w:t>
      </w:r>
      <w:r w:rsidRPr="00BC25ED">
        <w:rPr>
          <w:rFonts w:hint="eastAsia"/>
        </w:rPr>
        <w:t>指出</w:t>
      </w:r>
      <w:r w:rsidRPr="00BC25ED">
        <w:t>，跨国公司和其他工商企业有责任尊重人权，</w:t>
      </w:r>
    </w:p>
    <w:p w:rsidR="00BC25ED" w:rsidRPr="00BC25ED" w:rsidRDefault="00BC25ED" w:rsidP="00BC25ED">
      <w:pPr>
        <w:pStyle w:val="SingleTxtGC"/>
      </w:pPr>
      <w:r w:rsidRPr="00BC25ED">
        <w:rPr>
          <w:rFonts w:hint="eastAsia"/>
          <w:iCs/>
        </w:rPr>
        <w:tab/>
      </w:r>
      <w:r w:rsidRPr="00D5424E">
        <w:rPr>
          <w:rFonts w:eastAsia="KaiTi_GB2312"/>
        </w:rPr>
        <w:t>确认</w:t>
      </w:r>
      <w:r w:rsidRPr="00BC25ED">
        <w:rPr>
          <w:iCs/>
        </w:rPr>
        <w:t>采取政策、</w:t>
      </w:r>
      <w:r w:rsidRPr="00BC25ED">
        <w:t>通过国家立法等方式对跨国公司和其他工商企业进行适当的监管、以及跨国公司和其他工商企业负责任地开展业务活动，均可对增进、保护、落实和尊重人权作出贡献，并可有助于将营业利润用于促进享有人权和基本自由，</w:t>
      </w:r>
    </w:p>
    <w:p w:rsidR="00BC25ED" w:rsidRPr="00BC25ED" w:rsidRDefault="00BC25ED" w:rsidP="00BC25ED">
      <w:pPr>
        <w:pStyle w:val="SingleTxtGC"/>
      </w:pPr>
      <w:r w:rsidRPr="00BC25ED">
        <w:rPr>
          <w:rFonts w:hint="eastAsia"/>
        </w:rPr>
        <w:tab/>
      </w:r>
      <w:r w:rsidRPr="00D5424E">
        <w:rPr>
          <w:rFonts w:eastAsia="KaiTi_GB2312" w:hint="eastAsia"/>
        </w:rPr>
        <w:t>感到</w:t>
      </w:r>
      <w:r w:rsidRPr="00D5424E">
        <w:rPr>
          <w:rFonts w:eastAsia="KaiTi_GB2312"/>
        </w:rPr>
        <w:t>关切</w:t>
      </w:r>
      <w:r w:rsidRPr="00BC25ED">
        <w:t>的是，薄弱的国家立法和执法无法切实减轻全球化对脆弱经济体的不利影响，也无法从跨国公司和其他工商企业的活动中获得最大好处，因此</w:t>
      </w:r>
      <w:r w:rsidRPr="00BC25ED">
        <w:rPr>
          <w:rFonts w:hint="eastAsia"/>
        </w:rPr>
        <w:t>必须</w:t>
      </w:r>
      <w:r w:rsidRPr="00BC25ED">
        <w:t>进一步努力缩小国家、区域和国际各级的治理差距，</w:t>
      </w:r>
    </w:p>
    <w:p w:rsidR="00BC25ED" w:rsidRPr="00BC25ED" w:rsidRDefault="00BC25ED" w:rsidP="00BC25ED">
      <w:pPr>
        <w:pStyle w:val="SingleTxtGC"/>
      </w:pPr>
      <w:r w:rsidRPr="00BC25ED">
        <w:rPr>
          <w:rFonts w:hint="eastAsia"/>
        </w:rPr>
        <w:tab/>
      </w:r>
      <w:r w:rsidRPr="00D5424E">
        <w:rPr>
          <w:rFonts w:eastAsia="KaiTi_GB2312"/>
        </w:rPr>
        <w:t>确认</w:t>
      </w:r>
      <w:r w:rsidRPr="00BC25ED">
        <w:t>一些国家、工商企业、国际组织和民间社会成员为执行《指导原则》所作的努力，</w:t>
      </w:r>
    </w:p>
    <w:p w:rsidR="00BC25ED" w:rsidRPr="00BC25ED" w:rsidRDefault="00BC25ED" w:rsidP="00BC25ED">
      <w:pPr>
        <w:pStyle w:val="SingleTxtGC"/>
      </w:pPr>
      <w:r w:rsidRPr="00BC25ED">
        <w:rPr>
          <w:rFonts w:hint="eastAsia"/>
        </w:rPr>
        <w:tab/>
      </w:r>
      <w:r w:rsidRPr="00D5424E">
        <w:rPr>
          <w:rFonts w:eastAsia="KaiTi_GB2312"/>
        </w:rPr>
        <w:t>又确认</w:t>
      </w:r>
      <w:r w:rsidRPr="00BC25ED">
        <w:t>包括非政府组织在内的民间社会在促进执行《指导原则》和追究与企业有关的侵犯人权行为的责任、提高人们对一些工商企业和活动的人权影响和风险的认识方面发挥着宝贵的作用，</w:t>
      </w:r>
    </w:p>
    <w:p w:rsidR="00BC25ED" w:rsidRPr="00BC25ED" w:rsidRDefault="00BC25ED" w:rsidP="00BC25ED">
      <w:pPr>
        <w:pStyle w:val="SingleTxtGC"/>
      </w:pPr>
      <w:r w:rsidRPr="00BC25ED">
        <w:rPr>
          <w:rFonts w:hint="eastAsia"/>
        </w:rPr>
        <w:tab/>
      </w:r>
      <w:r w:rsidRPr="00D5424E">
        <w:rPr>
          <w:rFonts w:eastAsia="KaiTi_GB2312"/>
        </w:rPr>
        <w:t>注意到</w:t>
      </w:r>
      <w:r w:rsidRPr="00BC25ED">
        <w:t>工商业与人权国家行动计划和其他此类框架可作为促进全面有效执行《指导原则》的工具，发挥重要作用，</w:t>
      </w:r>
    </w:p>
    <w:p w:rsidR="00BC25ED" w:rsidRPr="00BC25ED" w:rsidRDefault="00BC25ED" w:rsidP="00BC25ED">
      <w:pPr>
        <w:pStyle w:val="SingleTxtGC"/>
      </w:pPr>
      <w:r w:rsidRPr="00BC25ED">
        <w:rPr>
          <w:rFonts w:hint="eastAsia"/>
        </w:rPr>
        <w:tab/>
      </w:r>
      <w:r w:rsidRPr="00D5424E">
        <w:rPr>
          <w:rFonts w:eastAsia="KaiTi_GB2312" w:hint="eastAsia"/>
        </w:rPr>
        <w:t>感到</w:t>
      </w:r>
      <w:r w:rsidRPr="00D5424E">
        <w:rPr>
          <w:rFonts w:eastAsia="KaiTi_GB2312"/>
        </w:rPr>
        <w:t>关切</w:t>
      </w:r>
      <w:r w:rsidRPr="00BC25ED">
        <w:t>的是，对与企业有关的侵犯人权行为进行补救面临法律和实际障碍，可能使受害方没有机会获得有效补救，包括通过司法和非司法途径获得补救，并确认可进一步审议有关法律框架是否可为受影响的个人和社区提供更有效的补救途径这一问题，</w:t>
      </w:r>
    </w:p>
    <w:p w:rsidR="00BC25ED" w:rsidRPr="00BC25ED" w:rsidRDefault="00BC25ED" w:rsidP="00BC25ED">
      <w:pPr>
        <w:pStyle w:val="SingleTxtGC"/>
      </w:pPr>
      <w:r w:rsidRPr="00BC25ED">
        <w:rPr>
          <w:rFonts w:hint="eastAsia"/>
        </w:rPr>
        <w:tab/>
      </w:r>
      <w:r w:rsidRPr="00D5424E">
        <w:rPr>
          <w:rFonts w:eastAsia="KaiTi_GB2312"/>
        </w:rPr>
        <w:t>确认</w:t>
      </w:r>
      <w:r w:rsidRPr="00BC25ED">
        <w:t>工商业与人权年度论坛规模有所扩大，已成为所有相关利益攸关方就执行《指导原则》方面的挑战、经验教训和良好做法开展建设性的全球交流的宝贵机会，</w:t>
      </w:r>
    </w:p>
    <w:p w:rsidR="00BC25ED" w:rsidRPr="00BC25ED" w:rsidRDefault="00BC25ED" w:rsidP="00BC25ED">
      <w:pPr>
        <w:pStyle w:val="SingleTxtGC"/>
      </w:pPr>
      <w:r w:rsidRPr="00BC25ED">
        <w:rPr>
          <w:rFonts w:hint="eastAsia"/>
        </w:rPr>
        <w:tab/>
      </w:r>
      <w:r w:rsidRPr="00D5424E">
        <w:rPr>
          <w:rFonts w:eastAsia="KaiTi_GB2312"/>
        </w:rPr>
        <w:t>又确认</w:t>
      </w:r>
      <w:r w:rsidRPr="00BC25ED">
        <w:t>必须加强</w:t>
      </w:r>
      <w:r w:rsidRPr="00BC25ED">
        <w:rPr>
          <w:rFonts w:hint="eastAsia"/>
        </w:rPr>
        <w:t>各国</w:t>
      </w:r>
      <w:r w:rsidRPr="00BC25ED">
        <w:t>政府、工商企业、民间社会和其他利益攸关方的能力</w:t>
      </w:r>
      <w:r w:rsidRPr="00BC25ED">
        <w:rPr>
          <w:rFonts w:hint="eastAsia"/>
        </w:rPr>
        <w:t>，以</w:t>
      </w:r>
      <w:r w:rsidRPr="00BC25ED">
        <w:t>更好地防止</w:t>
      </w:r>
      <w:r w:rsidRPr="00BC25ED">
        <w:rPr>
          <w:rFonts w:hint="eastAsia"/>
        </w:rPr>
        <w:t>与企业有关的</w:t>
      </w:r>
      <w:r w:rsidRPr="00BC25ED">
        <w:t>侵犯人权行为、提供有效补救</w:t>
      </w:r>
      <w:r w:rsidRPr="00BC25ED">
        <w:rPr>
          <w:rFonts w:hint="eastAsia"/>
        </w:rPr>
        <w:t>、</w:t>
      </w:r>
      <w:r w:rsidRPr="00BC25ED">
        <w:t>应对工商业与人权领域</w:t>
      </w:r>
      <w:r w:rsidRPr="00BC25ED">
        <w:rPr>
          <w:rFonts w:hint="eastAsia"/>
        </w:rPr>
        <w:t>的</w:t>
      </w:r>
      <w:r w:rsidRPr="00BC25ED">
        <w:t>挑战，并确认联合国系统在这方面可发挥重要作用，</w:t>
      </w:r>
    </w:p>
    <w:p w:rsidR="00BC25ED" w:rsidRPr="00BC25ED" w:rsidRDefault="00BC25ED" w:rsidP="00BC25ED">
      <w:pPr>
        <w:pStyle w:val="SingleTxtGC"/>
      </w:pPr>
      <w:r w:rsidRPr="00BC25ED">
        <w:rPr>
          <w:rFonts w:hint="eastAsia"/>
        </w:rPr>
        <w:tab/>
      </w:r>
      <w:r w:rsidRPr="00D5424E">
        <w:rPr>
          <w:rFonts w:eastAsia="KaiTi_GB2312"/>
        </w:rPr>
        <w:t>回顾</w:t>
      </w:r>
      <w:r w:rsidRPr="00BC25ED">
        <w:t>联合国各人权条约机构的意见和建议，包括涉及人权与跨国公司和其他工商企业问题的一般性意见，如儿童权利委员会第</w:t>
      </w:r>
      <w:r>
        <w:t>16</w:t>
      </w:r>
      <w:r w:rsidRPr="00BC25ED">
        <w:t>号一般性意见，</w:t>
      </w:r>
    </w:p>
    <w:p w:rsidR="00BC25ED" w:rsidRPr="00BC25ED" w:rsidRDefault="000F1C2F" w:rsidP="00BC25ED">
      <w:pPr>
        <w:pStyle w:val="SingleTxtGC"/>
      </w:pPr>
      <w:r>
        <w:br w:type="page"/>
      </w:r>
      <w:r w:rsidR="00BC25ED" w:rsidRPr="00BC25ED">
        <w:rPr>
          <w:rFonts w:hint="eastAsia"/>
        </w:rPr>
        <w:tab/>
      </w:r>
      <w:r w:rsidR="00BC25ED">
        <w:t>1</w:t>
      </w:r>
      <w:r w:rsidR="00BC25ED" w:rsidRPr="00BC25ED">
        <w:t>.</w:t>
      </w:r>
      <w:r w:rsidR="00BC25ED" w:rsidRPr="00BC25ED">
        <w:tab/>
      </w:r>
      <w:r w:rsidR="00BC25ED" w:rsidRPr="00D5424E">
        <w:rPr>
          <w:rFonts w:eastAsia="KaiTi_GB2312"/>
        </w:rPr>
        <w:t>欢迎</w:t>
      </w:r>
      <w:r w:rsidR="00BC25ED" w:rsidRPr="00BC25ED">
        <w:t>人权与跨国公司和其他工商企业问题工作组在履行任务过程中开展的工作，包括举行区域论坛，就执行《工商业与人权指导原则》</w:t>
      </w:r>
      <w:r w:rsidR="00BC25ED" w:rsidRPr="00BC25ED">
        <w:rPr>
          <w:rFonts w:hint="eastAsia"/>
        </w:rPr>
        <w:t>方面</w:t>
      </w:r>
      <w:r w:rsidR="00BC25ED" w:rsidRPr="00BC25ED">
        <w:t>的挑战和经验教训在区域内与各国和其他利益攸关方进行讨论；</w:t>
      </w:r>
      <w:r w:rsidR="00BC25ED" w:rsidRPr="00BC25ED">
        <w:rPr>
          <w:vertAlign w:val="superscript"/>
        </w:rPr>
        <w:footnoteReference w:id="3"/>
      </w:r>
    </w:p>
    <w:p w:rsidR="00BC25ED" w:rsidRPr="00BC25ED" w:rsidRDefault="00BC25ED" w:rsidP="00BC25ED">
      <w:pPr>
        <w:pStyle w:val="SingleTxtGC"/>
      </w:pPr>
      <w:r w:rsidRPr="00BC25ED">
        <w:rPr>
          <w:rFonts w:hint="eastAsia"/>
        </w:rPr>
        <w:tab/>
      </w:r>
      <w:r>
        <w:t>2</w:t>
      </w:r>
      <w:r w:rsidRPr="00BC25ED">
        <w:t>.</w:t>
      </w:r>
      <w:r w:rsidRPr="00BC25ED">
        <w:tab/>
      </w:r>
      <w:r w:rsidRPr="00D5424E">
        <w:rPr>
          <w:rFonts w:eastAsia="KaiTi_GB2312"/>
        </w:rPr>
        <w:t>确认</w:t>
      </w:r>
      <w:r w:rsidRPr="00BC25ED">
        <w:t>《指导原则》的切实执行应涵盖一系列公共政策领域；鼓励所有国家采取步骤执行《指导原则》，包括制定一项国家行动计划或其他此类框架；</w:t>
      </w:r>
    </w:p>
    <w:p w:rsidR="00BC25ED" w:rsidRPr="00BC25ED" w:rsidRDefault="00BC25ED" w:rsidP="00BC25ED">
      <w:pPr>
        <w:pStyle w:val="SingleTxtGC"/>
      </w:pPr>
      <w:r w:rsidRPr="00BC25ED">
        <w:rPr>
          <w:rFonts w:hint="eastAsia"/>
        </w:rPr>
        <w:tab/>
      </w:r>
      <w:r>
        <w:t>3</w:t>
      </w:r>
      <w:r w:rsidRPr="00BC25ED">
        <w:t>.</w:t>
      </w:r>
      <w:r w:rsidRPr="00BC25ED">
        <w:tab/>
      </w:r>
      <w:r w:rsidRPr="00D5424E">
        <w:rPr>
          <w:rFonts w:eastAsia="KaiTi_GB2312"/>
        </w:rPr>
        <w:t>吁请</w:t>
      </w:r>
      <w:r w:rsidRPr="00BC25ED">
        <w:t>所有工商企业根据《指导原则》履行尊重人权的责任；</w:t>
      </w:r>
    </w:p>
    <w:p w:rsidR="00BC25ED" w:rsidRPr="00BC25ED" w:rsidRDefault="00BC25ED" w:rsidP="00BC25ED">
      <w:pPr>
        <w:pStyle w:val="SingleTxtGC"/>
      </w:pPr>
      <w:r w:rsidRPr="00BC25ED">
        <w:rPr>
          <w:rFonts w:hint="eastAsia"/>
        </w:rPr>
        <w:tab/>
      </w:r>
      <w:r>
        <w:t>4</w:t>
      </w:r>
      <w:r w:rsidRPr="00BC25ED">
        <w:t>.</w:t>
      </w:r>
      <w:r w:rsidRPr="00BC25ED">
        <w:tab/>
      </w:r>
      <w:r w:rsidRPr="00D5424E">
        <w:rPr>
          <w:rFonts w:eastAsia="KaiTi_GB2312"/>
        </w:rPr>
        <w:t>欢迎</w:t>
      </w:r>
      <w:r w:rsidRPr="00BC25ED">
        <w:t>工作组努力建立数据库，记录国家行动计划和</w:t>
      </w:r>
      <w:r w:rsidRPr="00BC25ED">
        <w:rPr>
          <w:rFonts w:hint="eastAsia"/>
        </w:rPr>
        <w:t>关于</w:t>
      </w:r>
      <w:r w:rsidRPr="00BC25ED">
        <w:t>全球执行《指导原则》方面的进展情况的其他有关数据；为此鼓励各国提交关于其国家行动计划和其他相关举措的资料，包括关于这</w:t>
      </w:r>
      <w:r w:rsidRPr="00BC25ED">
        <w:rPr>
          <w:rFonts w:hint="eastAsia"/>
        </w:rPr>
        <w:t>类</w:t>
      </w:r>
      <w:r w:rsidRPr="00BC25ED">
        <w:t>承诺的履行情况的年度报告；并请所有相关利益攸关方向工作组提交有关资料；</w:t>
      </w:r>
    </w:p>
    <w:p w:rsidR="00BC25ED" w:rsidRPr="00BC25ED" w:rsidRDefault="00BC25ED" w:rsidP="00BC25ED">
      <w:pPr>
        <w:pStyle w:val="SingleTxtGC"/>
      </w:pPr>
      <w:r w:rsidRPr="00BC25ED">
        <w:rPr>
          <w:rFonts w:hint="eastAsia"/>
        </w:rPr>
        <w:tab/>
      </w:r>
      <w:r>
        <w:t>5</w:t>
      </w:r>
      <w:r w:rsidRPr="00BC25ED">
        <w:t>.</w:t>
      </w:r>
      <w:r w:rsidRPr="00BC25ED">
        <w:tab/>
      </w:r>
      <w:r w:rsidRPr="00D5424E">
        <w:rPr>
          <w:rFonts w:eastAsia="KaiTi_GB2312"/>
        </w:rPr>
        <w:t>又欢迎</w:t>
      </w:r>
      <w:r w:rsidRPr="00BC25ED">
        <w:t>工作组努力为制定和执行有效的国家行动计划编制指导意见，包括关于获取司法和非司法补救的途径的指导意见；鼓励所有国家和其他利益攸关方与工作组合作编制这类指导意见；</w:t>
      </w:r>
    </w:p>
    <w:p w:rsidR="00BC25ED" w:rsidRPr="00BC25ED" w:rsidRDefault="00BC25ED" w:rsidP="00BC25ED">
      <w:pPr>
        <w:pStyle w:val="SingleTxtGC"/>
      </w:pPr>
      <w:r w:rsidRPr="00BC25ED">
        <w:rPr>
          <w:rFonts w:hint="eastAsia"/>
        </w:rPr>
        <w:tab/>
      </w:r>
      <w:r>
        <w:t>6</w:t>
      </w:r>
      <w:r w:rsidRPr="00BC25ED">
        <w:t>.</w:t>
      </w:r>
      <w:r w:rsidRPr="00BC25ED">
        <w:tab/>
      </w:r>
      <w:r w:rsidRPr="00D5424E">
        <w:rPr>
          <w:rFonts w:eastAsia="KaiTi_GB2312"/>
        </w:rPr>
        <w:t>鼓励</w:t>
      </w:r>
      <w:r w:rsidRPr="00BC25ED">
        <w:t>工作组查明并推广</w:t>
      </w:r>
      <w:r w:rsidRPr="00BC25ED">
        <w:rPr>
          <w:rFonts w:hint="eastAsia"/>
        </w:rPr>
        <w:t>各</w:t>
      </w:r>
      <w:r w:rsidRPr="00BC25ED">
        <w:t>国执行《指导原则》的最佳做法，并在提交人权理事会的年度报告中说明其调查结果，包括全球执行《指导原则》方面的进展情况；</w:t>
      </w:r>
    </w:p>
    <w:p w:rsidR="00BC25ED" w:rsidRPr="00BC25ED" w:rsidRDefault="00BC25ED" w:rsidP="00BC25ED">
      <w:pPr>
        <w:pStyle w:val="SingleTxtGC"/>
        <w:rPr>
          <w:rFonts w:hint="eastAsia"/>
        </w:rPr>
      </w:pPr>
      <w:r w:rsidRPr="00BC25ED">
        <w:rPr>
          <w:rFonts w:hint="eastAsia"/>
        </w:rPr>
        <w:tab/>
      </w:r>
      <w:r>
        <w:t>7</w:t>
      </w:r>
      <w:r w:rsidRPr="00BC25ED">
        <w:t>.</w:t>
      </w:r>
      <w:r w:rsidRPr="00BC25ED">
        <w:tab/>
      </w:r>
      <w:r w:rsidRPr="00D5424E">
        <w:rPr>
          <w:rFonts w:eastAsia="KaiTi_GB2312"/>
        </w:rPr>
        <w:t>请</w:t>
      </w:r>
      <w:r w:rsidRPr="00BC25ED">
        <w:t>联合国人权事务高级专员继续</w:t>
      </w:r>
      <w:r w:rsidRPr="00BC25ED">
        <w:rPr>
          <w:rFonts w:hint="eastAsia"/>
        </w:rPr>
        <w:t>与工作组合作，努力促进分享和探讨</w:t>
      </w:r>
      <w:r w:rsidRPr="00BC25ED">
        <w:t>关于改善与企业有关的侵犯人权行为受害者获取补救的途径的</w:t>
      </w:r>
      <w:r w:rsidRPr="00BC25ED">
        <w:rPr>
          <w:rFonts w:hint="eastAsia"/>
        </w:rPr>
        <w:t>整套</w:t>
      </w:r>
      <w:r w:rsidRPr="00BC25ED">
        <w:t>法律</w:t>
      </w:r>
      <w:r w:rsidRPr="00BC25ED">
        <w:rPr>
          <w:rFonts w:hint="eastAsia"/>
        </w:rPr>
        <w:t>办法</w:t>
      </w:r>
      <w:r w:rsidRPr="00BC25ED">
        <w:t>和实际措施，与专家、各国和其相关他利益攸关方进行磋商，以</w:t>
      </w:r>
      <w:r w:rsidRPr="00BC25ED">
        <w:rPr>
          <w:rFonts w:hint="eastAsia"/>
        </w:rPr>
        <w:t>促进相互了解，在不同的意见之间达成更大的一致，</w:t>
      </w:r>
      <w:r w:rsidRPr="00BC25ED">
        <w:t>就此</w:t>
      </w:r>
      <w:r w:rsidRPr="00BC25ED">
        <w:rPr>
          <w:rFonts w:hint="eastAsia"/>
        </w:rPr>
        <w:t>在</w:t>
      </w:r>
      <w:r w:rsidRPr="00BC25ED">
        <w:t>人权理事会第二十九届会议</w:t>
      </w:r>
      <w:r w:rsidRPr="00BC25ED">
        <w:rPr>
          <w:rFonts w:hint="eastAsia"/>
        </w:rPr>
        <w:t>之前发表</w:t>
      </w:r>
      <w:r w:rsidRPr="00BC25ED">
        <w:t>一份进展报告，</w:t>
      </w:r>
      <w:r w:rsidRPr="00BC25ED">
        <w:rPr>
          <w:rFonts w:hint="eastAsia"/>
        </w:rPr>
        <w:t>并由</w:t>
      </w:r>
      <w:r w:rsidRPr="00BC25ED">
        <w:t>理事会第三十二届会议</w:t>
      </w:r>
      <w:r w:rsidRPr="00BC25ED">
        <w:rPr>
          <w:rFonts w:hint="eastAsia"/>
        </w:rPr>
        <w:t>审议</w:t>
      </w:r>
      <w:r w:rsidRPr="00BC25ED">
        <w:t>最后报告；</w:t>
      </w:r>
    </w:p>
    <w:p w:rsidR="00BC25ED" w:rsidRPr="00BC25ED" w:rsidRDefault="00BC25ED" w:rsidP="00BC25ED">
      <w:pPr>
        <w:pStyle w:val="SingleTxtGC"/>
      </w:pPr>
      <w:r w:rsidRPr="00BC25ED">
        <w:rPr>
          <w:rFonts w:hint="eastAsia"/>
        </w:rPr>
        <w:tab/>
      </w:r>
      <w:r>
        <w:rPr>
          <w:rFonts w:hint="eastAsia"/>
        </w:rPr>
        <w:t>8</w:t>
      </w:r>
      <w:r w:rsidRPr="00BC25ED">
        <w:t>.</w:t>
      </w:r>
      <w:r w:rsidRPr="00BC25ED">
        <w:tab/>
      </w:r>
      <w:r w:rsidRPr="00D5424E">
        <w:rPr>
          <w:rFonts w:eastAsia="KaiTi_GB2312"/>
        </w:rPr>
        <w:t>欢迎</w:t>
      </w:r>
      <w:r w:rsidRPr="00BC25ED">
        <w:t>工作组在</w:t>
      </w:r>
      <w:r w:rsidRPr="00BC25ED">
        <w:rPr>
          <w:rFonts w:hint="eastAsia"/>
        </w:rPr>
        <w:t>头</w:t>
      </w:r>
      <w:r w:rsidRPr="00BC25ED">
        <w:t>两次工商业与人权年度论坛发挥的指导作用；鼓励所有利益攸关方继续参加论坛；决定这一为期两天的论坛仍应每年举行一次，并增加一个会议日，以进行筹备工作和分享新的工具和经验；</w:t>
      </w:r>
    </w:p>
    <w:p w:rsidR="00BC25ED" w:rsidRPr="00BC25ED" w:rsidRDefault="00BC25ED" w:rsidP="00BC25ED">
      <w:pPr>
        <w:pStyle w:val="SingleTxtGC"/>
        <w:rPr>
          <w:rFonts w:hint="eastAsia"/>
        </w:rPr>
      </w:pPr>
      <w:r w:rsidRPr="00BC25ED">
        <w:rPr>
          <w:rFonts w:hint="eastAsia"/>
        </w:rPr>
        <w:tab/>
      </w:r>
      <w:r>
        <w:rPr>
          <w:rFonts w:hint="eastAsia"/>
        </w:rPr>
        <w:t>9</w:t>
      </w:r>
      <w:r w:rsidRPr="00BC25ED">
        <w:t>.</w:t>
      </w:r>
      <w:r w:rsidRPr="00BC25ED">
        <w:tab/>
      </w:r>
      <w:r w:rsidRPr="00D5424E">
        <w:rPr>
          <w:rFonts w:eastAsia="KaiTi_GB2312"/>
        </w:rPr>
        <w:t>请</w:t>
      </w:r>
      <w:r w:rsidRPr="00BC25ED">
        <w:t>工作组将与企业有关的侵犯人权行为受害者获取司法和非司法补救的途径</w:t>
      </w:r>
      <w:r w:rsidRPr="00BC25ED">
        <w:rPr>
          <w:rFonts w:hint="eastAsia"/>
        </w:rPr>
        <w:t>等</w:t>
      </w:r>
      <w:r w:rsidRPr="00BC25ED">
        <w:t>问题列为工商业与人权论坛的议程项目，以</w:t>
      </w:r>
      <w:r w:rsidRPr="00BC25ED">
        <w:rPr>
          <w:rFonts w:hint="eastAsia"/>
        </w:rPr>
        <w:t>促进相互了解，在不同的意见之间达成更大的一致；</w:t>
      </w:r>
    </w:p>
    <w:p w:rsidR="00BC25ED" w:rsidRPr="00BC25ED" w:rsidRDefault="00BC25ED" w:rsidP="00BC25ED">
      <w:pPr>
        <w:pStyle w:val="SingleTxtGC"/>
      </w:pPr>
      <w:r w:rsidRPr="00BC25ED">
        <w:rPr>
          <w:rFonts w:hint="eastAsia"/>
        </w:rPr>
        <w:tab/>
      </w:r>
      <w:r>
        <w:t>1</w:t>
      </w:r>
      <w:r w:rsidRPr="00BC25ED">
        <w:rPr>
          <w:rFonts w:hint="eastAsia"/>
        </w:rPr>
        <w:t>0</w:t>
      </w:r>
      <w:r w:rsidRPr="00BC25ED">
        <w:t>.</w:t>
      </w:r>
      <w:r w:rsidRPr="00BC25ED">
        <w:tab/>
      </w:r>
      <w:r w:rsidRPr="00D5424E">
        <w:rPr>
          <w:rFonts w:eastAsia="KaiTi_GB2312"/>
        </w:rPr>
        <w:t>决定</w:t>
      </w:r>
      <w:r w:rsidRPr="00BC25ED">
        <w:t>将人权理事会第</w:t>
      </w:r>
      <w:r>
        <w:t>17</w:t>
      </w:r>
      <w:r w:rsidRPr="00BC25ED">
        <w:t>/</w:t>
      </w:r>
      <w:r>
        <w:t>4</w:t>
      </w:r>
      <w:r w:rsidRPr="00BC25ED">
        <w:t>号决议所规定的人权与跨国公司和其他工商企业问题工作组的任期延长三年；</w:t>
      </w:r>
    </w:p>
    <w:p w:rsidR="00BC25ED" w:rsidRPr="00BC25ED" w:rsidRDefault="00BC25ED" w:rsidP="00BC25ED">
      <w:pPr>
        <w:pStyle w:val="SingleTxtGC"/>
      </w:pPr>
      <w:r w:rsidRPr="00BC25ED">
        <w:rPr>
          <w:rFonts w:hint="eastAsia"/>
        </w:rPr>
        <w:tab/>
      </w:r>
      <w:r>
        <w:t>1</w:t>
      </w:r>
      <w:r>
        <w:rPr>
          <w:rFonts w:hint="eastAsia"/>
        </w:rPr>
        <w:t>1</w:t>
      </w:r>
      <w:r w:rsidRPr="00BC25ED">
        <w:t>.</w:t>
      </w:r>
      <w:r w:rsidRPr="00BC25ED">
        <w:tab/>
      </w:r>
      <w:r w:rsidRPr="00D5424E">
        <w:rPr>
          <w:rFonts w:eastAsia="KaiTi_GB2312"/>
        </w:rPr>
        <w:t>鼓励</w:t>
      </w:r>
      <w:r w:rsidRPr="00BC25ED">
        <w:t>所有国家、联合国有关机构、基金</w:t>
      </w:r>
      <w:r w:rsidRPr="00BC25ED">
        <w:t>(</w:t>
      </w:r>
      <w:r w:rsidRPr="00BC25ED">
        <w:t>会</w:t>
      </w:r>
      <w:r w:rsidRPr="00BC25ED">
        <w:t>)</w:t>
      </w:r>
      <w:r w:rsidRPr="00BC25ED">
        <w:t>和计</w:t>
      </w:r>
      <w:r w:rsidRPr="00BC25ED">
        <w:t>(</w:t>
      </w:r>
      <w:r w:rsidRPr="00BC25ED">
        <w:t>规</w:t>
      </w:r>
      <w:r w:rsidRPr="00BC25ED">
        <w:t>)</w:t>
      </w:r>
      <w:r w:rsidRPr="00BC25ED">
        <w:t>划署、条约机构、包括非政府组织在内的民间社会行为方以及公营和私营企业在工作组履行任务时与其充分合作，特别是回复工作组转交的来文，并</w:t>
      </w:r>
      <w:r w:rsidRPr="00BC25ED">
        <w:rPr>
          <w:rFonts w:hint="eastAsia"/>
        </w:rPr>
        <w:t>请</w:t>
      </w:r>
      <w:r w:rsidRPr="00BC25ED">
        <w:t>各国答应工作组提出的访问请求；</w:t>
      </w:r>
    </w:p>
    <w:p w:rsidR="00BC25ED" w:rsidRPr="00BC25ED" w:rsidRDefault="00BC25ED" w:rsidP="00BC25ED">
      <w:pPr>
        <w:pStyle w:val="SingleTxtGC"/>
      </w:pPr>
      <w:r w:rsidRPr="00BC25ED">
        <w:rPr>
          <w:rFonts w:hint="eastAsia"/>
        </w:rPr>
        <w:tab/>
      </w:r>
      <w:r>
        <w:t>1</w:t>
      </w:r>
      <w:r>
        <w:rPr>
          <w:rFonts w:hint="eastAsia"/>
        </w:rPr>
        <w:t>2</w:t>
      </w:r>
      <w:r w:rsidRPr="00BC25ED">
        <w:t>.</w:t>
      </w:r>
      <w:r w:rsidRPr="00BC25ED">
        <w:tab/>
      </w:r>
      <w:r w:rsidRPr="00D5424E">
        <w:rPr>
          <w:rFonts w:eastAsia="KaiTi_GB2312"/>
        </w:rPr>
        <w:t>请</w:t>
      </w:r>
      <w:r w:rsidRPr="00BC25ED">
        <w:t>各国际组织和区域组织在制定或拟定相关政策和文书时征求工作组的意见；并请工作组继续与联合国有关机构、包括条约机构和特别程序密切合作；</w:t>
      </w:r>
    </w:p>
    <w:p w:rsidR="00BC25ED" w:rsidRPr="00BC25ED" w:rsidRDefault="00BC25ED" w:rsidP="00BC25ED">
      <w:pPr>
        <w:pStyle w:val="SingleTxtGC"/>
      </w:pPr>
      <w:r w:rsidRPr="00BC25ED">
        <w:rPr>
          <w:rFonts w:hint="eastAsia"/>
        </w:rPr>
        <w:tab/>
      </w:r>
      <w:r>
        <w:t>1</w:t>
      </w:r>
      <w:r>
        <w:rPr>
          <w:rFonts w:hint="eastAsia"/>
        </w:rPr>
        <w:t>3</w:t>
      </w:r>
      <w:r w:rsidRPr="00BC25ED">
        <w:t>.</w:t>
      </w:r>
      <w:r w:rsidRPr="00BC25ED">
        <w:tab/>
      </w:r>
      <w:r w:rsidRPr="00D5424E">
        <w:rPr>
          <w:rFonts w:eastAsia="KaiTi_GB2312"/>
        </w:rPr>
        <w:t>请</w:t>
      </w:r>
      <w:r w:rsidRPr="00BC25ED">
        <w:t>秘书长和高级专员为工作组切实履行任务提供一切必要的资源和援助，包括为执行《指导原则》和以可持续方式组织论坛编制指导意见；</w:t>
      </w:r>
    </w:p>
    <w:p w:rsidR="00BC25ED" w:rsidRPr="00BC25ED" w:rsidRDefault="00BC25ED" w:rsidP="00BC25ED">
      <w:pPr>
        <w:pStyle w:val="SingleTxtGC"/>
      </w:pPr>
      <w:r w:rsidRPr="00BC25ED">
        <w:rPr>
          <w:rFonts w:hint="eastAsia"/>
        </w:rPr>
        <w:tab/>
      </w:r>
      <w:r>
        <w:t>1</w:t>
      </w:r>
      <w:r>
        <w:rPr>
          <w:rFonts w:hint="eastAsia"/>
        </w:rPr>
        <w:t>4</w:t>
      </w:r>
      <w:r w:rsidRPr="00BC25ED">
        <w:t>.</w:t>
      </w:r>
      <w:r w:rsidRPr="00BC25ED">
        <w:tab/>
      </w:r>
      <w:r w:rsidRPr="00D5424E">
        <w:rPr>
          <w:rFonts w:eastAsia="KaiTi_GB2312"/>
        </w:rPr>
        <w:t>欢迎</w:t>
      </w:r>
      <w:r w:rsidRPr="00BC25ED">
        <w:t>各国家人权机构努力</w:t>
      </w:r>
      <w:r w:rsidRPr="00BC25ED">
        <w:rPr>
          <w:rFonts w:hint="eastAsia"/>
        </w:rPr>
        <w:t>增</w:t>
      </w:r>
      <w:r w:rsidRPr="00BC25ED">
        <w:t>强能力，为所有利益攸关方切实执行《指导原则》提供支助；</w:t>
      </w:r>
    </w:p>
    <w:p w:rsidR="00BC25ED" w:rsidRPr="00BC25ED" w:rsidRDefault="00BC25ED" w:rsidP="00BC25ED">
      <w:pPr>
        <w:pStyle w:val="SingleTxtGC"/>
      </w:pPr>
      <w:r w:rsidRPr="00BC25ED">
        <w:rPr>
          <w:rFonts w:hint="eastAsia"/>
        </w:rPr>
        <w:tab/>
      </w:r>
      <w:r>
        <w:t>1</w:t>
      </w:r>
      <w:r>
        <w:rPr>
          <w:rFonts w:hint="eastAsia"/>
        </w:rPr>
        <w:t>5</w:t>
      </w:r>
      <w:r w:rsidRPr="00BC25ED">
        <w:t>.</w:t>
      </w:r>
      <w:r w:rsidRPr="00BC25ED">
        <w:tab/>
      </w:r>
      <w:r w:rsidRPr="00D5424E">
        <w:rPr>
          <w:rFonts w:eastAsia="KaiTi_GB2312"/>
        </w:rPr>
        <w:t>又欢迎</w:t>
      </w:r>
      <w:r w:rsidRPr="00BC25ED">
        <w:t>秘书长关于包括各计</w:t>
      </w:r>
      <w:r w:rsidRPr="00BC25ED">
        <w:t>(</w:t>
      </w:r>
      <w:r w:rsidRPr="00BC25ED">
        <w:t>规</w:t>
      </w:r>
      <w:r w:rsidRPr="00BC25ED">
        <w:t>)</w:t>
      </w:r>
      <w:r w:rsidRPr="00BC25ED">
        <w:t>划署、基金</w:t>
      </w:r>
      <w:r w:rsidRPr="00BC25ED">
        <w:t>(</w:t>
      </w:r>
      <w:r w:rsidRPr="00BC25ED">
        <w:t>会</w:t>
      </w:r>
      <w:r w:rsidRPr="00BC25ED">
        <w:t>)</w:t>
      </w:r>
      <w:r w:rsidRPr="00BC25ED">
        <w:t>和专门机构在内的联合国系统在执行第</w:t>
      </w:r>
      <w:r>
        <w:t>21</w:t>
      </w:r>
      <w:r w:rsidRPr="00BC25ED">
        <w:t>/</w:t>
      </w:r>
      <w:r>
        <w:t>5</w:t>
      </w:r>
      <w:r w:rsidRPr="00BC25ED">
        <w:t>号决议方面的挑战、战略和动态的报告</w:t>
      </w:r>
      <w:r w:rsidRPr="00BC25ED">
        <w:rPr>
          <w:rFonts w:hint="eastAsia"/>
        </w:rPr>
        <w:t xml:space="preserve"> </w:t>
      </w:r>
      <w:r w:rsidRPr="00BC25ED">
        <w:rPr>
          <w:vertAlign w:val="superscript"/>
        </w:rPr>
        <w:footnoteReference w:id="4"/>
      </w:r>
      <w:r w:rsidRPr="00BC25ED">
        <w:rPr>
          <w:rFonts w:hint="eastAsia"/>
        </w:rPr>
        <w:t xml:space="preserve"> </w:t>
      </w:r>
      <w:r w:rsidRPr="00BC25ED">
        <w:t>以及报告中所提建议，强调有必要将工商业与人权议程和《指导原则》植入整个联合国系统；</w:t>
      </w:r>
    </w:p>
    <w:p w:rsidR="00BC25ED" w:rsidRPr="00BC25ED" w:rsidRDefault="00BC25ED" w:rsidP="00BC25ED">
      <w:pPr>
        <w:pStyle w:val="SingleTxtGC"/>
      </w:pPr>
      <w:r w:rsidRPr="00BC25ED">
        <w:rPr>
          <w:rFonts w:hint="eastAsia"/>
        </w:rPr>
        <w:tab/>
      </w:r>
      <w:r>
        <w:t>1</w:t>
      </w:r>
      <w:r>
        <w:rPr>
          <w:rFonts w:hint="eastAsia"/>
        </w:rPr>
        <w:t>6</w:t>
      </w:r>
      <w:r w:rsidRPr="00BC25ED">
        <w:t>.</w:t>
      </w:r>
      <w:r w:rsidRPr="00BC25ED">
        <w:tab/>
      </w:r>
      <w:r w:rsidRPr="00D5424E">
        <w:rPr>
          <w:rFonts w:eastAsia="KaiTi_GB2312"/>
        </w:rPr>
        <w:t>还欢迎</w:t>
      </w:r>
      <w:r w:rsidRPr="00BC25ED">
        <w:t>秘书长关于设立一个全球基金以提高各利益攸关方执行《指导原则》的能力的可行性研究报告；</w:t>
      </w:r>
      <w:r w:rsidRPr="00BC25ED">
        <w:rPr>
          <w:vertAlign w:val="superscript"/>
        </w:rPr>
        <w:footnoteReference w:id="5"/>
      </w:r>
      <w:r w:rsidRPr="00BC25ED">
        <w:rPr>
          <w:rFonts w:hint="eastAsia"/>
        </w:rPr>
        <w:t xml:space="preserve"> </w:t>
      </w:r>
      <w:r w:rsidRPr="00BC25ED">
        <w:t>请高级专员</w:t>
      </w:r>
      <w:r w:rsidRPr="00BC25ED">
        <w:rPr>
          <w:rFonts w:hint="eastAsia"/>
        </w:rPr>
        <w:t>征求</w:t>
      </w:r>
      <w:r w:rsidRPr="00BC25ED">
        <w:t>各国和相关利益攸关方</w:t>
      </w:r>
      <w:r w:rsidRPr="00BC25ED">
        <w:rPr>
          <w:rFonts w:hint="eastAsia"/>
        </w:rPr>
        <w:t>的意见</w:t>
      </w:r>
      <w:r w:rsidRPr="00BC25ED">
        <w:t>，提出具体的备选办法和建议，为关于是否设立此项基金的决定提供参考，并就此向人权理事会第二十九届会议提交一份报告；</w:t>
      </w:r>
    </w:p>
    <w:p w:rsidR="00BC25ED" w:rsidRPr="00BC25ED" w:rsidRDefault="00BC25ED" w:rsidP="00BC25ED">
      <w:pPr>
        <w:pStyle w:val="SingleTxtGC"/>
      </w:pPr>
      <w:r w:rsidRPr="00BC25ED">
        <w:rPr>
          <w:rFonts w:hint="eastAsia"/>
        </w:rPr>
        <w:tab/>
      </w:r>
      <w:r>
        <w:t>1</w:t>
      </w:r>
      <w:r>
        <w:rPr>
          <w:rFonts w:hint="eastAsia"/>
        </w:rPr>
        <w:t>7</w:t>
      </w:r>
      <w:r w:rsidRPr="00BC25ED">
        <w:t>.</w:t>
      </w:r>
      <w:r w:rsidRPr="00BC25ED">
        <w:tab/>
      </w:r>
      <w:r w:rsidRPr="00D5424E">
        <w:rPr>
          <w:rFonts w:eastAsia="KaiTi_GB2312"/>
        </w:rPr>
        <w:t>强调</w:t>
      </w:r>
      <w:r w:rsidRPr="00BC25ED">
        <w:t>必须开展利益攸关方对话和分析，以保持和发扬迄今取得的成果，防止和处理与企业有关的侵犯人权行为，并为人权理事会进一步审议工商业与人权问题提供</w:t>
      </w:r>
      <w:r w:rsidRPr="00BC25ED">
        <w:rPr>
          <w:rFonts w:hint="eastAsia"/>
        </w:rPr>
        <w:t>参考</w:t>
      </w:r>
      <w:r w:rsidRPr="00BC25ED">
        <w:t>；</w:t>
      </w:r>
    </w:p>
    <w:p w:rsidR="00BC25ED" w:rsidRPr="00BC25ED" w:rsidRDefault="00BC25ED" w:rsidP="00BC25ED">
      <w:pPr>
        <w:pStyle w:val="SingleTxtGC"/>
        <w:rPr>
          <w:rFonts w:hint="eastAsia"/>
        </w:rPr>
      </w:pPr>
      <w:r w:rsidRPr="00BC25ED">
        <w:rPr>
          <w:rFonts w:hint="eastAsia"/>
        </w:rPr>
        <w:tab/>
      </w:r>
      <w:r>
        <w:t>1</w:t>
      </w:r>
      <w:r>
        <w:rPr>
          <w:rFonts w:hint="eastAsia"/>
        </w:rPr>
        <w:t>8</w:t>
      </w:r>
      <w:r w:rsidRPr="00BC25ED">
        <w:t>.</w:t>
      </w:r>
      <w:r w:rsidRPr="00BC25ED">
        <w:tab/>
      </w:r>
      <w:r w:rsidRPr="00D5424E">
        <w:rPr>
          <w:rFonts w:eastAsia="KaiTi_GB2312"/>
        </w:rPr>
        <w:t>决定</w:t>
      </w:r>
      <w:r w:rsidRPr="00BC25ED">
        <w:t>根据理事会年度工作方案继续审议这一问题。</w:t>
      </w:r>
    </w:p>
    <w:p w:rsidR="00BC25ED" w:rsidRPr="000F1C2F" w:rsidRDefault="00BC25ED" w:rsidP="00A83BCF">
      <w:pPr>
        <w:pStyle w:val="SingleTxtGC"/>
        <w:jc w:val="right"/>
        <w:rPr>
          <w:rFonts w:eastAsia="KaiTi_GB2312"/>
          <w:lang w:val="en-GB"/>
        </w:rPr>
      </w:pPr>
      <w:r w:rsidRPr="000F1C2F">
        <w:rPr>
          <w:rFonts w:eastAsia="KaiTi_GB2312"/>
          <w:lang w:val="en-GB"/>
        </w:rPr>
        <w:t>2014</w:t>
      </w:r>
      <w:r w:rsidRPr="000F1C2F">
        <w:rPr>
          <w:rFonts w:eastAsia="KaiTi_GB2312"/>
          <w:lang w:val="en-GB"/>
        </w:rPr>
        <w:t>年</w:t>
      </w:r>
      <w:r w:rsidRPr="000F1C2F">
        <w:rPr>
          <w:rFonts w:eastAsia="KaiTi_GB2312"/>
          <w:lang w:val="en-GB"/>
        </w:rPr>
        <w:t>6</w:t>
      </w:r>
      <w:r w:rsidRPr="000F1C2F">
        <w:rPr>
          <w:rFonts w:eastAsia="KaiTi_GB2312"/>
          <w:lang w:val="en-GB"/>
        </w:rPr>
        <w:t>月</w:t>
      </w:r>
      <w:r w:rsidRPr="000F1C2F">
        <w:rPr>
          <w:rFonts w:eastAsia="KaiTi_GB2312"/>
          <w:lang w:val="en-GB"/>
        </w:rPr>
        <w:t>2</w:t>
      </w:r>
      <w:r w:rsidRPr="000F1C2F">
        <w:rPr>
          <w:rFonts w:eastAsia="KaiTi_GB2312" w:hint="eastAsia"/>
          <w:lang w:val="en-GB"/>
        </w:rPr>
        <w:t>7</w:t>
      </w:r>
      <w:r w:rsidRPr="000F1C2F">
        <w:rPr>
          <w:rFonts w:eastAsia="KaiTi_GB2312"/>
          <w:lang w:val="en-GB"/>
        </w:rPr>
        <w:t>日</w:t>
      </w:r>
      <w:r w:rsidR="00A83BCF" w:rsidRPr="000F1C2F">
        <w:rPr>
          <w:rFonts w:eastAsia="KaiTi_GB2312" w:hint="eastAsia"/>
          <w:lang w:val="en-GB"/>
        </w:rPr>
        <w:br/>
      </w:r>
      <w:r w:rsidRPr="000F1C2F">
        <w:rPr>
          <w:rFonts w:eastAsia="KaiTi_GB2312"/>
          <w:lang w:val="en-GB"/>
        </w:rPr>
        <w:t>第</w:t>
      </w:r>
      <w:r w:rsidRPr="000F1C2F">
        <w:rPr>
          <w:rFonts w:eastAsia="KaiTi_GB2312"/>
          <w:lang w:val="en-GB"/>
        </w:rPr>
        <w:t>3</w:t>
      </w:r>
      <w:r w:rsidRPr="000F1C2F">
        <w:rPr>
          <w:rFonts w:eastAsia="KaiTi_GB2312" w:hint="eastAsia"/>
          <w:lang w:val="en-GB"/>
        </w:rPr>
        <w:t>9</w:t>
      </w:r>
      <w:r w:rsidRPr="000F1C2F">
        <w:rPr>
          <w:rFonts w:eastAsia="KaiTi_GB2312"/>
          <w:lang w:val="en-GB"/>
        </w:rPr>
        <w:t>次会议</w:t>
      </w:r>
    </w:p>
    <w:p w:rsidR="00BC25ED" w:rsidRPr="00BC25ED" w:rsidRDefault="00BC25ED" w:rsidP="00BC25ED">
      <w:pPr>
        <w:pStyle w:val="SingleTxtGC"/>
        <w:rPr>
          <w:rFonts w:hint="eastAsia"/>
          <w:lang w:val="en-GB"/>
        </w:rPr>
      </w:pPr>
      <w:r w:rsidRPr="00BC25ED">
        <w:rPr>
          <w:lang w:val="en-GB"/>
        </w:rPr>
        <w:t>[</w:t>
      </w:r>
      <w:r w:rsidRPr="00BC25ED">
        <w:rPr>
          <w:lang w:val="en-GB"/>
        </w:rPr>
        <w:t>未经表决获得通过。</w:t>
      </w:r>
      <w:r w:rsidRPr="00BC25ED">
        <w:rPr>
          <w:lang w:val="en-GB"/>
        </w:rPr>
        <w:t>]</w:t>
      </w:r>
    </w:p>
    <w:p w:rsidR="00BC25ED" w:rsidRPr="00BC25ED" w:rsidRDefault="00BC25ED" w:rsidP="00BC25ED">
      <w:pPr>
        <w:pStyle w:val="SingleTxtGC"/>
        <w:rPr>
          <w:rFonts w:hint="eastAsia"/>
        </w:rPr>
      </w:pPr>
    </w:p>
    <w:p w:rsidR="00A83BCF" w:rsidRPr="002D6A9C" w:rsidRDefault="00A83BCF">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rsidR="00F53D4C" w:rsidRDefault="00F53D4C" w:rsidP="00BC25ED">
      <w:pPr>
        <w:pStyle w:val="SingleTxtGC"/>
        <w:rPr>
          <w:rFonts w:hint="eastAsia"/>
        </w:rPr>
      </w:pPr>
    </w:p>
    <w:sectPr w:rsidR="00F53D4C">
      <w:headerReference w:type="even" r:id="rId8"/>
      <w:headerReference w:type="default" r:id="rId9"/>
      <w:footerReference w:type="even" r:id="rId10"/>
      <w:footerReference w:type="default" r:id="rId11"/>
      <w:footerReference w:type="first" r:id="rId12"/>
      <w:endnotePr>
        <w:numFmt w:val="decimal"/>
      </w:endnotePr>
      <w:pgSz w:w="11906" w:h="16838" w:code="9"/>
      <w:pgMar w:top="1701" w:right="1134" w:bottom="2268" w:left="1134" w:header="1134" w:footer="1701" w:gutter="0"/>
      <w:cols w:space="425"/>
      <w:titlePg/>
      <w:docGrid w:type="lines"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6401" w:rsidRPr="00E0554F" w:rsidRDefault="008E6401" w:rsidP="00E0554F">
      <w:pPr>
        <w:pStyle w:val="Footer"/>
        <w:spacing w:after="240"/>
        <w:ind w:left="907"/>
        <w:rPr>
          <w:rFonts w:eastAsia="KaiTi_GB2312" w:hint="eastAsia"/>
          <w:sz w:val="21"/>
          <w:szCs w:val="21"/>
          <w:lang w:eastAsia="zh-CN"/>
        </w:rPr>
      </w:pPr>
      <w:r>
        <w:rPr>
          <w:rFonts w:eastAsia="KaiTi_GB2312" w:hint="eastAsia"/>
          <w:sz w:val="21"/>
          <w:szCs w:val="21"/>
          <w:lang w:eastAsia="zh-CN"/>
        </w:rPr>
        <w:t>注</w:t>
      </w:r>
    </w:p>
  </w:endnote>
  <w:endnote w:type="continuationSeparator" w:id="0">
    <w:p w:rsidR="008E6401" w:rsidRPr="00E0554F" w:rsidRDefault="008E6401" w:rsidP="00E0554F">
      <w:pPr>
        <w:pStyle w:val="Footer"/>
      </w:pP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SimHei">
    <w:altName w:val="黑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KaiTi_GB2312">
    <w:panose1 w:val="02010609060101010101"/>
    <w:charset w:val="86"/>
    <w:family w:val="modern"/>
    <w:pitch w:val="fixed"/>
    <w:sig w:usb0="00000001" w:usb1="080E0000" w:usb2="00000010" w:usb3="00000000" w:csb0="00040000" w:csb1="00000000"/>
  </w:font>
  <w:font w:name="Time New Roman">
    <w:altName w:val="Times New Roman"/>
    <w:panose1 w:val="00000000000000000000"/>
    <w:charset w:val="00"/>
    <w:family w:val="roman"/>
    <w:notTrueType/>
    <w:pitch w:val="default"/>
    <w:sig w:usb0="00000000" w:usb1="00000000" w:usb2="00000000" w:usb3="00000000" w:csb0="00000000"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6401" w:rsidRPr="001E23E3" w:rsidRDefault="008E6401" w:rsidP="00637441">
    <w:pPr>
      <w:pStyle w:val="Footer"/>
      <w:tabs>
        <w:tab w:val="clear" w:pos="431"/>
        <w:tab w:val="right" w:pos="9639"/>
      </w:tabs>
      <w:rPr>
        <w:rStyle w:val="PageNumber"/>
        <w:rFonts w:eastAsia="SimSun" w:hint="eastAsia"/>
        <w:b w:val="0"/>
        <w:sz w:val="16"/>
        <w:lang w:eastAsia="zh-CN"/>
      </w:rPr>
    </w:pPr>
    <w:r>
      <w:rPr>
        <w:rStyle w:val="PageNumber"/>
      </w:rPr>
      <w:fldChar w:fldCharType="begin"/>
    </w:r>
    <w:r>
      <w:rPr>
        <w:rStyle w:val="PageNumber"/>
      </w:rPr>
      <w:instrText xml:space="preserve"> PAGE </w:instrText>
    </w:r>
    <w:r>
      <w:rPr>
        <w:rStyle w:val="PageNumber"/>
      </w:rPr>
      <w:fldChar w:fldCharType="separate"/>
    </w:r>
    <w:r w:rsidR="00A86BB5">
      <w:rPr>
        <w:rStyle w:val="PageNumber"/>
        <w:noProof/>
      </w:rPr>
      <w:t>2</w:t>
    </w:r>
    <w:r>
      <w:rPr>
        <w:rStyle w:val="PageNumber"/>
      </w:rPr>
      <w:fldChar w:fldCharType="end"/>
    </w:r>
    <w:r>
      <w:rPr>
        <w:rStyle w:val="PageNumber"/>
        <w:rFonts w:eastAsia="SimSun" w:hint="eastAsia"/>
        <w:lang w:eastAsia="zh-CN"/>
      </w:rPr>
      <w:tab/>
    </w:r>
    <w:r w:rsidRPr="001E23E3">
      <w:rPr>
        <w:rFonts w:eastAsia="SimSun"/>
        <w:lang w:eastAsia="zh-CN"/>
      </w:rPr>
      <w:t>GE.14-08381</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6401" w:rsidRDefault="008E6401">
    <w:pPr>
      <w:pStyle w:val="Footer"/>
      <w:tabs>
        <w:tab w:val="right" w:pos="9639"/>
      </w:tabs>
    </w:pPr>
    <w:r w:rsidRPr="001E23E3">
      <w:rPr>
        <w:rFonts w:eastAsia="SimSun"/>
        <w:lang w:eastAsia="zh-CN"/>
      </w:rPr>
      <w:t>GE.14-08381</w:t>
    </w:r>
    <w:r>
      <w:rPr>
        <w:rFonts w:eastAsia="SimSun"/>
      </w:rPr>
      <w:tab/>
    </w:r>
    <w:r>
      <w:rPr>
        <w:rStyle w:val="PageNumber"/>
      </w:rPr>
      <w:fldChar w:fldCharType="begin"/>
    </w:r>
    <w:r>
      <w:rPr>
        <w:rStyle w:val="PageNumber"/>
      </w:rPr>
      <w:instrText xml:space="preserve"> PAGE </w:instrText>
    </w:r>
    <w:r>
      <w:rPr>
        <w:rStyle w:val="PageNumber"/>
      </w:rPr>
      <w:fldChar w:fldCharType="separate"/>
    </w:r>
    <w:r w:rsidR="00A86BB5">
      <w:rPr>
        <w:rStyle w:val="PageNumber"/>
        <w:noProof/>
      </w:rPr>
      <w:t>3</w:t>
    </w:r>
    <w:r>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6401" w:rsidRDefault="008E6401" w:rsidP="00107C77">
    <w:pPr>
      <w:pStyle w:val="Footer"/>
      <w:tabs>
        <w:tab w:val="left" w:pos="1701"/>
        <w:tab w:val="left" w:pos="2552"/>
        <w:tab w:val="left" w:pos="8448"/>
      </w:tabs>
      <w:spacing w:before="360"/>
      <w:rPr>
        <w:rFonts w:eastAsia="SimSun" w:hint="eastAsia"/>
        <w:b/>
        <w:sz w:val="21"/>
        <w:lang w:eastAsia="zh-CN"/>
      </w:rPr>
    </w:pPr>
    <w:r>
      <w:rPr>
        <w:rFonts w:eastAsia="SimSun"/>
        <w:noProof/>
        <w:snapToGrid/>
        <w:sz w:val="20"/>
        <w:lang w:val="en-US"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34pt;margin-top:9.3pt;width:50.25pt;height:50.25pt;z-index:1">
          <v:imagedata r:id="rId1" o:title="22&amp;Size=2&amp;Lang=C"/>
          <w10:wrap type="square"/>
        </v:shape>
      </w:pict>
    </w:r>
    <w:r>
      <w:rPr>
        <w:rFonts w:eastAsia="SimSun"/>
        <w:sz w:val="20"/>
        <w:lang w:eastAsia="zh-CN"/>
      </w:rPr>
      <w:t>GE.</w:t>
    </w:r>
    <w:r>
      <w:rPr>
        <w:rFonts w:eastAsia="SimSun" w:hint="eastAsia"/>
        <w:sz w:val="20"/>
        <w:lang w:eastAsia="zh-CN"/>
      </w:rPr>
      <w:t>14</w:t>
    </w:r>
    <w:r w:rsidRPr="00EE277A">
      <w:rPr>
        <w:rFonts w:eastAsia="SimSun"/>
        <w:sz w:val="20"/>
        <w:lang w:eastAsia="zh-CN"/>
      </w:rPr>
      <w:t>-0</w:t>
    </w:r>
    <w:r>
      <w:rPr>
        <w:rFonts w:eastAsia="SimSun" w:hint="eastAsia"/>
        <w:sz w:val="20"/>
        <w:lang w:eastAsia="zh-CN"/>
      </w:rPr>
      <w:t>8381</w:t>
    </w:r>
    <w:r w:rsidRPr="00EE277A">
      <w:rPr>
        <w:rFonts w:eastAsia="SimSun"/>
        <w:sz w:val="20"/>
        <w:lang w:eastAsia="zh-CN"/>
      </w:rPr>
      <w:t xml:space="preserve"> (C)</w:t>
    </w:r>
    <w:r>
      <w:rPr>
        <w:rFonts w:eastAsia="SimSun"/>
        <w:sz w:val="20"/>
        <w:lang w:eastAsia="zh-CN"/>
      </w:rPr>
      <w:tab/>
    </w:r>
    <w:r>
      <w:rPr>
        <w:rFonts w:eastAsia="SimSun" w:hint="eastAsia"/>
        <w:sz w:val="20"/>
        <w:lang w:eastAsia="zh-CN"/>
      </w:rPr>
      <w:t>16</w:t>
    </w:r>
    <w:r>
      <w:rPr>
        <w:rFonts w:eastAsia="SimSun"/>
        <w:sz w:val="20"/>
        <w:lang w:eastAsia="zh-CN"/>
      </w:rPr>
      <w:t>0</w:t>
    </w:r>
    <w:r>
      <w:rPr>
        <w:rFonts w:eastAsia="SimSun" w:hint="eastAsia"/>
        <w:sz w:val="20"/>
        <w:lang w:eastAsia="zh-CN"/>
      </w:rPr>
      <w:t>714</w:t>
    </w:r>
    <w:r>
      <w:rPr>
        <w:rFonts w:eastAsia="SimSun"/>
        <w:sz w:val="20"/>
        <w:lang w:eastAsia="zh-CN"/>
      </w:rPr>
      <w:tab/>
    </w:r>
    <w:r>
      <w:rPr>
        <w:rFonts w:eastAsia="SimSun" w:hint="eastAsia"/>
        <w:sz w:val="20"/>
        <w:lang w:eastAsia="zh-CN"/>
      </w:rPr>
      <w:t>18</w:t>
    </w:r>
    <w:r>
      <w:rPr>
        <w:rFonts w:eastAsia="SimSun"/>
        <w:sz w:val="20"/>
        <w:lang w:eastAsia="zh-CN"/>
      </w:rPr>
      <w:t>0</w:t>
    </w:r>
    <w:r>
      <w:rPr>
        <w:rFonts w:eastAsia="SimSun" w:hint="eastAsia"/>
        <w:sz w:val="20"/>
        <w:lang w:eastAsia="zh-CN"/>
      </w:rPr>
      <w:t>714</w:t>
    </w:r>
  </w:p>
  <w:p w:rsidR="008E6401" w:rsidRPr="00613337" w:rsidRDefault="008E6401" w:rsidP="003A79F6">
    <w:pPr>
      <w:pStyle w:val="Footer"/>
      <w:tabs>
        <w:tab w:val="left" w:pos="7484"/>
      </w:tabs>
      <w:rPr>
        <w:rFonts w:eastAsia="SimSun" w:hint="eastAsia"/>
        <w:sz w:val="20"/>
        <w:lang w:eastAsia="zh-CN"/>
      </w:rPr>
    </w:pPr>
    <w:r>
      <w:rPr>
        <w:rFonts w:ascii="C39T30Lfz" w:eastAsia="SimSun" w:hAnsi="C39T30Lfz"/>
        <w:sz w:val="56"/>
        <w:szCs w:val="56"/>
        <w:lang w:eastAsia="zh-CN"/>
      </w:rPr>
      <w:t></w:t>
    </w:r>
    <w:r>
      <w:rPr>
        <w:rFonts w:ascii="C39T30Lfz" w:eastAsia="SimSun" w:hAnsi="C39T30Lfz"/>
        <w:sz w:val="56"/>
        <w:szCs w:val="56"/>
        <w:lang w:eastAsia="zh-CN"/>
      </w:rPr>
      <w:t></w:t>
    </w:r>
    <w:r w:rsidRPr="001E23E3">
      <w:rPr>
        <w:rFonts w:ascii="C39T30Lfz" w:eastAsia="SimSun" w:hAnsi="C39T30Lfz"/>
        <w:sz w:val="56"/>
        <w:szCs w:val="56"/>
        <w:lang w:eastAsia="zh-CN"/>
      </w:rPr>
      <w:t></w:t>
    </w:r>
    <w:r w:rsidRPr="001E23E3">
      <w:rPr>
        <w:rFonts w:ascii="C39T30Lfz" w:eastAsia="SimSun" w:hAnsi="C39T30Lfz"/>
        <w:sz w:val="56"/>
        <w:szCs w:val="56"/>
        <w:lang w:eastAsia="zh-CN"/>
      </w:rPr>
      <w:t></w:t>
    </w:r>
    <w:r w:rsidRPr="001E23E3">
      <w:rPr>
        <w:rFonts w:ascii="C39T30Lfz" w:eastAsia="SimSun" w:hAnsi="C39T30Lfz"/>
        <w:sz w:val="56"/>
        <w:szCs w:val="56"/>
        <w:lang w:eastAsia="zh-CN"/>
      </w:rPr>
      <w:t></w:t>
    </w:r>
    <w:r w:rsidRPr="001E23E3">
      <w:rPr>
        <w:rFonts w:ascii="C39T30Lfz" w:eastAsia="SimSun" w:hAnsi="C39T30Lfz"/>
        <w:sz w:val="56"/>
        <w:szCs w:val="56"/>
        <w:lang w:eastAsia="zh-CN"/>
      </w:rPr>
      <w:t></w:t>
    </w:r>
    <w:r w:rsidRPr="001E23E3">
      <w:rPr>
        <w:rFonts w:ascii="C39T30Lfz" w:eastAsia="SimSun" w:hAnsi="C39T30Lfz"/>
        <w:sz w:val="56"/>
        <w:szCs w:val="56"/>
        <w:lang w:eastAsia="zh-CN"/>
      </w:rPr>
      <w:t></w:t>
    </w:r>
    <w:r w:rsidRPr="001E23E3">
      <w:rPr>
        <w:rFonts w:ascii="C39T30Lfz" w:eastAsia="SimSun" w:hAnsi="C39T30Lfz"/>
        <w:sz w:val="56"/>
        <w:szCs w:val="56"/>
        <w:lang w:eastAsia="zh-CN"/>
      </w:rPr>
      <w:t></w:t>
    </w:r>
    <w:r w:rsidRPr="00F524CC">
      <w:rPr>
        <w:rFonts w:ascii="C39T30Lfz" w:eastAsia="SimSun" w:hAnsi="C39T30Lfz"/>
        <w:sz w:val="56"/>
        <w:szCs w:val="56"/>
        <w:lang w:eastAsia="zh-CN"/>
      </w:rPr>
      <w:t></w:t>
    </w:r>
    <w:r>
      <w:rPr>
        <w:rFonts w:ascii="C39T30Lfz" w:eastAsia="SimSun" w:hAnsi="C39T30Lfz"/>
        <w:b/>
        <w:sz w:val="56"/>
        <w:szCs w:val="56"/>
        <w:lang w:eastAsia="zh-CN"/>
      </w:rPr>
      <w:tab/>
    </w:r>
    <w:r w:rsidRPr="00EA6DC8">
      <w:rPr>
        <w:b/>
        <w:sz w:val="21"/>
      </w:rPr>
      <w:pict>
        <v:shape id="_x0000_i1026" type="#_x0000_t75" style="width:48.75pt;height:18pt">
          <v:imagedata r:id="rId2" o:title="recycle_Chines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6401" w:rsidRPr="000157B1" w:rsidRDefault="008E6401" w:rsidP="000157B1">
      <w:pPr>
        <w:pStyle w:val="Footer"/>
        <w:tabs>
          <w:tab w:val="clear" w:pos="431"/>
          <w:tab w:val="right" w:pos="2155"/>
        </w:tabs>
        <w:spacing w:after="80" w:line="240" w:lineRule="atLeast"/>
        <w:ind w:left="680"/>
        <w:rPr>
          <w:rFonts w:eastAsia="SimSun" w:hint="eastAsia"/>
          <w:u w:val="single"/>
          <w:lang w:eastAsia="zh-CN"/>
        </w:rPr>
      </w:pPr>
      <w:r>
        <w:rPr>
          <w:rFonts w:eastAsia="SimSun" w:hint="eastAsia"/>
          <w:u w:val="single"/>
          <w:lang w:eastAsia="zh-CN"/>
        </w:rPr>
        <w:tab/>
      </w:r>
    </w:p>
  </w:footnote>
  <w:footnote w:type="continuationSeparator" w:id="0">
    <w:p w:rsidR="008E6401" w:rsidRPr="000157B1" w:rsidRDefault="008E6401" w:rsidP="000157B1">
      <w:pPr>
        <w:pStyle w:val="Footer"/>
        <w:tabs>
          <w:tab w:val="clear" w:pos="431"/>
          <w:tab w:val="right" w:pos="2155"/>
        </w:tabs>
        <w:spacing w:after="80" w:line="240" w:lineRule="atLeast"/>
        <w:ind w:left="680"/>
        <w:rPr>
          <w:rFonts w:eastAsia="SimSun" w:hint="eastAsia"/>
          <w:u w:val="single"/>
          <w:lang w:eastAsia="zh-CN"/>
        </w:rPr>
      </w:pPr>
      <w:r>
        <w:rPr>
          <w:rFonts w:hint="eastAsia"/>
          <w:u w:val="single"/>
        </w:rPr>
        <w:tab/>
      </w:r>
    </w:p>
  </w:footnote>
  <w:footnote w:type="continuationNotice" w:id="1">
    <w:p w:rsidR="008E6401" w:rsidRDefault="008E6401"/>
  </w:footnote>
  <w:footnote w:id="2">
    <w:p w:rsidR="008E6401" w:rsidRDefault="008E6401" w:rsidP="001A4A70">
      <w:pPr>
        <w:pStyle w:val="EndnoteText"/>
        <w:spacing w:after="0"/>
      </w:pPr>
      <w:r>
        <w:tab/>
      </w:r>
      <w:r>
        <w:rPr>
          <w:rStyle w:val="FootnoteReference"/>
        </w:rPr>
        <w:footnoteRef/>
      </w:r>
      <w:r>
        <w:tab/>
      </w:r>
      <w:r>
        <w:rPr>
          <w:rFonts w:hint="eastAsia"/>
        </w:rPr>
        <w:t>见</w:t>
      </w:r>
      <w:r>
        <w:t>A/HRC/17/31</w:t>
      </w:r>
      <w:r>
        <w:rPr>
          <w:rFonts w:hint="eastAsia"/>
        </w:rPr>
        <w:t>，附件。</w:t>
      </w:r>
    </w:p>
  </w:footnote>
  <w:footnote w:id="3">
    <w:p w:rsidR="008E6401" w:rsidRPr="00B700A0" w:rsidRDefault="008E6401" w:rsidP="00F96E55">
      <w:pPr>
        <w:pStyle w:val="FootnoteText"/>
        <w:spacing w:after="0"/>
      </w:pPr>
      <w:r>
        <w:tab/>
      </w:r>
      <w:r>
        <w:rPr>
          <w:rStyle w:val="FootnoteReference"/>
        </w:rPr>
        <w:footnoteRef/>
      </w:r>
      <w:r>
        <w:rPr>
          <w:rFonts w:hint="eastAsia"/>
        </w:rPr>
        <w:tab/>
      </w:r>
      <w:r>
        <w:rPr>
          <w:rFonts w:hint="eastAsia"/>
        </w:rPr>
        <w:t>见</w:t>
      </w:r>
      <w:r>
        <w:t>A/HRC/26/25</w:t>
      </w:r>
      <w:r>
        <w:rPr>
          <w:rFonts w:hint="eastAsia"/>
        </w:rPr>
        <w:t>。</w:t>
      </w:r>
    </w:p>
  </w:footnote>
  <w:footnote w:id="4">
    <w:p w:rsidR="008E6401" w:rsidRDefault="008E6401" w:rsidP="00BC25ED">
      <w:pPr>
        <w:pStyle w:val="EndnoteText"/>
      </w:pPr>
      <w:r>
        <w:tab/>
      </w:r>
      <w:r>
        <w:rPr>
          <w:rStyle w:val="FootnoteReference"/>
        </w:rPr>
        <w:footnoteRef/>
      </w:r>
      <w:r>
        <w:tab/>
        <w:t>A/HRC/26/20</w:t>
      </w:r>
      <w:r>
        <w:rPr>
          <w:rFonts w:hint="eastAsia"/>
        </w:rPr>
        <w:t>。</w:t>
      </w:r>
    </w:p>
  </w:footnote>
  <w:footnote w:id="5">
    <w:p w:rsidR="008E6401" w:rsidRDefault="008E6401" w:rsidP="00BC25ED">
      <w:pPr>
        <w:pStyle w:val="EndnoteText"/>
      </w:pPr>
      <w:r>
        <w:tab/>
      </w:r>
      <w:r>
        <w:rPr>
          <w:rStyle w:val="FootnoteReference"/>
        </w:rPr>
        <w:footnoteRef/>
      </w:r>
      <w:r>
        <w:tab/>
        <w:t>A/HRC/26/20/Add.1</w:t>
      </w:r>
      <w:r>
        <w:rPr>
          <w:rFonts w:hint="eastAsia"/>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6401" w:rsidRPr="001E23E3" w:rsidRDefault="008E6401">
    <w:pPr>
      <w:pStyle w:val="Header"/>
    </w:pPr>
    <w:r w:rsidRPr="001E23E3">
      <w:t>A/HRC/RES/26/22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6401" w:rsidRPr="001E23E3" w:rsidRDefault="008E6401">
    <w:pPr>
      <w:pStyle w:val="Header"/>
      <w:jc w:val="right"/>
      <w:rPr>
        <w:rFonts w:hint="eastAsia"/>
        <w:lang w:eastAsia="zh-CN"/>
      </w:rPr>
    </w:pPr>
    <w:r w:rsidRPr="001E23E3">
      <w:rPr>
        <w:lang w:eastAsia="zh-CN"/>
      </w:rPr>
      <w:t>A/HRC/RES/26/22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8F80CE8"/>
    <w:lvl w:ilvl="0">
      <w:start w:val="1"/>
      <w:numFmt w:val="decimal"/>
      <w:lvlText w:val="%1."/>
      <w:lvlJc w:val="left"/>
      <w:pPr>
        <w:tabs>
          <w:tab w:val="num" w:pos="2040"/>
        </w:tabs>
        <w:ind w:left="2040" w:hanging="360"/>
      </w:pPr>
    </w:lvl>
  </w:abstractNum>
  <w:abstractNum w:abstractNumId="1">
    <w:nsid w:val="FFFFFF7D"/>
    <w:multiLevelType w:val="singleLevel"/>
    <w:tmpl w:val="D682C9C2"/>
    <w:lvl w:ilvl="0">
      <w:start w:val="1"/>
      <w:numFmt w:val="decimal"/>
      <w:lvlText w:val="%1."/>
      <w:lvlJc w:val="left"/>
      <w:pPr>
        <w:tabs>
          <w:tab w:val="num" w:pos="1620"/>
        </w:tabs>
        <w:ind w:left="1620" w:hanging="360"/>
      </w:pPr>
    </w:lvl>
  </w:abstractNum>
  <w:abstractNum w:abstractNumId="2">
    <w:nsid w:val="FFFFFF7E"/>
    <w:multiLevelType w:val="singleLevel"/>
    <w:tmpl w:val="77661D56"/>
    <w:lvl w:ilvl="0">
      <w:start w:val="1"/>
      <w:numFmt w:val="decimal"/>
      <w:lvlText w:val="%1."/>
      <w:lvlJc w:val="left"/>
      <w:pPr>
        <w:tabs>
          <w:tab w:val="num" w:pos="1200"/>
        </w:tabs>
        <w:ind w:left="1200" w:hanging="360"/>
      </w:pPr>
    </w:lvl>
  </w:abstractNum>
  <w:abstractNum w:abstractNumId="3">
    <w:nsid w:val="FFFFFF7F"/>
    <w:multiLevelType w:val="singleLevel"/>
    <w:tmpl w:val="44666DCA"/>
    <w:lvl w:ilvl="0">
      <w:start w:val="1"/>
      <w:numFmt w:val="decimal"/>
      <w:lvlText w:val="%1."/>
      <w:lvlJc w:val="left"/>
      <w:pPr>
        <w:tabs>
          <w:tab w:val="num" w:pos="780"/>
        </w:tabs>
        <w:ind w:left="780" w:hanging="360"/>
      </w:pPr>
    </w:lvl>
  </w:abstractNum>
  <w:abstractNum w:abstractNumId="4">
    <w:nsid w:val="FFFFFF80"/>
    <w:multiLevelType w:val="singleLevel"/>
    <w:tmpl w:val="5E86B124"/>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219822E6"/>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18748E7E"/>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B2B43BEC"/>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7B420A6C"/>
    <w:lvl w:ilvl="0">
      <w:start w:val="1"/>
      <w:numFmt w:val="decimal"/>
      <w:lvlText w:val="%1."/>
      <w:lvlJc w:val="left"/>
      <w:pPr>
        <w:tabs>
          <w:tab w:val="num" w:pos="360"/>
        </w:tabs>
        <w:ind w:left="360" w:hanging="360"/>
      </w:pPr>
    </w:lvl>
  </w:abstractNum>
  <w:abstractNum w:abstractNumId="9">
    <w:nsid w:val="FFFFFF89"/>
    <w:multiLevelType w:val="singleLevel"/>
    <w:tmpl w:val="86E8F544"/>
    <w:lvl w:ilvl="0">
      <w:start w:val="1"/>
      <w:numFmt w:val="bullet"/>
      <w:lvlText w:val=""/>
      <w:lvlJc w:val="left"/>
      <w:pPr>
        <w:tabs>
          <w:tab w:val="num" w:pos="360"/>
        </w:tabs>
        <w:ind w:left="360" w:hanging="360"/>
      </w:pPr>
      <w:rPr>
        <w:rFonts w:ascii="Wingdings" w:hAnsi="Wingdings" w:hint="default"/>
      </w:rPr>
    </w:lvl>
  </w:abstractNum>
  <w:abstractNum w:abstractNumId="10">
    <w:nsid w:val="001D0B65"/>
    <w:multiLevelType w:val="hybridMultilevel"/>
    <w:tmpl w:val="778225FE"/>
    <w:lvl w:ilvl="0" w:tplc="067ABE1A">
      <w:start w:val="1"/>
      <w:numFmt w:val="chineseCountingThousand"/>
      <w:lvlRestart w:val="0"/>
      <w:lvlText w:val="(%1)"/>
      <w:lvlJc w:val="right"/>
      <w:pPr>
        <w:tabs>
          <w:tab w:val="num" w:pos="2007"/>
        </w:tabs>
        <w:ind w:left="1145" w:firstLine="646"/>
      </w:pPr>
      <w:rPr>
        <w:rFonts w:ascii="Times New Roman" w:hAnsi="Times New Roman" w:cs="Times New Roman"/>
        <w:sz w:val="1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015A0E63"/>
    <w:multiLevelType w:val="hybridMultilevel"/>
    <w:tmpl w:val="2C40160C"/>
    <w:lvl w:ilvl="0" w:tplc="C14CFACE">
      <w:start w:val="1"/>
      <w:numFmt w:val="decimal"/>
      <w:lvlRestart w:val="0"/>
      <w:lvlText w:val="(%1)"/>
      <w:lvlJc w:val="right"/>
      <w:pPr>
        <w:tabs>
          <w:tab w:val="num" w:pos="1996"/>
        </w:tabs>
        <w:ind w:left="1996" w:hanging="205"/>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nsid w:val="08CE6CF6"/>
    <w:multiLevelType w:val="hybridMultilevel"/>
    <w:tmpl w:val="A3C2B9F4"/>
    <w:lvl w:ilvl="0" w:tplc="869A2C0C">
      <w:start w:val="1"/>
      <w:numFmt w:val="lowerLetter"/>
      <w:lvlRestart w:val="0"/>
      <w:lvlText w:val="(%1)"/>
      <w:lvlJc w:val="right"/>
      <w:pPr>
        <w:tabs>
          <w:tab w:val="num" w:pos="1996"/>
        </w:tabs>
        <w:ind w:left="1996" w:hanging="216"/>
      </w:pPr>
      <w:rPr>
        <w:rFonts w:ascii="Times New Roman" w:eastAsia="SimSun" w:hAnsi="Times New Roman" w:hint="default"/>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14">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5">
    <w:nsid w:val="1D0C096F"/>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6">
    <w:nsid w:val="1F400C0C"/>
    <w:multiLevelType w:val="hybridMultilevel"/>
    <w:tmpl w:val="FA9488E8"/>
    <w:lvl w:ilvl="0" w:tplc="4ABCA058">
      <w:start w:val="1"/>
      <w:numFmt w:val="chineseCountingThousand"/>
      <w:lvlRestart w:val="0"/>
      <w:lvlText w:val="(%1)"/>
      <w:lvlJc w:val="right"/>
      <w:pPr>
        <w:tabs>
          <w:tab w:val="num" w:pos="2007"/>
        </w:tabs>
        <w:ind w:left="2007" w:hanging="216"/>
      </w:pPr>
      <w:rPr>
        <w:rFonts w:ascii="Times New Roman" w:hAnsi="Times New Roman" w:cs="Times New Roman"/>
        <w:sz w:val="1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nsid w:val="1FA7128A"/>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202"/>
        </w:tabs>
        <w:ind w:left="5102" w:hanging="1700"/>
      </w:pPr>
    </w:lvl>
  </w:abstractNum>
  <w:abstractNum w:abstractNumId="18">
    <w:nsid w:val="20453770"/>
    <w:multiLevelType w:val="hybridMultilevel"/>
    <w:tmpl w:val="0280405E"/>
    <w:lvl w:ilvl="0" w:tplc="E6283CD0">
      <w:start w:val="1"/>
      <w:numFmt w:val="chineseCountingThousand"/>
      <w:lvlRestart w:val="0"/>
      <w:lvlText w:val="(%1)"/>
      <w:lvlJc w:val="right"/>
      <w:pPr>
        <w:tabs>
          <w:tab w:val="num" w:pos="1996"/>
        </w:tabs>
        <w:ind w:left="1134" w:firstLine="646"/>
      </w:pPr>
      <w:rPr>
        <w:rFonts w:ascii="Times New Roman" w:eastAsia="SimSun" w:hAnsi="Times New Roman" w:cs="Times New Roman" w:hint="default"/>
        <w:b w:val="0"/>
        <w:i w:val="0"/>
        <w:caps w:val="0"/>
        <w:strike w:val="0"/>
        <w:dstrike w:val="0"/>
        <w:outline w:val="0"/>
        <w:shadow w:val="0"/>
        <w:emboss w:val="0"/>
        <w:imprint w:val="0"/>
        <w:snapToGrid w:val="0"/>
        <w:vanish w:val="0"/>
        <w:spacing w:val="0"/>
        <w:kern w:val="0"/>
        <w:sz w:val="18"/>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9">
    <w:nsid w:val="2AEC602B"/>
    <w:multiLevelType w:val="hybridMultilevel"/>
    <w:tmpl w:val="42D07318"/>
    <w:lvl w:ilvl="0" w:tplc="F60E3DEA">
      <w:start w:val="1"/>
      <w:numFmt w:val="chineseCountingThousand"/>
      <w:lvlRestart w:val="0"/>
      <w:lvlText w:val="(%1)"/>
      <w:lvlJc w:val="right"/>
      <w:pPr>
        <w:tabs>
          <w:tab w:val="num" w:pos="1996"/>
        </w:tabs>
        <w:ind w:left="1996" w:hanging="125"/>
      </w:pPr>
      <w:rPr>
        <w:rFonts w:ascii="Times New Roman" w:eastAsia="SimSun" w:hAnsi="Times New Roman" w:cs="Times New Roman" w:hint="default"/>
        <w:b w:val="0"/>
        <w:i w:val="0"/>
        <w:caps w:val="0"/>
        <w:strike w:val="0"/>
        <w:dstrike w:val="0"/>
        <w:outline w:val="0"/>
        <w:shadow w:val="0"/>
        <w:emboss w:val="0"/>
        <w:imprint w:val="0"/>
        <w:snapToGrid w:val="0"/>
        <w:vanish w:val="0"/>
        <w:spacing w:val="0"/>
        <w:kern w:val="0"/>
        <w:sz w:val="18"/>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nsid w:val="301421BE"/>
    <w:multiLevelType w:val="hybridMultilevel"/>
    <w:tmpl w:val="79B0CC38"/>
    <w:lvl w:ilvl="0" w:tplc="C14CFACE">
      <w:start w:val="1"/>
      <w:numFmt w:val="decimal"/>
      <w:lvlRestart w:val="0"/>
      <w:lvlText w:val="(%1)"/>
      <w:lvlJc w:val="right"/>
      <w:pPr>
        <w:tabs>
          <w:tab w:val="num" w:pos="1622"/>
        </w:tabs>
        <w:ind w:left="1622" w:hanging="205"/>
      </w:pPr>
    </w:lvl>
    <w:lvl w:ilvl="1" w:tplc="04090019" w:tentative="1">
      <w:start w:val="1"/>
      <w:numFmt w:val="lowerLetter"/>
      <w:lvlText w:val="%2)"/>
      <w:lvlJc w:val="left"/>
      <w:pPr>
        <w:tabs>
          <w:tab w:val="num" w:pos="466"/>
        </w:tabs>
        <w:ind w:left="466" w:hanging="420"/>
      </w:pPr>
    </w:lvl>
    <w:lvl w:ilvl="2" w:tplc="0409001B" w:tentative="1">
      <w:start w:val="1"/>
      <w:numFmt w:val="lowerRoman"/>
      <w:lvlText w:val="%3."/>
      <w:lvlJc w:val="right"/>
      <w:pPr>
        <w:tabs>
          <w:tab w:val="num" w:pos="886"/>
        </w:tabs>
        <w:ind w:left="886" w:hanging="420"/>
      </w:pPr>
    </w:lvl>
    <w:lvl w:ilvl="3" w:tplc="0409000F" w:tentative="1">
      <w:start w:val="1"/>
      <w:numFmt w:val="decimal"/>
      <w:lvlText w:val="%4."/>
      <w:lvlJc w:val="left"/>
      <w:pPr>
        <w:tabs>
          <w:tab w:val="num" w:pos="1306"/>
        </w:tabs>
        <w:ind w:left="1306" w:hanging="420"/>
      </w:pPr>
    </w:lvl>
    <w:lvl w:ilvl="4" w:tplc="04090019" w:tentative="1">
      <w:start w:val="1"/>
      <w:numFmt w:val="lowerLetter"/>
      <w:lvlText w:val="%5)"/>
      <w:lvlJc w:val="left"/>
      <w:pPr>
        <w:tabs>
          <w:tab w:val="num" w:pos="1726"/>
        </w:tabs>
        <w:ind w:left="1726" w:hanging="420"/>
      </w:pPr>
    </w:lvl>
    <w:lvl w:ilvl="5" w:tplc="0409001B" w:tentative="1">
      <w:start w:val="1"/>
      <w:numFmt w:val="lowerRoman"/>
      <w:lvlText w:val="%6."/>
      <w:lvlJc w:val="right"/>
      <w:pPr>
        <w:tabs>
          <w:tab w:val="num" w:pos="2146"/>
        </w:tabs>
        <w:ind w:left="2146" w:hanging="420"/>
      </w:pPr>
    </w:lvl>
    <w:lvl w:ilvl="6" w:tplc="0409000F" w:tentative="1">
      <w:start w:val="1"/>
      <w:numFmt w:val="decimal"/>
      <w:lvlText w:val="%7."/>
      <w:lvlJc w:val="left"/>
      <w:pPr>
        <w:tabs>
          <w:tab w:val="num" w:pos="2566"/>
        </w:tabs>
        <w:ind w:left="2566" w:hanging="420"/>
      </w:pPr>
    </w:lvl>
    <w:lvl w:ilvl="7" w:tplc="04090019" w:tentative="1">
      <w:start w:val="1"/>
      <w:numFmt w:val="lowerLetter"/>
      <w:lvlText w:val="%8)"/>
      <w:lvlJc w:val="left"/>
      <w:pPr>
        <w:tabs>
          <w:tab w:val="num" w:pos="2986"/>
        </w:tabs>
        <w:ind w:left="2986" w:hanging="420"/>
      </w:pPr>
    </w:lvl>
    <w:lvl w:ilvl="8" w:tplc="0409001B" w:tentative="1">
      <w:start w:val="1"/>
      <w:numFmt w:val="lowerRoman"/>
      <w:lvlText w:val="%9."/>
      <w:lvlJc w:val="right"/>
      <w:pPr>
        <w:tabs>
          <w:tab w:val="num" w:pos="3406"/>
        </w:tabs>
        <w:ind w:left="3406" w:hanging="420"/>
      </w:pPr>
    </w:lvl>
  </w:abstractNum>
  <w:abstractNum w:abstractNumId="21">
    <w:nsid w:val="33BB413D"/>
    <w:multiLevelType w:val="hybridMultilevel"/>
    <w:tmpl w:val="FF6EBB26"/>
    <w:lvl w:ilvl="0" w:tplc="C7BE5676">
      <w:start w:val="1"/>
      <w:numFmt w:val="lowerLetter"/>
      <w:lvlRestart w:val="0"/>
      <w:lvlText w:val="(%1)"/>
      <w:lvlJc w:val="right"/>
      <w:pPr>
        <w:tabs>
          <w:tab w:val="num" w:pos="1996"/>
        </w:tabs>
        <w:ind w:left="1134" w:firstLine="646"/>
      </w:pPr>
      <w:rPr>
        <w:rFonts w:ascii="Times New Roman" w:eastAsia="SimSun" w:hAnsi="Times New Roman" w:hint="default"/>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2">
    <w:nsid w:val="3B3649D1"/>
    <w:multiLevelType w:val="hybridMultilevel"/>
    <w:tmpl w:val="3E4C66B8"/>
    <w:lvl w:ilvl="0" w:tplc="4ABCA058">
      <w:start w:val="1"/>
      <w:numFmt w:val="chineseCountingThousand"/>
      <w:lvlRestart w:val="0"/>
      <w:lvlText w:val="(%1)"/>
      <w:lvlJc w:val="right"/>
      <w:pPr>
        <w:tabs>
          <w:tab w:val="num" w:pos="1996"/>
        </w:tabs>
        <w:ind w:left="1996" w:hanging="216"/>
      </w:pPr>
      <w:rPr>
        <w:rFonts w:ascii="Times New Roman" w:hAnsi="Times New Roman" w:cs="Times New Roman"/>
        <w:sz w:val="1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3">
    <w:nsid w:val="3D4D74BC"/>
    <w:multiLevelType w:val="hybridMultilevel"/>
    <w:tmpl w:val="750E2968"/>
    <w:lvl w:ilvl="0" w:tplc="F71ECD60">
      <w:start w:val="1"/>
      <w:numFmt w:val="decimal"/>
      <w:lvlText w:val="(%1)"/>
      <w:lvlJc w:val="right"/>
      <w:pPr>
        <w:tabs>
          <w:tab w:val="num" w:pos="1996"/>
        </w:tabs>
        <w:ind w:left="1996" w:hanging="21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4">
    <w:nsid w:val="488319C6"/>
    <w:multiLevelType w:val="multilevel"/>
    <w:tmpl w:val="04090023"/>
    <w:lvl w:ilvl="0">
      <w:start w:val="1"/>
      <w:numFmt w:val="upperRoman"/>
      <w:lvlText w:val="第 %1 条"/>
      <w:lvlJc w:val="left"/>
      <w:pPr>
        <w:tabs>
          <w:tab w:val="num" w:pos="1440"/>
        </w:tabs>
        <w:ind w:left="0" w:firstLine="0"/>
      </w:pPr>
    </w:lvl>
    <w:lvl w:ilvl="1">
      <w:start w:val="1"/>
      <w:numFmt w:val="decimalZero"/>
      <w:isLgl/>
      <w:lvlText w:val="节 %1.%2"/>
      <w:lvlJc w:val="left"/>
      <w:pPr>
        <w:tabs>
          <w:tab w:val="num" w:pos="72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5">
    <w:nsid w:val="553478A1"/>
    <w:multiLevelType w:val="hybridMultilevel"/>
    <w:tmpl w:val="7BA6F1FC"/>
    <w:lvl w:ilvl="0" w:tplc="EA789F72">
      <w:start w:val="1"/>
      <w:numFmt w:val="decimal"/>
      <w:lvlText w:val="(%1)"/>
      <w:lvlJc w:val="right"/>
      <w:pPr>
        <w:tabs>
          <w:tab w:val="num" w:pos="1996"/>
        </w:tabs>
        <w:ind w:left="1134" w:firstLine="64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2620"/>
        </w:tabs>
        <w:ind w:left="2620" w:hanging="420"/>
      </w:pPr>
    </w:lvl>
    <w:lvl w:ilvl="2" w:tplc="0409001B" w:tentative="1">
      <w:start w:val="1"/>
      <w:numFmt w:val="lowerRoman"/>
      <w:lvlText w:val="%3."/>
      <w:lvlJc w:val="right"/>
      <w:pPr>
        <w:tabs>
          <w:tab w:val="num" w:pos="3040"/>
        </w:tabs>
        <w:ind w:left="3040" w:hanging="420"/>
      </w:pPr>
    </w:lvl>
    <w:lvl w:ilvl="3" w:tplc="0409000F" w:tentative="1">
      <w:start w:val="1"/>
      <w:numFmt w:val="decimal"/>
      <w:lvlText w:val="%4."/>
      <w:lvlJc w:val="left"/>
      <w:pPr>
        <w:tabs>
          <w:tab w:val="num" w:pos="3460"/>
        </w:tabs>
        <w:ind w:left="3460" w:hanging="420"/>
      </w:pPr>
    </w:lvl>
    <w:lvl w:ilvl="4" w:tplc="04090019" w:tentative="1">
      <w:start w:val="1"/>
      <w:numFmt w:val="lowerLetter"/>
      <w:lvlText w:val="%5)"/>
      <w:lvlJc w:val="left"/>
      <w:pPr>
        <w:tabs>
          <w:tab w:val="num" w:pos="3880"/>
        </w:tabs>
        <w:ind w:left="3880" w:hanging="420"/>
      </w:pPr>
    </w:lvl>
    <w:lvl w:ilvl="5" w:tplc="0409001B" w:tentative="1">
      <w:start w:val="1"/>
      <w:numFmt w:val="lowerRoman"/>
      <w:lvlText w:val="%6."/>
      <w:lvlJc w:val="right"/>
      <w:pPr>
        <w:tabs>
          <w:tab w:val="num" w:pos="4300"/>
        </w:tabs>
        <w:ind w:left="4300" w:hanging="420"/>
      </w:pPr>
    </w:lvl>
    <w:lvl w:ilvl="6" w:tplc="0409000F" w:tentative="1">
      <w:start w:val="1"/>
      <w:numFmt w:val="decimal"/>
      <w:lvlText w:val="%7."/>
      <w:lvlJc w:val="left"/>
      <w:pPr>
        <w:tabs>
          <w:tab w:val="num" w:pos="4720"/>
        </w:tabs>
        <w:ind w:left="4720" w:hanging="420"/>
      </w:pPr>
    </w:lvl>
    <w:lvl w:ilvl="7" w:tplc="04090019" w:tentative="1">
      <w:start w:val="1"/>
      <w:numFmt w:val="lowerLetter"/>
      <w:lvlText w:val="%8)"/>
      <w:lvlJc w:val="left"/>
      <w:pPr>
        <w:tabs>
          <w:tab w:val="num" w:pos="5140"/>
        </w:tabs>
        <w:ind w:left="5140" w:hanging="420"/>
      </w:pPr>
    </w:lvl>
    <w:lvl w:ilvl="8" w:tplc="0409001B" w:tentative="1">
      <w:start w:val="1"/>
      <w:numFmt w:val="lowerRoman"/>
      <w:lvlText w:val="%9."/>
      <w:lvlJc w:val="right"/>
      <w:pPr>
        <w:tabs>
          <w:tab w:val="num" w:pos="5560"/>
        </w:tabs>
        <w:ind w:left="5560" w:hanging="420"/>
      </w:pPr>
    </w:lvl>
  </w:abstractNum>
  <w:abstractNum w:abstractNumId="26">
    <w:nsid w:val="64F97169"/>
    <w:multiLevelType w:val="hybridMultilevel"/>
    <w:tmpl w:val="FCB43584"/>
    <w:lvl w:ilvl="0" w:tplc="4ABCA058">
      <w:start w:val="1"/>
      <w:numFmt w:val="chineseCountingThousand"/>
      <w:lvlRestart w:val="0"/>
      <w:lvlText w:val="(%1)"/>
      <w:lvlJc w:val="right"/>
      <w:pPr>
        <w:tabs>
          <w:tab w:val="num" w:pos="1633"/>
        </w:tabs>
        <w:ind w:left="1633" w:hanging="216"/>
      </w:pPr>
      <w:rPr>
        <w:rFonts w:ascii="Times New Roman" w:hAnsi="Times New Roman" w:cs="Times New Roman"/>
        <w:sz w:val="18"/>
      </w:rPr>
    </w:lvl>
    <w:lvl w:ilvl="1" w:tplc="04090019" w:tentative="1">
      <w:start w:val="1"/>
      <w:numFmt w:val="lowerLetter"/>
      <w:lvlText w:val="%2)"/>
      <w:lvlJc w:val="left"/>
      <w:pPr>
        <w:tabs>
          <w:tab w:val="num" w:pos="466"/>
        </w:tabs>
        <w:ind w:left="466" w:hanging="420"/>
      </w:pPr>
    </w:lvl>
    <w:lvl w:ilvl="2" w:tplc="0409001B" w:tentative="1">
      <w:start w:val="1"/>
      <w:numFmt w:val="lowerRoman"/>
      <w:lvlText w:val="%3."/>
      <w:lvlJc w:val="right"/>
      <w:pPr>
        <w:tabs>
          <w:tab w:val="num" w:pos="886"/>
        </w:tabs>
        <w:ind w:left="886" w:hanging="420"/>
      </w:pPr>
    </w:lvl>
    <w:lvl w:ilvl="3" w:tplc="0409000F" w:tentative="1">
      <w:start w:val="1"/>
      <w:numFmt w:val="decimal"/>
      <w:lvlText w:val="%4."/>
      <w:lvlJc w:val="left"/>
      <w:pPr>
        <w:tabs>
          <w:tab w:val="num" w:pos="1306"/>
        </w:tabs>
        <w:ind w:left="1306" w:hanging="420"/>
      </w:pPr>
    </w:lvl>
    <w:lvl w:ilvl="4" w:tplc="04090019" w:tentative="1">
      <w:start w:val="1"/>
      <w:numFmt w:val="lowerLetter"/>
      <w:lvlText w:val="%5)"/>
      <w:lvlJc w:val="left"/>
      <w:pPr>
        <w:tabs>
          <w:tab w:val="num" w:pos="1726"/>
        </w:tabs>
        <w:ind w:left="1726" w:hanging="420"/>
      </w:pPr>
    </w:lvl>
    <w:lvl w:ilvl="5" w:tplc="0409001B" w:tentative="1">
      <w:start w:val="1"/>
      <w:numFmt w:val="lowerRoman"/>
      <w:lvlText w:val="%6."/>
      <w:lvlJc w:val="right"/>
      <w:pPr>
        <w:tabs>
          <w:tab w:val="num" w:pos="2146"/>
        </w:tabs>
        <w:ind w:left="2146" w:hanging="420"/>
      </w:pPr>
    </w:lvl>
    <w:lvl w:ilvl="6" w:tplc="0409000F" w:tentative="1">
      <w:start w:val="1"/>
      <w:numFmt w:val="decimal"/>
      <w:lvlText w:val="%7."/>
      <w:lvlJc w:val="left"/>
      <w:pPr>
        <w:tabs>
          <w:tab w:val="num" w:pos="2566"/>
        </w:tabs>
        <w:ind w:left="2566" w:hanging="420"/>
      </w:pPr>
    </w:lvl>
    <w:lvl w:ilvl="7" w:tplc="04090019" w:tentative="1">
      <w:start w:val="1"/>
      <w:numFmt w:val="lowerLetter"/>
      <w:lvlText w:val="%8)"/>
      <w:lvlJc w:val="left"/>
      <w:pPr>
        <w:tabs>
          <w:tab w:val="num" w:pos="2986"/>
        </w:tabs>
        <w:ind w:left="2986" w:hanging="420"/>
      </w:pPr>
    </w:lvl>
    <w:lvl w:ilvl="8" w:tplc="0409001B" w:tentative="1">
      <w:start w:val="1"/>
      <w:numFmt w:val="lowerRoman"/>
      <w:lvlText w:val="%9."/>
      <w:lvlJc w:val="right"/>
      <w:pPr>
        <w:tabs>
          <w:tab w:val="num" w:pos="3406"/>
        </w:tabs>
        <w:ind w:left="3406" w:hanging="420"/>
      </w:pPr>
    </w:lvl>
  </w:abstractNum>
  <w:abstractNum w:abstractNumId="27">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8">
    <w:nsid w:val="7D4061CF"/>
    <w:multiLevelType w:val="hybridMultilevel"/>
    <w:tmpl w:val="F594F9F2"/>
    <w:lvl w:ilvl="0" w:tplc="07406ED2">
      <w:start w:val="1"/>
      <w:numFmt w:val="decimal"/>
      <w:lvlText w:val="%1."/>
      <w:lvlJc w:val="right"/>
      <w:pPr>
        <w:tabs>
          <w:tab w:val="num" w:pos="1996"/>
        </w:tabs>
        <w:ind w:left="1996" w:hanging="21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5"/>
  </w:num>
  <w:num w:numId="12">
    <w:abstractNumId w:val="17"/>
  </w:num>
  <w:num w:numId="13">
    <w:abstractNumId w:val="24"/>
  </w:num>
  <w:num w:numId="14">
    <w:abstractNumId w:val="13"/>
  </w:num>
  <w:num w:numId="15">
    <w:abstractNumId w:val="14"/>
  </w:num>
  <w:num w:numId="16">
    <w:abstractNumId w:val="27"/>
  </w:num>
  <w:num w:numId="17">
    <w:abstractNumId w:val="13"/>
  </w:num>
  <w:num w:numId="18">
    <w:abstractNumId w:val="27"/>
  </w:num>
  <w:num w:numId="19">
    <w:abstractNumId w:val="14"/>
  </w:num>
  <w:num w:numId="20">
    <w:abstractNumId w:val="14"/>
  </w:num>
  <w:num w:numId="21">
    <w:abstractNumId w:val="19"/>
  </w:num>
  <w:num w:numId="22">
    <w:abstractNumId w:val="12"/>
  </w:num>
  <w:num w:numId="23">
    <w:abstractNumId w:val="23"/>
  </w:num>
  <w:num w:numId="24">
    <w:abstractNumId w:val="25"/>
  </w:num>
  <w:num w:numId="25">
    <w:abstractNumId w:val="21"/>
  </w:num>
  <w:num w:numId="26">
    <w:abstractNumId w:val="18"/>
  </w:num>
  <w:num w:numId="27">
    <w:abstractNumId w:val="28"/>
  </w:num>
  <w:num w:numId="28">
    <w:abstractNumId w:val="25"/>
  </w:num>
  <w:num w:numId="29">
    <w:abstractNumId w:val="21"/>
  </w:num>
  <w:num w:numId="30">
    <w:abstractNumId w:val="18"/>
  </w:num>
  <w:num w:numId="31">
    <w:abstractNumId w:val="23"/>
  </w:num>
  <w:num w:numId="32">
    <w:abstractNumId w:val="12"/>
  </w:num>
  <w:num w:numId="33">
    <w:abstractNumId w:val="19"/>
  </w:num>
  <w:num w:numId="34">
    <w:abstractNumId w:val="28"/>
  </w:num>
  <w:num w:numId="35">
    <w:abstractNumId w:val="26"/>
  </w:num>
  <w:num w:numId="36">
    <w:abstractNumId w:val="22"/>
  </w:num>
  <w:num w:numId="37">
    <w:abstractNumId w:val="16"/>
  </w:num>
  <w:num w:numId="38">
    <w:abstractNumId w:val="10"/>
  </w:num>
  <w:num w:numId="39">
    <w:abstractNumId w:val="20"/>
  </w:num>
  <w:num w:numId="40">
    <w:abstractNumId w:val="11"/>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bordersDoNotSurroundHeader/>
  <w:bordersDoNotSurroundFooter/>
  <w:activeWritingStyle w:appName="MSWord" w:lang="zh-CN" w:vendorID="64" w:dllVersion="131077" w:nlCheck="1" w:checkStyle="1"/>
  <w:activeWritingStyle w:appName="MSWord" w:lang="en-US" w:vendorID="64" w:dllVersion="131078" w:nlCheck="1" w:checkStyle="1"/>
  <w:activeWritingStyle w:appName="MSWord" w:lang="es-ES" w:vendorID="64" w:dllVersion="131078" w:nlCheck="1" w:checkStyle="1"/>
  <w:activeWritingStyle w:appName="MSWord" w:lang="en-GB" w:vendorID="64" w:dllVersion="131078" w:nlCheck="1" w:checkStyle="1"/>
  <w:attachedTemplate r:id="rId1"/>
  <w:stylePaneFormatFilter w:val="0001"/>
  <w:doNotTrackMoves/>
  <w:defaultTabStop w:val="431"/>
  <w:evenAndOddHeaders/>
  <w:drawingGridHorizontalSpacing w:val="130"/>
  <w:drawingGridVerticalSpacing w:val="163"/>
  <w:displayHorizontalDrawingGridEvery w:val="0"/>
  <w:displayVerticalDrawingGridEvery w:val="2"/>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E23E3"/>
    <w:rsid w:val="0000411A"/>
    <w:rsid w:val="00005A89"/>
    <w:rsid w:val="00007BCF"/>
    <w:rsid w:val="000157B1"/>
    <w:rsid w:val="00022526"/>
    <w:rsid w:val="00050226"/>
    <w:rsid w:val="0005102E"/>
    <w:rsid w:val="000637CE"/>
    <w:rsid w:val="00082E10"/>
    <w:rsid w:val="000A03EB"/>
    <w:rsid w:val="000A7C04"/>
    <w:rsid w:val="000C416A"/>
    <w:rsid w:val="000D1E21"/>
    <w:rsid w:val="000D39E1"/>
    <w:rsid w:val="000F1C2F"/>
    <w:rsid w:val="000F5937"/>
    <w:rsid w:val="00100536"/>
    <w:rsid w:val="00107C15"/>
    <w:rsid w:val="00107C77"/>
    <w:rsid w:val="00111D10"/>
    <w:rsid w:val="00125776"/>
    <w:rsid w:val="00127C05"/>
    <w:rsid w:val="00132181"/>
    <w:rsid w:val="00140B6A"/>
    <w:rsid w:val="00145946"/>
    <w:rsid w:val="00145C92"/>
    <w:rsid w:val="001613CE"/>
    <w:rsid w:val="00165F4E"/>
    <w:rsid w:val="001A23E8"/>
    <w:rsid w:val="001A2F1C"/>
    <w:rsid w:val="001A4A70"/>
    <w:rsid w:val="001A5624"/>
    <w:rsid w:val="001B11DB"/>
    <w:rsid w:val="001C1935"/>
    <w:rsid w:val="001C3E9A"/>
    <w:rsid w:val="001E23E3"/>
    <w:rsid w:val="0024012F"/>
    <w:rsid w:val="002629D4"/>
    <w:rsid w:val="00280515"/>
    <w:rsid w:val="00286515"/>
    <w:rsid w:val="00297F21"/>
    <w:rsid w:val="002D31D6"/>
    <w:rsid w:val="002D3FCB"/>
    <w:rsid w:val="002E68BE"/>
    <w:rsid w:val="002F3F47"/>
    <w:rsid w:val="002F6678"/>
    <w:rsid w:val="00306AE9"/>
    <w:rsid w:val="00315796"/>
    <w:rsid w:val="00322B61"/>
    <w:rsid w:val="00322F28"/>
    <w:rsid w:val="003734E0"/>
    <w:rsid w:val="00382B00"/>
    <w:rsid w:val="003836F1"/>
    <w:rsid w:val="00385C14"/>
    <w:rsid w:val="003A79F6"/>
    <w:rsid w:val="003B038F"/>
    <w:rsid w:val="003C27FE"/>
    <w:rsid w:val="003F65D6"/>
    <w:rsid w:val="003F7BF8"/>
    <w:rsid w:val="00400A2E"/>
    <w:rsid w:val="00407FCF"/>
    <w:rsid w:val="0044178A"/>
    <w:rsid w:val="00453A81"/>
    <w:rsid w:val="00467D72"/>
    <w:rsid w:val="004746B9"/>
    <w:rsid w:val="004755EF"/>
    <w:rsid w:val="004858FB"/>
    <w:rsid w:val="00486766"/>
    <w:rsid w:val="00487358"/>
    <w:rsid w:val="00497F5C"/>
    <w:rsid w:val="004B6DD4"/>
    <w:rsid w:val="004C5291"/>
    <w:rsid w:val="004D0F3D"/>
    <w:rsid w:val="004D1280"/>
    <w:rsid w:val="004D7F04"/>
    <w:rsid w:val="004E6C67"/>
    <w:rsid w:val="004F7C9A"/>
    <w:rsid w:val="00500866"/>
    <w:rsid w:val="00535843"/>
    <w:rsid w:val="00571343"/>
    <w:rsid w:val="00572547"/>
    <w:rsid w:val="00582C70"/>
    <w:rsid w:val="005906E6"/>
    <w:rsid w:val="005A5B0A"/>
    <w:rsid w:val="005B0D8A"/>
    <w:rsid w:val="005F34AF"/>
    <w:rsid w:val="005F4B29"/>
    <w:rsid w:val="00613337"/>
    <w:rsid w:val="00614D7D"/>
    <w:rsid w:val="00630755"/>
    <w:rsid w:val="00637441"/>
    <w:rsid w:val="00637834"/>
    <w:rsid w:val="00647FD7"/>
    <w:rsid w:val="00654172"/>
    <w:rsid w:val="00670C28"/>
    <w:rsid w:val="0067129C"/>
    <w:rsid w:val="00690C33"/>
    <w:rsid w:val="00697A6C"/>
    <w:rsid w:val="006B1273"/>
    <w:rsid w:val="006B3300"/>
    <w:rsid w:val="006B3471"/>
    <w:rsid w:val="006D002F"/>
    <w:rsid w:val="006E0708"/>
    <w:rsid w:val="006E3CD4"/>
    <w:rsid w:val="006E7DF9"/>
    <w:rsid w:val="006E7E21"/>
    <w:rsid w:val="007131E3"/>
    <w:rsid w:val="00717C19"/>
    <w:rsid w:val="007418FE"/>
    <w:rsid w:val="00751C2E"/>
    <w:rsid w:val="007522B5"/>
    <w:rsid w:val="00785BE9"/>
    <w:rsid w:val="00786BD2"/>
    <w:rsid w:val="0079116A"/>
    <w:rsid w:val="00796BD3"/>
    <w:rsid w:val="00796EDF"/>
    <w:rsid w:val="007A671E"/>
    <w:rsid w:val="007C0B4E"/>
    <w:rsid w:val="007D00F8"/>
    <w:rsid w:val="007D0842"/>
    <w:rsid w:val="007D7229"/>
    <w:rsid w:val="007E7822"/>
    <w:rsid w:val="007F501B"/>
    <w:rsid w:val="00801DCC"/>
    <w:rsid w:val="008029AD"/>
    <w:rsid w:val="0082049D"/>
    <w:rsid w:val="00824A57"/>
    <w:rsid w:val="0083180F"/>
    <w:rsid w:val="00885DC7"/>
    <w:rsid w:val="00890356"/>
    <w:rsid w:val="008A322C"/>
    <w:rsid w:val="008A6AB8"/>
    <w:rsid w:val="008B6134"/>
    <w:rsid w:val="008E6401"/>
    <w:rsid w:val="008E736A"/>
    <w:rsid w:val="009006FB"/>
    <w:rsid w:val="009405DF"/>
    <w:rsid w:val="00964622"/>
    <w:rsid w:val="0096567D"/>
    <w:rsid w:val="009B1BD6"/>
    <w:rsid w:val="009B419F"/>
    <w:rsid w:val="009D60E5"/>
    <w:rsid w:val="009F6C52"/>
    <w:rsid w:val="009F7338"/>
    <w:rsid w:val="00A010B9"/>
    <w:rsid w:val="00A067AD"/>
    <w:rsid w:val="00A26748"/>
    <w:rsid w:val="00A36F72"/>
    <w:rsid w:val="00A67F3E"/>
    <w:rsid w:val="00A83BCF"/>
    <w:rsid w:val="00A86BB5"/>
    <w:rsid w:val="00A90EE0"/>
    <w:rsid w:val="00A95BD9"/>
    <w:rsid w:val="00A97235"/>
    <w:rsid w:val="00AD6719"/>
    <w:rsid w:val="00AE4D20"/>
    <w:rsid w:val="00B16973"/>
    <w:rsid w:val="00B30642"/>
    <w:rsid w:val="00B34537"/>
    <w:rsid w:val="00B61E34"/>
    <w:rsid w:val="00B624FD"/>
    <w:rsid w:val="00B82B2A"/>
    <w:rsid w:val="00B8703D"/>
    <w:rsid w:val="00B9104B"/>
    <w:rsid w:val="00B97559"/>
    <w:rsid w:val="00BC25ED"/>
    <w:rsid w:val="00BC2A65"/>
    <w:rsid w:val="00BC3D38"/>
    <w:rsid w:val="00BE4EAA"/>
    <w:rsid w:val="00BF6DC5"/>
    <w:rsid w:val="00BF7E3F"/>
    <w:rsid w:val="00C143D7"/>
    <w:rsid w:val="00C435EE"/>
    <w:rsid w:val="00C62277"/>
    <w:rsid w:val="00C623B2"/>
    <w:rsid w:val="00C80DA9"/>
    <w:rsid w:val="00C862E5"/>
    <w:rsid w:val="00CA073C"/>
    <w:rsid w:val="00CA4105"/>
    <w:rsid w:val="00CC7406"/>
    <w:rsid w:val="00CE6DB5"/>
    <w:rsid w:val="00D2146D"/>
    <w:rsid w:val="00D43F71"/>
    <w:rsid w:val="00D445AD"/>
    <w:rsid w:val="00D5424E"/>
    <w:rsid w:val="00D54DF4"/>
    <w:rsid w:val="00D56026"/>
    <w:rsid w:val="00D619F6"/>
    <w:rsid w:val="00D84673"/>
    <w:rsid w:val="00D94CD8"/>
    <w:rsid w:val="00DA7104"/>
    <w:rsid w:val="00DD66BC"/>
    <w:rsid w:val="00DF4798"/>
    <w:rsid w:val="00E05040"/>
    <w:rsid w:val="00E0554F"/>
    <w:rsid w:val="00E1548B"/>
    <w:rsid w:val="00E40A46"/>
    <w:rsid w:val="00E422D4"/>
    <w:rsid w:val="00E43CC0"/>
    <w:rsid w:val="00E54840"/>
    <w:rsid w:val="00E911E5"/>
    <w:rsid w:val="00E91C05"/>
    <w:rsid w:val="00EE0918"/>
    <w:rsid w:val="00EE277A"/>
    <w:rsid w:val="00EF3508"/>
    <w:rsid w:val="00F41BAF"/>
    <w:rsid w:val="00F50AC2"/>
    <w:rsid w:val="00F50CB9"/>
    <w:rsid w:val="00F53D4C"/>
    <w:rsid w:val="00F54A14"/>
    <w:rsid w:val="00F61015"/>
    <w:rsid w:val="00F70079"/>
    <w:rsid w:val="00F72A3C"/>
    <w:rsid w:val="00F75048"/>
    <w:rsid w:val="00F75357"/>
    <w:rsid w:val="00F77F01"/>
    <w:rsid w:val="00F806C4"/>
    <w:rsid w:val="00F96E55"/>
    <w:rsid w:val="00FC6A02"/>
    <w:rsid w:val="00FD07F6"/>
    <w:rsid w:val="00FD416D"/>
    <w:rsid w:val="00FD60C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85BE9"/>
    <w:pPr>
      <w:tabs>
        <w:tab w:val="left" w:pos="431"/>
      </w:tabs>
      <w:overflowPunct w:val="0"/>
      <w:adjustRightInd w:val="0"/>
      <w:snapToGrid w:val="0"/>
      <w:spacing w:line="320" w:lineRule="exact"/>
      <w:jc w:val="both"/>
    </w:pPr>
    <w:rPr>
      <w:snapToGrid w:val="0"/>
      <w:sz w:val="21"/>
      <w:lang w:eastAsia="zh-CN"/>
    </w:rPr>
  </w:style>
  <w:style w:type="paragraph" w:styleId="Heading1">
    <w:name w:val="heading 1"/>
    <w:basedOn w:val="Normal"/>
    <w:next w:val="Normal"/>
    <w:qFormat/>
    <w:pPr>
      <w:keepNext/>
      <w:keepLines/>
      <w:widowControl w:val="0"/>
      <w:spacing w:after="320" w:line="288" w:lineRule="auto"/>
      <w:jc w:val="center"/>
      <w:outlineLvl w:val="0"/>
    </w:pPr>
    <w:rPr>
      <w:b/>
      <w:snapToGrid/>
      <w:kern w:val="32"/>
      <w:sz w:val="30"/>
    </w:rPr>
  </w:style>
  <w:style w:type="paragraph" w:styleId="Heading2">
    <w:name w:val="heading 2"/>
    <w:basedOn w:val="Normal"/>
    <w:next w:val="Normal"/>
    <w:qFormat/>
    <w:pPr>
      <w:keepNext/>
      <w:keepLines/>
      <w:widowControl w:val="0"/>
      <w:spacing w:after="320" w:line="288" w:lineRule="auto"/>
      <w:jc w:val="center"/>
      <w:outlineLvl w:val="1"/>
    </w:pPr>
    <w:rPr>
      <w:kern w:val="28"/>
      <w:sz w:val="28"/>
    </w:rPr>
  </w:style>
  <w:style w:type="paragraph" w:styleId="Heading3">
    <w:name w:val="heading 3"/>
    <w:basedOn w:val="Normal"/>
    <w:next w:val="Normal"/>
    <w:qFormat/>
    <w:pPr>
      <w:keepNext/>
      <w:keepLines/>
      <w:widowControl w:val="0"/>
      <w:spacing w:after="320"/>
      <w:jc w:val="center"/>
      <w:outlineLvl w:val="2"/>
    </w:pPr>
    <w:rPr>
      <w:kern w:val="28"/>
      <w:u w:val="single"/>
    </w:rPr>
  </w:style>
  <w:style w:type="paragraph" w:styleId="Heading4">
    <w:name w:val="heading 4"/>
    <w:basedOn w:val="Normal"/>
    <w:next w:val="Normal"/>
    <w:qFormat/>
    <w:pPr>
      <w:keepNext/>
      <w:keepLines/>
      <w:widowControl w:val="0"/>
      <w:spacing w:after="240"/>
      <w:outlineLvl w:val="3"/>
    </w:pPr>
    <w:rPr>
      <w:u w:val="single"/>
    </w:rPr>
  </w:style>
  <w:style w:type="paragraph" w:styleId="Heading5">
    <w:name w:val="heading 5"/>
    <w:basedOn w:val="Normal"/>
    <w:next w:val="Normal"/>
    <w:qFormat/>
    <w:pPr>
      <w:spacing w:after="240"/>
      <w:outlineLvl w:val="4"/>
    </w:pPr>
    <w:rPr>
      <w:rFonts w:eastAsia="SimHei"/>
      <w:bCs/>
      <w:szCs w:val="36"/>
    </w:rPr>
  </w:style>
  <w:style w:type="paragraph" w:styleId="Heading6">
    <w:name w:val="heading 6"/>
    <w:basedOn w:val="Normal"/>
    <w:next w:val="Normal"/>
    <w:qFormat/>
    <w:pPr>
      <w:keepNext/>
      <w:keepLines/>
      <w:spacing w:before="240" w:after="64" w:line="320" w:lineRule="auto"/>
      <w:outlineLvl w:val="5"/>
    </w:pPr>
    <w:rPr>
      <w:rFonts w:ascii="Arial" w:eastAsia="SimHei" w:hAnsi="Arial"/>
      <w:b/>
      <w:bCs/>
      <w:szCs w:val="24"/>
    </w:rPr>
  </w:style>
  <w:style w:type="paragraph" w:styleId="Heading7">
    <w:name w:val="heading 7"/>
    <w:basedOn w:val="Normal"/>
    <w:next w:val="Normal"/>
    <w:qFormat/>
    <w:pPr>
      <w:keepNext/>
      <w:keepLines/>
      <w:spacing w:before="240" w:after="64" w:line="320" w:lineRule="auto"/>
      <w:outlineLvl w:val="6"/>
    </w:pPr>
    <w:rPr>
      <w:b/>
      <w:bCs/>
      <w:szCs w:val="24"/>
    </w:rPr>
  </w:style>
  <w:style w:type="paragraph" w:styleId="Heading8">
    <w:name w:val="heading 8"/>
    <w:basedOn w:val="Normal"/>
    <w:next w:val="Normal"/>
    <w:qFormat/>
    <w:pPr>
      <w:keepNext/>
      <w:keepLines/>
      <w:spacing w:before="240" w:after="64" w:line="320" w:lineRule="auto"/>
      <w:outlineLvl w:val="7"/>
    </w:pPr>
    <w:rPr>
      <w:rFonts w:ascii="Arial" w:eastAsia="SimHei" w:hAnsi="Arial"/>
      <w:szCs w:val="24"/>
    </w:rPr>
  </w:style>
  <w:style w:type="paragraph" w:styleId="Heading9">
    <w:name w:val="heading 9"/>
    <w:basedOn w:val="Normal"/>
    <w:next w:val="Normal"/>
    <w:qFormat/>
    <w:pPr>
      <w:keepNext/>
      <w:keepLines/>
      <w:spacing w:before="240" w:after="64" w:line="320" w:lineRule="auto"/>
      <w:outlineLvl w:val="8"/>
    </w:pPr>
    <w:rPr>
      <w:rFonts w:ascii="Arial" w:eastAsia="SimHei" w:hAnsi="Arial"/>
      <w:szCs w:val="21"/>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ashGC">
    <w:name w:val="_Dash_GC"/>
    <w:basedOn w:val="Normal"/>
    <w:rsid w:val="00801DCC"/>
    <w:pPr>
      <w:numPr>
        <w:numId w:val="20"/>
      </w:numPr>
      <w:tabs>
        <w:tab w:val="left" w:pos="1134"/>
        <w:tab w:val="left" w:pos="1565"/>
        <w:tab w:val="left" w:pos="2427"/>
      </w:tabs>
      <w:spacing w:after="120"/>
      <w:ind w:right="1134"/>
    </w:pPr>
    <w:rPr>
      <w:lang w:val="fr-CH"/>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lang w:eastAsia="zh-CN"/>
    </w:rPr>
  </w:style>
  <w:style w:type="paragraph" w:styleId="FootnoteText">
    <w:name w:val="footnote text"/>
    <w:aliases w:val="5_G"/>
    <w:basedOn w:val="Normal"/>
    <w:rsid w:val="002D31D6"/>
    <w:pPr>
      <w:keepLines/>
      <w:tabs>
        <w:tab w:val="clear" w:pos="431"/>
        <w:tab w:val="right" w:pos="1021"/>
      </w:tabs>
      <w:spacing w:after="120" w:line="240" w:lineRule="exact"/>
      <w:ind w:left="1134" w:right="1134" w:hanging="1134"/>
    </w:pPr>
    <w:rPr>
      <w:sz w:val="18"/>
    </w:rPr>
  </w:style>
  <w:style w:type="character" w:styleId="FootnoteReference">
    <w:name w:val="footnote reference"/>
    <w:aliases w:val="4_G"/>
    <w:basedOn w:val="DefaultParagraphFont"/>
    <w:rsid w:val="00F41BAF"/>
    <w:rPr>
      <w:rFonts w:ascii="Times New Roman" w:hAnsi="Times New Roman"/>
      <w:dstrike w:val="0"/>
      <w:color w:val="0000FF"/>
      <w:spacing w:val="0"/>
      <w:w w:val="100"/>
      <w:kern w:val="0"/>
      <w:position w:val="0"/>
      <w:sz w:val="21"/>
      <w:vertAlign w:val="superscript"/>
    </w:rPr>
  </w:style>
  <w:style w:type="paragraph" w:customStyle="1" w:styleId="a">
    <w:name w:val="表中标题"/>
    <w:basedOn w:val="SingleTxtGC"/>
    <w:rsid w:val="00EE0918"/>
    <w:pPr>
      <w:spacing w:before="80" w:after="80" w:line="200" w:lineRule="exact"/>
      <w:ind w:left="0" w:right="113"/>
    </w:pPr>
    <w:rPr>
      <w:rFonts w:eastAsia="KaiTi_GB2312"/>
      <w:sz w:val="18"/>
    </w:rPr>
  </w:style>
  <w:style w:type="paragraph" w:customStyle="1" w:styleId="a0">
    <w:name w:val="缩进正文"/>
    <w:basedOn w:val="SingleTxtGC"/>
    <w:rsid w:val="0024012F"/>
    <w:pPr>
      <w:ind w:left="1565"/>
    </w:pPr>
  </w:style>
  <w:style w:type="paragraph" w:customStyle="1" w:styleId="a1">
    <w:name w:val="目录段页次"/>
    <w:basedOn w:val="Normal"/>
    <w:rsid w:val="00286515"/>
    <w:pPr>
      <w:widowControl w:val="0"/>
      <w:tabs>
        <w:tab w:val="clear" w:pos="431"/>
        <w:tab w:val="right" w:pos="851"/>
        <w:tab w:val="left" w:pos="1134"/>
        <w:tab w:val="left" w:pos="1565"/>
        <w:tab w:val="left" w:pos="1996"/>
        <w:tab w:val="right" w:leader="dot" w:pos="7655"/>
        <w:tab w:val="right" w:pos="8789"/>
        <w:tab w:val="right" w:pos="9554"/>
      </w:tabs>
      <w:spacing w:after="120"/>
      <w:ind w:left="1134" w:right="4253" w:hanging="1134"/>
    </w:pPr>
  </w:style>
  <w:style w:type="paragraph" w:customStyle="1" w:styleId="a2">
    <w:name w:val="目录页次"/>
    <w:basedOn w:val="Normal"/>
    <w:rsid w:val="00286515"/>
    <w:pPr>
      <w:widowControl w:val="0"/>
      <w:tabs>
        <w:tab w:val="clear" w:pos="431"/>
        <w:tab w:val="right" w:pos="851"/>
        <w:tab w:val="left" w:pos="1134"/>
        <w:tab w:val="left" w:pos="1565"/>
        <w:tab w:val="left" w:pos="1996"/>
        <w:tab w:val="right" w:leader="dot" w:pos="8789"/>
        <w:tab w:val="right" w:pos="9554"/>
      </w:tabs>
      <w:spacing w:after="120"/>
      <w:ind w:left="1134" w:right="3119" w:hanging="1134"/>
    </w:pPr>
  </w:style>
  <w:style w:type="paragraph" w:styleId="EndnoteText">
    <w:name w:val="endnote text"/>
    <w:basedOn w:val="FootnoteText"/>
    <w:rsid w:val="00B16973"/>
    <w:pPr>
      <w:tabs>
        <w:tab w:val="right" w:pos="1021"/>
      </w:tabs>
    </w:pPr>
  </w:style>
  <w:style w:type="character" w:styleId="EndnoteReference">
    <w:name w:val="endnote reference"/>
    <w:basedOn w:val="FootnoteReference"/>
    <w:rsid w:val="00F41BAF"/>
  </w:style>
  <w:style w:type="paragraph" w:styleId="Footer">
    <w:name w:val="footer"/>
    <w:basedOn w:val="Normal"/>
    <w:rsid w:val="00CA4105"/>
    <w:pPr>
      <w:spacing w:line="240" w:lineRule="auto"/>
    </w:pPr>
    <w:rPr>
      <w:rFonts w:eastAsia="Times New Roman"/>
      <w:sz w:val="16"/>
      <w:lang w:val="en-GB" w:eastAsia="en-US"/>
    </w:rPr>
  </w:style>
  <w:style w:type="character" w:styleId="PageNumber">
    <w:name w:val="page number"/>
    <w:basedOn w:val="DefaultParagraphFont"/>
    <w:rsid w:val="00CA4105"/>
    <w:rPr>
      <w:rFonts w:ascii="Times New Roman" w:hAnsi="Times New Roman"/>
      <w:b/>
      <w:spacing w:val="0"/>
      <w:kern w:val="0"/>
      <w:sz w:val="18"/>
    </w:rPr>
  </w:style>
  <w:style w:type="paragraph" w:styleId="Header">
    <w:name w:val="header"/>
    <w:basedOn w:val="Normal"/>
    <w:rsid w:val="00CA4105"/>
    <w:pPr>
      <w:pBdr>
        <w:bottom w:val="single" w:sz="4" w:space="4" w:color="auto"/>
      </w:pBdr>
      <w:tabs>
        <w:tab w:val="left" w:pos="992"/>
        <w:tab w:val="left" w:pos="5772"/>
        <w:tab w:val="left" w:pos="6634"/>
        <w:tab w:val="left" w:pos="7144"/>
        <w:tab w:val="left" w:pos="7655"/>
        <w:tab w:val="left" w:pos="8165"/>
      </w:tabs>
      <w:spacing w:line="240" w:lineRule="auto"/>
    </w:pPr>
    <w:rPr>
      <w:b/>
      <w:sz w:val="18"/>
      <w:lang w:val="en-GB" w:eastAsia="en-US"/>
    </w:rPr>
  </w:style>
  <w:style w:type="paragraph" w:customStyle="1" w:styleId="Bullet1GC">
    <w:name w:val="_Bullet 1_GC"/>
    <w:basedOn w:val="Normal"/>
    <w:rsid w:val="00322F28"/>
    <w:pPr>
      <w:numPr>
        <w:numId w:val="17"/>
      </w:numPr>
      <w:spacing w:after="120"/>
      <w:ind w:right="1134"/>
    </w:pPr>
  </w:style>
  <w:style w:type="paragraph" w:customStyle="1" w:styleId="Bullet2GC">
    <w:name w:val="_Bullet 2_GC"/>
    <w:basedOn w:val="Normal"/>
    <w:rsid w:val="00801DCC"/>
    <w:pPr>
      <w:numPr>
        <w:numId w:val="18"/>
      </w:numPr>
      <w:tabs>
        <w:tab w:val="left" w:pos="1134"/>
        <w:tab w:val="left" w:pos="1565"/>
        <w:tab w:val="left" w:pos="1996"/>
      </w:tabs>
      <w:spacing w:after="120"/>
      <w:ind w:right="1134"/>
    </w:pPr>
  </w:style>
  <w:style w:type="paragraph" w:styleId="Title">
    <w:name w:val="Title"/>
    <w:basedOn w:val="Normal"/>
    <w:qFormat/>
    <w:pPr>
      <w:spacing w:before="240" w:after="60"/>
      <w:jc w:val="center"/>
      <w:outlineLvl w:val="0"/>
    </w:pPr>
    <w:rPr>
      <w:rFonts w:ascii="Arial" w:hAnsi="Arial" w:cs="Arial"/>
      <w:b/>
      <w:bCs/>
      <w:sz w:val="32"/>
      <w:szCs w:val="32"/>
    </w:rPr>
  </w:style>
  <w:style w:type="character" w:styleId="Hyperlink">
    <w:name w:val="Hyperlink"/>
    <w:basedOn w:val="DefaultParagraphFont"/>
    <w:semiHidden/>
    <w:rPr>
      <w:color w:val="0000FF"/>
      <w:u w:val="single"/>
    </w:rPr>
  </w:style>
  <w:style w:type="character" w:styleId="FollowedHyperlink">
    <w:name w:val="FollowedHyperlink"/>
    <w:basedOn w:val="DefaultParagraphFont"/>
    <w:semiHidden/>
    <w:rPr>
      <w:color w:val="800080"/>
      <w:u w:val="single"/>
    </w:rPr>
  </w:style>
  <w:style w:type="paragraph" w:customStyle="1" w:styleId="HMGC">
    <w:name w:val="_ H __M_GC"/>
    <w:basedOn w:val="Normal"/>
    <w:next w:val="SingleTxtGC"/>
    <w:rsid w:val="005F34AF"/>
    <w:pPr>
      <w:keepNext/>
      <w:keepLines/>
      <w:tabs>
        <w:tab w:val="clear" w:pos="431"/>
        <w:tab w:val="right" w:pos="851"/>
      </w:tabs>
      <w:spacing w:before="240" w:after="240" w:line="440" w:lineRule="exact"/>
      <w:ind w:left="1134" w:right="1134" w:hanging="1134"/>
      <w:outlineLvl w:val="0"/>
    </w:pPr>
    <w:rPr>
      <w:rFonts w:eastAsia="SimHei"/>
      <w:sz w:val="34"/>
    </w:rPr>
  </w:style>
  <w:style w:type="paragraph" w:customStyle="1" w:styleId="HChGC">
    <w:name w:val="_ H _Ch_GC"/>
    <w:basedOn w:val="Normal"/>
    <w:next w:val="SingleTxtGC"/>
    <w:rsid w:val="005F34AF"/>
    <w:pPr>
      <w:keepNext/>
      <w:keepLines/>
      <w:tabs>
        <w:tab w:val="clear" w:pos="431"/>
        <w:tab w:val="right" w:pos="851"/>
      </w:tabs>
      <w:spacing w:before="360" w:after="240" w:line="400" w:lineRule="exact"/>
      <w:ind w:left="1134" w:right="1134" w:hanging="1134"/>
      <w:outlineLvl w:val="1"/>
    </w:pPr>
    <w:rPr>
      <w:rFonts w:eastAsia="SimHei"/>
      <w:sz w:val="28"/>
    </w:rPr>
  </w:style>
  <w:style w:type="paragraph" w:customStyle="1" w:styleId="H1GC">
    <w:name w:val="_ H_1_GC"/>
    <w:basedOn w:val="Normal"/>
    <w:next w:val="SingleTxtGC"/>
    <w:rsid w:val="005F34AF"/>
    <w:pPr>
      <w:keepNext/>
      <w:keepLines/>
      <w:tabs>
        <w:tab w:val="clear" w:pos="431"/>
        <w:tab w:val="right" w:pos="851"/>
      </w:tabs>
      <w:spacing w:before="360" w:after="240"/>
      <w:ind w:left="1134" w:right="1134" w:hanging="1134"/>
      <w:outlineLvl w:val="2"/>
    </w:pPr>
    <w:rPr>
      <w:rFonts w:eastAsia="SimHei"/>
      <w:sz w:val="24"/>
    </w:rPr>
  </w:style>
  <w:style w:type="paragraph" w:customStyle="1" w:styleId="H23GC">
    <w:name w:val="_ H_2/3_GC"/>
    <w:basedOn w:val="Normal"/>
    <w:next w:val="SingleTxtGC"/>
    <w:rsid w:val="005F34AF"/>
    <w:pPr>
      <w:keepNext/>
      <w:keepLines/>
      <w:tabs>
        <w:tab w:val="clear" w:pos="431"/>
        <w:tab w:val="right" w:pos="851"/>
      </w:tabs>
      <w:spacing w:before="240" w:after="120"/>
      <w:ind w:left="1134" w:right="1134" w:hanging="1134"/>
      <w:outlineLvl w:val="3"/>
    </w:pPr>
    <w:rPr>
      <w:rFonts w:eastAsia="SimHei"/>
      <w:sz w:val="22"/>
    </w:rPr>
  </w:style>
  <w:style w:type="paragraph" w:customStyle="1" w:styleId="H4GC">
    <w:name w:val="_ H_4_GC"/>
    <w:basedOn w:val="Normal"/>
    <w:next w:val="SingleTxtGC"/>
    <w:rsid w:val="005F34AF"/>
    <w:pPr>
      <w:keepNext/>
      <w:keepLines/>
      <w:tabs>
        <w:tab w:val="clear" w:pos="431"/>
        <w:tab w:val="right" w:pos="851"/>
      </w:tabs>
      <w:spacing w:before="240" w:after="120"/>
      <w:ind w:left="1134" w:right="1134" w:hanging="1134"/>
      <w:outlineLvl w:val="4"/>
    </w:pPr>
    <w:rPr>
      <w:rFonts w:eastAsia="KaiTi_GB2312"/>
      <w:sz w:val="23"/>
    </w:rPr>
  </w:style>
  <w:style w:type="paragraph" w:customStyle="1" w:styleId="H56GC">
    <w:name w:val="_ H_5/6_GC"/>
    <w:basedOn w:val="Normal"/>
    <w:next w:val="SingleTxtGC"/>
    <w:rsid w:val="005F34AF"/>
    <w:pPr>
      <w:keepNext/>
      <w:keepLines/>
      <w:tabs>
        <w:tab w:val="clear" w:pos="431"/>
        <w:tab w:val="right" w:pos="851"/>
      </w:tabs>
      <w:spacing w:before="240" w:after="120"/>
      <w:ind w:left="1134" w:right="1134" w:hanging="1134"/>
      <w:outlineLvl w:val="5"/>
    </w:pPr>
  </w:style>
  <w:style w:type="paragraph" w:customStyle="1" w:styleId="SingleTxtGC">
    <w:name w:val="_ Single Txt_GC"/>
    <w:basedOn w:val="Normal"/>
    <w:rsid w:val="00C80DA9"/>
    <w:pPr>
      <w:tabs>
        <w:tab w:val="left" w:pos="1134"/>
        <w:tab w:val="left" w:pos="1565"/>
        <w:tab w:val="left" w:pos="1996"/>
        <w:tab w:val="left" w:pos="2427"/>
      </w:tabs>
      <w:spacing w:after="120"/>
      <w:ind w:left="1134" w:right="1134"/>
    </w:pPr>
  </w:style>
  <w:style w:type="paragraph" w:customStyle="1" w:styleId="SLGC">
    <w:name w:val="__S_L_GC"/>
    <w:basedOn w:val="Normal"/>
    <w:next w:val="SingleTxtGC"/>
    <w:rsid w:val="00CA073C"/>
    <w:pPr>
      <w:keepNext/>
      <w:keepLines/>
      <w:spacing w:before="240" w:after="240" w:line="580" w:lineRule="exact"/>
      <w:ind w:left="1134" w:right="1134"/>
      <w:jc w:val="left"/>
    </w:pPr>
    <w:rPr>
      <w:rFonts w:eastAsia="SimHei"/>
      <w:sz w:val="56"/>
    </w:rPr>
  </w:style>
  <w:style w:type="paragraph" w:customStyle="1" w:styleId="SMGC">
    <w:name w:val="__S_M_GC"/>
    <w:basedOn w:val="Normal"/>
    <w:next w:val="SingleTxtGC"/>
    <w:rsid w:val="00CA073C"/>
    <w:pPr>
      <w:keepNext/>
      <w:keepLines/>
      <w:spacing w:before="240" w:after="240" w:line="420" w:lineRule="exact"/>
      <w:ind w:left="1134" w:right="1134"/>
      <w:jc w:val="left"/>
    </w:pPr>
    <w:rPr>
      <w:rFonts w:eastAsia="SimHei"/>
      <w:sz w:val="40"/>
    </w:rPr>
  </w:style>
  <w:style w:type="paragraph" w:customStyle="1" w:styleId="SSGC">
    <w:name w:val="__S_S_GC"/>
    <w:basedOn w:val="Normal"/>
    <w:next w:val="SingleTxtGC"/>
    <w:rsid w:val="00CA073C"/>
    <w:pPr>
      <w:keepNext/>
      <w:keepLines/>
      <w:spacing w:before="240" w:after="240" w:line="300" w:lineRule="exact"/>
      <w:ind w:left="1134" w:right="1134"/>
      <w:jc w:val="left"/>
    </w:pPr>
    <w:rPr>
      <w:rFonts w:eastAsia="SimHei"/>
      <w:sz w:val="28"/>
    </w:rPr>
  </w:style>
  <w:style w:type="paragraph" w:customStyle="1" w:styleId="XLargeGC">
    <w:name w:val="__XLarge_GC"/>
    <w:basedOn w:val="Normal"/>
    <w:next w:val="SingleTxtGC"/>
    <w:rsid w:val="00CA073C"/>
    <w:pPr>
      <w:keepNext/>
      <w:keepLines/>
      <w:spacing w:before="240" w:after="240" w:line="420" w:lineRule="exact"/>
      <w:ind w:left="1134" w:right="1134"/>
      <w:jc w:val="left"/>
    </w:pPr>
    <w:rPr>
      <w:rFonts w:eastAsia="SimHei"/>
      <w:sz w:val="40"/>
    </w:rPr>
  </w:style>
  <w:style w:type="paragraph" w:customStyle="1" w:styleId="a3">
    <w:name w:val="悬挂"/>
    <w:basedOn w:val="SingleTxtGC"/>
    <w:rsid w:val="001B11DB"/>
    <w:pPr>
      <w:ind w:left="1565" w:hanging="431"/>
    </w:pPr>
  </w:style>
  <w:style w:type="paragraph" w:customStyle="1" w:styleId="a4">
    <w:name w:val="表中文字"/>
    <w:basedOn w:val="SingleTxtGC"/>
    <w:rsid w:val="00647FD7"/>
    <w:pPr>
      <w:spacing w:before="40" w:line="240" w:lineRule="atLeast"/>
      <w:ind w:left="0" w:right="113"/>
    </w:pPr>
    <w:rPr>
      <w:sz w:val="18"/>
    </w:rPr>
  </w:style>
  <w:style w:type="paragraph" w:customStyle="1" w:styleId="a5">
    <w:name w:val="表数文字"/>
    <w:basedOn w:val="SingleTxtGC"/>
    <w:rsid w:val="004C5291"/>
    <w:pPr>
      <w:spacing w:before="40" w:after="40" w:line="240" w:lineRule="atLeast"/>
      <w:ind w:left="0" w:right="113"/>
    </w:pPr>
    <w:rPr>
      <w:sz w:val="18"/>
    </w:rPr>
  </w:style>
</w:styles>
</file>

<file path=word/webSettings.xml><?xml version="1.0" encoding="utf-8"?>
<w:webSettings xmlns:r="http://schemas.openxmlformats.org/officeDocument/2006/relationships" xmlns:w="http://schemas.openxmlformats.org/wordprocessingml/2006/main">
  <w:encoding w:val="gb2312"/>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A-H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A-HRC.dot</Template>
  <TotalTime>0</TotalTime>
  <Pages>4</Pages>
  <Words>1376</Words>
  <Characters>1446</Characters>
  <Application>Microsoft Office Outlook</Application>
  <DocSecurity>4</DocSecurity>
  <Lines>62</Lines>
  <Paragraphs>50</Paragraphs>
  <ScaleCrop>false</ScaleCrop>
  <Company>CSD</Company>
  <LinksUpToDate>false</LinksUpToDate>
  <CharactersWithSpaces>2772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c:title>
  <dc:subject/>
  <dc:creator>Tian</dc:creator>
  <cp:keywords/>
  <dc:description/>
  <cp:lastModifiedBy>Tian</cp:lastModifiedBy>
  <cp:revision>3</cp:revision>
  <cp:lastPrinted>2014-07-18T07:05:00Z</cp:lastPrinted>
  <dcterms:created xsi:type="dcterms:W3CDTF">2014-07-18T07:05:00Z</dcterms:created>
  <dcterms:modified xsi:type="dcterms:W3CDTF">2014-07-18T07:05:00Z</dcterms:modified>
</cp:coreProperties>
</file>