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982"/>
        <w:gridCol w:w="1861"/>
        <w:gridCol w:w="4522"/>
      </w:tblGrid>
      <w:tr w:rsidR="00AD0014" w:rsidRPr="00DB7679" w:rsidTr="00A11DDA">
        <w:trPr>
          <w:trHeight w:hRule="exact" w:val="851"/>
        </w:trPr>
        <w:tc>
          <w:tcPr>
            <w:tcW w:w="1274" w:type="dxa"/>
            <w:tcBorders>
              <w:bottom w:val="single" w:sz="4" w:space="0" w:color="auto"/>
            </w:tcBorders>
          </w:tcPr>
          <w:p w:rsidR="00AD0014" w:rsidRPr="00983870"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CA3D54" w:rsidP="00CA3D54">
            <w:pPr>
              <w:bidi w:val="0"/>
              <w:spacing w:after="20"/>
              <w:jc w:val="left"/>
              <w:rPr>
                <w:szCs w:val="20"/>
              </w:rPr>
            </w:pPr>
            <w:r w:rsidRPr="00CA3D54">
              <w:rPr>
                <w:sz w:val="40"/>
                <w:szCs w:val="20"/>
              </w:rPr>
              <w:t>A</w:t>
            </w:r>
            <w:r>
              <w:rPr>
                <w:szCs w:val="20"/>
              </w:rPr>
              <w:t>/HRC/RES/26/22</w:t>
            </w:r>
          </w:p>
        </w:tc>
      </w:tr>
      <w:tr w:rsidR="00257225" w:rsidRPr="00DB7679" w:rsidTr="007B599E">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3843" w:type="dxa"/>
            <w:gridSpan w:val="2"/>
            <w:tcBorders>
              <w:top w:val="single" w:sz="4" w:space="0" w:color="auto"/>
              <w:bottom w:val="single" w:sz="12" w:space="0" w:color="auto"/>
            </w:tcBorders>
          </w:tcPr>
          <w:p w:rsidR="00257225" w:rsidRPr="00DB7679" w:rsidRDefault="00257225" w:rsidP="00BC55C8">
            <w:pPr>
              <w:spacing w:before="120" w:line="640" w:lineRule="exact"/>
              <w:rPr>
                <w:rFonts w:hint="cs"/>
                <w:b/>
                <w:bCs/>
                <w:szCs w:val="60"/>
              </w:rPr>
            </w:pPr>
            <w:r w:rsidRPr="00DB7679">
              <w:rPr>
                <w:rFonts w:hint="cs"/>
                <w:b/>
                <w:bCs/>
                <w:szCs w:val="60"/>
                <w:rtl/>
              </w:rPr>
              <w:t>الجمعية العامة</w:t>
            </w:r>
          </w:p>
        </w:tc>
        <w:tc>
          <w:tcPr>
            <w:tcW w:w="4522" w:type="dxa"/>
            <w:tcBorders>
              <w:top w:val="single" w:sz="4" w:space="0" w:color="auto"/>
              <w:bottom w:val="single" w:sz="12" w:space="0" w:color="auto"/>
            </w:tcBorders>
          </w:tcPr>
          <w:p w:rsidR="00CA3D54" w:rsidRDefault="00CA3D54" w:rsidP="00CA3D54">
            <w:pPr>
              <w:bidi w:val="0"/>
              <w:spacing w:before="240"/>
              <w:jc w:val="left"/>
            </w:pPr>
            <w:r>
              <w:t>Distr.: General</w:t>
            </w:r>
          </w:p>
          <w:p w:rsidR="00CA3D54" w:rsidRDefault="00CA3D54" w:rsidP="00CA3D54">
            <w:pPr>
              <w:bidi w:val="0"/>
              <w:jc w:val="left"/>
            </w:pPr>
            <w:r>
              <w:t>15 July 2014</w:t>
            </w:r>
          </w:p>
          <w:p w:rsidR="00CA3D54" w:rsidRDefault="00CA3D54" w:rsidP="00CA3D54">
            <w:pPr>
              <w:bidi w:val="0"/>
              <w:jc w:val="left"/>
            </w:pPr>
            <w:r>
              <w:t>Arabic</w:t>
            </w:r>
          </w:p>
          <w:p w:rsidR="00257225" w:rsidRPr="008B4BC6" w:rsidRDefault="00CA3D54" w:rsidP="00CA3D54">
            <w:pPr>
              <w:bidi w:val="0"/>
              <w:jc w:val="left"/>
            </w:pPr>
            <w:r>
              <w:t>Original: English</w:t>
            </w:r>
          </w:p>
        </w:tc>
      </w:tr>
    </w:tbl>
    <w:p w:rsidR="00CA3D54" w:rsidRPr="00250FAD" w:rsidRDefault="00CA3D54" w:rsidP="00CA3D54">
      <w:pPr>
        <w:pStyle w:val="SingleTxtGA"/>
        <w:spacing w:before="120" w:after="0"/>
        <w:ind w:left="0" w:right="0"/>
        <w:rPr>
          <w:b/>
          <w:bCs/>
          <w:sz w:val="26"/>
          <w:szCs w:val="36"/>
          <w:rtl/>
        </w:rPr>
      </w:pPr>
      <w:r w:rsidRPr="00250FAD">
        <w:rPr>
          <w:b/>
          <w:bCs/>
          <w:sz w:val="26"/>
          <w:szCs w:val="36"/>
          <w:rtl/>
        </w:rPr>
        <w:t>مجلس حقوق الإنسان</w:t>
      </w:r>
    </w:p>
    <w:p w:rsidR="00CA3D54" w:rsidRPr="00250FAD" w:rsidRDefault="00CA3D54" w:rsidP="00CA3D54">
      <w:pPr>
        <w:pStyle w:val="SingleTxtGA"/>
        <w:spacing w:after="0"/>
        <w:ind w:left="0" w:right="0"/>
        <w:rPr>
          <w:b/>
          <w:bCs/>
          <w:rtl/>
        </w:rPr>
      </w:pPr>
      <w:r w:rsidRPr="00250FAD">
        <w:rPr>
          <w:b/>
          <w:bCs/>
          <w:rtl/>
        </w:rPr>
        <w:t>الدورة السادسة والعشرون</w:t>
      </w:r>
    </w:p>
    <w:p w:rsidR="00CA3D54" w:rsidRDefault="00CA3D54" w:rsidP="00CA3D54">
      <w:pPr>
        <w:pStyle w:val="SingleTxtGA"/>
        <w:spacing w:after="0"/>
        <w:ind w:left="0" w:right="0"/>
        <w:rPr>
          <w:rtl/>
        </w:rPr>
      </w:pPr>
      <w:r>
        <w:rPr>
          <w:rtl/>
        </w:rPr>
        <w:t>البند 3 من جدول الأعمال</w:t>
      </w:r>
    </w:p>
    <w:p w:rsidR="00CA3D54" w:rsidRPr="00250FAD" w:rsidRDefault="00CA3D54" w:rsidP="00CA3D54">
      <w:pPr>
        <w:pStyle w:val="SingleTxtGA"/>
        <w:spacing w:after="0"/>
        <w:ind w:left="0" w:right="4479"/>
        <w:rPr>
          <w:b/>
          <w:bCs/>
          <w:rtl/>
        </w:rPr>
      </w:pPr>
      <w:r w:rsidRPr="00250FAD">
        <w:rPr>
          <w:b/>
          <w:bCs/>
          <w:rtl/>
        </w:rPr>
        <w:t>تعزيز وحماية جميع حقوق الإنسان، المدنية والسياسية والاقتصادية والاجتماعية والثقافية،</w:t>
      </w:r>
      <w:r>
        <w:rPr>
          <w:b/>
          <w:bCs/>
          <w:rtl/>
        </w:rPr>
        <w:t xml:space="preserve"> بما </w:t>
      </w:r>
      <w:r w:rsidRPr="00250FAD">
        <w:rPr>
          <w:b/>
          <w:bCs/>
          <w:rtl/>
        </w:rPr>
        <w:t>في</w:t>
      </w:r>
      <w:r>
        <w:rPr>
          <w:rFonts w:hint="cs"/>
          <w:b/>
          <w:bCs/>
          <w:rtl/>
        </w:rPr>
        <w:t xml:space="preserve"> ذلك </w:t>
      </w:r>
      <w:r w:rsidRPr="00250FAD">
        <w:rPr>
          <w:b/>
          <w:bCs/>
          <w:rtl/>
        </w:rPr>
        <w:t>الحق في التنمية</w:t>
      </w:r>
    </w:p>
    <w:p w:rsidR="00CA3D54" w:rsidRPr="008A55DC" w:rsidRDefault="00CA3D54" w:rsidP="00CA3D54">
      <w:pPr>
        <w:pStyle w:val="HChGA"/>
        <w:rPr>
          <w:rFonts w:hint="cs"/>
          <w:rtl/>
        </w:rPr>
      </w:pPr>
      <w:r w:rsidRPr="008A55DC">
        <w:rPr>
          <w:rFonts w:hint="cs"/>
          <w:rtl/>
        </w:rPr>
        <w:tab/>
      </w:r>
      <w:r w:rsidRPr="008A55DC">
        <w:rPr>
          <w:rFonts w:hint="cs"/>
          <w:rtl/>
        </w:rPr>
        <w:tab/>
      </w:r>
      <w:r>
        <w:rPr>
          <w:rFonts w:hint="cs"/>
          <w:rtl/>
        </w:rPr>
        <w:t>قرار اعتمده مجلس حقوق الإنسان</w:t>
      </w:r>
      <w:r w:rsidRPr="008A55DC">
        <w:rPr>
          <w:rFonts w:hint="cs"/>
          <w:rtl/>
        </w:rPr>
        <w:t xml:space="preserve"> </w:t>
      </w:r>
    </w:p>
    <w:p w:rsidR="00CA3D54" w:rsidRDefault="00CA3D54" w:rsidP="007E4BEF">
      <w:pPr>
        <w:pStyle w:val="HChGA"/>
        <w:rPr>
          <w:rtl/>
        </w:rPr>
      </w:pPr>
      <w:r>
        <w:rPr>
          <w:rFonts w:hint="cs"/>
          <w:rtl/>
        </w:rPr>
        <w:tab/>
      </w:r>
      <w:r>
        <w:rPr>
          <w:rFonts w:hint="cs"/>
          <w:rtl/>
        </w:rPr>
        <w:tab/>
      </w:r>
      <w:r>
        <w:rPr>
          <w:rtl/>
        </w:rPr>
        <w:t>26/</w:t>
      </w:r>
      <w:r w:rsidR="007E4BEF">
        <w:rPr>
          <w:rFonts w:hint="cs"/>
          <w:rtl/>
        </w:rPr>
        <w:t>22</w:t>
      </w:r>
      <w:r>
        <w:rPr>
          <w:rFonts w:hint="cs"/>
          <w:rtl/>
        </w:rPr>
        <w:br/>
      </w:r>
      <w:r>
        <w:rPr>
          <w:rtl/>
        </w:rPr>
        <w:t>حقوق الإنسان والشركات عبر الوطنية وغيرها من مؤسسات الأعمال</w:t>
      </w:r>
    </w:p>
    <w:p w:rsidR="00CA3D54" w:rsidRPr="00250FAD" w:rsidRDefault="00CA3D54" w:rsidP="00CA3D54">
      <w:pPr>
        <w:pStyle w:val="SingleTxtGA"/>
        <w:rPr>
          <w:i/>
          <w:iCs/>
          <w:rtl/>
        </w:rPr>
      </w:pPr>
      <w:r>
        <w:rPr>
          <w:rFonts w:hint="cs"/>
          <w:rtl/>
        </w:rPr>
        <w:tab/>
      </w:r>
      <w:r w:rsidRPr="00250FAD">
        <w:rPr>
          <w:i/>
          <w:iCs/>
          <w:rtl/>
        </w:rPr>
        <w:t>إن مجلس حقوق الإنسان،</w:t>
      </w:r>
    </w:p>
    <w:p w:rsidR="00CA3D54" w:rsidRDefault="00CA3D54" w:rsidP="008538ED">
      <w:pPr>
        <w:pStyle w:val="SingleTxtGA"/>
        <w:rPr>
          <w:rtl/>
        </w:rPr>
      </w:pPr>
      <w:r>
        <w:rPr>
          <w:rFonts w:hint="cs"/>
          <w:rtl/>
        </w:rPr>
        <w:tab/>
      </w:r>
      <w:r w:rsidRPr="00250FAD">
        <w:rPr>
          <w:i/>
          <w:iCs/>
          <w:rtl/>
        </w:rPr>
        <w:t>إذ يذك</w:t>
      </w:r>
      <w:r>
        <w:rPr>
          <w:rFonts w:hint="cs"/>
          <w:i/>
          <w:iCs/>
          <w:rtl/>
        </w:rPr>
        <w:t>ّ</w:t>
      </w:r>
      <w:r w:rsidRPr="00250FAD">
        <w:rPr>
          <w:i/>
          <w:iCs/>
          <w:rtl/>
        </w:rPr>
        <w:t>ر</w:t>
      </w:r>
      <w:r>
        <w:rPr>
          <w:rtl/>
        </w:rPr>
        <w:t xml:space="preserve"> بقرارات</w:t>
      </w:r>
      <w:r>
        <w:rPr>
          <w:rFonts w:hint="cs"/>
          <w:rtl/>
        </w:rPr>
        <w:t xml:space="preserve">ه </w:t>
      </w:r>
      <w:r>
        <w:rPr>
          <w:rtl/>
        </w:rPr>
        <w:t>8/7 المؤرخ 18 حزيران/يونيه 2008، و17/4 المؤرخ 6 تموز/يوليه 2011، و21/5 المؤرخ 27 أيلول/سبتمبر 2012، وقرار لجنة حقوق الإنسان</w:t>
      </w:r>
      <w:r w:rsidR="008538ED">
        <w:rPr>
          <w:rFonts w:hint="cs"/>
          <w:rtl/>
        </w:rPr>
        <w:t> </w:t>
      </w:r>
      <w:r>
        <w:rPr>
          <w:rtl/>
        </w:rPr>
        <w:t>2005/69 المؤرخ 20 نيسان/أبريل 2005، بشأن مسألة حقوق الإنسان والشركات عبر الوطنية وغيرها من مؤسسات الأعمال،</w:t>
      </w:r>
    </w:p>
    <w:p w:rsidR="00CA3D54" w:rsidRDefault="00CA3D54" w:rsidP="00CA3D54">
      <w:pPr>
        <w:pStyle w:val="SingleTxtGA"/>
        <w:rPr>
          <w:rtl/>
        </w:rPr>
      </w:pPr>
      <w:r>
        <w:rPr>
          <w:rFonts w:hint="cs"/>
          <w:rtl/>
        </w:rPr>
        <w:tab/>
      </w:r>
      <w:r w:rsidRPr="00250FAD">
        <w:rPr>
          <w:i/>
          <w:iCs/>
          <w:rtl/>
        </w:rPr>
        <w:t>وإذ يذك</w:t>
      </w:r>
      <w:r>
        <w:rPr>
          <w:rFonts w:hint="cs"/>
          <w:i/>
          <w:iCs/>
          <w:rtl/>
        </w:rPr>
        <w:t>ّ</w:t>
      </w:r>
      <w:r w:rsidRPr="00250FAD">
        <w:rPr>
          <w:i/>
          <w:iCs/>
          <w:rtl/>
        </w:rPr>
        <w:t xml:space="preserve">ر على </w:t>
      </w:r>
      <w:r>
        <w:rPr>
          <w:rFonts w:hint="cs"/>
          <w:i/>
          <w:iCs/>
          <w:rtl/>
        </w:rPr>
        <w:t xml:space="preserve">وجه </w:t>
      </w:r>
      <w:r w:rsidRPr="00250FAD">
        <w:rPr>
          <w:i/>
          <w:iCs/>
          <w:rtl/>
        </w:rPr>
        <w:t>الخصوص</w:t>
      </w:r>
      <w:r>
        <w:rPr>
          <w:rtl/>
        </w:rPr>
        <w:t xml:space="preserve"> بأن </w:t>
      </w:r>
      <w:r>
        <w:rPr>
          <w:rFonts w:hint="cs"/>
          <w:rtl/>
        </w:rPr>
        <w:t xml:space="preserve">تأييد </w:t>
      </w:r>
      <w:r>
        <w:rPr>
          <w:rtl/>
        </w:rPr>
        <w:t>مجلس حقوق الإنسان بتوافق الآراء</w:t>
      </w:r>
      <w:r>
        <w:rPr>
          <w:rFonts w:hint="cs"/>
          <w:rtl/>
        </w:rPr>
        <w:t xml:space="preserve">، في قراره 17/4، </w:t>
      </w:r>
      <w:r>
        <w:rPr>
          <w:rtl/>
        </w:rPr>
        <w:t xml:space="preserve">للمبادئ التوجيهية بشأن الأعمال التجارية وحقوق الإنسان </w:t>
      </w:r>
      <w:r>
        <w:rPr>
          <w:rFonts w:hint="cs"/>
          <w:rtl/>
        </w:rPr>
        <w:t xml:space="preserve">قد </w:t>
      </w:r>
      <w:r>
        <w:rPr>
          <w:rtl/>
        </w:rPr>
        <w:t xml:space="preserve">أنشأ إطاراً رسمياً لمنع ومعالجة المخاطر </w:t>
      </w:r>
      <w:r>
        <w:rPr>
          <w:rFonts w:hint="cs"/>
          <w:rtl/>
        </w:rPr>
        <w:t xml:space="preserve">والتأثيرات </w:t>
      </w:r>
      <w:r>
        <w:rPr>
          <w:rtl/>
        </w:rPr>
        <w:t xml:space="preserve">السلبية </w:t>
      </w:r>
      <w:r>
        <w:rPr>
          <w:rFonts w:hint="cs"/>
          <w:rtl/>
        </w:rPr>
        <w:t xml:space="preserve">لأنشطة </w:t>
      </w:r>
      <w:r>
        <w:rPr>
          <w:rtl/>
        </w:rPr>
        <w:t>الأعمال</w:t>
      </w:r>
      <w:r>
        <w:rPr>
          <w:rFonts w:hint="cs"/>
          <w:rtl/>
        </w:rPr>
        <w:t xml:space="preserve"> على حقوق الإنسان</w:t>
      </w:r>
      <w:r>
        <w:rPr>
          <w:rtl/>
        </w:rPr>
        <w:t>، بالاستناد إلى الأركان الثلاثة لإطار الأمم المتحدة المعنون "الحماية والاحترام والانتصاف"</w:t>
      </w:r>
      <w:r>
        <w:rPr>
          <w:vertAlign w:val="superscript"/>
          <w:rtl/>
        </w:rPr>
        <w:t>(</w:t>
      </w:r>
      <w:r>
        <w:rPr>
          <w:rStyle w:val="FootnoteReference"/>
          <w:rtl/>
        </w:rPr>
        <w:footnoteReference w:id="1"/>
      </w:r>
      <w:r>
        <w:rPr>
          <w:vertAlign w:val="superscript"/>
          <w:rtl/>
        </w:rPr>
        <w:t>)</w:t>
      </w:r>
      <w:r>
        <w:rPr>
          <w:rtl/>
        </w:rPr>
        <w:t xml:space="preserve">، </w:t>
      </w:r>
    </w:p>
    <w:p w:rsidR="00CA3D54" w:rsidRDefault="00CA3D54" w:rsidP="00CA3D54">
      <w:pPr>
        <w:pStyle w:val="SingleTxtGA"/>
        <w:rPr>
          <w:rtl/>
        </w:rPr>
      </w:pPr>
      <w:r>
        <w:rPr>
          <w:rFonts w:hint="cs"/>
          <w:rtl/>
        </w:rPr>
        <w:tab/>
      </w:r>
      <w:r w:rsidRPr="00250FAD">
        <w:rPr>
          <w:i/>
          <w:iCs/>
          <w:rtl/>
        </w:rPr>
        <w:t>وإذ يذكّر</w:t>
      </w:r>
      <w:r>
        <w:rPr>
          <w:rtl/>
        </w:rPr>
        <w:t xml:space="preserve"> بقراري مجلس حقوق الإنسان 5/1 بشأن بناء مؤسسات المجلس و5/2 بشأن مدونة قواعد سلوك المكلفين بولايات في إطار الإجراءات الخاصة التابعة للمجلس</w:t>
      </w:r>
      <w:r>
        <w:rPr>
          <w:rFonts w:hint="cs"/>
          <w:rtl/>
        </w:rPr>
        <w:t>،</w:t>
      </w:r>
      <w:r>
        <w:rPr>
          <w:rtl/>
        </w:rPr>
        <w:t xml:space="preserve"> المؤرخين 18 حزيران/يونيه 2007، وإذ يشدد على أن المكلف بولاية </w:t>
      </w:r>
      <w:r>
        <w:rPr>
          <w:rFonts w:hint="cs"/>
          <w:rtl/>
        </w:rPr>
        <w:t xml:space="preserve">يجب أن يضطلع </w:t>
      </w:r>
      <w:r>
        <w:rPr>
          <w:rtl/>
        </w:rPr>
        <w:t>بواجباته وفقاً لهذين القرارين ومرفقيهما،</w:t>
      </w:r>
    </w:p>
    <w:p w:rsidR="00CA3D54" w:rsidRDefault="00CA3D54" w:rsidP="00CA3D54">
      <w:pPr>
        <w:pStyle w:val="SingleTxtGA"/>
        <w:rPr>
          <w:rFonts w:hint="cs"/>
          <w:rtl/>
        </w:rPr>
      </w:pPr>
      <w:r>
        <w:rPr>
          <w:rFonts w:hint="cs"/>
          <w:rtl/>
        </w:rPr>
        <w:tab/>
      </w:r>
      <w:r w:rsidRPr="00250FAD">
        <w:rPr>
          <w:i/>
          <w:iCs/>
          <w:rtl/>
        </w:rPr>
        <w:t>وإذ يشدد</w:t>
      </w:r>
      <w:r>
        <w:rPr>
          <w:rtl/>
        </w:rPr>
        <w:t xml:space="preserve"> على أن الالتزام والمسؤولية الرئيسية </w:t>
      </w:r>
      <w:r>
        <w:rPr>
          <w:rFonts w:hint="cs"/>
          <w:rtl/>
        </w:rPr>
        <w:t xml:space="preserve">فيما يتعلق بتعزيز وحماية </w:t>
      </w:r>
      <w:r>
        <w:rPr>
          <w:rtl/>
        </w:rPr>
        <w:t>حقوق الإنسان والحريات الأساسية يقعان على عاتق الدولة</w:t>
      </w:r>
      <w:r>
        <w:rPr>
          <w:rFonts w:hint="cs"/>
          <w:rtl/>
        </w:rPr>
        <w:t>،</w:t>
      </w:r>
    </w:p>
    <w:p w:rsidR="00CA3D54" w:rsidRDefault="00CA3D54" w:rsidP="00CA3D54">
      <w:pPr>
        <w:pStyle w:val="SingleTxtGA"/>
        <w:rPr>
          <w:rtl/>
        </w:rPr>
      </w:pPr>
      <w:r>
        <w:rPr>
          <w:rFonts w:hint="cs"/>
          <w:rtl/>
        </w:rPr>
        <w:tab/>
      </w:r>
      <w:r w:rsidRPr="00250FAD">
        <w:rPr>
          <w:i/>
          <w:iCs/>
          <w:rtl/>
        </w:rPr>
        <w:t>وإذ ي</w:t>
      </w:r>
      <w:r>
        <w:rPr>
          <w:rFonts w:hint="cs"/>
          <w:i/>
          <w:iCs/>
          <w:rtl/>
        </w:rPr>
        <w:t xml:space="preserve">ؤكد </w:t>
      </w:r>
      <w:r>
        <w:rPr>
          <w:rtl/>
        </w:rPr>
        <w:t xml:space="preserve">أن الشركات عبر الوطنية وغيرها من مؤسسات الأعمال </w:t>
      </w:r>
      <w:proofErr w:type="spellStart"/>
      <w:r>
        <w:rPr>
          <w:rtl/>
        </w:rPr>
        <w:t>مسؤولة</w:t>
      </w:r>
      <w:proofErr w:type="spellEnd"/>
      <w:r>
        <w:rPr>
          <w:rtl/>
        </w:rPr>
        <w:t xml:space="preserve"> عن احترام حقوق الإنسان،</w:t>
      </w:r>
    </w:p>
    <w:p w:rsidR="00CA3D54" w:rsidRDefault="00CA3D54" w:rsidP="00CA3D54">
      <w:pPr>
        <w:pStyle w:val="SingleTxtGA"/>
        <w:rPr>
          <w:rtl/>
        </w:rPr>
      </w:pPr>
      <w:r>
        <w:rPr>
          <w:rFonts w:hint="cs"/>
          <w:rtl/>
        </w:rPr>
        <w:tab/>
      </w:r>
      <w:r w:rsidRPr="00250FAD">
        <w:rPr>
          <w:i/>
          <w:iCs/>
          <w:rtl/>
        </w:rPr>
        <w:t>وإذ يسلِّم</w:t>
      </w:r>
      <w:r>
        <w:rPr>
          <w:rtl/>
        </w:rPr>
        <w:t xml:space="preserve"> بأن </w:t>
      </w:r>
      <w:r>
        <w:rPr>
          <w:rFonts w:hint="cs"/>
          <w:rtl/>
        </w:rPr>
        <w:t xml:space="preserve">وضع </w:t>
      </w:r>
      <w:r>
        <w:rPr>
          <w:rtl/>
        </w:rPr>
        <w:t xml:space="preserve">السياسات والتنظيم السليم، بوسائل منها التشريعات الوطنية، </w:t>
      </w:r>
      <w:r>
        <w:rPr>
          <w:rFonts w:hint="cs"/>
          <w:rtl/>
        </w:rPr>
        <w:t>فيما يخص ا</w:t>
      </w:r>
      <w:r>
        <w:rPr>
          <w:rtl/>
        </w:rPr>
        <w:t xml:space="preserve">لشركات عبر الوطنية وغيرها من مؤسسات الأعمال </w:t>
      </w:r>
      <w:r>
        <w:rPr>
          <w:rFonts w:hint="cs"/>
          <w:rtl/>
        </w:rPr>
        <w:t xml:space="preserve">وإدارة عملياتها </w:t>
      </w:r>
      <w:r>
        <w:rPr>
          <w:rtl/>
        </w:rPr>
        <w:t xml:space="preserve">بطريقة </w:t>
      </w:r>
      <w:proofErr w:type="spellStart"/>
      <w:r>
        <w:rPr>
          <w:rtl/>
        </w:rPr>
        <w:t>مسؤولة</w:t>
      </w:r>
      <w:proofErr w:type="spellEnd"/>
      <w:r>
        <w:rPr>
          <w:rtl/>
        </w:rPr>
        <w:t xml:space="preserve">، </w:t>
      </w:r>
      <w:r>
        <w:rPr>
          <w:rFonts w:hint="cs"/>
          <w:rtl/>
        </w:rPr>
        <w:t xml:space="preserve">وهي أمور يمكن أن تسهم </w:t>
      </w:r>
      <w:r>
        <w:rPr>
          <w:rtl/>
        </w:rPr>
        <w:t>في تعزيز حقوق الإنسان وحمايتها وإعمالها واحترامها وفي المساعدة في توجيه الفوائد التي يحققها قطاع الأعمال نحو الإسهام في التمتع بحقوق الإنسان والحريات الأساسية،</w:t>
      </w:r>
    </w:p>
    <w:p w:rsidR="00CA3D54" w:rsidRDefault="00CA3D54" w:rsidP="00CA3D54">
      <w:pPr>
        <w:pStyle w:val="SingleTxtGA"/>
        <w:rPr>
          <w:rtl/>
        </w:rPr>
      </w:pPr>
      <w:r>
        <w:rPr>
          <w:rFonts w:hint="cs"/>
          <w:rtl/>
        </w:rPr>
        <w:tab/>
      </w:r>
      <w:r w:rsidRPr="00250FAD">
        <w:rPr>
          <w:i/>
          <w:iCs/>
          <w:rtl/>
        </w:rPr>
        <w:t>وإذ يساوره القلق</w:t>
      </w:r>
      <w:r>
        <w:rPr>
          <w:rtl/>
        </w:rPr>
        <w:t xml:space="preserve"> لأن ضعف التشريعات الوطنية </w:t>
      </w:r>
      <w:r>
        <w:rPr>
          <w:rFonts w:hint="cs"/>
          <w:rtl/>
        </w:rPr>
        <w:t xml:space="preserve">وتنفيذها </w:t>
      </w:r>
      <w:r>
        <w:rPr>
          <w:rtl/>
        </w:rPr>
        <w:t xml:space="preserve">لا يمكّن من التخفيف بفعالية من التأثير السلبي للعولمة على </w:t>
      </w:r>
      <w:proofErr w:type="spellStart"/>
      <w:r>
        <w:rPr>
          <w:rtl/>
        </w:rPr>
        <w:t>الاقتصادات</w:t>
      </w:r>
      <w:proofErr w:type="spellEnd"/>
      <w:r>
        <w:rPr>
          <w:rtl/>
        </w:rPr>
        <w:t xml:space="preserve"> الضعيفة </w:t>
      </w:r>
      <w:r>
        <w:rPr>
          <w:rFonts w:hint="cs"/>
          <w:rtl/>
        </w:rPr>
        <w:t xml:space="preserve">أو من الحصول على </w:t>
      </w:r>
      <w:r>
        <w:rPr>
          <w:rtl/>
        </w:rPr>
        <w:t xml:space="preserve">أقصى فوائد ممكنة من أنشطة الشركات عبر الوطنية وغيرها من مؤسسات الأعمال، ولأن الضرورة تدعو إلى بذل جهود إضافية لسد ثغرات </w:t>
      </w:r>
      <w:proofErr w:type="spellStart"/>
      <w:r>
        <w:rPr>
          <w:rtl/>
        </w:rPr>
        <w:t>الحوكمة</w:t>
      </w:r>
      <w:proofErr w:type="spellEnd"/>
      <w:r>
        <w:rPr>
          <w:rtl/>
        </w:rPr>
        <w:t xml:space="preserve"> على الصعيد الوطني والإقليمي والدولي،</w:t>
      </w:r>
    </w:p>
    <w:p w:rsidR="00CA3D54" w:rsidRDefault="00CA3D54" w:rsidP="00CA3D54">
      <w:pPr>
        <w:pStyle w:val="SingleTxtGA"/>
        <w:rPr>
          <w:rtl/>
        </w:rPr>
      </w:pPr>
      <w:r>
        <w:rPr>
          <w:rFonts w:hint="cs"/>
          <w:rtl/>
        </w:rPr>
        <w:tab/>
      </w:r>
      <w:r w:rsidRPr="00250FAD">
        <w:rPr>
          <w:i/>
          <w:iCs/>
          <w:rtl/>
        </w:rPr>
        <w:t>وإذ يقر</w:t>
      </w:r>
      <w:r>
        <w:rPr>
          <w:rtl/>
        </w:rPr>
        <w:t xml:space="preserve"> بالجهود التي تبذلها بعض الدول ومؤسسات الأعمال والمنظمات الدولية وأعضاء المجتمع المدني لتطبيق المبادئ التوجيهية،</w:t>
      </w:r>
    </w:p>
    <w:p w:rsidR="00CA3D54" w:rsidRDefault="00CA3D54" w:rsidP="00CA3D54">
      <w:pPr>
        <w:pStyle w:val="SingleTxtGA"/>
        <w:rPr>
          <w:rtl/>
        </w:rPr>
      </w:pPr>
      <w:r>
        <w:rPr>
          <w:rFonts w:hint="cs"/>
          <w:rtl/>
        </w:rPr>
        <w:tab/>
      </w:r>
      <w:r w:rsidRPr="00250FAD">
        <w:rPr>
          <w:i/>
          <w:iCs/>
          <w:rtl/>
        </w:rPr>
        <w:t>وإذ يقر أيضاً</w:t>
      </w:r>
      <w:r>
        <w:rPr>
          <w:rtl/>
        </w:rPr>
        <w:t xml:space="preserve"> بالدور القيّم الذي يضطلع </w:t>
      </w:r>
      <w:proofErr w:type="spellStart"/>
      <w:r>
        <w:rPr>
          <w:rtl/>
        </w:rPr>
        <w:t>به</w:t>
      </w:r>
      <w:proofErr w:type="spellEnd"/>
      <w:r>
        <w:rPr>
          <w:rtl/>
        </w:rPr>
        <w:t xml:space="preserve"> المجتمع المدني، بما فيه المنظمات غير الحكومية، في تشجيع تطبيق المبادئ التوجيهية والمساءلة عن انتهاكات حقوق الإنسان المتصلة</w:t>
      </w:r>
      <w:r>
        <w:rPr>
          <w:rFonts w:hint="cs"/>
          <w:rtl/>
        </w:rPr>
        <w:t> </w:t>
      </w:r>
      <w:r>
        <w:rPr>
          <w:rtl/>
        </w:rPr>
        <w:t>ب</w:t>
      </w:r>
      <w:r>
        <w:rPr>
          <w:rFonts w:hint="cs"/>
          <w:rtl/>
        </w:rPr>
        <w:t>أنشطة ا</w:t>
      </w:r>
      <w:r>
        <w:rPr>
          <w:rtl/>
        </w:rPr>
        <w:t xml:space="preserve">لأعمال وفي التوعية بتأثيرات ومخاطر بعض مؤسسات </w:t>
      </w:r>
      <w:r>
        <w:rPr>
          <w:rFonts w:hint="cs"/>
          <w:rtl/>
        </w:rPr>
        <w:t xml:space="preserve">وأنشطة </w:t>
      </w:r>
      <w:r>
        <w:rPr>
          <w:rtl/>
        </w:rPr>
        <w:t>الأعمال على حقوق الإنسان،</w:t>
      </w:r>
    </w:p>
    <w:p w:rsidR="00CA3D54" w:rsidRDefault="00CA3D54" w:rsidP="00CA3D54">
      <w:pPr>
        <w:pStyle w:val="SingleTxtGA"/>
        <w:rPr>
          <w:rtl/>
        </w:rPr>
      </w:pPr>
      <w:r>
        <w:rPr>
          <w:rFonts w:hint="cs"/>
          <w:rtl/>
        </w:rPr>
        <w:tab/>
      </w:r>
      <w:r w:rsidRPr="00250FAD">
        <w:rPr>
          <w:i/>
          <w:iCs/>
          <w:rtl/>
        </w:rPr>
        <w:t>وإذ يشير</w:t>
      </w:r>
      <w:r>
        <w:rPr>
          <w:rtl/>
        </w:rPr>
        <w:t xml:space="preserve"> إلى أهمية الدور الذي يمكن أن تؤديه خطط العمل الوطنية وأطر أخرى من هذا القبيل بشأن </w:t>
      </w:r>
      <w:r>
        <w:rPr>
          <w:rFonts w:hint="cs"/>
          <w:rtl/>
        </w:rPr>
        <w:t xml:space="preserve">أنشطة </w:t>
      </w:r>
      <w:r>
        <w:rPr>
          <w:rtl/>
        </w:rPr>
        <w:t xml:space="preserve">الأعمال وحقوق الإنسان كأداة لتعزيز تطبيق المبادئ التوجيهية </w:t>
      </w:r>
      <w:r>
        <w:rPr>
          <w:rFonts w:hint="cs"/>
          <w:rtl/>
        </w:rPr>
        <w:t>تطبيقاً شاملاً وفعالاً</w:t>
      </w:r>
      <w:r>
        <w:rPr>
          <w:rtl/>
        </w:rPr>
        <w:t>،</w:t>
      </w:r>
    </w:p>
    <w:p w:rsidR="00CA3D54" w:rsidRDefault="00CA3D54" w:rsidP="00CA3D54">
      <w:pPr>
        <w:pStyle w:val="SingleTxtGA"/>
        <w:rPr>
          <w:rtl/>
        </w:rPr>
      </w:pPr>
      <w:r>
        <w:rPr>
          <w:rFonts w:hint="cs"/>
          <w:rtl/>
        </w:rPr>
        <w:tab/>
      </w:r>
      <w:r w:rsidRPr="00250FAD">
        <w:rPr>
          <w:i/>
          <w:iCs/>
          <w:rtl/>
        </w:rPr>
        <w:t>وإذ يساوره القلق</w:t>
      </w:r>
      <w:r>
        <w:rPr>
          <w:rtl/>
        </w:rPr>
        <w:t xml:space="preserve"> إزاء العوائق القانونية والعملية لسبل الانتصاف الخاصة بانتهاكات حقوق الإنسان المتصلة ب</w:t>
      </w:r>
      <w:r>
        <w:rPr>
          <w:rFonts w:hint="cs"/>
          <w:rtl/>
        </w:rPr>
        <w:t>أنشطة ا</w:t>
      </w:r>
      <w:r>
        <w:rPr>
          <w:rtl/>
        </w:rPr>
        <w:t xml:space="preserve">لأعمال، التي يمكن أن تحرم المظلومين من فرصة </w:t>
      </w:r>
      <w:r>
        <w:rPr>
          <w:rFonts w:hint="cs"/>
          <w:rtl/>
        </w:rPr>
        <w:t xml:space="preserve">الاستفادة من </w:t>
      </w:r>
      <w:r>
        <w:rPr>
          <w:rtl/>
        </w:rPr>
        <w:t>سبل انتصاف فعالة، بما فيها السبل القضائية وغير القضائية، وإذ يقر بإمكانية مواصلة النظر في</w:t>
      </w:r>
      <w:r>
        <w:rPr>
          <w:rFonts w:hint="cs"/>
          <w:rtl/>
        </w:rPr>
        <w:t xml:space="preserve"> </w:t>
      </w:r>
      <w:r>
        <w:rPr>
          <w:rtl/>
        </w:rPr>
        <w:t xml:space="preserve">ما إذا كان من شأن </w:t>
      </w:r>
      <w:r>
        <w:rPr>
          <w:rFonts w:hint="cs"/>
          <w:rtl/>
        </w:rPr>
        <w:t>ال</w:t>
      </w:r>
      <w:r>
        <w:rPr>
          <w:rtl/>
        </w:rPr>
        <w:t xml:space="preserve">أطر </w:t>
      </w:r>
      <w:r>
        <w:rPr>
          <w:rFonts w:hint="cs"/>
          <w:rtl/>
        </w:rPr>
        <w:t>ال</w:t>
      </w:r>
      <w:r>
        <w:rPr>
          <w:rtl/>
        </w:rPr>
        <w:t xml:space="preserve">قانونية ذات </w:t>
      </w:r>
      <w:r>
        <w:rPr>
          <w:rFonts w:hint="cs"/>
          <w:rtl/>
        </w:rPr>
        <w:t>ال</w:t>
      </w:r>
      <w:r>
        <w:rPr>
          <w:rtl/>
        </w:rPr>
        <w:t>صلة أن توفر سبل انتصاف أكثر فعالية للأفراد والمجتمعات المحلية المتضررة،</w:t>
      </w:r>
    </w:p>
    <w:p w:rsidR="00CA3D54" w:rsidRDefault="00CA3D54" w:rsidP="00CA3D54">
      <w:pPr>
        <w:pStyle w:val="SingleTxtGA"/>
        <w:rPr>
          <w:rtl/>
        </w:rPr>
      </w:pPr>
      <w:r>
        <w:rPr>
          <w:rFonts w:hint="cs"/>
          <w:rtl/>
        </w:rPr>
        <w:tab/>
      </w:r>
      <w:r w:rsidRPr="00250FAD">
        <w:rPr>
          <w:i/>
          <w:iCs/>
          <w:rtl/>
        </w:rPr>
        <w:t>وإذ يقر</w:t>
      </w:r>
      <w:r>
        <w:rPr>
          <w:rtl/>
        </w:rPr>
        <w:t xml:space="preserve"> بأن المنتدى السنوي المعني بالأعمال وحقوق الإنسان قد نما من حيث الحجم وأصبح </w:t>
      </w:r>
      <w:r>
        <w:rPr>
          <w:rFonts w:hint="cs"/>
          <w:rtl/>
        </w:rPr>
        <w:t xml:space="preserve">يمثل </w:t>
      </w:r>
      <w:r>
        <w:rPr>
          <w:rtl/>
        </w:rPr>
        <w:t xml:space="preserve">فرصة قيّمة للتبادل العالمي البناء </w:t>
      </w:r>
      <w:r>
        <w:rPr>
          <w:rFonts w:hint="cs"/>
          <w:rtl/>
        </w:rPr>
        <w:t>للتجارب</w:t>
      </w:r>
      <w:r w:rsidR="008538ED">
        <w:rPr>
          <w:rFonts w:hint="cs"/>
          <w:rtl/>
        </w:rPr>
        <w:t xml:space="preserve"> </w:t>
      </w:r>
      <w:r>
        <w:rPr>
          <w:rFonts w:hint="cs"/>
          <w:rtl/>
        </w:rPr>
        <w:t xml:space="preserve">المتصلة بالتحديات </w:t>
      </w:r>
      <w:r>
        <w:rPr>
          <w:rtl/>
        </w:rPr>
        <w:t>والدروس المستفادة والممارسات الجيدة في تطبيق المبادئ التوجيهية من جانب جميع أصحاب المصلحة المعنيين،</w:t>
      </w:r>
    </w:p>
    <w:p w:rsidR="00CA3D54" w:rsidRDefault="00CA3D54" w:rsidP="00CA3D54">
      <w:pPr>
        <w:pStyle w:val="SingleTxtGA"/>
        <w:rPr>
          <w:rtl/>
        </w:rPr>
      </w:pPr>
      <w:r>
        <w:rPr>
          <w:rFonts w:hint="cs"/>
          <w:rtl/>
        </w:rPr>
        <w:tab/>
      </w:r>
      <w:r w:rsidRPr="00250FAD">
        <w:rPr>
          <w:i/>
          <w:iCs/>
          <w:rtl/>
        </w:rPr>
        <w:t>وإذ يقر أيضاً</w:t>
      </w:r>
      <w:r>
        <w:rPr>
          <w:rtl/>
        </w:rPr>
        <w:t xml:space="preserve"> بأهمية بناء قدرات الحكومات ومؤسسات الأعمال والمجتمع المدني وسائر أصحاب المصلحة لمنع الانتهاكات على نحو أفضل وتوفير سبل انتصاف </w:t>
      </w:r>
      <w:r w:rsidR="007E4BEF">
        <w:rPr>
          <w:rFonts w:hint="cs"/>
          <w:rtl/>
        </w:rPr>
        <w:t xml:space="preserve">فعالة </w:t>
      </w:r>
      <w:r>
        <w:rPr>
          <w:rFonts w:hint="cs"/>
          <w:rtl/>
        </w:rPr>
        <w:t>والتصدي ل</w:t>
      </w:r>
      <w:r>
        <w:rPr>
          <w:rtl/>
        </w:rPr>
        <w:t>لتحديات في مجال الأعمال وحقوق الإنسان، وبأن منظومة الأمم المتحدة يمكن أن تؤدي دوراً هاماً في هذا الصدد،</w:t>
      </w:r>
    </w:p>
    <w:p w:rsidR="00CA3D54" w:rsidRDefault="00CA3D54" w:rsidP="00CA3D54">
      <w:pPr>
        <w:pStyle w:val="SingleTxtGA"/>
        <w:rPr>
          <w:rtl/>
        </w:rPr>
      </w:pPr>
      <w:r>
        <w:rPr>
          <w:rFonts w:hint="cs"/>
          <w:rtl/>
        </w:rPr>
        <w:tab/>
      </w:r>
      <w:r w:rsidRPr="00250FAD">
        <w:rPr>
          <w:i/>
          <w:iCs/>
          <w:rtl/>
        </w:rPr>
        <w:t>وإذ يذكّر</w:t>
      </w:r>
      <w:r>
        <w:rPr>
          <w:rtl/>
        </w:rPr>
        <w:t xml:space="preserve"> بآراء وتوصيات هيئات معاهدات حقوق الإنسان التابعة للأمم المتحدة، بما فيها التعليقات العامة المتعلقة بمسألة حقوق الإنسان والشركات عبر الوطنية وغيرها من مؤسسات الأعمال، مثل التعليق العام رقم 16 الصادر عن لجنة حقوق الطفل،</w:t>
      </w:r>
    </w:p>
    <w:p w:rsidR="00CA3D54" w:rsidRDefault="00CA3D54" w:rsidP="00CA3D54">
      <w:pPr>
        <w:pStyle w:val="SingleTxtGA"/>
        <w:rPr>
          <w:rtl/>
        </w:rPr>
      </w:pPr>
      <w:r>
        <w:rPr>
          <w:rFonts w:hint="cs"/>
          <w:rtl/>
        </w:rPr>
        <w:tab/>
      </w:r>
      <w:r>
        <w:rPr>
          <w:rtl/>
        </w:rPr>
        <w:t>1-</w:t>
      </w:r>
      <w:r>
        <w:rPr>
          <w:rtl/>
        </w:rPr>
        <w:tab/>
      </w:r>
      <w:r w:rsidRPr="00250FAD">
        <w:rPr>
          <w:i/>
          <w:iCs/>
          <w:rtl/>
        </w:rPr>
        <w:t>يرحب</w:t>
      </w:r>
      <w:r>
        <w:rPr>
          <w:rtl/>
        </w:rPr>
        <w:t xml:space="preserve"> بعمل الفريق العامل المعني بمسألة حقوق الإنسان والشركات عبر الوطنية وغيرها من مؤسسات الأعمال </w:t>
      </w:r>
      <w:r>
        <w:rPr>
          <w:rFonts w:hint="cs"/>
          <w:rtl/>
        </w:rPr>
        <w:t xml:space="preserve">في أداء مهام ولايته، </w:t>
      </w:r>
      <w:r>
        <w:rPr>
          <w:rtl/>
        </w:rPr>
        <w:t xml:space="preserve">بما في ذلك </w:t>
      </w:r>
      <w:r>
        <w:rPr>
          <w:rFonts w:hint="cs"/>
          <w:rtl/>
        </w:rPr>
        <w:t xml:space="preserve">تنظيم منتديات </w:t>
      </w:r>
      <w:r>
        <w:rPr>
          <w:rtl/>
        </w:rPr>
        <w:t xml:space="preserve">إقليمية لمناقشة التحديات والدروس المستفادة من تطبيق المبادئ التوجيهية </w:t>
      </w:r>
      <w:r>
        <w:rPr>
          <w:rFonts w:hint="cs"/>
          <w:rtl/>
        </w:rPr>
        <w:t>المتعلقة ب</w:t>
      </w:r>
      <w:r>
        <w:rPr>
          <w:rtl/>
        </w:rPr>
        <w:t>الأعمال وحقوق الإنسان مع الدول وغيرها من أصحاب المصلحة في السياق الإقليمي</w:t>
      </w:r>
      <w:r>
        <w:rPr>
          <w:vertAlign w:val="superscript"/>
          <w:rtl/>
        </w:rPr>
        <w:t>(</w:t>
      </w:r>
      <w:r>
        <w:rPr>
          <w:rStyle w:val="FootnoteReference"/>
          <w:rtl/>
        </w:rPr>
        <w:footnoteReference w:id="2"/>
      </w:r>
      <w:r>
        <w:rPr>
          <w:vertAlign w:val="superscript"/>
          <w:rtl/>
        </w:rPr>
        <w:t>)</w:t>
      </w:r>
      <w:r>
        <w:rPr>
          <w:rtl/>
        </w:rPr>
        <w:t>؛</w:t>
      </w:r>
    </w:p>
    <w:p w:rsidR="00CA3D54" w:rsidRDefault="00CA3D54" w:rsidP="00CA3D54">
      <w:pPr>
        <w:pStyle w:val="SingleTxtGA"/>
        <w:rPr>
          <w:rtl/>
        </w:rPr>
      </w:pPr>
      <w:r>
        <w:rPr>
          <w:rFonts w:hint="cs"/>
          <w:rtl/>
        </w:rPr>
        <w:tab/>
      </w:r>
      <w:r>
        <w:rPr>
          <w:rtl/>
        </w:rPr>
        <w:t>2-</w:t>
      </w:r>
      <w:r>
        <w:rPr>
          <w:rtl/>
        </w:rPr>
        <w:tab/>
      </w:r>
      <w:r w:rsidRPr="00250FAD">
        <w:rPr>
          <w:i/>
          <w:iCs/>
          <w:rtl/>
        </w:rPr>
        <w:t>يقر</w:t>
      </w:r>
      <w:r>
        <w:rPr>
          <w:rtl/>
        </w:rPr>
        <w:t xml:space="preserve"> بأن التطبيق الفعال للمبادئ التوجيهية ينبغي أن يشمل مجموعة واسعة من مجالات السياسات العامة، ويشجع جميع الدول على اتخاذ خطوات لتطبيق المبادئ التوجيهية، بما في ذلك وضع خطة عمل وطنية أو </w:t>
      </w:r>
      <w:r>
        <w:rPr>
          <w:rFonts w:hint="cs"/>
          <w:rtl/>
        </w:rPr>
        <w:t xml:space="preserve">أُطر أخرى </w:t>
      </w:r>
      <w:r>
        <w:rPr>
          <w:rtl/>
        </w:rPr>
        <w:t>من هذا القبيل؛</w:t>
      </w:r>
    </w:p>
    <w:p w:rsidR="00CA3D54" w:rsidRDefault="00CA3D54" w:rsidP="00CA3D54">
      <w:pPr>
        <w:pStyle w:val="SingleTxtGA"/>
        <w:rPr>
          <w:rtl/>
        </w:rPr>
      </w:pPr>
      <w:r>
        <w:rPr>
          <w:rFonts w:hint="cs"/>
          <w:rtl/>
        </w:rPr>
        <w:tab/>
      </w:r>
      <w:r>
        <w:rPr>
          <w:rtl/>
        </w:rPr>
        <w:t>3-</w:t>
      </w:r>
      <w:r>
        <w:rPr>
          <w:rtl/>
        </w:rPr>
        <w:tab/>
      </w:r>
      <w:proofErr w:type="spellStart"/>
      <w:r w:rsidRPr="00250FAD">
        <w:rPr>
          <w:i/>
          <w:iCs/>
          <w:rtl/>
        </w:rPr>
        <w:t>يهيب</w:t>
      </w:r>
      <w:proofErr w:type="spellEnd"/>
      <w:r>
        <w:rPr>
          <w:rtl/>
        </w:rPr>
        <w:t xml:space="preserve"> بجميع مؤسسات الأعمال أن تفي بمسؤوليتها المتمثلة في احترام حقوق الإنسان وفقاً للمبادئ التوجيهية؛</w:t>
      </w:r>
    </w:p>
    <w:p w:rsidR="00CA3D54" w:rsidRDefault="00CA3D54" w:rsidP="00CA3D54">
      <w:pPr>
        <w:pStyle w:val="SingleTxtGA"/>
        <w:rPr>
          <w:rtl/>
        </w:rPr>
      </w:pPr>
      <w:r>
        <w:rPr>
          <w:rFonts w:hint="cs"/>
          <w:rtl/>
        </w:rPr>
        <w:tab/>
      </w:r>
      <w:r>
        <w:rPr>
          <w:rtl/>
        </w:rPr>
        <w:t>4-</w:t>
      </w:r>
      <w:r>
        <w:rPr>
          <w:rtl/>
        </w:rPr>
        <w:tab/>
      </w:r>
      <w:r w:rsidRPr="00250FAD">
        <w:rPr>
          <w:i/>
          <w:iCs/>
          <w:rtl/>
        </w:rPr>
        <w:t>يرحب</w:t>
      </w:r>
      <w:r>
        <w:rPr>
          <w:rtl/>
        </w:rPr>
        <w:t xml:space="preserve"> بالجهود التي يبذلها الفريق العامل لبناء قاعدة بيانات لخطط العمل الوطنية وغير ذلك من البيانات المتعلقة بالتقدم العالمي في تطبيق المبادئ التوجيهية، وفي هذا الصدد يشجع الدول على تقديم معلومات عن خطط عملها الوطنية وغير ذلك من المبادرات ذات الصلة، مع تقارير سنوية عن تنفيذ هذه الالتزامات، ويدعو جميع أصحاب المصلحة المعنيين إلى تقديم معلومات ذات صلة إلى الفريق العامل؛</w:t>
      </w:r>
    </w:p>
    <w:p w:rsidR="00CA3D54" w:rsidRDefault="00CA3D54" w:rsidP="00CA3D54">
      <w:pPr>
        <w:pStyle w:val="SingleTxtGA"/>
        <w:rPr>
          <w:rtl/>
        </w:rPr>
      </w:pPr>
      <w:r>
        <w:rPr>
          <w:rFonts w:hint="cs"/>
          <w:rtl/>
        </w:rPr>
        <w:tab/>
      </w:r>
      <w:r>
        <w:rPr>
          <w:rtl/>
        </w:rPr>
        <w:t>5-</w:t>
      </w:r>
      <w:r>
        <w:rPr>
          <w:rtl/>
        </w:rPr>
        <w:tab/>
      </w:r>
      <w:r w:rsidRPr="00250FAD">
        <w:rPr>
          <w:i/>
          <w:iCs/>
          <w:rtl/>
        </w:rPr>
        <w:t>يرحب أيضاً</w:t>
      </w:r>
      <w:r>
        <w:rPr>
          <w:rtl/>
        </w:rPr>
        <w:t xml:space="preserve"> بالجهود التي يبذلها الفريق العامل لإعداد إرشادات من أجل وضع وتنفيذ خطط عمل وطنية فعالة، </w:t>
      </w:r>
      <w:r>
        <w:rPr>
          <w:rFonts w:hint="cs"/>
          <w:rtl/>
        </w:rPr>
        <w:t xml:space="preserve">بما في ذلك </w:t>
      </w:r>
      <w:r>
        <w:rPr>
          <w:rtl/>
        </w:rPr>
        <w:t>ما يتعلق بالوصول إلى سبل الانتصاف القضائية وغير القضائية، ويشجع جميع الدول وغيرها من أصحاب المصلحة على مشاركة الفريق العامل في إعداد هذه الإرشادات؛</w:t>
      </w:r>
    </w:p>
    <w:p w:rsidR="00CA3D54" w:rsidRDefault="00CA3D54" w:rsidP="00CA3D54">
      <w:pPr>
        <w:pStyle w:val="SingleTxtGA"/>
        <w:rPr>
          <w:rtl/>
        </w:rPr>
      </w:pPr>
      <w:r>
        <w:rPr>
          <w:rFonts w:hint="cs"/>
          <w:rtl/>
        </w:rPr>
        <w:tab/>
      </w:r>
      <w:r>
        <w:rPr>
          <w:rtl/>
        </w:rPr>
        <w:t>6-</w:t>
      </w:r>
      <w:r>
        <w:rPr>
          <w:rtl/>
        </w:rPr>
        <w:tab/>
      </w:r>
      <w:r w:rsidRPr="00250FAD">
        <w:rPr>
          <w:i/>
          <w:iCs/>
          <w:rtl/>
        </w:rPr>
        <w:t>يشجع</w:t>
      </w:r>
      <w:r>
        <w:rPr>
          <w:rtl/>
        </w:rPr>
        <w:t xml:space="preserve"> الفريق العامل على تحديد وتعزيز أفضل الممارسات في التطبيق الوطني للمبادئ التوجيهية وعلى إدراج </w:t>
      </w:r>
      <w:r>
        <w:rPr>
          <w:rFonts w:hint="cs"/>
          <w:rtl/>
        </w:rPr>
        <w:t xml:space="preserve">النتائج التي يخلص إليها، </w:t>
      </w:r>
      <w:r>
        <w:rPr>
          <w:rtl/>
        </w:rPr>
        <w:t>بما فيها النتائج المتعلقة بالتقدم العالمي في تطبيق المبادئ التوجيهية، في تقاريره السنوية إلى مجلس حقوق الإنسان؛</w:t>
      </w:r>
    </w:p>
    <w:p w:rsidR="00CA3D54" w:rsidRDefault="00CA3D54" w:rsidP="00CA3D54">
      <w:pPr>
        <w:pStyle w:val="SingleTxtGA"/>
        <w:rPr>
          <w:rtl/>
        </w:rPr>
      </w:pPr>
      <w:r>
        <w:rPr>
          <w:rFonts w:hint="cs"/>
          <w:rtl/>
        </w:rPr>
        <w:tab/>
      </w:r>
      <w:r>
        <w:rPr>
          <w:rtl/>
        </w:rPr>
        <w:t>7-</w:t>
      </w:r>
      <w:r>
        <w:rPr>
          <w:rtl/>
        </w:rPr>
        <w:tab/>
      </w:r>
      <w:r w:rsidRPr="00250FAD">
        <w:rPr>
          <w:i/>
          <w:iCs/>
          <w:rtl/>
        </w:rPr>
        <w:t>يطلب</w:t>
      </w:r>
      <w:r>
        <w:rPr>
          <w:rtl/>
        </w:rPr>
        <w:t xml:space="preserve"> إلى مفوضة الأمم المتحدة السامية لحقوق الإنسان أن تواصل عملها </w:t>
      </w:r>
      <w:r>
        <w:rPr>
          <w:rFonts w:hint="cs"/>
          <w:rtl/>
        </w:rPr>
        <w:t xml:space="preserve">لتيسير تبادل واستكشاف المجموعة الكاملة من الخيارات القانونية والتدابير العملية لتحسين إتاحة سبل الانتصاف لضحايا انتهاكات حقوق الإنسان المتصلة بأنشطة الأعمال والقيام، بالتعاون مع الفريق العامل بتنظيم </w:t>
      </w:r>
      <w:r>
        <w:rPr>
          <w:rtl/>
        </w:rPr>
        <w:t>مشاورات مع الخبراء والدول وغيرها من أصحاب المصلحة المعنيين</w:t>
      </w:r>
      <w:r>
        <w:rPr>
          <w:rFonts w:hint="cs"/>
          <w:rtl/>
        </w:rPr>
        <w:t xml:space="preserve"> لتيسير التفاهم وتعزيز التوافق فيما بين مختلف الآراء، ونشر تقرير مرحلي في هذا الشأن قبل الدورة التاسعة والعشرين لمجلس حقوق الإنسان، والتقرير النهائي الذي سينظر فيه المجلس خلال دورته الثانية والثلاثين</w:t>
      </w:r>
      <w:r>
        <w:rPr>
          <w:rtl/>
        </w:rPr>
        <w:t>؛</w:t>
      </w:r>
    </w:p>
    <w:p w:rsidR="00CA3D54" w:rsidRDefault="00CA3D54" w:rsidP="00CA3D54">
      <w:pPr>
        <w:pStyle w:val="SingleTxtGA"/>
        <w:rPr>
          <w:rtl/>
        </w:rPr>
      </w:pPr>
      <w:r>
        <w:rPr>
          <w:rFonts w:hint="cs"/>
          <w:rtl/>
        </w:rPr>
        <w:tab/>
        <w:t>8</w:t>
      </w:r>
      <w:r>
        <w:rPr>
          <w:rtl/>
        </w:rPr>
        <w:t>-</w:t>
      </w:r>
      <w:r>
        <w:rPr>
          <w:rtl/>
        </w:rPr>
        <w:tab/>
      </w:r>
      <w:r w:rsidRPr="00250FAD">
        <w:rPr>
          <w:i/>
          <w:iCs/>
          <w:rtl/>
        </w:rPr>
        <w:t>يرحب</w:t>
      </w:r>
      <w:r>
        <w:rPr>
          <w:rtl/>
        </w:rPr>
        <w:t xml:space="preserve"> بدور الفريق العامل في توجيه المنتديين السنويين الأولين بشأن الأعمال وحقوق الإنسان، ويشجع جميع أصحاب المصلحة على مواصلة حضور المنتدى، ويقرر أن عقد المنتدى الذي يدوم يومين ينبغي أن يستمر على أساس سنوي، مع إضافة يوم واحد للاجتماعات للسماح بإعداد أدوات وخبرات جديدة</w:t>
      </w:r>
      <w:r>
        <w:rPr>
          <w:rFonts w:hint="cs"/>
          <w:rtl/>
        </w:rPr>
        <w:t xml:space="preserve"> وتبادلها</w:t>
      </w:r>
      <w:r>
        <w:rPr>
          <w:rtl/>
        </w:rPr>
        <w:t>؛</w:t>
      </w:r>
    </w:p>
    <w:p w:rsidR="00CA3D54" w:rsidRDefault="00CA3D54" w:rsidP="00CA3D54">
      <w:pPr>
        <w:pStyle w:val="SingleTxtGA"/>
        <w:rPr>
          <w:rFonts w:hint="cs"/>
          <w:rtl/>
        </w:rPr>
      </w:pPr>
      <w:r>
        <w:rPr>
          <w:rFonts w:hint="cs"/>
          <w:rtl/>
        </w:rPr>
        <w:tab/>
        <w:t>9</w:t>
      </w:r>
      <w:r>
        <w:rPr>
          <w:rtl/>
        </w:rPr>
        <w:t>-</w:t>
      </w:r>
      <w:r>
        <w:rPr>
          <w:rtl/>
        </w:rPr>
        <w:tab/>
      </w:r>
      <w:r>
        <w:rPr>
          <w:i/>
          <w:iCs/>
          <w:rtl/>
        </w:rPr>
        <w:t>ي</w:t>
      </w:r>
      <w:r>
        <w:rPr>
          <w:rFonts w:hint="cs"/>
          <w:i/>
          <w:iCs/>
          <w:rtl/>
        </w:rPr>
        <w:t>دعو</w:t>
      </w:r>
      <w:r>
        <w:rPr>
          <w:rtl/>
        </w:rPr>
        <w:t xml:space="preserve"> الفريق العامل </w:t>
      </w:r>
      <w:r>
        <w:rPr>
          <w:rFonts w:hint="cs"/>
          <w:rtl/>
        </w:rPr>
        <w:t>لأن</w:t>
      </w:r>
      <w:r>
        <w:rPr>
          <w:rtl/>
        </w:rPr>
        <w:t xml:space="preserve"> يدرج ضمن بنود جدول أعمال المنتدى المعني بالأعمال وحقوق الإنسان</w:t>
      </w:r>
      <w:r>
        <w:rPr>
          <w:rFonts w:hint="cs"/>
          <w:rtl/>
        </w:rPr>
        <w:t xml:space="preserve">، في جملة مسائل أخرى، </w:t>
      </w:r>
      <w:r>
        <w:rPr>
          <w:rtl/>
        </w:rPr>
        <w:t>مسألة وصول ضحايا انتهاكات حقوق الإنسان المتصلة ب</w:t>
      </w:r>
      <w:r>
        <w:rPr>
          <w:rFonts w:hint="cs"/>
          <w:rtl/>
        </w:rPr>
        <w:t xml:space="preserve">أنشطة </w:t>
      </w:r>
      <w:r>
        <w:rPr>
          <w:rtl/>
        </w:rPr>
        <w:t xml:space="preserve">الأعمال إلى سبل الانتصاف، القضائية وغير القضائية، من أجل </w:t>
      </w:r>
      <w:r>
        <w:rPr>
          <w:rFonts w:hint="cs"/>
          <w:rtl/>
        </w:rPr>
        <w:t xml:space="preserve">تحسين التفاهم وتعزيز التوافق فيما بين مختلف وجهات النظر؛ </w:t>
      </w:r>
    </w:p>
    <w:p w:rsidR="00CA3D54" w:rsidRDefault="00CA3D54" w:rsidP="00CA3D54">
      <w:pPr>
        <w:pStyle w:val="SingleTxtGA"/>
        <w:rPr>
          <w:rtl/>
        </w:rPr>
      </w:pPr>
      <w:r>
        <w:rPr>
          <w:rFonts w:hint="cs"/>
          <w:rtl/>
        </w:rPr>
        <w:tab/>
        <w:t>10</w:t>
      </w:r>
      <w:r>
        <w:rPr>
          <w:rtl/>
        </w:rPr>
        <w:t>-</w:t>
      </w:r>
      <w:r>
        <w:rPr>
          <w:rtl/>
        </w:rPr>
        <w:tab/>
      </w:r>
      <w:r w:rsidRPr="00666687">
        <w:rPr>
          <w:i/>
          <w:iCs/>
          <w:rtl/>
        </w:rPr>
        <w:t>يقرر</w:t>
      </w:r>
      <w:r>
        <w:rPr>
          <w:rtl/>
        </w:rPr>
        <w:t xml:space="preserve"> </w:t>
      </w:r>
      <w:r>
        <w:rPr>
          <w:rFonts w:hint="cs"/>
          <w:rtl/>
        </w:rPr>
        <w:t xml:space="preserve">أن يمدّد لفترة ثلاث سنوات </w:t>
      </w:r>
      <w:r>
        <w:rPr>
          <w:rtl/>
        </w:rPr>
        <w:t>ولاية الفريق العامل المعني بمسألة حقوق الإنسان والشركات عبر الوطنية وغيرها من مؤسسات الأعمال على النحو المحدد في قرار مجلس حقوق الإنسان</w:t>
      </w:r>
      <w:r>
        <w:rPr>
          <w:rFonts w:hint="cs"/>
          <w:rtl/>
        </w:rPr>
        <w:t> </w:t>
      </w:r>
      <w:r>
        <w:rPr>
          <w:rtl/>
        </w:rPr>
        <w:t>17/4</w:t>
      </w:r>
      <w:r>
        <w:rPr>
          <w:rFonts w:hint="cs"/>
          <w:rtl/>
        </w:rPr>
        <w:t>؛</w:t>
      </w:r>
    </w:p>
    <w:p w:rsidR="00CA3D54" w:rsidRDefault="00CA3D54" w:rsidP="005D181A">
      <w:pPr>
        <w:pStyle w:val="SingleTxtGA"/>
        <w:rPr>
          <w:rtl/>
        </w:rPr>
      </w:pPr>
      <w:r>
        <w:rPr>
          <w:rFonts w:hint="cs"/>
          <w:rtl/>
        </w:rPr>
        <w:tab/>
      </w:r>
      <w:r w:rsidR="005D181A">
        <w:rPr>
          <w:rFonts w:hint="cs"/>
          <w:rtl/>
        </w:rPr>
        <w:t>11</w:t>
      </w:r>
      <w:r>
        <w:rPr>
          <w:rtl/>
        </w:rPr>
        <w:t>-</w:t>
      </w:r>
      <w:r>
        <w:rPr>
          <w:rtl/>
        </w:rPr>
        <w:tab/>
      </w:r>
      <w:r w:rsidRPr="00250FAD">
        <w:rPr>
          <w:i/>
          <w:iCs/>
          <w:rtl/>
        </w:rPr>
        <w:t>يشجع</w:t>
      </w:r>
      <w:r>
        <w:rPr>
          <w:rtl/>
        </w:rPr>
        <w:t xml:space="preserve"> جميع الدول ووكالات الأمم المتحدة وصناديقها وبرامجها المعنية وهيئات المعاهدات والجهات الفاعلة في المجتمع المدني، بما </w:t>
      </w:r>
      <w:r w:rsidR="005D181A">
        <w:rPr>
          <w:rtl/>
        </w:rPr>
        <w:t xml:space="preserve">فيها المنظمات غير الحكومية، </w:t>
      </w:r>
      <w:r w:rsidR="005D181A">
        <w:rPr>
          <w:rFonts w:hint="cs"/>
          <w:rtl/>
        </w:rPr>
        <w:t xml:space="preserve">فضلاً عن </w:t>
      </w:r>
      <w:r>
        <w:rPr>
          <w:rtl/>
        </w:rPr>
        <w:t xml:space="preserve">قطاعي الأعمال العام والخاص، على التعاون تعاوناً تاماً مع الفريق العامل في </w:t>
      </w:r>
      <w:r w:rsidR="005D181A">
        <w:rPr>
          <w:rFonts w:hint="cs"/>
          <w:rtl/>
        </w:rPr>
        <w:t xml:space="preserve">أداء مهام ولايته، وذلك </w:t>
      </w:r>
      <w:r>
        <w:rPr>
          <w:rtl/>
        </w:rPr>
        <w:t xml:space="preserve">بوسائل منها الرد على البلاغات المرسَلة، </w:t>
      </w:r>
      <w:r w:rsidR="005D181A">
        <w:rPr>
          <w:rFonts w:hint="cs"/>
          <w:rtl/>
        </w:rPr>
        <w:t xml:space="preserve">واستجابة الدول </w:t>
      </w:r>
      <w:r>
        <w:rPr>
          <w:rtl/>
        </w:rPr>
        <w:t>لطلبات الزيارات التي يوجهها إليها الفريق العامل؛</w:t>
      </w:r>
    </w:p>
    <w:p w:rsidR="00CA3D54" w:rsidRDefault="00CA3D54" w:rsidP="005D181A">
      <w:pPr>
        <w:pStyle w:val="SingleTxtGA"/>
        <w:rPr>
          <w:rtl/>
        </w:rPr>
      </w:pPr>
      <w:r>
        <w:rPr>
          <w:rFonts w:hint="cs"/>
          <w:rtl/>
        </w:rPr>
        <w:tab/>
      </w:r>
      <w:r w:rsidR="005D181A">
        <w:rPr>
          <w:rFonts w:hint="cs"/>
          <w:rtl/>
        </w:rPr>
        <w:t>12</w:t>
      </w:r>
      <w:r>
        <w:rPr>
          <w:rtl/>
        </w:rPr>
        <w:t>-</w:t>
      </w:r>
      <w:r>
        <w:rPr>
          <w:rtl/>
        </w:rPr>
        <w:tab/>
      </w:r>
      <w:r w:rsidRPr="00250FAD">
        <w:rPr>
          <w:i/>
          <w:iCs/>
          <w:rtl/>
        </w:rPr>
        <w:t>يدعو</w:t>
      </w:r>
      <w:r>
        <w:rPr>
          <w:rtl/>
        </w:rPr>
        <w:t xml:space="preserve"> المنظمات الدولية والإقليمية إلى التماس آراء الفريق العامل عند صياغة أو </w:t>
      </w:r>
      <w:r w:rsidR="005D181A">
        <w:rPr>
          <w:rFonts w:hint="cs"/>
          <w:rtl/>
        </w:rPr>
        <w:t xml:space="preserve">تطوير </w:t>
      </w:r>
      <w:r>
        <w:rPr>
          <w:rtl/>
        </w:rPr>
        <w:t>السياسات والصكوك ذات الصلة، ويدعو الفريق العامل إلى مواصلة التعاون</w:t>
      </w:r>
      <w:r w:rsidR="005D181A">
        <w:rPr>
          <w:rFonts w:hint="cs"/>
          <w:rtl/>
        </w:rPr>
        <w:t xml:space="preserve"> الوثيق </w:t>
      </w:r>
      <w:r>
        <w:rPr>
          <w:rtl/>
        </w:rPr>
        <w:t>مع هيئات الأمم المتحدة ذات الصلة، بما فيها هيئات المعاهدات والإجراءات الخاصة؛</w:t>
      </w:r>
    </w:p>
    <w:p w:rsidR="00CA3D54" w:rsidRDefault="00CA3D54" w:rsidP="005D181A">
      <w:pPr>
        <w:pStyle w:val="SingleTxtGA"/>
        <w:rPr>
          <w:rtl/>
        </w:rPr>
      </w:pPr>
      <w:r w:rsidRPr="007E4BEF">
        <w:rPr>
          <w:rFonts w:hint="cs"/>
          <w:spacing w:val="-2"/>
          <w:rtl/>
        </w:rPr>
        <w:tab/>
      </w:r>
      <w:r w:rsidR="005D181A" w:rsidRPr="007E4BEF">
        <w:rPr>
          <w:rFonts w:hint="cs"/>
          <w:spacing w:val="-2"/>
          <w:rtl/>
        </w:rPr>
        <w:t>13</w:t>
      </w:r>
      <w:r w:rsidRPr="007E4BEF">
        <w:rPr>
          <w:spacing w:val="-2"/>
          <w:rtl/>
        </w:rPr>
        <w:t>-</w:t>
      </w:r>
      <w:r w:rsidRPr="007E4BEF">
        <w:rPr>
          <w:spacing w:val="-2"/>
          <w:rtl/>
        </w:rPr>
        <w:tab/>
      </w:r>
      <w:r w:rsidRPr="007E4BEF">
        <w:rPr>
          <w:i/>
          <w:iCs/>
          <w:spacing w:val="-2"/>
          <w:rtl/>
        </w:rPr>
        <w:t>يطلب</w:t>
      </w:r>
      <w:r w:rsidRPr="007E4BEF">
        <w:rPr>
          <w:spacing w:val="-2"/>
          <w:rtl/>
        </w:rPr>
        <w:t xml:space="preserve"> إلى الأمين ا</w:t>
      </w:r>
      <w:r w:rsidR="005D181A" w:rsidRPr="007E4BEF">
        <w:rPr>
          <w:spacing w:val="-2"/>
          <w:rtl/>
        </w:rPr>
        <w:t xml:space="preserve">لعام والمفوضة السامية أن يقدما </w:t>
      </w:r>
      <w:r w:rsidR="005D181A" w:rsidRPr="007E4BEF">
        <w:rPr>
          <w:rFonts w:hint="cs"/>
          <w:spacing w:val="-2"/>
          <w:rtl/>
        </w:rPr>
        <w:t>للفريق العامل كل ما</w:t>
      </w:r>
      <w:r w:rsidR="005D181A">
        <w:rPr>
          <w:rFonts w:hint="cs"/>
          <w:rtl/>
        </w:rPr>
        <w:t xml:space="preserve"> يلزم من موارد ومساعدة لأداء مهام ولايته بفعالية، </w:t>
      </w:r>
      <w:r>
        <w:rPr>
          <w:rtl/>
        </w:rPr>
        <w:t>بما في ذلك الموارد اللازمة لإعداد إرشادات لتطبيق المبادئ التوجيهية وتنظيم المنتدى بطريقة مستدامة؛</w:t>
      </w:r>
    </w:p>
    <w:p w:rsidR="00CA3D54" w:rsidRDefault="00CA3D54" w:rsidP="005D181A">
      <w:pPr>
        <w:pStyle w:val="SingleTxtGA"/>
        <w:rPr>
          <w:rtl/>
        </w:rPr>
      </w:pPr>
      <w:r>
        <w:rPr>
          <w:rFonts w:hint="cs"/>
          <w:rtl/>
        </w:rPr>
        <w:tab/>
      </w:r>
      <w:r w:rsidR="005D181A">
        <w:rPr>
          <w:rFonts w:hint="cs"/>
          <w:rtl/>
        </w:rPr>
        <w:t>14</w:t>
      </w:r>
      <w:r>
        <w:rPr>
          <w:rtl/>
        </w:rPr>
        <w:t>-</w:t>
      </w:r>
      <w:r>
        <w:rPr>
          <w:rtl/>
        </w:rPr>
        <w:tab/>
      </w:r>
      <w:r w:rsidRPr="00250FAD">
        <w:rPr>
          <w:i/>
          <w:iCs/>
          <w:rtl/>
        </w:rPr>
        <w:t>يرحب</w:t>
      </w:r>
      <w:r>
        <w:rPr>
          <w:rtl/>
        </w:rPr>
        <w:t xml:space="preserve"> بالجهود التي تبذلها المؤسسات الوطنية لحقوق الإنسان لتعزيز قدرتها على دعم جميع أصحاب المصلحة في تطبيق المبادئ التوجيهية بفعالية؛</w:t>
      </w:r>
    </w:p>
    <w:p w:rsidR="00CA3D54" w:rsidRDefault="00CA3D54" w:rsidP="005D181A">
      <w:pPr>
        <w:pStyle w:val="SingleTxtGA"/>
        <w:rPr>
          <w:rtl/>
        </w:rPr>
      </w:pPr>
      <w:r>
        <w:rPr>
          <w:rFonts w:hint="cs"/>
          <w:rtl/>
        </w:rPr>
        <w:tab/>
      </w:r>
      <w:r w:rsidR="005D181A">
        <w:rPr>
          <w:rFonts w:hint="cs"/>
          <w:rtl/>
        </w:rPr>
        <w:t>15</w:t>
      </w:r>
      <w:r>
        <w:rPr>
          <w:rtl/>
        </w:rPr>
        <w:t>-</w:t>
      </w:r>
      <w:r>
        <w:rPr>
          <w:rtl/>
        </w:rPr>
        <w:tab/>
      </w:r>
      <w:r w:rsidRPr="00250FAD">
        <w:rPr>
          <w:i/>
          <w:iCs/>
          <w:rtl/>
        </w:rPr>
        <w:t>يرحب أيضاً</w:t>
      </w:r>
      <w:r>
        <w:rPr>
          <w:rtl/>
        </w:rPr>
        <w:t xml:space="preserve"> بتقرير الأمين العام عن التحديات والاستراتيجيات والتطورات فيما يتعلق بتنفيذ القرار 21/5 من جانب منظومة الأمم المتحدة، بما فيها البرامج والصناديق والوكالات</w:t>
      </w:r>
      <w:r>
        <w:rPr>
          <w:vertAlign w:val="superscript"/>
          <w:rtl/>
        </w:rPr>
        <w:t>(</w:t>
      </w:r>
      <w:r>
        <w:rPr>
          <w:rStyle w:val="FootnoteReference"/>
          <w:rtl/>
        </w:rPr>
        <w:footnoteReference w:id="3"/>
      </w:r>
      <w:r>
        <w:rPr>
          <w:vertAlign w:val="superscript"/>
          <w:rtl/>
        </w:rPr>
        <w:t>)</w:t>
      </w:r>
      <w:r>
        <w:rPr>
          <w:rtl/>
        </w:rPr>
        <w:t>،</w:t>
      </w:r>
      <w:r>
        <w:rPr>
          <w:rFonts w:hint="cs"/>
          <w:rtl/>
        </w:rPr>
        <w:t xml:space="preserve"> </w:t>
      </w:r>
      <w:r>
        <w:rPr>
          <w:rtl/>
        </w:rPr>
        <w:t>وبالتوصيات المقدمة فيه، مشدداً على الحاجة إلى دمج برنامج الأعمال وحقوق الإنسان والمبادئ التوجيهية في جميع مؤسسات منظومة الأمم المتحدة؛</w:t>
      </w:r>
    </w:p>
    <w:p w:rsidR="00CA3D54" w:rsidRDefault="00CA3D54" w:rsidP="005D181A">
      <w:pPr>
        <w:pStyle w:val="SingleTxtGA"/>
        <w:rPr>
          <w:rtl/>
        </w:rPr>
      </w:pPr>
      <w:r>
        <w:rPr>
          <w:rFonts w:hint="cs"/>
          <w:rtl/>
        </w:rPr>
        <w:tab/>
      </w:r>
      <w:r w:rsidR="005D181A">
        <w:rPr>
          <w:rFonts w:hint="cs"/>
          <w:rtl/>
        </w:rPr>
        <w:t>16</w:t>
      </w:r>
      <w:r>
        <w:rPr>
          <w:rtl/>
        </w:rPr>
        <w:t>-</w:t>
      </w:r>
      <w:r>
        <w:rPr>
          <w:rtl/>
        </w:rPr>
        <w:tab/>
      </w:r>
      <w:r w:rsidRPr="00250FAD">
        <w:rPr>
          <w:i/>
          <w:iCs/>
          <w:rtl/>
        </w:rPr>
        <w:t xml:space="preserve">يرحب </w:t>
      </w:r>
      <w:r w:rsidR="005D181A">
        <w:rPr>
          <w:rFonts w:hint="cs"/>
          <w:i/>
          <w:iCs/>
          <w:rtl/>
        </w:rPr>
        <w:t xml:space="preserve">كذلك </w:t>
      </w:r>
      <w:r>
        <w:rPr>
          <w:rtl/>
        </w:rPr>
        <w:t xml:space="preserve">بالدراسة التي </w:t>
      </w:r>
      <w:r w:rsidR="005D181A">
        <w:rPr>
          <w:rFonts w:hint="cs"/>
          <w:rtl/>
        </w:rPr>
        <w:t xml:space="preserve">أعدّها </w:t>
      </w:r>
      <w:r>
        <w:rPr>
          <w:rtl/>
        </w:rPr>
        <w:t xml:space="preserve">الأمين العام بشأن جدوى </w:t>
      </w:r>
      <w:r w:rsidR="005D181A">
        <w:rPr>
          <w:rFonts w:hint="cs"/>
          <w:rtl/>
        </w:rPr>
        <w:t xml:space="preserve">إنشاء صندوق </w:t>
      </w:r>
      <w:r>
        <w:rPr>
          <w:rtl/>
        </w:rPr>
        <w:t>عالمي لتعزيز قدرة أصحاب المصلحة على تطبيق المبادئ التوجيهية</w:t>
      </w:r>
      <w:r>
        <w:rPr>
          <w:vertAlign w:val="superscript"/>
          <w:rtl/>
        </w:rPr>
        <w:t>(</w:t>
      </w:r>
      <w:r>
        <w:rPr>
          <w:rStyle w:val="FootnoteReference"/>
          <w:rtl/>
        </w:rPr>
        <w:footnoteReference w:id="4"/>
      </w:r>
      <w:r>
        <w:rPr>
          <w:vertAlign w:val="superscript"/>
          <w:rtl/>
        </w:rPr>
        <w:t>)</w:t>
      </w:r>
      <w:r>
        <w:rPr>
          <w:rtl/>
        </w:rPr>
        <w:t>،</w:t>
      </w:r>
      <w:r>
        <w:rPr>
          <w:rFonts w:hint="cs"/>
          <w:rtl/>
        </w:rPr>
        <w:t xml:space="preserve"> </w:t>
      </w:r>
      <w:r>
        <w:rPr>
          <w:rtl/>
        </w:rPr>
        <w:t>ويطلب إلى المفوضة السامية أن تجري مشاورات مع الدول وأصحاب المصلحة المعنيين لوضع خيارات ومقترحات ملموسة لاتخاذ قرار بشأن إنشاء هذا الصندوق أو عدم إنشائه، وتقديم تقرير عن ذلك إلى مجلس حقوق الإنسان في دورته التاسعة والعشرين؛</w:t>
      </w:r>
    </w:p>
    <w:p w:rsidR="00CA3D54" w:rsidRDefault="00CA3D54" w:rsidP="005D181A">
      <w:pPr>
        <w:pStyle w:val="SingleTxtGA"/>
        <w:rPr>
          <w:rtl/>
        </w:rPr>
      </w:pPr>
      <w:r>
        <w:rPr>
          <w:rFonts w:hint="cs"/>
          <w:rtl/>
        </w:rPr>
        <w:tab/>
      </w:r>
      <w:r w:rsidR="005D181A">
        <w:rPr>
          <w:rFonts w:hint="cs"/>
          <w:rtl/>
        </w:rPr>
        <w:t>17</w:t>
      </w:r>
      <w:r>
        <w:rPr>
          <w:rtl/>
        </w:rPr>
        <w:t>-</w:t>
      </w:r>
      <w:r>
        <w:rPr>
          <w:rtl/>
        </w:rPr>
        <w:tab/>
      </w:r>
      <w:r w:rsidRPr="00250FAD">
        <w:rPr>
          <w:i/>
          <w:iCs/>
          <w:rtl/>
        </w:rPr>
        <w:t>يشدد</w:t>
      </w:r>
      <w:r>
        <w:rPr>
          <w:rtl/>
        </w:rPr>
        <w:t xml:space="preserve"> على أهمية </w:t>
      </w:r>
      <w:r w:rsidR="005D181A">
        <w:rPr>
          <w:rFonts w:hint="cs"/>
          <w:rtl/>
        </w:rPr>
        <w:t xml:space="preserve">الحوار مع </w:t>
      </w:r>
      <w:r>
        <w:rPr>
          <w:rtl/>
        </w:rPr>
        <w:t xml:space="preserve">أصحاب المصلحة </w:t>
      </w:r>
      <w:r w:rsidR="005D181A">
        <w:rPr>
          <w:rFonts w:hint="cs"/>
          <w:rtl/>
        </w:rPr>
        <w:t xml:space="preserve">وإجراء التحليلات </w:t>
      </w:r>
      <w:r>
        <w:rPr>
          <w:rtl/>
        </w:rPr>
        <w:t xml:space="preserve">من أجل الحفاظ على النتائج </w:t>
      </w:r>
      <w:r w:rsidR="005D181A">
        <w:rPr>
          <w:rFonts w:hint="cs"/>
          <w:rtl/>
        </w:rPr>
        <w:t xml:space="preserve">المحققة </w:t>
      </w:r>
      <w:r>
        <w:rPr>
          <w:rtl/>
        </w:rPr>
        <w:t xml:space="preserve">حتى الآن والاستناد إليها لمنع ومواجهة </w:t>
      </w:r>
      <w:r w:rsidR="005D181A">
        <w:rPr>
          <w:rtl/>
        </w:rPr>
        <w:t>انتهاكات حقوق الإنسان المتصلة ب</w:t>
      </w:r>
      <w:r w:rsidR="005D181A">
        <w:rPr>
          <w:rFonts w:hint="cs"/>
          <w:rtl/>
        </w:rPr>
        <w:t>أنشطة ا</w:t>
      </w:r>
      <w:r>
        <w:rPr>
          <w:rtl/>
        </w:rPr>
        <w:t xml:space="preserve">لأعمال، ولإثراء المناقشات الإضافية التي سيجريها مجلس حقوق الإنسان بشأن </w:t>
      </w:r>
      <w:r w:rsidR="005D181A">
        <w:rPr>
          <w:rFonts w:hint="cs"/>
          <w:rtl/>
        </w:rPr>
        <w:t xml:space="preserve">أنشطة </w:t>
      </w:r>
      <w:r>
        <w:rPr>
          <w:rtl/>
        </w:rPr>
        <w:t>الأعمال وحقوق الإنسان؛</w:t>
      </w:r>
    </w:p>
    <w:p w:rsidR="00CA3D54" w:rsidRDefault="00CA3D54" w:rsidP="005D181A">
      <w:pPr>
        <w:pStyle w:val="SingleTxtGA"/>
        <w:rPr>
          <w:rFonts w:hint="cs"/>
          <w:rtl/>
        </w:rPr>
      </w:pPr>
      <w:r>
        <w:rPr>
          <w:rFonts w:hint="cs"/>
          <w:rtl/>
        </w:rPr>
        <w:tab/>
      </w:r>
      <w:r w:rsidR="005D181A">
        <w:rPr>
          <w:rFonts w:hint="cs"/>
          <w:rtl/>
        </w:rPr>
        <w:t>18</w:t>
      </w:r>
      <w:r>
        <w:rPr>
          <w:rtl/>
        </w:rPr>
        <w:t>-</w:t>
      </w:r>
      <w:r>
        <w:rPr>
          <w:rtl/>
        </w:rPr>
        <w:tab/>
      </w:r>
      <w:r w:rsidRPr="00250FAD">
        <w:rPr>
          <w:i/>
          <w:iCs/>
          <w:rtl/>
        </w:rPr>
        <w:t>يقرر</w:t>
      </w:r>
      <w:r>
        <w:rPr>
          <w:rtl/>
        </w:rPr>
        <w:t xml:space="preserve"> مواصلة النظر في هذه المسألة وفقاً لبرنامج عمله السنوي.</w:t>
      </w:r>
    </w:p>
    <w:p w:rsidR="001064CF" w:rsidRPr="001064CF" w:rsidRDefault="001064CF" w:rsidP="001064CF">
      <w:pPr>
        <w:pStyle w:val="SingleTxtGA"/>
        <w:spacing w:after="0"/>
        <w:jc w:val="right"/>
        <w:rPr>
          <w:rFonts w:hint="cs"/>
          <w:i/>
          <w:iCs/>
          <w:rtl/>
        </w:rPr>
      </w:pPr>
      <w:r w:rsidRPr="001064CF">
        <w:rPr>
          <w:rFonts w:hint="cs"/>
          <w:i/>
          <w:iCs/>
          <w:rtl/>
        </w:rPr>
        <w:t>الجلسة 39</w:t>
      </w:r>
    </w:p>
    <w:p w:rsidR="001064CF" w:rsidRPr="001064CF" w:rsidRDefault="001064CF" w:rsidP="001064CF">
      <w:pPr>
        <w:pStyle w:val="SingleTxtGA"/>
        <w:jc w:val="right"/>
        <w:rPr>
          <w:rFonts w:hint="cs"/>
          <w:i/>
          <w:iCs/>
          <w:rtl/>
        </w:rPr>
      </w:pPr>
      <w:r w:rsidRPr="001064CF">
        <w:rPr>
          <w:rFonts w:hint="cs"/>
          <w:i/>
          <w:iCs/>
          <w:rtl/>
        </w:rPr>
        <w:t xml:space="preserve">27 </w:t>
      </w:r>
      <w:r w:rsidRPr="001064CF">
        <w:rPr>
          <w:rFonts w:hint="cs"/>
          <w:i/>
          <w:iCs/>
          <w:sz w:val="30"/>
          <w:rtl/>
        </w:rPr>
        <w:t xml:space="preserve">حزيران/يونيه </w:t>
      </w:r>
      <w:r w:rsidRPr="001064CF">
        <w:rPr>
          <w:rFonts w:hint="cs"/>
          <w:i/>
          <w:iCs/>
          <w:rtl/>
        </w:rPr>
        <w:t>2014</w:t>
      </w:r>
    </w:p>
    <w:p w:rsidR="001064CF" w:rsidRDefault="001064CF" w:rsidP="003268CD">
      <w:pPr>
        <w:pStyle w:val="SingleTxtGA"/>
        <w:rPr>
          <w:rFonts w:hint="cs"/>
          <w:rtl/>
        </w:rPr>
      </w:pPr>
      <w:r>
        <w:rPr>
          <w:rFonts w:hint="cs"/>
          <w:rtl/>
        </w:rPr>
        <w:t>[اعتُمد دون تصويت.]</w:t>
      </w:r>
    </w:p>
    <w:p w:rsidR="001064CF" w:rsidRPr="001064CF" w:rsidRDefault="001064CF" w:rsidP="001064CF">
      <w:pPr>
        <w:spacing w:before="120"/>
        <w:jc w:val="center"/>
        <w:rPr>
          <w:rFonts w:hint="cs"/>
          <w:u w:val="single"/>
          <w:rtl/>
        </w:rPr>
      </w:pPr>
      <w:r>
        <w:rPr>
          <w:u w:val="single"/>
          <w:rtl/>
        </w:rPr>
        <w:tab/>
      </w:r>
      <w:r>
        <w:rPr>
          <w:u w:val="single"/>
          <w:rtl/>
        </w:rPr>
        <w:tab/>
      </w:r>
      <w:r>
        <w:rPr>
          <w:u w:val="single"/>
          <w:rtl/>
        </w:rPr>
        <w:tab/>
      </w:r>
    </w:p>
    <w:p w:rsidR="008B4BC6" w:rsidRPr="009A0C39" w:rsidRDefault="008B4BC6" w:rsidP="00E05DE3">
      <w:pPr>
        <w:spacing w:line="380" w:lineRule="exact"/>
        <w:rPr>
          <w:rFonts w:hint="cs"/>
          <w:rtl/>
        </w:rPr>
      </w:pPr>
    </w:p>
    <w:sectPr w:rsidR="008B4BC6" w:rsidRPr="009A0C39" w:rsidSect="00CA3D54">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D56" w:rsidRPr="00FE6865" w:rsidRDefault="00E44D56" w:rsidP="00FE6865">
      <w:pPr>
        <w:pStyle w:val="Footer"/>
      </w:pPr>
    </w:p>
  </w:endnote>
  <w:endnote w:type="continuationSeparator" w:id="0">
    <w:p w:rsidR="00E44D56" w:rsidRDefault="00E44D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D56" w:rsidRPr="00CA3D54" w:rsidRDefault="00E44D56" w:rsidP="00CA3D54">
    <w:pPr>
      <w:pStyle w:val="Footer"/>
      <w:tabs>
        <w:tab w:val="right" w:pos="9598"/>
      </w:tabs>
    </w:pPr>
    <w:r>
      <w:t>GE.14-08380</w:t>
    </w:r>
    <w:r>
      <w:tab/>
    </w:r>
    <w:r w:rsidRPr="00CA3D54">
      <w:rPr>
        <w:b/>
        <w:sz w:val="18"/>
      </w:rPr>
      <w:fldChar w:fldCharType="begin"/>
    </w:r>
    <w:r w:rsidRPr="00CA3D54">
      <w:rPr>
        <w:b/>
        <w:sz w:val="18"/>
      </w:rPr>
      <w:instrText xml:space="preserve"> PAGE  \* MERGEFORMAT </w:instrText>
    </w:r>
    <w:r w:rsidRPr="00CA3D54">
      <w:rPr>
        <w:b/>
        <w:sz w:val="18"/>
      </w:rPr>
      <w:fldChar w:fldCharType="separate"/>
    </w:r>
    <w:r>
      <w:rPr>
        <w:b/>
        <w:noProof/>
        <w:sz w:val="18"/>
      </w:rPr>
      <w:t>4</w:t>
    </w:r>
    <w:r w:rsidRPr="00CA3D54">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D56" w:rsidRPr="00CA3D54" w:rsidRDefault="00E44D56" w:rsidP="00CA3D54">
    <w:pPr>
      <w:pStyle w:val="Footer"/>
      <w:tabs>
        <w:tab w:val="right" w:pos="9598"/>
      </w:tabs>
      <w:rPr>
        <w:b/>
        <w:sz w:val="18"/>
      </w:rPr>
    </w:pPr>
    <w:r w:rsidRPr="00CA3D54">
      <w:rPr>
        <w:b/>
        <w:sz w:val="18"/>
      </w:rPr>
      <w:fldChar w:fldCharType="begin"/>
    </w:r>
    <w:r w:rsidRPr="00CA3D54">
      <w:rPr>
        <w:b/>
        <w:sz w:val="18"/>
      </w:rPr>
      <w:instrText xml:space="preserve"> PAGE  \* MERGEFORMAT </w:instrText>
    </w:r>
    <w:r w:rsidRPr="00CA3D54">
      <w:rPr>
        <w:b/>
        <w:sz w:val="18"/>
      </w:rPr>
      <w:fldChar w:fldCharType="separate"/>
    </w:r>
    <w:r>
      <w:rPr>
        <w:b/>
        <w:noProof/>
        <w:sz w:val="18"/>
      </w:rPr>
      <w:t>5</w:t>
    </w:r>
    <w:r w:rsidRPr="00CA3D54">
      <w:rPr>
        <w:b/>
        <w:sz w:val="18"/>
      </w:rPr>
      <w:fldChar w:fldCharType="end"/>
    </w:r>
    <w:r>
      <w:rPr>
        <w:b/>
        <w:sz w:val="18"/>
      </w:rPr>
      <w:tab/>
    </w:r>
    <w:r>
      <w:t>GE.14-08380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D56" w:rsidRDefault="00E44D56" w:rsidP="007E4BEF">
    <w:pPr>
      <w:pStyle w:val="Footer"/>
      <w:jc w:val="right"/>
    </w:pPr>
    <w:r>
      <w:rPr>
        <w:sz w:val="20"/>
      </w:rPr>
      <w:t>(A)   GE.14-08380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2;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010914    030914</w:t>
    </w:r>
    <w:r>
      <w:br/>
    </w:r>
    <w:r w:rsidRPr="003268CD">
      <w:rPr>
        <w:rFonts w:ascii="C39T30Lfz" w:hAnsi="C39T30Lfz"/>
        <w:sz w:val="56"/>
      </w:rPr>
      <w:t></w:t>
    </w:r>
    <w:r w:rsidRPr="003268CD">
      <w:rPr>
        <w:rFonts w:ascii="C39T30Lfz" w:hAnsi="C39T30Lfz"/>
        <w:sz w:val="56"/>
      </w:rPr>
      <w:t></w:t>
    </w:r>
    <w:r w:rsidRPr="003268CD">
      <w:rPr>
        <w:rFonts w:ascii="C39T30Lfz" w:hAnsi="C39T30Lfz"/>
        <w:sz w:val="56"/>
      </w:rPr>
      <w:t></w:t>
    </w:r>
    <w:r w:rsidRPr="003268CD">
      <w:rPr>
        <w:rFonts w:ascii="C39T30Lfz" w:hAnsi="C39T30Lfz"/>
        <w:sz w:val="56"/>
      </w:rPr>
      <w:t></w:t>
    </w:r>
    <w:r w:rsidRPr="003268CD">
      <w:rPr>
        <w:rFonts w:ascii="C39T30Lfz" w:hAnsi="C39T30Lfz"/>
        <w:sz w:val="56"/>
      </w:rPr>
      <w:t></w:t>
    </w:r>
    <w:r w:rsidRPr="003268CD">
      <w:rPr>
        <w:rFonts w:ascii="C39T30Lfz" w:hAnsi="C39T30Lfz"/>
        <w:sz w:val="56"/>
      </w:rPr>
      <w:t></w:t>
    </w:r>
    <w:r w:rsidRPr="003268CD">
      <w:rPr>
        <w:rFonts w:ascii="C39T30Lfz" w:hAnsi="C39T30Lfz"/>
        <w:sz w:val="56"/>
      </w:rPr>
      <w:t></w:t>
    </w:r>
    <w:r w:rsidRPr="003268CD">
      <w:rPr>
        <w:rFonts w:ascii="C39T30Lfz" w:hAnsi="C39T30Lfz"/>
        <w:sz w:val="56"/>
      </w:rPr>
      <w:t></w:t>
    </w:r>
    <w:r w:rsidRPr="003268CD">
      <w:rPr>
        <w:rFonts w:ascii="C39T30Lfz" w:hAnsi="C39T30Lfz"/>
        <w:sz w:val="56"/>
      </w:rPr>
      <w:t></w:t>
    </w:r>
    <w:r>
      <w:rPr>
        <w:rFonts w:ascii="C39T30Lfz" w:hAnsi="C39T30Lfz"/>
        <w:sz w:val="56"/>
      </w:rPr>
      <w:tab/>
    </w:r>
    <w:r>
      <w:rPr>
        <w:noProof/>
        <w:lang w:val="en-US"/>
      </w:rPr>
      <w:pict>
        <v:shape id="_x0000_s2051" type="#_x0000_t75" style="position:absolute;left:0;text-align:left;margin-left:.05pt;margin-top:0;width:50.25pt;height:50.25pt;z-index:2;mso-position-horizontal-relative:text;mso-position-vertical-relative:text" o:allowincell="f">
          <v:imagedata r:id="rId2" o:title="22&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D56" w:rsidRDefault="00E44D56" w:rsidP="009A0C39">
      <w:pPr>
        <w:spacing w:after="80" w:line="200" w:lineRule="atLeast"/>
        <w:ind w:left="680"/>
      </w:pPr>
      <w:r w:rsidRPr="00C10C26">
        <w:rPr>
          <w:sz w:val="16"/>
          <w:rtl/>
        </w:rPr>
        <w:t>__________</w:t>
      </w:r>
    </w:p>
  </w:footnote>
  <w:footnote w:type="continuationSeparator" w:id="0">
    <w:p w:rsidR="00E44D56" w:rsidRDefault="00E44D56" w:rsidP="00444AA6">
      <w:pPr>
        <w:pStyle w:val="Footer"/>
        <w:bidi/>
        <w:spacing w:after="80" w:line="200" w:lineRule="exact"/>
        <w:ind w:left="680"/>
      </w:pPr>
      <w:r>
        <w:rPr>
          <w:rFonts w:hint="cs"/>
          <w:rtl/>
        </w:rPr>
        <w:t>__________</w:t>
      </w:r>
    </w:p>
  </w:footnote>
  <w:footnote w:id="1">
    <w:p w:rsidR="00E44D56" w:rsidRPr="001E7071" w:rsidRDefault="00E44D56" w:rsidP="00CA3D54">
      <w:pPr>
        <w:pStyle w:val="FootnoteText"/>
        <w:numPr>
          <w:ilvl w:val="0"/>
          <w:numId w:val="40"/>
        </w:numPr>
        <w:tabs>
          <w:tab w:val="clear" w:pos="1292"/>
        </w:tabs>
        <w:spacing w:after="360" w:line="300" w:lineRule="exact"/>
        <w:ind w:left="1248" w:right="1247"/>
        <w:rPr>
          <w:rFonts w:hint="cs"/>
          <w:sz w:val="18"/>
          <w:szCs w:val="26"/>
        </w:rPr>
      </w:pPr>
      <w:r w:rsidRPr="001E7071">
        <w:rPr>
          <w:sz w:val="18"/>
          <w:szCs w:val="26"/>
          <w:rtl/>
        </w:rPr>
        <w:t xml:space="preserve">انظر </w:t>
      </w:r>
      <w:r>
        <w:rPr>
          <w:sz w:val="18"/>
          <w:szCs w:val="26"/>
        </w:rPr>
        <w:t>A/HRC/17/31</w:t>
      </w:r>
      <w:r>
        <w:rPr>
          <w:rFonts w:hint="cs"/>
          <w:sz w:val="18"/>
          <w:szCs w:val="26"/>
          <w:rtl/>
        </w:rPr>
        <w:t>، المرفق.</w:t>
      </w:r>
    </w:p>
  </w:footnote>
  <w:footnote w:id="2">
    <w:p w:rsidR="00E44D56" w:rsidRPr="001E7071" w:rsidRDefault="00E44D56" w:rsidP="00CA3D54">
      <w:pPr>
        <w:pStyle w:val="FootnoteText"/>
        <w:numPr>
          <w:ilvl w:val="0"/>
          <w:numId w:val="40"/>
        </w:numPr>
        <w:tabs>
          <w:tab w:val="clear" w:pos="1292"/>
        </w:tabs>
        <w:spacing w:after="360" w:line="300" w:lineRule="exact"/>
        <w:ind w:left="1248" w:right="1247"/>
        <w:rPr>
          <w:rFonts w:hint="cs"/>
          <w:sz w:val="18"/>
          <w:szCs w:val="26"/>
        </w:rPr>
      </w:pPr>
      <w:r w:rsidRPr="001E7071">
        <w:rPr>
          <w:sz w:val="18"/>
          <w:szCs w:val="26"/>
          <w:rtl/>
        </w:rPr>
        <w:t xml:space="preserve">انظر </w:t>
      </w:r>
      <w:r>
        <w:rPr>
          <w:sz w:val="18"/>
          <w:szCs w:val="26"/>
        </w:rPr>
        <w:t>A/HRC/26/25</w:t>
      </w:r>
      <w:r>
        <w:rPr>
          <w:rFonts w:hint="cs"/>
          <w:sz w:val="18"/>
          <w:szCs w:val="26"/>
          <w:rtl/>
        </w:rPr>
        <w:t>.</w:t>
      </w:r>
    </w:p>
  </w:footnote>
  <w:footnote w:id="3">
    <w:p w:rsidR="00E44D56" w:rsidRPr="001E7071" w:rsidRDefault="00E44D56" w:rsidP="00CA3D54">
      <w:pPr>
        <w:pStyle w:val="FootnoteText"/>
        <w:numPr>
          <w:ilvl w:val="0"/>
          <w:numId w:val="40"/>
        </w:numPr>
        <w:tabs>
          <w:tab w:val="clear" w:pos="1292"/>
        </w:tabs>
        <w:spacing w:after="60" w:line="240" w:lineRule="exact"/>
        <w:ind w:left="1247" w:right="1247"/>
        <w:rPr>
          <w:rFonts w:hint="cs"/>
          <w:sz w:val="18"/>
          <w:szCs w:val="26"/>
        </w:rPr>
      </w:pPr>
      <w:r w:rsidRPr="001E7071">
        <w:rPr>
          <w:sz w:val="18"/>
          <w:szCs w:val="26"/>
        </w:rPr>
        <w:t>A/HRC/26/20</w:t>
      </w:r>
      <w:r w:rsidRPr="001E7071">
        <w:rPr>
          <w:rFonts w:hint="cs"/>
          <w:sz w:val="18"/>
          <w:szCs w:val="26"/>
          <w:rtl/>
        </w:rPr>
        <w:t>.</w:t>
      </w:r>
    </w:p>
  </w:footnote>
  <w:footnote w:id="4">
    <w:p w:rsidR="00E44D56" w:rsidRPr="001E7071" w:rsidRDefault="00E44D56" w:rsidP="00CA3D54">
      <w:pPr>
        <w:pStyle w:val="FootnoteText"/>
        <w:numPr>
          <w:ilvl w:val="0"/>
          <w:numId w:val="40"/>
        </w:numPr>
        <w:tabs>
          <w:tab w:val="clear" w:pos="1292"/>
        </w:tabs>
        <w:spacing w:after="60" w:line="240" w:lineRule="exact"/>
        <w:ind w:left="1247" w:right="1247"/>
        <w:rPr>
          <w:rFonts w:hint="cs"/>
          <w:sz w:val="18"/>
          <w:szCs w:val="26"/>
        </w:rPr>
      </w:pPr>
      <w:r w:rsidRPr="001E7071">
        <w:rPr>
          <w:sz w:val="18"/>
          <w:szCs w:val="26"/>
        </w:rPr>
        <w:t>A/HRC/26/20/Add.1</w:t>
      </w:r>
      <w:r w:rsidRPr="001E7071">
        <w:rPr>
          <w:rFonts w:hint="cs"/>
          <w:sz w:val="18"/>
          <w:szCs w:val="26"/>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D56" w:rsidRPr="00CA3D54" w:rsidRDefault="00E44D56" w:rsidP="00CA3D54">
    <w:pPr>
      <w:pStyle w:val="Header"/>
      <w:jc w:val="right"/>
    </w:pPr>
    <w:r w:rsidRPr="00CA3D54">
      <w:t>A/HRC/RES/26/22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D56" w:rsidRPr="00CA3D54" w:rsidRDefault="00E44D56" w:rsidP="00CA3D54">
    <w:pPr>
      <w:pStyle w:val="Header"/>
      <w:jc w:val="left"/>
    </w:pPr>
    <w:r w:rsidRPr="00CA3D54">
      <w:t>A/HRC/RES/26/22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1EC7AAD"/>
    <w:multiLevelType w:val="hybridMultilevel"/>
    <w:tmpl w:val="A098623E"/>
    <w:lvl w:ilvl="0" w:tplc="22880F2C">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A5C612CA">
      <w:start w:val="1"/>
      <w:numFmt w:val="decimal"/>
      <w:lvlRestart w:val="0"/>
      <w:lvlText w:val="(%2)"/>
      <w:lvlJc w:val="right"/>
      <w:pPr>
        <w:tabs>
          <w:tab w:val="num" w:pos="1352"/>
        </w:tabs>
        <w:ind w:left="1352" w:hanging="227"/>
      </w:pPr>
      <w:rPr>
        <w:rFonts w:hint="default"/>
        <w:sz w:val="26"/>
        <w:szCs w:val="26"/>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4"/>
  </w:num>
  <w:num w:numId="4">
    <w:abstractNumId w:val="12"/>
  </w:num>
  <w:num w:numId="5">
    <w:abstractNumId w:val="8"/>
  </w:num>
  <w:num w:numId="6">
    <w:abstractNumId w:val="21"/>
  </w:num>
  <w:num w:numId="7">
    <w:abstractNumId w:val="10"/>
  </w:num>
  <w:num w:numId="8">
    <w:abstractNumId w:val="9"/>
  </w:num>
  <w:num w:numId="9">
    <w:abstractNumId w:val="13"/>
  </w:num>
  <w:num w:numId="10">
    <w:abstractNumId w:val="20"/>
  </w:num>
  <w:num w:numId="11">
    <w:abstractNumId w:val="1"/>
  </w:num>
  <w:num w:numId="12">
    <w:abstractNumId w:val="14"/>
  </w:num>
  <w:num w:numId="13">
    <w:abstractNumId w:val="12"/>
  </w:num>
  <w:num w:numId="14">
    <w:abstractNumId w:val="8"/>
  </w:num>
  <w:num w:numId="15">
    <w:abstractNumId w:val="21"/>
  </w:num>
  <w:num w:numId="16">
    <w:abstractNumId w:val="1"/>
  </w:num>
  <w:num w:numId="17">
    <w:abstractNumId w:val="14"/>
  </w:num>
  <w:num w:numId="18">
    <w:abstractNumId w:val="12"/>
  </w:num>
  <w:num w:numId="19">
    <w:abstractNumId w:val="8"/>
  </w:num>
  <w:num w:numId="20">
    <w:abstractNumId w:val="21"/>
  </w:num>
  <w:num w:numId="21">
    <w:abstractNumId w:val="1"/>
  </w:num>
  <w:num w:numId="22">
    <w:abstractNumId w:val="14"/>
  </w:num>
  <w:num w:numId="23">
    <w:abstractNumId w:val="8"/>
  </w:num>
  <w:num w:numId="24">
    <w:abstractNumId w:val="21"/>
  </w:num>
  <w:num w:numId="25">
    <w:abstractNumId w:val="14"/>
  </w:num>
  <w:num w:numId="26">
    <w:abstractNumId w:val="1"/>
  </w:num>
  <w:num w:numId="27">
    <w:abstractNumId w:val="3"/>
  </w:num>
  <w:num w:numId="28">
    <w:abstractNumId w:val="2"/>
  </w:num>
  <w:num w:numId="29">
    <w:abstractNumId w:val="16"/>
  </w:num>
  <w:num w:numId="30">
    <w:abstractNumId w:val="4"/>
  </w:num>
  <w:num w:numId="31">
    <w:abstractNumId w:val="7"/>
  </w:num>
  <w:num w:numId="32">
    <w:abstractNumId w:val="15"/>
  </w:num>
  <w:num w:numId="33">
    <w:abstractNumId w:val="18"/>
  </w:num>
  <w:num w:numId="34">
    <w:abstractNumId w:val="22"/>
  </w:num>
  <w:num w:numId="35">
    <w:abstractNumId w:val="5"/>
  </w:num>
  <w:num w:numId="36">
    <w:abstractNumId w:val="17"/>
  </w:num>
  <w:num w:numId="37">
    <w:abstractNumId w:val="19"/>
  </w:num>
  <w:num w:numId="38">
    <w:abstractNumId w:val="0"/>
  </w:num>
  <w:num w:numId="39">
    <w:abstractNumId w:val="6"/>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ar-SA" w:vendorID="4" w:dllVersion="512" w:checkStyle="0"/>
  <w:proofState w:spelling="clean"/>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7851"/>
    <w:rsid w:val="00040E25"/>
    <w:rsid w:val="00042149"/>
    <w:rsid w:val="000648EA"/>
    <w:rsid w:val="000957C8"/>
    <w:rsid w:val="000B52F2"/>
    <w:rsid w:val="000D0EAE"/>
    <w:rsid w:val="000D5380"/>
    <w:rsid w:val="000D6654"/>
    <w:rsid w:val="000F0264"/>
    <w:rsid w:val="000F2EBF"/>
    <w:rsid w:val="000F5FF6"/>
    <w:rsid w:val="001064CF"/>
    <w:rsid w:val="00113FA5"/>
    <w:rsid w:val="001455A0"/>
    <w:rsid w:val="001602A3"/>
    <w:rsid w:val="001A5161"/>
    <w:rsid w:val="001A60BD"/>
    <w:rsid w:val="0023736D"/>
    <w:rsid w:val="00257225"/>
    <w:rsid w:val="00275860"/>
    <w:rsid w:val="00310160"/>
    <w:rsid w:val="003268CD"/>
    <w:rsid w:val="00341A8C"/>
    <w:rsid w:val="003519E6"/>
    <w:rsid w:val="003B4356"/>
    <w:rsid w:val="003D5D43"/>
    <w:rsid w:val="003F08A8"/>
    <w:rsid w:val="004250E3"/>
    <w:rsid w:val="00444AA6"/>
    <w:rsid w:val="00472A81"/>
    <w:rsid w:val="004B2C92"/>
    <w:rsid w:val="004D6A3A"/>
    <w:rsid w:val="004F4AD7"/>
    <w:rsid w:val="004F7851"/>
    <w:rsid w:val="005449D8"/>
    <w:rsid w:val="00557CD3"/>
    <w:rsid w:val="00571432"/>
    <w:rsid w:val="005732A2"/>
    <w:rsid w:val="005762A5"/>
    <w:rsid w:val="00590BA3"/>
    <w:rsid w:val="005A1A9A"/>
    <w:rsid w:val="005B7AE0"/>
    <w:rsid w:val="005D181A"/>
    <w:rsid w:val="005F146F"/>
    <w:rsid w:val="005F71B6"/>
    <w:rsid w:val="00660FD4"/>
    <w:rsid w:val="006A4425"/>
    <w:rsid w:val="006B4669"/>
    <w:rsid w:val="006C3E08"/>
    <w:rsid w:val="006C768B"/>
    <w:rsid w:val="006E3473"/>
    <w:rsid w:val="006F6BF8"/>
    <w:rsid w:val="00707BDF"/>
    <w:rsid w:val="00710727"/>
    <w:rsid w:val="00710DA1"/>
    <w:rsid w:val="00715F45"/>
    <w:rsid w:val="00731B84"/>
    <w:rsid w:val="00734AE7"/>
    <w:rsid w:val="00737034"/>
    <w:rsid w:val="00786B69"/>
    <w:rsid w:val="007B599E"/>
    <w:rsid w:val="007E197F"/>
    <w:rsid w:val="007E4BEF"/>
    <w:rsid w:val="007F68C4"/>
    <w:rsid w:val="008153DE"/>
    <w:rsid w:val="00852A10"/>
    <w:rsid w:val="008538ED"/>
    <w:rsid w:val="00862634"/>
    <w:rsid w:val="00866C59"/>
    <w:rsid w:val="00877306"/>
    <w:rsid w:val="00887B5C"/>
    <w:rsid w:val="008A2F81"/>
    <w:rsid w:val="008A6242"/>
    <w:rsid w:val="008B4BC6"/>
    <w:rsid w:val="00901E57"/>
    <w:rsid w:val="00935F0E"/>
    <w:rsid w:val="0095208F"/>
    <w:rsid w:val="00977B3F"/>
    <w:rsid w:val="009814AE"/>
    <w:rsid w:val="00983870"/>
    <w:rsid w:val="009858CC"/>
    <w:rsid w:val="00994B89"/>
    <w:rsid w:val="00996BBE"/>
    <w:rsid w:val="009A0C39"/>
    <w:rsid w:val="009C59C8"/>
    <w:rsid w:val="009D1DD5"/>
    <w:rsid w:val="009D6931"/>
    <w:rsid w:val="00A11DDA"/>
    <w:rsid w:val="00A26157"/>
    <w:rsid w:val="00A265C3"/>
    <w:rsid w:val="00A43F9A"/>
    <w:rsid w:val="00A543D4"/>
    <w:rsid w:val="00AD0014"/>
    <w:rsid w:val="00AD4CF2"/>
    <w:rsid w:val="00AF0BBA"/>
    <w:rsid w:val="00B30468"/>
    <w:rsid w:val="00B54239"/>
    <w:rsid w:val="00B60E70"/>
    <w:rsid w:val="00B639B9"/>
    <w:rsid w:val="00BB2C41"/>
    <w:rsid w:val="00BC55C8"/>
    <w:rsid w:val="00BC5C10"/>
    <w:rsid w:val="00BE2964"/>
    <w:rsid w:val="00C24FBD"/>
    <w:rsid w:val="00C473BA"/>
    <w:rsid w:val="00C611ED"/>
    <w:rsid w:val="00C6490A"/>
    <w:rsid w:val="00C64FE1"/>
    <w:rsid w:val="00C66164"/>
    <w:rsid w:val="00C8345E"/>
    <w:rsid w:val="00CA3D54"/>
    <w:rsid w:val="00CA4C17"/>
    <w:rsid w:val="00CA5F7C"/>
    <w:rsid w:val="00CE7C87"/>
    <w:rsid w:val="00D06637"/>
    <w:rsid w:val="00D311EB"/>
    <w:rsid w:val="00D51067"/>
    <w:rsid w:val="00D75657"/>
    <w:rsid w:val="00D960AD"/>
    <w:rsid w:val="00DA0E0E"/>
    <w:rsid w:val="00DB0C39"/>
    <w:rsid w:val="00DB7679"/>
    <w:rsid w:val="00DE3904"/>
    <w:rsid w:val="00DF1702"/>
    <w:rsid w:val="00DF4DD8"/>
    <w:rsid w:val="00DF668E"/>
    <w:rsid w:val="00E05DE3"/>
    <w:rsid w:val="00E14D2B"/>
    <w:rsid w:val="00E20DBA"/>
    <w:rsid w:val="00E44D56"/>
    <w:rsid w:val="00E660D6"/>
    <w:rsid w:val="00E771AB"/>
    <w:rsid w:val="00EA796F"/>
    <w:rsid w:val="00EB077B"/>
    <w:rsid w:val="00EC50B9"/>
    <w:rsid w:val="00ED26A0"/>
    <w:rsid w:val="00F04473"/>
    <w:rsid w:val="00F1727A"/>
    <w:rsid w:val="00F34764"/>
    <w:rsid w:val="00F54E3C"/>
    <w:rsid w:val="00F874BD"/>
    <w:rsid w:val="00FA6DD0"/>
    <w:rsid w:val="00FC2EF4"/>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CA4C17"/>
    <w:pPr>
      <w:keepNext/>
      <w:keepLines/>
      <w:tabs>
        <w:tab w:val="right" w:pos="1021"/>
      </w:tabs>
      <w:suppressAutoHyphens/>
      <w:spacing w:before="240" w:after="240" w:line="480" w:lineRule="exact"/>
      <w:ind w:left="1247" w:right="1247" w:hanging="1247"/>
    </w:pPr>
    <w:rPr>
      <w:b/>
      <w:bCs/>
      <w:sz w:val="34"/>
      <w:szCs w:val="44"/>
    </w:rPr>
  </w:style>
  <w:style w:type="paragraph" w:customStyle="1" w:styleId="HChGA">
    <w:name w:val="_ H _Ch_GA"/>
    <w:basedOn w:val="Normal"/>
    <w:next w:val="Normal"/>
    <w:rsid w:val="00983870"/>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983870"/>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895505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Template>
  <TotalTime>0</TotalTime>
  <Pages>5</Pages>
  <Words>1277</Words>
  <Characters>7284</Characters>
  <Application>Microsoft Office Outlook</Application>
  <DocSecurity>4</DocSecurity>
  <Lines>60</Lines>
  <Paragraphs>17</Paragraphs>
  <ScaleCrop>false</ScaleCrop>
  <HeadingPairs>
    <vt:vector size="2" baseType="variant">
      <vt:variant>
        <vt:lpstr>العنوان</vt:lpstr>
      </vt:variant>
      <vt:variant>
        <vt:i4>1</vt:i4>
      </vt:variant>
    </vt:vector>
  </HeadingPairs>
  <TitlesOfParts>
    <vt:vector size="1" baseType="lpstr">
      <vt:lpstr>A/HRC/RES/26/22</vt:lpstr>
    </vt:vector>
  </TitlesOfParts>
  <Company>CSD</Company>
  <LinksUpToDate>false</LinksUpToDate>
  <CharactersWithSpaces>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A/HRC/RES/26/22</dc:title>
  <dc:subject/>
  <dc:creator>BUHNAM</dc:creator>
  <cp:keywords/>
  <dc:description/>
  <cp:lastModifiedBy>TPS</cp:lastModifiedBy>
  <cp:revision>2</cp:revision>
  <cp:lastPrinted>2014-09-02T13:13:00Z</cp:lastPrinted>
  <dcterms:created xsi:type="dcterms:W3CDTF">2014-09-03T08:57:00Z</dcterms:created>
  <dcterms:modified xsi:type="dcterms:W3CDTF">2014-09-03T08:57:00Z</dcterms:modified>
</cp:coreProperties>
</file>