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035EB2" w:rsidP="00AE4D20">
            <w:pPr>
              <w:spacing w:line="240" w:lineRule="atLeast"/>
              <w:jc w:val="right"/>
              <w:rPr>
                <w:rFonts w:hint="eastAsia"/>
                <w:szCs w:val="21"/>
              </w:rPr>
            </w:pPr>
            <w:r w:rsidRPr="001D18FE">
              <w:rPr>
                <w:sz w:val="40"/>
              </w:rPr>
              <w:t>A</w:t>
            </w:r>
            <w:r>
              <w:t>/HRC</w:t>
            </w:r>
            <w:r w:rsidR="000D6627">
              <w:t>/RES/24/29</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0D6627" w:rsidRPr="000D6627" w:rsidRDefault="000D6627" w:rsidP="000D6627">
            <w:pPr>
              <w:spacing w:before="240" w:line="240" w:lineRule="exact"/>
              <w:rPr>
                <w:sz w:val="20"/>
              </w:rPr>
            </w:pPr>
            <w:r w:rsidRPr="000D6627">
              <w:rPr>
                <w:sz w:val="20"/>
              </w:rPr>
              <w:t>Distr.: General</w:t>
            </w:r>
          </w:p>
          <w:p w:rsidR="00F53D4C" w:rsidRPr="000D6627" w:rsidRDefault="000D6627" w:rsidP="000D6627">
            <w:pPr>
              <w:spacing w:line="240" w:lineRule="atLeast"/>
              <w:rPr>
                <w:rFonts w:hint="eastAsia"/>
                <w:sz w:val="20"/>
              </w:rPr>
            </w:pPr>
            <w:r w:rsidRPr="000D6627">
              <w:rPr>
                <w:sz w:val="20"/>
              </w:rPr>
              <w:t>8 October 201</w:t>
            </w:r>
            <w:r w:rsidR="00613337" w:rsidRPr="000D6627">
              <w:rPr>
                <w:rFonts w:hint="eastAsia"/>
                <w:sz w:val="20"/>
              </w:rPr>
              <w:t>3</w:t>
            </w:r>
          </w:p>
          <w:p w:rsidR="00F53D4C" w:rsidRPr="00637834" w:rsidRDefault="00C93FEC">
            <w:pPr>
              <w:spacing w:line="240" w:lineRule="atLeast"/>
              <w:rPr>
                <w:rFonts w:hint="eastAsia"/>
                <w:sz w:val="20"/>
              </w:rPr>
            </w:pPr>
            <w:r>
              <w:rPr>
                <w:sz w:val="20"/>
              </w:rPr>
              <w:t>Chinese</w:t>
            </w:r>
          </w:p>
          <w:p w:rsidR="00F53D4C" w:rsidRPr="00637834" w:rsidRDefault="00F53D4C" w:rsidP="00751C2E">
            <w:pPr>
              <w:spacing w:line="240" w:lineRule="atLeast"/>
              <w:rPr>
                <w:rFonts w:hint="eastAsia"/>
              </w:rPr>
            </w:pPr>
            <w:r w:rsidRPr="00637834">
              <w:rPr>
                <w:sz w:val="20"/>
              </w:rPr>
              <w:t>Original: 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582472" w:rsidRPr="00582472" w:rsidRDefault="00582472" w:rsidP="00582472">
      <w:pPr>
        <w:rPr>
          <w:rFonts w:eastAsia="SimHei" w:hint="eastAsia"/>
          <w:szCs w:val="21"/>
          <w:lang w:val="en-GB"/>
        </w:rPr>
      </w:pPr>
      <w:r w:rsidRPr="00582472">
        <w:rPr>
          <w:rFonts w:eastAsia="SimHei" w:hint="eastAsia"/>
          <w:szCs w:val="21"/>
          <w:lang w:val="en-GB"/>
        </w:rPr>
        <w:t>第二十四届会议</w:t>
      </w:r>
    </w:p>
    <w:p w:rsidR="00582472" w:rsidRPr="00582472" w:rsidRDefault="00582472" w:rsidP="00582472">
      <w:pPr>
        <w:rPr>
          <w:szCs w:val="21"/>
          <w:lang w:val="en-GB"/>
        </w:rPr>
      </w:pPr>
      <w:r w:rsidRPr="00582472">
        <w:rPr>
          <w:rFonts w:hint="eastAsia"/>
          <w:szCs w:val="21"/>
          <w:lang w:val="en-GB"/>
        </w:rPr>
        <w:t>议程项目</w:t>
      </w:r>
      <w:r w:rsidRPr="00582472">
        <w:rPr>
          <w:szCs w:val="21"/>
          <w:lang w:val="en-GB"/>
        </w:rPr>
        <w:t>10</w:t>
      </w:r>
    </w:p>
    <w:p w:rsidR="00F53D4C" w:rsidRPr="00582472" w:rsidRDefault="00582472" w:rsidP="00582472">
      <w:pPr>
        <w:rPr>
          <w:rFonts w:eastAsia="SimHei" w:hint="eastAsia"/>
          <w:lang w:val="fr-CH"/>
        </w:rPr>
      </w:pPr>
      <w:r w:rsidRPr="00582472">
        <w:rPr>
          <w:rFonts w:eastAsia="SimHei" w:hint="eastAsia"/>
          <w:szCs w:val="21"/>
          <w:lang w:val="en-GB"/>
        </w:rPr>
        <w:t>技术援助和能力建设</w:t>
      </w:r>
    </w:p>
    <w:p w:rsidR="00582472" w:rsidRDefault="00582472" w:rsidP="00057E12">
      <w:pPr>
        <w:pStyle w:val="H23GC"/>
        <w:rPr>
          <w:rFonts w:hint="eastAsia"/>
        </w:rPr>
      </w:pPr>
      <w:r w:rsidRPr="00582472">
        <w:rPr>
          <w:rFonts w:hint="eastAsia"/>
          <w:spacing w:val="4"/>
        </w:rPr>
        <w:tab/>
      </w:r>
      <w:r w:rsidRPr="00582472">
        <w:rPr>
          <w:rFonts w:hint="eastAsia"/>
          <w:spacing w:val="4"/>
        </w:rPr>
        <w:tab/>
      </w:r>
      <w:r w:rsidR="000D6627" w:rsidRPr="001C4873">
        <w:rPr>
          <w:rFonts w:hint="eastAsia"/>
        </w:rPr>
        <w:t>人权理事会通过的决</w:t>
      </w:r>
      <w:r w:rsidR="000D6627">
        <w:rPr>
          <w:rFonts w:hint="eastAsia"/>
        </w:rPr>
        <w:t>议</w:t>
      </w:r>
      <w:r w:rsidR="000D6627" w:rsidRPr="00057E12">
        <w:rPr>
          <w:rStyle w:val="FootnoteReference"/>
          <w:position w:val="4"/>
          <w:sz w:val="22"/>
          <w:szCs w:val="22"/>
          <w:vertAlign w:val="baseline"/>
          <w:lang w:val="fr-CH"/>
        </w:rPr>
        <w:footnoteReference w:customMarkFollows="1" w:id="2"/>
        <w:sym w:font="Symbol" w:char="F02A"/>
      </w:r>
    </w:p>
    <w:p w:rsidR="00582472" w:rsidRPr="00582472" w:rsidRDefault="00F75048" w:rsidP="00057E12">
      <w:pPr>
        <w:pStyle w:val="H1GC"/>
        <w:rPr>
          <w:lang w:val="en-GB"/>
        </w:rPr>
      </w:pPr>
      <w:r>
        <w:rPr>
          <w:rFonts w:hint="eastAsia"/>
        </w:rPr>
        <w:tab/>
      </w:r>
      <w:r>
        <w:rPr>
          <w:rFonts w:hint="eastAsia"/>
        </w:rPr>
        <w:tab/>
      </w:r>
      <w:r w:rsidR="00582472" w:rsidRPr="00582472">
        <w:rPr>
          <w:lang w:val="en-GB"/>
        </w:rPr>
        <w:t>24</w:t>
      </w:r>
      <w:r w:rsidR="00582472">
        <w:rPr>
          <w:lang w:val="en-GB"/>
        </w:rPr>
        <w:t>/</w:t>
      </w:r>
      <w:r w:rsidR="00612C50">
        <w:rPr>
          <w:rFonts w:hint="eastAsia"/>
          <w:lang w:val="en-GB"/>
        </w:rPr>
        <w:t>29</w:t>
      </w:r>
      <w:r w:rsidR="00582472">
        <w:rPr>
          <w:rFonts w:hint="eastAsia"/>
          <w:lang w:val="en-GB"/>
        </w:rPr>
        <w:br/>
      </w:r>
      <w:r w:rsidR="00582472" w:rsidRPr="00582472">
        <w:rPr>
          <w:rFonts w:hint="eastAsia"/>
          <w:lang w:val="en-GB"/>
        </w:rPr>
        <w:t>向柬埔寨提供咨询服务和技术援助</w:t>
      </w:r>
    </w:p>
    <w:p w:rsidR="00582472" w:rsidRPr="00374C42" w:rsidRDefault="00582472" w:rsidP="00582472">
      <w:pPr>
        <w:pStyle w:val="SingleTxtGC"/>
        <w:ind w:firstLine="431"/>
        <w:rPr>
          <w:rFonts w:eastAsia="KaiTi_GB2312"/>
          <w:lang w:val="en-GB"/>
        </w:rPr>
      </w:pPr>
      <w:r w:rsidRPr="00374C42">
        <w:rPr>
          <w:rFonts w:eastAsia="KaiTi_GB2312"/>
          <w:lang w:val="en-GB"/>
        </w:rPr>
        <w:t>人权理事会，</w:t>
      </w:r>
    </w:p>
    <w:p w:rsidR="00582472" w:rsidRPr="00582472" w:rsidRDefault="00582472" w:rsidP="00582472">
      <w:pPr>
        <w:pStyle w:val="SingleTxtGC"/>
        <w:ind w:firstLine="431"/>
        <w:rPr>
          <w:lang w:val="en-GB"/>
        </w:rPr>
      </w:pPr>
      <w:r w:rsidRPr="00374C42">
        <w:rPr>
          <w:rFonts w:eastAsia="KaiTi_GB2312"/>
          <w:lang w:val="en-GB"/>
        </w:rPr>
        <w:t>重申</w:t>
      </w:r>
      <w:r w:rsidRPr="00582472">
        <w:rPr>
          <w:lang w:val="en-GB"/>
        </w:rPr>
        <w:t>所有会员国均有义务增进和保护《联合国宪章》所规定、并在《世界人权宣言》中重申的人权和基本自由，并承担国际人权两公约和其他适用的人权文书规定的义务，</w:t>
      </w:r>
    </w:p>
    <w:p w:rsidR="00582472" w:rsidRPr="00582472" w:rsidRDefault="00582472" w:rsidP="00582472">
      <w:pPr>
        <w:pStyle w:val="SingleTxtGC"/>
        <w:ind w:firstLine="431"/>
        <w:rPr>
          <w:lang w:val="en-GB"/>
        </w:rPr>
      </w:pPr>
      <w:r w:rsidRPr="00374C42">
        <w:rPr>
          <w:rFonts w:eastAsia="KaiTi_GB2312"/>
          <w:lang w:val="en-GB"/>
        </w:rPr>
        <w:t>回顾</w:t>
      </w:r>
      <w:r w:rsidRPr="00582472">
        <w:rPr>
          <w:lang w:val="en-GB"/>
        </w:rPr>
        <w:t>大会</w:t>
      </w:r>
      <w:r w:rsidRPr="00582472">
        <w:rPr>
          <w:lang w:val="en-GB"/>
        </w:rPr>
        <w:t>2006</w:t>
      </w:r>
      <w:r w:rsidRPr="00582472">
        <w:rPr>
          <w:lang w:val="en-GB"/>
        </w:rPr>
        <w:t>年</w:t>
      </w:r>
      <w:r w:rsidRPr="00582472">
        <w:rPr>
          <w:lang w:val="en-GB"/>
        </w:rPr>
        <w:t>3</w:t>
      </w:r>
      <w:r w:rsidRPr="00582472">
        <w:rPr>
          <w:lang w:val="en-GB"/>
        </w:rPr>
        <w:t>月</w:t>
      </w:r>
      <w:r w:rsidRPr="00582472">
        <w:rPr>
          <w:lang w:val="en-GB"/>
        </w:rPr>
        <w:t>15</w:t>
      </w:r>
      <w:r w:rsidRPr="00582472">
        <w:rPr>
          <w:lang w:val="en-GB"/>
        </w:rPr>
        <w:t>日第</w:t>
      </w:r>
      <w:r w:rsidRPr="00582472">
        <w:rPr>
          <w:lang w:val="en-GB"/>
        </w:rPr>
        <w:t>60/251</w:t>
      </w:r>
      <w:r w:rsidRPr="00582472">
        <w:rPr>
          <w:lang w:val="en-GB"/>
        </w:rPr>
        <w:t>号决议，</w:t>
      </w:r>
    </w:p>
    <w:p w:rsidR="00582472" w:rsidRPr="00582472" w:rsidRDefault="00582472" w:rsidP="00582472">
      <w:pPr>
        <w:pStyle w:val="SingleTxtGC"/>
        <w:ind w:firstLine="431"/>
        <w:rPr>
          <w:lang w:val="en-GB"/>
        </w:rPr>
      </w:pPr>
      <w:r w:rsidRPr="00374C42">
        <w:rPr>
          <w:rFonts w:eastAsia="KaiTi_GB2312"/>
          <w:lang w:val="en-GB"/>
        </w:rPr>
        <w:t>又回顾</w:t>
      </w:r>
      <w:r w:rsidRPr="00582472">
        <w:rPr>
          <w:lang w:val="en-GB"/>
        </w:rPr>
        <w:t>理事会</w:t>
      </w:r>
      <w:r w:rsidRPr="00582472">
        <w:rPr>
          <w:lang w:val="en-GB"/>
        </w:rPr>
        <w:t>2007</w:t>
      </w:r>
      <w:r w:rsidRPr="00582472">
        <w:rPr>
          <w:lang w:val="en-GB"/>
        </w:rPr>
        <w:t>年</w:t>
      </w:r>
      <w:r w:rsidRPr="00582472">
        <w:rPr>
          <w:lang w:val="en-GB"/>
        </w:rPr>
        <w:t>6</w:t>
      </w:r>
      <w:r w:rsidRPr="00582472">
        <w:rPr>
          <w:lang w:val="en-GB"/>
        </w:rPr>
        <w:t>月</w:t>
      </w:r>
      <w:r w:rsidRPr="00582472">
        <w:rPr>
          <w:lang w:val="en-GB"/>
        </w:rPr>
        <w:t>18</w:t>
      </w:r>
      <w:r w:rsidRPr="00582472">
        <w:rPr>
          <w:lang w:val="en-GB"/>
        </w:rPr>
        <w:t>日第</w:t>
      </w:r>
      <w:r w:rsidRPr="00582472">
        <w:rPr>
          <w:lang w:val="en-GB"/>
        </w:rPr>
        <w:t>5/1</w:t>
      </w:r>
      <w:r w:rsidRPr="00582472">
        <w:rPr>
          <w:lang w:val="en-GB"/>
        </w:rPr>
        <w:t>号和第</w:t>
      </w:r>
      <w:r w:rsidRPr="00582472">
        <w:rPr>
          <w:lang w:val="en-GB"/>
        </w:rPr>
        <w:t>5/2</w:t>
      </w:r>
      <w:r w:rsidRPr="00582472">
        <w:rPr>
          <w:lang w:val="en-GB"/>
        </w:rPr>
        <w:t>号决议，强调任务负责人应根据这两项决议及其附件履行职责，</w:t>
      </w:r>
    </w:p>
    <w:p w:rsidR="00582472" w:rsidRPr="00582472" w:rsidRDefault="00582472" w:rsidP="00582472">
      <w:pPr>
        <w:pStyle w:val="SingleTxtGC"/>
        <w:ind w:firstLine="431"/>
        <w:rPr>
          <w:lang w:val="en-GB"/>
        </w:rPr>
      </w:pPr>
      <w:r w:rsidRPr="00374C42">
        <w:rPr>
          <w:rFonts w:eastAsia="KaiTi_GB2312"/>
          <w:lang w:val="en-GB"/>
        </w:rPr>
        <w:t>还回顾</w:t>
      </w:r>
      <w:r w:rsidRPr="00582472">
        <w:rPr>
          <w:lang w:val="en-GB"/>
        </w:rPr>
        <w:t>理事会</w:t>
      </w:r>
      <w:r w:rsidRPr="00582472">
        <w:rPr>
          <w:lang w:val="en-GB"/>
        </w:rPr>
        <w:t>201</w:t>
      </w:r>
      <w:r w:rsidRPr="00582472">
        <w:rPr>
          <w:rFonts w:hint="eastAsia"/>
          <w:lang w:val="en-GB"/>
        </w:rPr>
        <w:t>1</w:t>
      </w:r>
      <w:r w:rsidRPr="00582472">
        <w:rPr>
          <w:lang w:val="en-GB"/>
        </w:rPr>
        <w:t>年</w:t>
      </w:r>
      <w:r w:rsidRPr="00582472">
        <w:rPr>
          <w:lang w:val="en-GB"/>
        </w:rPr>
        <w:t>9</w:t>
      </w:r>
      <w:r w:rsidRPr="00582472">
        <w:rPr>
          <w:lang w:val="en-GB"/>
        </w:rPr>
        <w:t>月</w:t>
      </w:r>
      <w:r w:rsidRPr="00582472">
        <w:rPr>
          <w:lang w:val="en-GB"/>
        </w:rPr>
        <w:t>30</w:t>
      </w:r>
      <w:r w:rsidRPr="00582472">
        <w:rPr>
          <w:lang w:val="en-GB"/>
        </w:rPr>
        <w:t>日第</w:t>
      </w:r>
      <w:r w:rsidRPr="00582472">
        <w:rPr>
          <w:rFonts w:hint="eastAsia"/>
          <w:lang w:val="en-GB"/>
        </w:rPr>
        <w:t>18/25</w:t>
      </w:r>
      <w:r w:rsidRPr="00582472">
        <w:rPr>
          <w:lang w:val="en-GB"/>
        </w:rPr>
        <w:t>号决议和其他</w:t>
      </w:r>
      <w:r w:rsidR="00FA7F6D">
        <w:rPr>
          <w:rFonts w:hint="eastAsia"/>
          <w:lang w:val="en-GB"/>
        </w:rPr>
        <w:t>有</w:t>
      </w:r>
      <w:r w:rsidRPr="00582472">
        <w:rPr>
          <w:lang w:val="en-GB"/>
        </w:rPr>
        <w:t>关决议，</w:t>
      </w:r>
    </w:p>
    <w:p w:rsidR="00582472" w:rsidRPr="00582472" w:rsidRDefault="00582472" w:rsidP="00582472">
      <w:pPr>
        <w:pStyle w:val="SingleTxtGC"/>
        <w:ind w:firstLine="431"/>
        <w:rPr>
          <w:rFonts w:hint="eastAsia"/>
          <w:lang w:val="en-GB"/>
        </w:rPr>
      </w:pPr>
      <w:r w:rsidRPr="00374C42">
        <w:rPr>
          <w:rFonts w:eastAsia="KaiTi_GB2312"/>
          <w:lang w:val="en-GB"/>
        </w:rPr>
        <w:t>铭记</w:t>
      </w:r>
      <w:r w:rsidRPr="00582472">
        <w:rPr>
          <w:lang w:val="en-GB"/>
        </w:rPr>
        <w:t>秘书长关于联合国人权事务高级专员办事处在协助柬埔寨政府和人民增进和保护人权方面的作用和取得的成绩的报告，</w:t>
      </w:r>
      <w:r w:rsidRPr="00DE0317">
        <w:rPr>
          <w:color w:val="0000FF"/>
          <w:vertAlign w:val="superscript"/>
          <w:lang w:val="en-GB"/>
        </w:rPr>
        <w:footnoteReference w:id="3"/>
      </w:r>
    </w:p>
    <w:p w:rsidR="00582472" w:rsidRPr="00582472" w:rsidRDefault="00FA7F6D" w:rsidP="00582472">
      <w:pPr>
        <w:pStyle w:val="SingleTxtGC"/>
        <w:ind w:firstLine="431"/>
        <w:rPr>
          <w:lang w:val="en-GB"/>
        </w:rPr>
      </w:pPr>
      <w:r>
        <w:rPr>
          <w:rFonts w:eastAsia="KaiTi_GB2312" w:hint="eastAsia"/>
          <w:lang w:val="en-GB"/>
        </w:rPr>
        <w:t>确</w:t>
      </w:r>
      <w:r w:rsidR="00582472" w:rsidRPr="00374C42">
        <w:rPr>
          <w:rFonts w:eastAsia="KaiTi_GB2312"/>
          <w:lang w:val="en-GB"/>
        </w:rPr>
        <w:t>认</w:t>
      </w:r>
      <w:r w:rsidR="00042471" w:rsidRPr="00042471">
        <w:rPr>
          <w:rFonts w:hint="eastAsia"/>
          <w:lang w:val="en-GB"/>
        </w:rPr>
        <w:t>鉴于</w:t>
      </w:r>
      <w:r w:rsidR="00582472" w:rsidRPr="00582472">
        <w:rPr>
          <w:lang w:val="en-GB"/>
        </w:rPr>
        <w:t>柬埔寨的惨痛历史</w:t>
      </w:r>
      <w:r w:rsidR="00042471">
        <w:rPr>
          <w:rFonts w:hint="eastAsia"/>
          <w:lang w:val="en-GB"/>
        </w:rPr>
        <w:t>，</w:t>
      </w:r>
      <w:r w:rsidR="00582472" w:rsidRPr="00582472">
        <w:rPr>
          <w:lang w:val="en-GB"/>
        </w:rPr>
        <w:t>需要根据</w:t>
      </w:r>
      <w:r w:rsidR="00582472" w:rsidRPr="00582472">
        <w:rPr>
          <w:lang w:val="en-GB"/>
        </w:rPr>
        <w:t>1991</w:t>
      </w:r>
      <w:r w:rsidR="00582472" w:rsidRPr="00582472">
        <w:rPr>
          <w:lang w:val="en-GB"/>
        </w:rPr>
        <w:t>年</w:t>
      </w:r>
      <w:r w:rsidR="00582472" w:rsidRPr="00582472">
        <w:rPr>
          <w:lang w:val="en-GB"/>
        </w:rPr>
        <w:t>10</w:t>
      </w:r>
      <w:r w:rsidR="00582472" w:rsidRPr="00582472">
        <w:rPr>
          <w:lang w:val="en-GB"/>
        </w:rPr>
        <w:t>月</w:t>
      </w:r>
      <w:r w:rsidR="00582472" w:rsidRPr="00582472">
        <w:rPr>
          <w:lang w:val="en-GB"/>
        </w:rPr>
        <w:t>23</w:t>
      </w:r>
      <w:r w:rsidR="00582472" w:rsidRPr="00582472">
        <w:rPr>
          <w:lang w:val="en-GB"/>
        </w:rPr>
        <w:t>日在巴黎签署的《柬埔寨冲突全面政治解决协定》的规定采取特别措施，确保柬埔寨人民的人权得到保护，不会倒退回过去的政策和做法，</w:t>
      </w:r>
    </w:p>
    <w:p w:rsidR="00582472" w:rsidRPr="00582472" w:rsidRDefault="00582472" w:rsidP="00582472">
      <w:pPr>
        <w:pStyle w:val="SingleTxtGC"/>
        <w:ind w:firstLine="431"/>
        <w:rPr>
          <w:lang w:val="en-GB"/>
        </w:rPr>
      </w:pPr>
      <w:r w:rsidRPr="00374C42">
        <w:rPr>
          <w:rFonts w:eastAsia="KaiTi_GB2312"/>
          <w:lang w:val="en-GB"/>
        </w:rPr>
        <w:t>注意到</w:t>
      </w:r>
      <w:r w:rsidRPr="00582472">
        <w:rPr>
          <w:lang w:val="en-GB"/>
        </w:rPr>
        <w:t>柬埔寨境内的新发展，特别是柬埔寨政府最近在增进和保护人权方面做出的努力和取得的进展，特别是近年来通过实施</w:t>
      </w:r>
      <w:r w:rsidR="00D05E8D">
        <w:rPr>
          <w:rFonts w:hint="eastAsia"/>
          <w:lang w:val="en-GB"/>
        </w:rPr>
        <w:t>有关</w:t>
      </w:r>
      <w:r w:rsidRPr="00582472">
        <w:rPr>
          <w:lang w:val="en-GB"/>
        </w:rPr>
        <w:t>国家计划、战略和纲要，在社会、经济、政治和文化领域所取得的</w:t>
      </w:r>
      <w:r w:rsidRPr="00582472">
        <w:rPr>
          <w:rFonts w:hint="eastAsia"/>
          <w:lang w:val="en-GB"/>
        </w:rPr>
        <w:t>成就和</w:t>
      </w:r>
      <w:r w:rsidRPr="00582472">
        <w:rPr>
          <w:lang w:val="en-GB"/>
        </w:rPr>
        <w:t>改善，</w:t>
      </w:r>
    </w:p>
    <w:p w:rsidR="00582472" w:rsidRPr="00582472" w:rsidRDefault="00582472" w:rsidP="00582472">
      <w:pPr>
        <w:pStyle w:val="SingleTxtGC"/>
        <w:ind w:firstLine="431"/>
        <w:rPr>
          <w:lang w:val="en-GB"/>
        </w:rPr>
      </w:pPr>
      <w:r w:rsidRPr="00582472">
        <w:rPr>
          <w:lang w:val="en-GB"/>
        </w:rPr>
        <w:t>1</w:t>
      </w:r>
      <w:r w:rsidR="00374C42">
        <w:rPr>
          <w:lang w:val="en-GB"/>
        </w:rPr>
        <w:t xml:space="preserve">.  </w:t>
      </w:r>
      <w:r w:rsidRPr="00374C42">
        <w:rPr>
          <w:rFonts w:eastAsia="KaiTi_GB2312"/>
          <w:lang w:val="en-GB"/>
        </w:rPr>
        <w:t>重申</w:t>
      </w:r>
      <w:r w:rsidRPr="00582472">
        <w:rPr>
          <w:lang w:val="en-GB"/>
        </w:rPr>
        <w:t>柬埔寨法院特别法庭必须秉持独立和公正</w:t>
      </w:r>
      <w:r w:rsidR="00580038">
        <w:rPr>
          <w:rFonts w:hint="eastAsia"/>
          <w:lang w:val="en-GB"/>
        </w:rPr>
        <w:t>；</w:t>
      </w:r>
      <w:r w:rsidRPr="00582472">
        <w:rPr>
          <w:lang w:val="en-GB"/>
        </w:rPr>
        <w:t>相信该法庭通过充分发挥其示范法庭的作用，可极大地促进消除有罪不罚现象和建立法治；</w:t>
      </w:r>
    </w:p>
    <w:p w:rsidR="00582472" w:rsidRPr="00582472" w:rsidRDefault="00582472" w:rsidP="00582472">
      <w:pPr>
        <w:pStyle w:val="SingleTxtGC"/>
        <w:ind w:firstLine="431"/>
        <w:rPr>
          <w:rFonts w:hint="eastAsia"/>
          <w:lang w:val="en-GB"/>
        </w:rPr>
      </w:pPr>
      <w:r w:rsidRPr="00582472">
        <w:rPr>
          <w:lang w:val="en-GB"/>
        </w:rPr>
        <w:t>2</w:t>
      </w:r>
      <w:r w:rsidR="00374C42">
        <w:rPr>
          <w:lang w:val="en-GB"/>
        </w:rPr>
        <w:t xml:space="preserve">.  </w:t>
      </w:r>
      <w:r w:rsidRPr="00374C42">
        <w:rPr>
          <w:rFonts w:eastAsia="KaiTi_GB2312"/>
          <w:lang w:val="en-GB"/>
        </w:rPr>
        <w:t>欢迎</w:t>
      </w:r>
      <w:r w:rsidRPr="00582472">
        <w:rPr>
          <w:lang w:val="en-GB"/>
        </w:rPr>
        <w:t>特别法庭所取得的进展，包括</w:t>
      </w:r>
      <w:r w:rsidRPr="00582472">
        <w:rPr>
          <w:rFonts w:hint="eastAsia"/>
          <w:lang w:val="en-GB"/>
        </w:rPr>
        <w:t>2012</w:t>
      </w:r>
      <w:r w:rsidRPr="00582472">
        <w:rPr>
          <w:rFonts w:hint="eastAsia"/>
          <w:lang w:val="en-GB"/>
        </w:rPr>
        <w:t>年</w:t>
      </w:r>
      <w:r w:rsidRPr="00582472">
        <w:rPr>
          <w:rFonts w:hint="eastAsia"/>
          <w:lang w:val="en-GB"/>
        </w:rPr>
        <w:t>2</w:t>
      </w:r>
      <w:r w:rsidRPr="00582472">
        <w:rPr>
          <w:rFonts w:hint="eastAsia"/>
          <w:lang w:val="en-GB"/>
        </w:rPr>
        <w:t>月</w:t>
      </w:r>
      <w:r w:rsidRPr="00582472">
        <w:rPr>
          <w:rFonts w:hint="eastAsia"/>
          <w:lang w:val="en-GB"/>
        </w:rPr>
        <w:t>3</w:t>
      </w:r>
      <w:r w:rsidRPr="00582472">
        <w:rPr>
          <w:rFonts w:hint="eastAsia"/>
          <w:lang w:val="en-GB"/>
        </w:rPr>
        <w:t>日就起诉</w:t>
      </w:r>
      <w:r w:rsidRPr="00582472">
        <w:rPr>
          <w:lang w:val="en-GB"/>
        </w:rPr>
        <w:t>康克由的</w:t>
      </w:r>
      <w:r w:rsidRPr="00582472">
        <w:rPr>
          <w:lang w:val="en-GB"/>
        </w:rPr>
        <w:t>001</w:t>
      </w:r>
      <w:r w:rsidRPr="00582472">
        <w:rPr>
          <w:lang w:val="en-GB"/>
        </w:rPr>
        <w:t>号案</w:t>
      </w:r>
      <w:r w:rsidRPr="00582472">
        <w:rPr>
          <w:rFonts w:hint="eastAsia"/>
          <w:lang w:val="en-GB"/>
        </w:rPr>
        <w:t>作出了裁决，并于</w:t>
      </w:r>
      <w:r w:rsidRPr="00582472">
        <w:rPr>
          <w:rFonts w:hint="eastAsia"/>
          <w:lang w:val="en-GB"/>
        </w:rPr>
        <w:t>2013</w:t>
      </w:r>
      <w:r w:rsidRPr="00582472">
        <w:rPr>
          <w:rFonts w:hint="eastAsia"/>
          <w:lang w:val="en-GB"/>
        </w:rPr>
        <w:t>年</w:t>
      </w:r>
      <w:r w:rsidRPr="00582472">
        <w:rPr>
          <w:rFonts w:hint="eastAsia"/>
          <w:lang w:val="en-GB"/>
        </w:rPr>
        <w:t>7</w:t>
      </w:r>
      <w:r w:rsidRPr="00582472">
        <w:rPr>
          <w:rFonts w:hint="eastAsia"/>
          <w:lang w:val="en-GB"/>
        </w:rPr>
        <w:t>月</w:t>
      </w:r>
      <w:r w:rsidRPr="00582472">
        <w:rPr>
          <w:rFonts w:hint="eastAsia"/>
          <w:lang w:val="en-GB"/>
        </w:rPr>
        <w:t>23</w:t>
      </w:r>
      <w:r w:rsidRPr="00582472">
        <w:rPr>
          <w:rFonts w:hint="eastAsia"/>
          <w:lang w:val="en-GB"/>
        </w:rPr>
        <w:t>日结束了对</w:t>
      </w:r>
      <w:r w:rsidRPr="00582472">
        <w:rPr>
          <w:rFonts w:hint="eastAsia"/>
          <w:lang w:val="en-GB"/>
        </w:rPr>
        <w:t>002/01</w:t>
      </w:r>
      <w:r w:rsidRPr="00582472">
        <w:rPr>
          <w:rFonts w:hint="eastAsia"/>
          <w:lang w:val="en-GB"/>
        </w:rPr>
        <w:t>号案的审理</w:t>
      </w:r>
      <w:r w:rsidR="00580038">
        <w:rPr>
          <w:rFonts w:hint="eastAsia"/>
          <w:lang w:val="en-GB"/>
        </w:rPr>
        <w:t>；</w:t>
      </w:r>
      <w:r w:rsidRPr="00582472">
        <w:rPr>
          <w:lang w:val="en-GB"/>
        </w:rPr>
        <w:t>鉴于被告人年迈体衰而柬埔寨人民渴望正义已久，支持柬埔寨政府和联合国的立场，公平、</w:t>
      </w:r>
      <w:r w:rsidR="00580038">
        <w:rPr>
          <w:rFonts w:hint="eastAsia"/>
          <w:lang w:val="en-GB"/>
        </w:rPr>
        <w:t>高</w:t>
      </w:r>
      <w:r w:rsidRPr="00582472">
        <w:rPr>
          <w:lang w:val="en-GB"/>
        </w:rPr>
        <w:t>效、迅速地开展案件的审理；</w:t>
      </w:r>
    </w:p>
    <w:p w:rsidR="00582472" w:rsidRPr="00582472" w:rsidRDefault="00582472" w:rsidP="00582472">
      <w:pPr>
        <w:pStyle w:val="SingleTxtGC"/>
        <w:ind w:firstLine="431"/>
        <w:rPr>
          <w:rFonts w:hint="eastAsia"/>
          <w:lang w:val="en-GB"/>
        </w:rPr>
      </w:pPr>
      <w:r w:rsidRPr="00582472">
        <w:rPr>
          <w:lang w:val="en-GB"/>
        </w:rPr>
        <w:t>3</w:t>
      </w:r>
      <w:r w:rsidR="00374C42">
        <w:rPr>
          <w:lang w:val="en-GB"/>
        </w:rPr>
        <w:t xml:space="preserve">.  </w:t>
      </w:r>
      <w:r w:rsidRPr="00374C42">
        <w:rPr>
          <w:rFonts w:eastAsia="KaiTi_GB2312" w:hint="eastAsia"/>
          <w:lang w:val="en-GB"/>
        </w:rPr>
        <w:t>表示</w:t>
      </w:r>
      <w:r w:rsidRPr="00580038">
        <w:rPr>
          <w:rFonts w:eastAsia="KaiTi_GB2312" w:hint="eastAsia"/>
          <w:lang w:val="en-GB"/>
        </w:rPr>
        <w:t>严重关切</w:t>
      </w:r>
      <w:r w:rsidRPr="00582472">
        <w:rPr>
          <w:rFonts w:hint="eastAsia"/>
          <w:lang w:val="en-GB"/>
        </w:rPr>
        <w:t>特别法庭的财务状况</w:t>
      </w:r>
      <w:r w:rsidR="00580038">
        <w:rPr>
          <w:rFonts w:hint="eastAsia"/>
          <w:lang w:val="en-GB"/>
        </w:rPr>
        <w:t>；</w:t>
      </w:r>
      <w:r w:rsidRPr="00582472">
        <w:rPr>
          <w:rFonts w:hint="eastAsia"/>
          <w:lang w:val="en-GB"/>
        </w:rPr>
        <w:t>促请柬埔寨政府与联合国和提供援助的各国一道确保特别法庭保持最高的司法水准</w:t>
      </w:r>
      <w:r w:rsidR="00580038">
        <w:rPr>
          <w:rFonts w:hint="eastAsia"/>
          <w:lang w:val="en-GB"/>
        </w:rPr>
        <w:t>；</w:t>
      </w:r>
      <w:r w:rsidRPr="00582472">
        <w:rPr>
          <w:rFonts w:hint="eastAsia"/>
          <w:lang w:val="en-GB"/>
        </w:rPr>
        <w:t>并强调柬埔寨政府和国际社会需向特别法庭提供一切适当援助；</w:t>
      </w:r>
    </w:p>
    <w:p w:rsidR="00582472" w:rsidRPr="00582472" w:rsidRDefault="00582472" w:rsidP="00582472">
      <w:pPr>
        <w:pStyle w:val="SingleTxtGC"/>
        <w:ind w:firstLine="431"/>
        <w:rPr>
          <w:rFonts w:hint="eastAsia"/>
          <w:lang w:val="en-GB"/>
        </w:rPr>
      </w:pPr>
      <w:r w:rsidRPr="00582472">
        <w:rPr>
          <w:lang w:val="en-GB"/>
        </w:rPr>
        <w:t>4</w:t>
      </w:r>
      <w:r w:rsidR="00374C42">
        <w:rPr>
          <w:lang w:val="en-GB"/>
        </w:rPr>
        <w:t xml:space="preserve">.  </w:t>
      </w:r>
      <w:r w:rsidRPr="00374C42">
        <w:rPr>
          <w:rFonts w:eastAsia="KaiTi_GB2312"/>
          <w:lang w:val="en-GB"/>
        </w:rPr>
        <w:t>欢迎</w:t>
      </w:r>
      <w:r w:rsidRPr="00582472">
        <w:rPr>
          <w:lang w:val="en-GB"/>
        </w:rPr>
        <w:t>柬埔寨政府积极参与普遍定期审议进程，接受该进程中提出的所有建议，</w:t>
      </w:r>
      <w:r w:rsidRPr="00582472">
        <w:rPr>
          <w:rFonts w:hint="eastAsia"/>
          <w:lang w:val="en-GB"/>
        </w:rPr>
        <w:t>并</w:t>
      </w:r>
      <w:r w:rsidRPr="00582472">
        <w:rPr>
          <w:lang w:val="en-GB"/>
        </w:rPr>
        <w:t>在落实这些建议方面取得了进展；</w:t>
      </w:r>
    </w:p>
    <w:p w:rsidR="00582472" w:rsidRPr="00582472" w:rsidRDefault="00582472" w:rsidP="00582472">
      <w:pPr>
        <w:pStyle w:val="SingleTxtGC"/>
        <w:ind w:firstLine="431"/>
        <w:rPr>
          <w:lang w:val="en-GB"/>
        </w:rPr>
      </w:pPr>
      <w:r w:rsidRPr="00582472">
        <w:rPr>
          <w:lang w:val="en-GB"/>
        </w:rPr>
        <w:t>5</w:t>
      </w:r>
      <w:r w:rsidR="00374C42">
        <w:rPr>
          <w:lang w:val="en-GB"/>
        </w:rPr>
        <w:t xml:space="preserve">.  </w:t>
      </w:r>
      <w:r w:rsidR="0099703C" w:rsidRPr="0099703C">
        <w:rPr>
          <w:rFonts w:eastAsia="KaiTi_GB2312" w:hint="eastAsia"/>
          <w:lang w:val="en-GB"/>
        </w:rPr>
        <w:t>又</w:t>
      </w:r>
      <w:r w:rsidRPr="00374C42">
        <w:rPr>
          <w:rFonts w:eastAsia="KaiTi_GB2312"/>
          <w:lang w:val="en-GB"/>
        </w:rPr>
        <w:t>欢迎</w:t>
      </w:r>
      <w:r w:rsidRPr="00582472">
        <w:rPr>
          <w:rFonts w:hint="eastAsia"/>
          <w:lang w:val="en-GB"/>
        </w:rPr>
        <w:t>柬埔寨人权状况特别报告员的报告</w:t>
      </w:r>
      <w:r w:rsidRPr="00DE0317">
        <w:rPr>
          <w:color w:val="0000FF"/>
          <w:vertAlign w:val="superscript"/>
          <w:lang w:val="en-GB"/>
        </w:rPr>
        <w:footnoteReference w:id="4"/>
      </w:r>
      <w:r w:rsidRPr="00582472">
        <w:rPr>
          <w:rFonts w:hint="eastAsia"/>
          <w:lang w:val="en-GB"/>
        </w:rPr>
        <w:t xml:space="preserve"> </w:t>
      </w:r>
      <w:r w:rsidRPr="00582472">
        <w:rPr>
          <w:rFonts w:hint="eastAsia"/>
          <w:lang w:val="en-GB"/>
        </w:rPr>
        <w:t>和其中所载的建议</w:t>
      </w:r>
      <w:r w:rsidR="0099703C">
        <w:rPr>
          <w:rFonts w:hint="eastAsia"/>
          <w:lang w:val="en-GB"/>
        </w:rPr>
        <w:t>；</w:t>
      </w:r>
      <w:r w:rsidRPr="00582472">
        <w:rPr>
          <w:rFonts w:hint="eastAsia"/>
          <w:lang w:val="en-GB"/>
        </w:rPr>
        <w:t>注意到柬埔寨政府与特别报告员需要保持密切和相互尊重的协商，以进一步改善该国的人权状况，并便于联合国人权事务高级专员办事处与柬埔寨政府继续开展技术合作；</w:t>
      </w:r>
    </w:p>
    <w:p w:rsidR="00582472" w:rsidRPr="00582472" w:rsidRDefault="00582472" w:rsidP="00582472">
      <w:pPr>
        <w:pStyle w:val="SingleTxtGC"/>
        <w:ind w:firstLine="431"/>
        <w:rPr>
          <w:rFonts w:hint="eastAsia"/>
          <w:lang w:val="en-GB"/>
        </w:rPr>
      </w:pPr>
      <w:r w:rsidRPr="00582472">
        <w:rPr>
          <w:lang w:val="en-GB"/>
        </w:rPr>
        <w:t>6</w:t>
      </w:r>
      <w:r w:rsidR="00374C42">
        <w:rPr>
          <w:lang w:val="en-GB"/>
        </w:rPr>
        <w:t xml:space="preserve">.  </w:t>
      </w:r>
      <w:r w:rsidRPr="00374C42">
        <w:rPr>
          <w:rFonts w:eastAsia="KaiTi_GB2312" w:hint="eastAsia"/>
          <w:lang w:val="en-GB"/>
        </w:rPr>
        <w:t>重申</w:t>
      </w:r>
      <w:r w:rsidRPr="00582472">
        <w:rPr>
          <w:rFonts w:hint="eastAsia"/>
          <w:lang w:val="en-GB"/>
        </w:rPr>
        <w:t>柬埔寨政府需要加强努力巩固法治，包括通过并进一步执行建立民主社会所必需的基本法律和准则；</w:t>
      </w:r>
    </w:p>
    <w:p w:rsidR="00582472" w:rsidRPr="00582472" w:rsidRDefault="00582472" w:rsidP="00582472">
      <w:pPr>
        <w:pStyle w:val="SingleTxtGC"/>
        <w:ind w:firstLine="431"/>
        <w:rPr>
          <w:lang w:val="en-GB"/>
        </w:rPr>
      </w:pPr>
      <w:r w:rsidRPr="00582472">
        <w:rPr>
          <w:lang w:val="en-GB"/>
        </w:rPr>
        <w:t>7</w:t>
      </w:r>
      <w:r w:rsidR="00374C42">
        <w:rPr>
          <w:lang w:val="en-GB"/>
        </w:rPr>
        <w:t xml:space="preserve">.  </w:t>
      </w:r>
      <w:r w:rsidRPr="00374C42">
        <w:rPr>
          <w:rFonts w:eastAsia="KaiTi_GB2312"/>
          <w:lang w:val="en-GB"/>
        </w:rPr>
        <w:t>欢迎</w:t>
      </w:r>
      <w:r w:rsidRPr="00582472">
        <w:rPr>
          <w:lang w:val="en-GB"/>
        </w:rPr>
        <w:t>柬</w:t>
      </w:r>
      <w:r w:rsidRPr="00582472">
        <w:rPr>
          <w:rFonts w:hint="eastAsia"/>
          <w:lang w:val="en-GB"/>
        </w:rPr>
        <w:t>埔寨政府在法律和司法改革委员会领导下、在促进法律改革方面做出的努力和取得的进展，包括通过和</w:t>
      </w:r>
      <w:r w:rsidRPr="00582472">
        <w:rPr>
          <w:rFonts w:hint="eastAsia"/>
          <w:lang w:val="en-GB"/>
        </w:rPr>
        <w:t>(</w:t>
      </w:r>
      <w:r w:rsidRPr="00582472">
        <w:rPr>
          <w:rFonts w:hint="eastAsia"/>
          <w:lang w:val="en-GB"/>
        </w:rPr>
        <w:t>或</w:t>
      </w:r>
      <w:r w:rsidRPr="00582472">
        <w:rPr>
          <w:rFonts w:hint="eastAsia"/>
          <w:lang w:val="en-GB"/>
        </w:rPr>
        <w:t>)</w:t>
      </w:r>
      <w:r w:rsidRPr="00582472">
        <w:rPr>
          <w:rFonts w:hint="eastAsia"/>
          <w:lang w:val="en-GB"/>
        </w:rPr>
        <w:t>实施几项基本法，如民事诉讼法、民法、刑事诉讼法和刑法；</w:t>
      </w:r>
    </w:p>
    <w:p w:rsidR="00582472" w:rsidRPr="00582472" w:rsidRDefault="00582472" w:rsidP="00582472">
      <w:pPr>
        <w:pStyle w:val="SingleTxtGC"/>
        <w:ind w:firstLine="431"/>
        <w:rPr>
          <w:lang w:val="en-GB"/>
        </w:rPr>
      </w:pPr>
      <w:r w:rsidRPr="00582472">
        <w:rPr>
          <w:lang w:val="en-GB"/>
        </w:rPr>
        <w:t>8</w:t>
      </w:r>
      <w:r w:rsidR="00374C42">
        <w:rPr>
          <w:lang w:val="en-GB"/>
        </w:rPr>
        <w:t xml:space="preserve">.  </w:t>
      </w:r>
      <w:r w:rsidRPr="00374C42">
        <w:rPr>
          <w:rFonts w:eastAsia="KaiTi_GB2312" w:hint="eastAsia"/>
          <w:lang w:val="en-GB"/>
        </w:rPr>
        <w:t>鼓励</w:t>
      </w:r>
      <w:r w:rsidRPr="00582472">
        <w:rPr>
          <w:rFonts w:hint="eastAsia"/>
          <w:lang w:val="en-GB"/>
        </w:rPr>
        <w:t>柬埔寨政府向国民议会提交三项基本法律草案，即法官和检察官地位法草案、法院组织和运作法草案以及《最高司法行政官委员会的组织和运作法》修正案草案</w:t>
      </w:r>
      <w:r w:rsidR="006E37C0">
        <w:rPr>
          <w:rFonts w:hint="eastAsia"/>
          <w:lang w:val="en-GB"/>
        </w:rPr>
        <w:t>；</w:t>
      </w:r>
      <w:r w:rsidRPr="00582472">
        <w:rPr>
          <w:rFonts w:hint="eastAsia"/>
          <w:lang w:val="en-GB"/>
        </w:rPr>
        <w:t>促请柬埔寨政府继续进一步努力开展司法改革，包括迅速通过并实施这三项基本法，以确保整个司法制度的独立、公正、透明和有效，</w:t>
      </w:r>
      <w:r w:rsidR="006E37C0">
        <w:rPr>
          <w:rFonts w:hint="eastAsia"/>
          <w:lang w:val="en-GB"/>
        </w:rPr>
        <w:t>并由</w:t>
      </w:r>
      <w:r w:rsidRPr="00582472">
        <w:rPr>
          <w:rFonts w:hint="eastAsia"/>
          <w:lang w:val="en-GB"/>
        </w:rPr>
        <w:t>特别法庭的工作人员传播知识和分享法院的良好做法；</w:t>
      </w:r>
    </w:p>
    <w:p w:rsidR="00D2523E" w:rsidRPr="00582472" w:rsidRDefault="00582472" w:rsidP="00582472">
      <w:pPr>
        <w:pStyle w:val="SingleTxtGC"/>
        <w:ind w:firstLine="431"/>
        <w:rPr>
          <w:rFonts w:hint="eastAsia"/>
          <w:lang w:val="en-GB"/>
        </w:rPr>
      </w:pPr>
      <w:r w:rsidRPr="00582472">
        <w:rPr>
          <w:lang w:val="en-GB"/>
        </w:rPr>
        <w:t>9</w:t>
      </w:r>
      <w:r w:rsidR="00374C42">
        <w:rPr>
          <w:lang w:val="en-GB"/>
        </w:rPr>
        <w:t xml:space="preserve">.  </w:t>
      </w:r>
      <w:r w:rsidRPr="00374C42">
        <w:rPr>
          <w:rFonts w:eastAsia="KaiTi_GB2312"/>
          <w:lang w:val="en-GB"/>
        </w:rPr>
        <w:t>强调</w:t>
      </w:r>
      <w:r w:rsidRPr="00582472">
        <w:rPr>
          <w:rFonts w:hint="eastAsia"/>
          <w:lang w:val="en-GB"/>
        </w:rPr>
        <w:t>柬埔寨政府需继续加强努力，按照适当法律程序和国际人权条约所规定的义务，尽快调查并起诉所有犯有严重罪行的人，包括犯有侵犯人权</w:t>
      </w:r>
      <w:r w:rsidR="00AC4BB0">
        <w:rPr>
          <w:rFonts w:hint="eastAsia"/>
          <w:lang w:val="en-GB"/>
        </w:rPr>
        <w:t>行为</w:t>
      </w:r>
      <w:r w:rsidRPr="00582472">
        <w:rPr>
          <w:rFonts w:hint="eastAsia"/>
          <w:lang w:val="en-GB"/>
        </w:rPr>
        <w:t>的人；</w:t>
      </w:r>
    </w:p>
    <w:p w:rsidR="00582472" w:rsidRPr="00582472" w:rsidRDefault="00582472" w:rsidP="00582472">
      <w:pPr>
        <w:pStyle w:val="SingleTxtGC"/>
        <w:ind w:firstLine="431"/>
        <w:rPr>
          <w:rFonts w:hint="eastAsia"/>
          <w:lang w:val="en-GB"/>
        </w:rPr>
      </w:pPr>
      <w:r w:rsidRPr="00582472">
        <w:rPr>
          <w:lang w:val="en-GB"/>
        </w:rPr>
        <w:t>10</w:t>
      </w:r>
      <w:r w:rsidR="00374C42">
        <w:rPr>
          <w:lang w:val="en-GB"/>
        </w:rPr>
        <w:t xml:space="preserve">.  </w:t>
      </w:r>
      <w:r w:rsidRPr="00374C42">
        <w:rPr>
          <w:rFonts w:eastAsia="KaiTi_GB2312" w:hint="eastAsia"/>
          <w:lang w:val="en-GB"/>
        </w:rPr>
        <w:t>欢迎</w:t>
      </w:r>
      <w:r w:rsidR="005D0498">
        <w:rPr>
          <w:rFonts w:hint="eastAsia"/>
          <w:lang w:val="en-GB"/>
        </w:rPr>
        <w:t>柬埔寨政府</w:t>
      </w:r>
      <w:r w:rsidR="005D0498" w:rsidRPr="00582472">
        <w:rPr>
          <w:rFonts w:hint="eastAsia"/>
          <w:lang w:val="en-GB"/>
        </w:rPr>
        <w:t>努力</w:t>
      </w:r>
      <w:r w:rsidR="005D0498">
        <w:rPr>
          <w:rFonts w:hint="eastAsia"/>
          <w:lang w:val="en-GB"/>
        </w:rPr>
        <w:t>治理腐败</w:t>
      </w:r>
      <w:r w:rsidRPr="00582472">
        <w:rPr>
          <w:rFonts w:hint="eastAsia"/>
          <w:lang w:val="en-GB"/>
        </w:rPr>
        <w:t>，包括</w:t>
      </w:r>
      <w:r w:rsidR="00D406B7" w:rsidRPr="00582472">
        <w:rPr>
          <w:rFonts w:hint="eastAsia"/>
          <w:lang w:val="en-GB"/>
        </w:rPr>
        <w:t>实施</w:t>
      </w:r>
      <w:r w:rsidRPr="00582472">
        <w:rPr>
          <w:rFonts w:hint="eastAsia"/>
          <w:lang w:val="en-GB"/>
        </w:rPr>
        <w:t>刑法和反腐败法</w:t>
      </w:r>
      <w:r w:rsidR="00D406B7">
        <w:rPr>
          <w:rFonts w:hint="eastAsia"/>
          <w:lang w:val="en-GB"/>
        </w:rPr>
        <w:t>，</w:t>
      </w:r>
      <w:r w:rsidRPr="00582472">
        <w:rPr>
          <w:rFonts w:hint="eastAsia"/>
          <w:lang w:val="en-GB"/>
        </w:rPr>
        <w:t>以及反腐败股开展活动</w:t>
      </w:r>
      <w:r w:rsidR="00D406B7">
        <w:rPr>
          <w:rFonts w:hint="eastAsia"/>
          <w:lang w:val="en-GB"/>
        </w:rPr>
        <w:t>；</w:t>
      </w:r>
      <w:r w:rsidRPr="00582472">
        <w:rPr>
          <w:rFonts w:hint="eastAsia"/>
          <w:lang w:val="en-GB"/>
        </w:rPr>
        <w:t>鼓励</w:t>
      </w:r>
      <w:r w:rsidRPr="00582472">
        <w:rPr>
          <w:lang w:val="en-GB"/>
        </w:rPr>
        <w:t>柬埔寨</w:t>
      </w:r>
      <w:r w:rsidRPr="00582472">
        <w:rPr>
          <w:rFonts w:hint="eastAsia"/>
          <w:lang w:val="en-GB"/>
        </w:rPr>
        <w:t>政府继续这种努力；</w:t>
      </w:r>
    </w:p>
    <w:p w:rsidR="00582472" w:rsidRPr="00582472" w:rsidRDefault="00582472" w:rsidP="00582472">
      <w:pPr>
        <w:pStyle w:val="SingleTxtGC"/>
        <w:ind w:firstLine="431"/>
        <w:rPr>
          <w:lang w:val="en-GB"/>
        </w:rPr>
      </w:pPr>
      <w:r w:rsidRPr="00582472">
        <w:rPr>
          <w:lang w:val="en-GB"/>
        </w:rPr>
        <w:t>11</w:t>
      </w:r>
      <w:r w:rsidR="00374C42">
        <w:rPr>
          <w:lang w:val="en-GB"/>
        </w:rPr>
        <w:t xml:space="preserve">.  </w:t>
      </w:r>
      <w:r w:rsidR="00D406B7">
        <w:rPr>
          <w:rFonts w:eastAsia="KaiTi_GB2312" w:hint="eastAsia"/>
          <w:lang w:val="en-GB"/>
        </w:rPr>
        <w:t>又</w:t>
      </w:r>
      <w:r w:rsidRPr="00374C42">
        <w:rPr>
          <w:rFonts w:eastAsia="KaiTi_GB2312" w:hint="eastAsia"/>
          <w:lang w:val="en-GB"/>
        </w:rPr>
        <w:t>欢迎</w:t>
      </w:r>
      <w:r w:rsidRPr="00582472">
        <w:rPr>
          <w:lang w:val="en-GB"/>
        </w:rPr>
        <w:t>柬埔寨</w:t>
      </w:r>
      <w:r w:rsidRPr="00582472">
        <w:rPr>
          <w:rFonts w:hint="eastAsia"/>
          <w:lang w:val="en-GB"/>
        </w:rPr>
        <w:t>政府</w:t>
      </w:r>
      <w:r w:rsidR="005D0498">
        <w:rPr>
          <w:rFonts w:hint="eastAsia"/>
          <w:lang w:val="en-GB"/>
        </w:rPr>
        <w:t>努力</w:t>
      </w:r>
      <w:r w:rsidRPr="00582472">
        <w:rPr>
          <w:rFonts w:hint="eastAsia"/>
          <w:lang w:val="en-GB"/>
        </w:rPr>
        <w:t>打击犯罪，如贩卖人口、剥削劳动力以及对妇女和儿童</w:t>
      </w:r>
      <w:r w:rsidR="005D0498">
        <w:rPr>
          <w:rFonts w:hint="eastAsia"/>
          <w:lang w:val="en-GB"/>
        </w:rPr>
        <w:t>进行</w:t>
      </w:r>
      <w:r w:rsidRPr="00582472">
        <w:rPr>
          <w:rFonts w:hint="eastAsia"/>
          <w:lang w:val="en-GB"/>
        </w:rPr>
        <w:t>性剥削</w:t>
      </w:r>
      <w:r w:rsidR="005D0498">
        <w:rPr>
          <w:rFonts w:hint="eastAsia"/>
          <w:lang w:val="en-GB"/>
        </w:rPr>
        <w:t>；</w:t>
      </w:r>
      <w:r w:rsidRPr="00582472">
        <w:rPr>
          <w:rFonts w:hint="eastAsia"/>
          <w:lang w:val="en-GB"/>
        </w:rPr>
        <w:t>促请</w:t>
      </w:r>
      <w:r w:rsidR="005D0498">
        <w:rPr>
          <w:rFonts w:hint="eastAsia"/>
          <w:lang w:val="en-GB"/>
        </w:rPr>
        <w:t>该国</w:t>
      </w:r>
      <w:r w:rsidRPr="00582472">
        <w:rPr>
          <w:rFonts w:hint="eastAsia"/>
          <w:lang w:val="en-GB"/>
        </w:rPr>
        <w:t>政府与国际社会一道，为此做出进一步的努力，以解决这方面未决的关键问题；</w:t>
      </w:r>
    </w:p>
    <w:p w:rsidR="00582472" w:rsidRPr="00582472" w:rsidRDefault="00582472" w:rsidP="00582472">
      <w:pPr>
        <w:pStyle w:val="SingleTxtGC"/>
        <w:ind w:firstLine="431"/>
        <w:rPr>
          <w:rFonts w:hint="eastAsia"/>
          <w:lang w:val="en-GB"/>
        </w:rPr>
      </w:pPr>
      <w:r w:rsidRPr="00582472">
        <w:rPr>
          <w:lang w:val="en-GB"/>
        </w:rPr>
        <w:t>12</w:t>
      </w:r>
      <w:r w:rsidR="00374C42">
        <w:rPr>
          <w:lang w:val="en-GB"/>
        </w:rPr>
        <w:t xml:space="preserve">.  </w:t>
      </w:r>
      <w:r w:rsidRPr="00374C42">
        <w:rPr>
          <w:rFonts w:eastAsia="KaiTi_GB2312" w:hint="eastAsia"/>
          <w:lang w:val="en-GB"/>
        </w:rPr>
        <w:t>关切地注意到</w:t>
      </w:r>
      <w:r w:rsidRPr="00582472">
        <w:rPr>
          <w:rFonts w:hint="eastAsia"/>
          <w:lang w:val="en-GB"/>
        </w:rPr>
        <w:t>关于柬埔寨基于性别的暴力</w:t>
      </w:r>
      <w:r w:rsidR="005D0498">
        <w:rPr>
          <w:rFonts w:hint="eastAsia"/>
          <w:lang w:val="en-GB"/>
        </w:rPr>
        <w:t>问题</w:t>
      </w:r>
      <w:r w:rsidRPr="00582472">
        <w:rPr>
          <w:rFonts w:hint="eastAsia"/>
          <w:lang w:val="en-GB"/>
        </w:rPr>
        <w:t>的最新调查结果</w:t>
      </w:r>
      <w:r w:rsidR="005D0498">
        <w:rPr>
          <w:rFonts w:hint="eastAsia"/>
          <w:lang w:val="en-GB"/>
        </w:rPr>
        <w:t>；</w:t>
      </w:r>
      <w:r w:rsidRPr="00582472">
        <w:rPr>
          <w:rFonts w:hint="eastAsia"/>
          <w:lang w:val="en-GB"/>
        </w:rPr>
        <w:t>鼓励</w:t>
      </w:r>
      <w:r w:rsidRPr="00582472">
        <w:rPr>
          <w:lang w:val="en-GB"/>
        </w:rPr>
        <w:t>柬埔寨</w:t>
      </w:r>
      <w:r w:rsidRPr="00582472">
        <w:rPr>
          <w:rFonts w:hint="eastAsia"/>
          <w:lang w:val="en-GB"/>
        </w:rPr>
        <w:t>政府加强努力，打击基于性别的暴力，包括</w:t>
      </w:r>
      <w:r w:rsidR="005D0498">
        <w:rPr>
          <w:rFonts w:hint="eastAsia"/>
          <w:lang w:val="en-GB"/>
        </w:rPr>
        <w:t>切实</w:t>
      </w:r>
      <w:r w:rsidRPr="00582472">
        <w:rPr>
          <w:rFonts w:hint="eastAsia"/>
          <w:lang w:val="en-GB"/>
        </w:rPr>
        <w:t>执行现有的法律和规章；</w:t>
      </w:r>
    </w:p>
    <w:p w:rsidR="00582472" w:rsidRPr="00582472" w:rsidRDefault="00582472" w:rsidP="00582472">
      <w:pPr>
        <w:pStyle w:val="SingleTxtGC"/>
        <w:ind w:firstLine="431"/>
        <w:rPr>
          <w:lang w:val="en-GB"/>
        </w:rPr>
      </w:pPr>
      <w:r w:rsidRPr="00582472">
        <w:rPr>
          <w:rFonts w:hint="eastAsia"/>
          <w:lang w:val="en-GB"/>
        </w:rPr>
        <w:t>1</w:t>
      </w:r>
      <w:r w:rsidRPr="00582472">
        <w:rPr>
          <w:lang w:val="en-GB"/>
        </w:rPr>
        <w:t>3</w:t>
      </w:r>
      <w:r w:rsidR="00374C42">
        <w:rPr>
          <w:rFonts w:hint="eastAsia"/>
          <w:lang w:val="en-GB"/>
        </w:rPr>
        <w:t xml:space="preserve">.  </w:t>
      </w:r>
      <w:r w:rsidRPr="00374C42">
        <w:rPr>
          <w:rFonts w:eastAsia="KaiTi_GB2312" w:hint="eastAsia"/>
          <w:lang w:val="en-GB"/>
        </w:rPr>
        <w:t>欢迎</w:t>
      </w:r>
      <w:r w:rsidR="00A85220">
        <w:rPr>
          <w:rFonts w:hint="eastAsia"/>
          <w:lang w:val="en-GB"/>
        </w:rPr>
        <w:t>柬埔寨政府通过实施包括暂停经济土地出让在内的相关法律和规章，努力</w:t>
      </w:r>
      <w:r w:rsidRPr="00582472">
        <w:rPr>
          <w:rFonts w:hint="eastAsia"/>
          <w:lang w:val="en-GB"/>
        </w:rPr>
        <w:t>解决土地问题</w:t>
      </w:r>
      <w:r w:rsidR="00A85220">
        <w:rPr>
          <w:rFonts w:hint="eastAsia"/>
          <w:lang w:val="en-GB"/>
        </w:rPr>
        <w:t>；</w:t>
      </w:r>
      <w:r w:rsidRPr="00582472">
        <w:rPr>
          <w:rFonts w:hint="eastAsia"/>
          <w:lang w:val="en-GB"/>
        </w:rPr>
        <w:t>对这方面的未决问题表示关切</w:t>
      </w:r>
      <w:r w:rsidR="00A85220">
        <w:rPr>
          <w:rFonts w:hint="eastAsia"/>
          <w:lang w:val="en-GB"/>
        </w:rPr>
        <w:t>；</w:t>
      </w:r>
      <w:r w:rsidRPr="00582472">
        <w:rPr>
          <w:rFonts w:hint="eastAsia"/>
          <w:lang w:val="en-GB"/>
        </w:rPr>
        <w:t>促请</w:t>
      </w:r>
      <w:r w:rsidR="00A85220">
        <w:rPr>
          <w:rFonts w:hint="eastAsia"/>
          <w:lang w:val="en-GB"/>
        </w:rPr>
        <w:t>该国</w:t>
      </w:r>
      <w:r w:rsidRPr="00582472">
        <w:rPr>
          <w:rFonts w:hint="eastAsia"/>
          <w:lang w:val="en-GB"/>
        </w:rPr>
        <w:t>政府继续并加强努力，按照有关法律和规章，如《</w:t>
      </w:r>
      <w:r w:rsidRPr="00582472">
        <w:rPr>
          <w:rFonts w:hint="eastAsia"/>
          <w:lang w:val="en-GB"/>
        </w:rPr>
        <w:t>2001</w:t>
      </w:r>
      <w:r w:rsidRPr="00582472">
        <w:rPr>
          <w:rFonts w:hint="eastAsia"/>
          <w:lang w:val="en-GB"/>
        </w:rPr>
        <w:t>年土地法》、《征用法》、《关于解决城乡地区非法临时建筑的通告》和《国家住房政策》，以公正和公开的方式，迅速公平地</w:t>
      </w:r>
      <w:r w:rsidR="00A85220">
        <w:rPr>
          <w:rFonts w:hint="eastAsia"/>
          <w:lang w:val="en-GB"/>
        </w:rPr>
        <w:t>解决</w:t>
      </w:r>
      <w:r w:rsidRPr="00582472">
        <w:rPr>
          <w:rFonts w:hint="eastAsia"/>
          <w:lang w:val="en-GB"/>
        </w:rPr>
        <w:t>这些问题，同时考虑到有关各方的权利及其受到的实际影响，并提高有关机构，如全国解决土地争议管理局以及国家、省和</w:t>
      </w:r>
      <w:r w:rsidR="00A85220">
        <w:rPr>
          <w:rFonts w:hint="eastAsia"/>
          <w:lang w:val="en-GB"/>
        </w:rPr>
        <w:t>县</w:t>
      </w:r>
      <w:r w:rsidRPr="00582472">
        <w:rPr>
          <w:rFonts w:hint="eastAsia"/>
          <w:lang w:val="en-GB"/>
        </w:rPr>
        <w:t>各级的地籍委员会等机构的能力和效率；</w:t>
      </w:r>
    </w:p>
    <w:p w:rsidR="00582472" w:rsidRPr="00582472" w:rsidRDefault="00582472" w:rsidP="00582472">
      <w:pPr>
        <w:pStyle w:val="SingleTxtGC"/>
        <w:ind w:firstLine="431"/>
        <w:rPr>
          <w:rFonts w:hint="eastAsia"/>
          <w:lang w:val="en-GB"/>
        </w:rPr>
      </w:pPr>
      <w:r w:rsidRPr="00582472">
        <w:rPr>
          <w:lang w:val="en-GB"/>
        </w:rPr>
        <w:t>14</w:t>
      </w:r>
      <w:r w:rsidR="00374C42">
        <w:rPr>
          <w:lang w:val="en-GB"/>
        </w:rPr>
        <w:t xml:space="preserve">.  </w:t>
      </w:r>
      <w:r w:rsidR="00D406B7">
        <w:rPr>
          <w:rFonts w:eastAsia="KaiTi_GB2312" w:hint="eastAsia"/>
          <w:lang w:val="en-GB"/>
        </w:rPr>
        <w:t>又</w:t>
      </w:r>
      <w:r w:rsidRPr="00374C42">
        <w:rPr>
          <w:rFonts w:eastAsia="KaiTi_GB2312" w:hint="eastAsia"/>
          <w:lang w:val="en-GB"/>
        </w:rPr>
        <w:t>欢迎</w:t>
      </w:r>
      <w:r w:rsidRPr="00582472">
        <w:rPr>
          <w:rFonts w:hint="eastAsia"/>
          <w:lang w:val="en-GB"/>
        </w:rPr>
        <w:t>柬埔寨政府承诺履行其加入的各项国际人权条约和公约所规定的义务，包括成立</w:t>
      </w:r>
      <w:r w:rsidR="00A85220">
        <w:rPr>
          <w:rFonts w:hint="eastAsia"/>
          <w:lang w:val="en-GB"/>
        </w:rPr>
        <w:t>国家人权机构并鼓励在成立该机构时同相关利益攸关方进行充分</w:t>
      </w:r>
      <w:r w:rsidRPr="00582472">
        <w:rPr>
          <w:rFonts w:hint="eastAsia"/>
          <w:lang w:val="en-GB"/>
        </w:rPr>
        <w:t>协商</w:t>
      </w:r>
      <w:r w:rsidR="00BF5E1C">
        <w:rPr>
          <w:rFonts w:hint="eastAsia"/>
          <w:lang w:val="en-GB"/>
        </w:rPr>
        <w:t>的义务</w:t>
      </w:r>
      <w:r w:rsidRPr="00582472">
        <w:rPr>
          <w:rFonts w:hint="eastAsia"/>
          <w:lang w:val="en-GB"/>
        </w:rPr>
        <w:t>，以及在这方面所取得的进展；欢迎其作出努力，</w:t>
      </w:r>
      <w:r w:rsidR="00BF5E1C">
        <w:rPr>
          <w:rFonts w:hint="eastAsia"/>
          <w:lang w:val="en-GB"/>
        </w:rPr>
        <w:t>于</w:t>
      </w:r>
      <w:r w:rsidRPr="00582472">
        <w:rPr>
          <w:rFonts w:hint="eastAsia"/>
          <w:lang w:val="en-GB"/>
        </w:rPr>
        <w:t>2013</w:t>
      </w:r>
      <w:r w:rsidRPr="00582472">
        <w:rPr>
          <w:rFonts w:hint="eastAsia"/>
          <w:lang w:val="en-GB"/>
        </w:rPr>
        <w:t>年</w:t>
      </w:r>
      <w:r w:rsidRPr="00582472">
        <w:rPr>
          <w:rFonts w:hint="eastAsia"/>
          <w:lang w:val="en-GB"/>
        </w:rPr>
        <w:t>6</w:t>
      </w:r>
      <w:r w:rsidRPr="00582472">
        <w:rPr>
          <w:rFonts w:hint="eastAsia"/>
          <w:lang w:val="en-GB"/>
        </w:rPr>
        <w:t>月批准了《保护所有人免遭强迫失踪国际公约》，</w:t>
      </w:r>
      <w:r w:rsidR="00BF5E1C">
        <w:rPr>
          <w:rFonts w:hint="eastAsia"/>
          <w:lang w:val="en-GB"/>
        </w:rPr>
        <w:t>于</w:t>
      </w:r>
      <w:r w:rsidRPr="00582472">
        <w:rPr>
          <w:rFonts w:hint="eastAsia"/>
          <w:lang w:val="en-GB"/>
        </w:rPr>
        <w:t>2012</w:t>
      </w:r>
      <w:r w:rsidRPr="00582472">
        <w:rPr>
          <w:rFonts w:hint="eastAsia"/>
          <w:lang w:val="en-GB"/>
        </w:rPr>
        <w:t>年</w:t>
      </w:r>
      <w:r w:rsidRPr="00582472">
        <w:rPr>
          <w:rFonts w:hint="eastAsia"/>
          <w:lang w:val="en-GB"/>
        </w:rPr>
        <w:t>12</w:t>
      </w:r>
      <w:r w:rsidRPr="00582472">
        <w:rPr>
          <w:rFonts w:hint="eastAsia"/>
          <w:lang w:val="en-GB"/>
        </w:rPr>
        <w:t>月批准了《残疾人</w:t>
      </w:r>
      <w:r w:rsidR="00BF5E1C">
        <w:rPr>
          <w:rFonts w:hint="eastAsia"/>
          <w:lang w:val="en-GB"/>
        </w:rPr>
        <w:t>权利公约》；促请柬埔寨政府继续采取措施履行其加入的</w:t>
      </w:r>
      <w:r w:rsidRPr="00582472">
        <w:rPr>
          <w:rFonts w:hint="eastAsia"/>
          <w:lang w:val="en-GB"/>
        </w:rPr>
        <w:t>条约和公约所规定的义务，并为此目的，加强与联合国各机构、包括高级专员办事处的合作，包括加强对话和联合开展活动；</w:t>
      </w:r>
    </w:p>
    <w:p w:rsidR="00582472" w:rsidRPr="00582472" w:rsidRDefault="00582472" w:rsidP="00582472">
      <w:pPr>
        <w:pStyle w:val="SingleTxtGC"/>
        <w:ind w:firstLine="431"/>
        <w:rPr>
          <w:rFonts w:hint="eastAsia"/>
          <w:lang w:val="en-GB"/>
        </w:rPr>
      </w:pPr>
      <w:r w:rsidRPr="00582472">
        <w:rPr>
          <w:lang w:val="en-GB"/>
        </w:rPr>
        <w:t>15</w:t>
      </w:r>
      <w:r w:rsidR="00374C42">
        <w:rPr>
          <w:lang w:val="en-GB"/>
        </w:rPr>
        <w:t xml:space="preserve">.  </w:t>
      </w:r>
      <w:r w:rsidR="00D406B7">
        <w:rPr>
          <w:rFonts w:eastAsia="KaiTi_GB2312" w:hint="eastAsia"/>
          <w:lang w:val="en-GB"/>
        </w:rPr>
        <w:t>还</w:t>
      </w:r>
      <w:r w:rsidRPr="00374C42">
        <w:rPr>
          <w:rFonts w:eastAsia="KaiTi_GB2312" w:hint="eastAsia"/>
          <w:lang w:val="en-GB"/>
        </w:rPr>
        <w:t>欢迎</w:t>
      </w:r>
      <w:r w:rsidRPr="00582472">
        <w:rPr>
          <w:rFonts w:hint="eastAsia"/>
          <w:lang w:val="en-GB"/>
        </w:rPr>
        <w:t>柬埔寨人权委员会所做的努力，特别是在解决个人投诉方面所做的努力；</w:t>
      </w:r>
    </w:p>
    <w:p w:rsidR="00582472" w:rsidRPr="00582472" w:rsidRDefault="00582472" w:rsidP="00582472">
      <w:pPr>
        <w:pStyle w:val="SingleTxtGC"/>
        <w:ind w:firstLine="431"/>
        <w:rPr>
          <w:lang w:val="en-GB"/>
        </w:rPr>
      </w:pPr>
      <w:r w:rsidRPr="00582472">
        <w:rPr>
          <w:lang w:val="en-GB"/>
        </w:rPr>
        <w:t>16</w:t>
      </w:r>
      <w:r w:rsidR="00374C42">
        <w:rPr>
          <w:lang w:val="en-GB"/>
        </w:rPr>
        <w:t xml:space="preserve">.  </w:t>
      </w:r>
      <w:r w:rsidRPr="00374C42">
        <w:rPr>
          <w:rFonts w:eastAsia="KaiTi_GB2312" w:hint="eastAsia"/>
          <w:lang w:val="en-GB"/>
        </w:rPr>
        <w:t>欢迎</w:t>
      </w:r>
      <w:r w:rsidRPr="00582472">
        <w:rPr>
          <w:rFonts w:hint="eastAsia"/>
          <w:lang w:val="en-GB"/>
        </w:rPr>
        <w:t>柬埔寨政府在促进权力下放和减少权力集中的改革方面所做的努力和取得的进展，改革的目的是加强地方和基层机构，以实现民主发展；</w:t>
      </w:r>
    </w:p>
    <w:p w:rsidR="00582472" w:rsidRPr="00582472" w:rsidRDefault="00582472" w:rsidP="00582472">
      <w:pPr>
        <w:pStyle w:val="SingleTxtGC"/>
        <w:ind w:firstLine="431"/>
        <w:rPr>
          <w:rFonts w:hint="eastAsia"/>
          <w:lang w:val="en-GB"/>
        </w:rPr>
      </w:pPr>
      <w:r w:rsidRPr="00582472">
        <w:rPr>
          <w:lang w:val="en-GB"/>
        </w:rPr>
        <w:t>17</w:t>
      </w:r>
      <w:r w:rsidR="00374C42">
        <w:rPr>
          <w:lang w:val="en-GB"/>
        </w:rPr>
        <w:t xml:space="preserve">.  </w:t>
      </w:r>
      <w:r w:rsidR="00D406B7">
        <w:rPr>
          <w:rFonts w:eastAsia="KaiTi_GB2312" w:hint="eastAsia"/>
          <w:lang w:val="en-GB"/>
        </w:rPr>
        <w:t>又</w:t>
      </w:r>
      <w:r w:rsidRPr="00374C42">
        <w:rPr>
          <w:rFonts w:eastAsia="KaiTi_GB2312" w:hint="eastAsia"/>
          <w:lang w:val="en-GB"/>
        </w:rPr>
        <w:t>欢迎</w:t>
      </w:r>
      <w:r w:rsidRPr="00582472">
        <w:rPr>
          <w:rFonts w:hint="eastAsia"/>
          <w:lang w:val="en-GB"/>
        </w:rPr>
        <w:t>2013</w:t>
      </w:r>
      <w:r w:rsidRPr="00582472">
        <w:rPr>
          <w:rFonts w:hint="eastAsia"/>
          <w:lang w:val="en-GB"/>
        </w:rPr>
        <w:t>年</w:t>
      </w:r>
      <w:r w:rsidR="001A34D6">
        <w:rPr>
          <w:rFonts w:hint="eastAsia"/>
          <w:lang w:val="en-GB"/>
        </w:rPr>
        <w:t>7</w:t>
      </w:r>
      <w:r w:rsidRPr="00582472">
        <w:rPr>
          <w:rFonts w:hint="eastAsia"/>
          <w:lang w:val="en-GB"/>
        </w:rPr>
        <w:t>月</w:t>
      </w:r>
      <w:r w:rsidRPr="00582472">
        <w:rPr>
          <w:rFonts w:hint="eastAsia"/>
          <w:lang w:val="en-GB"/>
        </w:rPr>
        <w:t>28</w:t>
      </w:r>
      <w:r w:rsidRPr="00582472">
        <w:rPr>
          <w:rFonts w:hint="eastAsia"/>
          <w:lang w:val="en-GB"/>
        </w:rPr>
        <w:t>日基本上以和平方式顺利举行了国民议会选举，同时注意到在选举后举行的抗议以及执政党和反对党</w:t>
      </w:r>
      <w:r w:rsidRPr="00582472">
        <w:rPr>
          <w:rFonts w:hint="eastAsia"/>
          <w:lang w:val="en-GB"/>
        </w:rPr>
        <w:t>9</w:t>
      </w:r>
      <w:r w:rsidRPr="00582472">
        <w:rPr>
          <w:rFonts w:hint="eastAsia"/>
          <w:lang w:val="en-GB"/>
        </w:rPr>
        <w:t>月</w:t>
      </w:r>
      <w:r w:rsidRPr="00582472">
        <w:rPr>
          <w:rFonts w:hint="eastAsia"/>
          <w:lang w:val="en-GB"/>
        </w:rPr>
        <w:t>16</w:t>
      </w:r>
      <w:r w:rsidRPr="00582472">
        <w:rPr>
          <w:rFonts w:hint="eastAsia"/>
          <w:lang w:val="en-GB"/>
        </w:rPr>
        <w:t>日发布的关于选举改革的联合声明</w:t>
      </w:r>
      <w:r w:rsidR="00BF5E1C">
        <w:rPr>
          <w:rFonts w:hint="eastAsia"/>
          <w:lang w:val="en-GB"/>
        </w:rPr>
        <w:t>；</w:t>
      </w:r>
      <w:r w:rsidRPr="00582472">
        <w:rPr>
          <w:rFonts w:hint="eastAsia"/>
          <w:lang w:val="en-GB"/>
        </w:rPr>
        <w:t>促请柬埔寨政府继续加大努力，为所有政党开展合法的政治活动创造一个有利的环境，并进一步努力</w:t>
      </w:r>
      <w:r w:rsidR="00BF5E1C">
        <w:rPr>
          <w:rFonts w:hint="eastAsia"/>
          <w:lang w:val="en-GB"/>
        </w:rPr>
        <w:t>按照</w:t>
      </w:r>
      <w:r w:rsidRPr="00582472">
        <w:rPr>
          <w:rFonts w:hint="eastAsia"/>
          <w:lang w:val="en-GB"/>
        </w:rPr>
        <w:t>国际标准改进选举制度，使整个选举过程能够为相关各方所满意和接受；</w:t>
      </w:r>
    </w:p>
    <w:p w:rsidR="00582472" w:rsidRPr="00582472" w:rsidRDefault="00582472" w:rsidP="00582472">
      <w:pPr>
        <w:pStyle w:val="SingleTxtGC"/>
        <w:ind w:firstLine="431"/>
        <w:rPr>
          <w:rFonts w:hint="eastAsia"/>
          <w:lang w:val="en-GB"/>
        </w:rPr>
      </w:pPr>
      <w:r w:rsidRPr="00582472">
        <w:rPr>
          <w:lang w:val="en-GB"/>
        </w:rPr>
        <w:t>18</w:t>
      </w:r>
      <w:r w:rsidR="00374C42">
        <w:rPr>
          <w:lang w:val="en-GB"/>
        </w:rPr>
        <w:t xml:space="preserve">.  </w:t>
      </w:r>
      <w:r w:rsidRPr="00374C42">
        <w:rPr>
          <w:rFonts w:eastAsia="KaiTi_GB2312" w:hint="eastAsia"/>
          <w:lang w:val="en-GB"/>
        </w:rPr>
        <w:t>强调</w:t>
      </w:r>
      <w:r w:rsidRPr="00582472">
        <w:rPr>
          <w:lang w:val="en-GB"/>
        </w:rPr>
        <w:t>柬埔寨</w:t>
      </w:r>
      <w:r w:rsidRPr="00582472">
        <w:rPr>
          <w:rFonts w:hint="eastAsia"/>
          <w:lang w:val="en-GB"/>
        </w:rPr>
        <w:t>政府需要通过依《宪法》举行的议会辩论，在促进柬埔寨多元化的民主进程方面取得进一步的进展和</w:t>
      </w:r>
      <w:r w:rsidR="00BF5E1C">
        <w:rPr>
          <w:rFonts w:hint="eastAsia"/>
          <w:lang w:val="en-GB"/>
        </w:rPr>
        <w:t>做出</w:t>
      </w:r>
      <w:r w:rsidR="00BF5E1C" w:rsidRPr="00582472">
        <w:rPr>
          <w:rFonts w:hint="eastAsia"/>
          <w:lang w:val="en-GB"/>
        </w:rPr>
        <w:t>进一步的</w:t>
      </w:r>
      <w:r w:rsidRPr="00582472">
        <w:rPr>
          <w:rFonts w:hint="eastAsia"/>
          <w:lang w:val="en-GB"/>
        </w:rPr>
        <w:t>努力</w:t>
      </w:r>
      <w:r w:rsidR="00BF5E1C">
        <w:rPr>
          <w:rFonts w:hint="eastAsia"/>
          <w:lang w:val="en-GB"/>
        </w:rPr>
        <w:t>；</w:t>
      </w:r>
      <w:r w:rsidR="00BF5E1C" w:rsidRPr="00582472">
        <w:rPr>
          <w:rFonts w:hint="eastAsia"/>
          <w:lang w:val="en-GB"/>
        </w:rPr>
        <w:t>为此目的，</w:t>
      </w:r>
      <w:r w:rsidRPr="00582472">
        <w:rPr>
          <w:rFonts w:hint="eastAsia"/>
          <w:lang w:val="en-GB"/>
        </w:rPr>
        <w:t>鼓励</w:t>
      </w:r>
      <w:r w:rsidR="00BF5E1C">
        <w:rPr>
          <w:rFonts w:hint="eastAsia"/>
          <w:lang w:val="en-GB"/>
        </w:rPr>
        <w:t>该国</w:t>
      </w:r>
      <w:r w:rsidRPr="00582472">
        <w:rPr>
          <w:rFonts w:hint="eastAsia"/>
          <w:lang w:val="en-GB"/>
        </w:rPr>
        <w:t>政府同立法机构合作，</w:t>
      </w:r>
      <w:r w:rsidR="00BF5E1C">
        <w:rPr>
          <w:rFonts w:hint="eastAsia"/>
          <w:lang w:val="en-GB"/>
        </w:rPr>
        <w:t>以便</w:t>
      </w:r>
      <w:r w:rsidRPr="00582472">
        <w:rPr>
          <w:rFonts w:hint="eastAsia"/>
          <w:lang w:val="en-GB"/>
        </w:rPr>
        <w:t>推动立法机构的独立性和有效性，包括确保来自各个政党的议员认真参与议会的讨论；</w:t>
      </w:r>
    </w:p>
    <w:p w:rsidR="00582472" w:rsidRPr="00582472" w:rsidRDefault="00582472" w:rsidP="00582472">
      <w:pPr>
        <w:pStyle w:val="SingleTxtGC"/>
        <w:ind w:firstLine="431"/>
        <w:rPr>
          <w:rFonts w:hint="eastAsia"/>
        </w:rPr>
      </w:pPr>
      <w:r w:rsidRPr="00582472">
        <w:rPr>
          <w:lang w:val="en-GB"/>
        </w:rPr>
        <w:t>19</w:t>
      </w:r>
      <w:r w:rsidR="00374C42">
        <w:rPr>
          <w:lang w:val="en-GB"/>
        </w:rPr>
        <w:t xml:space="preserve">.  </w:t>
      </w:r>
      <w:r w:rsidRPr="00374C42">
        <w:rPr>
          <w:rFonts w:eastAsia="KaiTi_GB2312" w:hint="eastAsia"/>
          <w:lang w:val="en-GB"/>
        </w:rPr>
        <w:t>促请</w:t>
      </w:r>
      <w:r w:rsidRPr="00582472">
        <w:rPr>
          <w:lang w:val="en-GB"/>
        </w:rPr>
        <w:t>柬埔寨</w:t>
      </w:r>
      <w:r w:rsidRPr="00582472">
        <w:rPr>
          <w:rFonts w:hint="eastAsia"/>
          <w:lang w:val="en-GB"/>
        </w:rPr>
        <w:t>政府采取适当措施，鼓励和支持</w:t>
      </w:r>
      <w:r w:rsidRPr="00582472">
        <w:rPr>
          <w:rFonts w:hint="eastAsia"/>
        </w:rPr>
        <w:t>民间社会</w:t>
      </w:r>
      <w:r w:rsidRPr="00582472">
        <w:rPr>
          <w:rFonts w:hint="eastAsia"/>
          <w:lang w:val="en-GB"/>
        </w:rPr>
        <w:t>和媒体在巩固柬埔寨民主发展</w:t>
      </w:r>
      <w:r w:rsidR="007F0D35">
        <w:rPr>
          <w:rFonts w:hint="eastAsia"/>
          <w:lang w:val="en-GB"/>
        </w:rPr>
        <w:t>的工作</w:t>
      </w:r>
      <w:r w:rsidRPr="00582472">
        <w:rPr>
          <w:rFonts w:hint="eastAsia"/>
          <w:lang w:val="en-GB"/>
        </w:rPr>
        <w:t>中发挥建设性作用，包括确保和增进其活动，并促进所有各方平等利用媒体；</w:t>
      </w:r>
    </w:p>
    <w:p w:rsidR="00582472" w:rsidRPr="00582472" w:rsidRDefault="00582472" w:rsidP="00582472">
      <w:pPr>
        <w:pStyle w:val="SingleTxtGC"/>
        <w:ind w:firstLine="431"/>
        <w:rPr>
          <w:lang w:val="en-GB"/>
        </w:rPr>
      </w:pPr>
      <w:r w:rsidRPr="00582472">
        <w:rPr>
          <w:lang w:val="en-GB"/>
        </w:rPr>
        <w:t>20</w:t>
      </w:r>
      <w:r w:rsidR="00374C42">
        <w:rPr>
          <w:lang w:val="en-GB"/>
        </w:rPr>
        <w:t xml:space="preserve">.  </w:t>
      </w:r>
      <w:r w:rsidRPr="00374C42">
        <w:rPr>
          <w:rFonts w:eastAsia="KaiTi_GB2312" w:hint="eastAsia"/>
          <w:lang w:val="en-GB"/>
        </w:rPr>
        <w:t>强调</w:t>
      </w:r>
      <w:r w:rsidRPr="00582472">
        <w:rPr>
          <w:lang w:val="en-GB"/>
        </w:rPr>
        <w:t>柬埔寨</w:t>
      </w:r>
      <w:r w:rsidRPr="00582472">
        <w:rPr>
          <w:rFonts w:hint="eastAsia"/>
          <w:lang w:val="en-GB"/>
        </w:rPr>
        <w:t>政府需要继续采取行动，增进所有柬埔寨人的权利和尊严，保护公民权利和政治权利，包括见解和言论自由，并为此目的，确保审慎地解释和实施相关法律</w:t>
      </w:r>
      <w:r w:rsidRPr="00582472">
        <w:rPr>
          <w:rFonts w:hint="eastAsia"/>
          <w:lang w:val="en-GB"/>
        </w:rPr>
        <w:t>(</w:t>
      </w:r>
      <w:r w:rsidRPr="00582472">
        <w:rPr>
          <w:rFonts w:hint="eastAsia"/>
          <w:lang w:val="en-GB"/>
        </w:rPr>
        <w:t>如刑法</w:t>
      </w:r>
      <w:r w:rsidRPr="00582472">
        <w:rPr>
          <w:rFonts w:hint="eastAsia"/>
          <w:lang w:val="en-GB"/>
        </w:rPr>
        <w:t>)</w:t>
      </w:r>
      <w:r w:rsidRPr="00582472">
        <w:rPr>
          <w:rFonts w:hint="eastAsia"/>
          <w:lang w:val="en-GB"/>
        </w:rPr>
        <w:t>，以便依照法治，增进经济、社会和文化权利；</w:t>
      </w:r>
    </w:p>
    <w:p w:rsidR="00582472" w:rsidRPr="00582472" w:rsidRDefault="00582472" w:rsidP="00582472">
      <w:pPr>
        <w:pStyle w:val="SingleTxtGC"/>
        <w:ind w:firstLine="431"/>
        <w:rPr>
          <w:lang w:val="en-GB"/>
        </w:rPr>
      </w:pPr>
      <w:r w:rsidRPr="00582472">
        <w:rPr>
          <w:lang w:val="en-GB"/>
        </w:rPr>
        <w:t>21</w:t>
      </w:r>
      <w:r w:rsidR="00374C42">
        <w:rPr>
          <w:lang w:val="en-GB"/>
        </w:rPr>
        <w:t xml:space="preserve">.  </w:t>
      </w:r>
      <w:r w:rsidRPr="00374C42">
        <w:rPr>
          <w:rFonts w:eastAsia="KaiTi_GB2312" w:hint="eastAsia"/>
          <w:lang w:val="en-GB"/>
        </w:rPr>
        <w:t>请</w:t>
      </w:r>
      <w:r w:rsidRPr="00582472">
        <w:rPr>
          <w:rFonts w:hint="eastAsia"/>
          <w:lang w:val="en-GB"/>
        </w:rPr>
        <w:t>秘书长、在柬埔寨设有办事处的联合国系统各机构、国际社会、包括</w:t>
      </w:r>
      <w:r w:rsidR="00484065">
        <w:rPr>
          <w:rFonts w:hint="eastAsia"/>
          <w:lang w:val="en-GB"/>
        </w:rPr>
        <w:t>民间社会</w:t>
      </w:r>
      <w:r w:rsidRPr="00582472">
        <w:rPr>
          <w:rFonts w:hint="eastAsia"/>
          <w:lang w:val="en-GB"/>
        </w:rPr>
        <w:t>，继续与柬埔寨政府合作，加强民主，确保保护和增进柬埔寨所有人的人权，包括在以下领域提供援助：</w:t>
      </w:r>
    </w:p>
    <w:p w:rsidR="00582472" w:rsidRPr="00582472" w:rsidRDefault="00582472" w:rsidP="00002A62">
      <w:pPr>
        <w:pStyle w:val="SingleTxtGC"/>
        <w:numPr>
          <w:ilvl w:val="0"/>
          <w:numId w:val="43"/>
        </w:numPr>
        <w:rPr>
          <w:lang w:val="en-GB"/>
        </w:rPr>
      </w:pPr>
      <w:r w:rsidRPr="00582472">
        <w:rPr>
          <w:rFonts w:hint="eastAsia"/>
          <w:lang w:val="en-GB"/>
        </w:rPr>
        <w:t>起草法律，并协助成立一个独立的国家人权机构；</w:t>
      </w:r>
    </w:p>
    <w:p w:rsidR="00582472" w:rsidRPr="00582472" w:rsidRDefault="00484065" w:rsidP="00002A62">
      <w:pPr>
        <w:pStyle w:val="SingleTxtGC"/>
        <w:numPr>
          <w:ilvl w:val="0"/>
          <w:numId w:val="43"/>
        </w:numPr>
        <w:rPr>
          <w:lang w:val="en-GB"/>
        </w:rPr>
      </w:pPr>
      <w:r>
        <w:rPr>
          <w:rFonts w:hint="eastAsia"/>
          <w:lang w:val="en-GB"/>
        </w:rPr>
        <w:t>开展</w:t>
      </w:r>
      <w:r w:rsidRPr="00582472">
        <w:rPr>
          <w:rFonts w:hint="eastAsia"/>
          <w:lang w:val="en-GB"/>
        </w:rPr>
        <w:t>能力建设</w:t>
      </w:r>
      <w:r>
        <w:rPr>
          <w:rFonts w:hint="eastAsia"/>
          <w:lang w:val="en-GB"/>
        </w:rPr>
        <w:t>，以</w:t>
      </w:r>
      <w:r w:rsidR="00582472" w:rsidRPr="00582472">
        <w:rPr>
          <w:rFonts w:hint="eastAsia"/>
          <w:lang w:val="en-GB"/>
        </w:rPr>
        <w:t>加强法律机构，包括提高法官、检察官、律师和法庭工作人员的素质，汲取在柬埔寨法院特别法庭工作的柬埔寨国民积累的专门知识；</w:t>
      </w:r>
    </w:p>
    <w:p w:rsidR="00582472" w:rsidRPr="00582472" w:rsidRDefault="00484065" w:rsidP="00002A62">
      <w:pPr>
        <w:pStyle w:val="SingleTxtGC"/>
        <w:numPr>
          <w:ilvl w:val="0"/>
          <w:numId w:val="43"/>
        </w:numPr>
        <w:rPr>
          <w:lang w:val="en-GB"/>
        </w:rPr>
      </w:pPr>
      <w:r>
        <w:rPr>
          <w:rFonts w:hint="eastAsia"/>
          <w:lang w:val="en-GB"/>
        </w:rPr>
        <w:t>开展</w:t>
      </w:r>
      <w:r w:rsidRPr="00582472">
        <w:rPr>
          <w:rFonts w:hint="eastAsia"/>
          <w:lang w:val="en-GB"/>
        </w:rPr>
        <w:t>能力建设</w:t>
      </w:r>
      <w:r>
        <w:rPr>
          <w:rFonts w:hint="eastAsia"/>
          <w:lang w:val="en-GB"/>
        </w:rPr>
        <w:t>，以</w:t>
      </w:r>
      <w:r w:rsidR="00582472" w:rsidRPr="00582472">
        <w:rPr>
          <w:rFonts w:hint="eastAsia"/>
          <w:lang w:val="en-GB"/>
        </w:rPr>
        <w:t>加强国家刑事调查和执法机构，并为此目的提供必要的设备：</w:t>
      </w:r>
    </w:p>
    <w:p w:rsidR="00582472" w:rsidRPr="00582472" w:rsidRDefault="00582472" w:rsidP="00002A62">
      <w:pPr>
        <w:pStyle w:val="SingleTxtGC"/>
        <w:numPr>
          <w:ilvl w:val="0"/>
          <w:numId w:val="43"/>
        </w:numPr>
        <w:rPr>
          <w:lang w:val="en-GB"/>
        </w:rPr>
      </w:pPr>
      <w:r w:rsidRPr="00582472">
        <w:rPr>
          <w:rFonts w:hint="eastAsia"/>
          <w:lang w:val="en-GB"/>
        </w:rPr>
        <w:t>落实普遍定期审议的建议；</w:t>
      </w:r>
    </w:p>
    <w:p w:rsidR="00582472" w:rsidRPr="00582472" w:rsidRDefault="00582472" w:rsidP="00002A62">
      <w:pPr>
        <w:pStyle w:val="SingleTxtGC"/>
        <w:numPr>
          <w:ilvl w:val="0"/>
          <w:numId w:val="43"/>
        </w:numPr>
        <w:rPr>
          <w:rFonts w:hint="eastAsia"/>
          <w:lang w:val="en-GB"/>
        </w:rPr>
      </w:pPr>
      <w:r w:rsidRPr="00582472">
        <w:rPr>
          <w:rFonts w:hint="eastAsia"/>
          <w:lang w:val="en-GB"/>
        </w:rPr>
        <w:t>协助评估在人权问题上的进展；</w:t>
      </w:r>
    </w:p>
    <w:p w:rsidR="00582472" w:rsidRPr="00582472" w:rsidRDefault="00582472" w:rsidP="00582472">
      <w:pPr>
        <w:pStyle w:val="SingleTxtGC"/>
        <w:ind w:firstLine="431"/>
        <w:rPr>
          <w:lang w:val="en-GB"/>
        </w:rPr>
      </w:pPr>
      <w:r w:rsidRPr="00582472">
        <w:rPr>
          <w:lang w:val="en-GB"/>
        </w:rPr>
        <w:t>22</w:t>
      </w:r>
      <w:r w:rsidR="00374C42">
        <w:rPr>
          <w:lang w:val="en-GB"/>
        </w:rPr>
        <w:t xml:space="preserve">.  </w:t>
      </w:r>
      <w:r w:rsidRPr="00036B4E">
        <w:rPr>
          <w:rFonts w:eastAsia="KaiTi_GB2312" w:hint="eastAsia"/>
          <w:lang w:val="en-GB"/>
        </w:rPr>
        <w:t>决定</w:t>
      </w:r>
      <w:r w:rsidRPr="00582472">
        <w:rPr>
          <w:rFonts w:hint="eastAsia"/>
          <w:lang w:val="en-GB"/>
        </w:rPr>
        <w:t>将柬埔寨人权状况特别报告员的任</w:t>
      </w:r>
      <w:r w:rsidR="00484065">
        <w:rPr>
          <w:rFonts w:hint="eastAsia"/>
          <w:lang w:val="en-GB"/>
        </w:rPr>
        <w:t>期</w:t>
      </w:r>
      <w:r w:rsidRPr="00582472">
        <w:rPr>
          <w:rFonts w:hint="eastAsia"/>
          <w:lang w:val="en-GB"/>
        </w:rPr>
        <w:t>延长两年</w:t>
      </w:r>
      <w:r w:rsidR="00484065">
        <w:rPr>
          <w:rFonts w:hint="eastAsia"/>
          <w:lang w:val="en-GB"/>
        </w:rPr>
        <w:t>；</w:t>
      </w:r>
      <w:r w:rsidRPr="00582472">
        <w:rPr>
          <w:rFonts w:hint="eastAsia"/>
          <w:lang w:val="en-GB"/>
        </w:rPr>
        <w:t>请特别报告员向理事会第二十七届和第三十届会议报告其履行任务的情况，并以建设性方式与柬埔寨政府一道进一步改善该国的人权状况；</w:t>
      </w:r>
    </w:p>
    <w:p w:rsidR="00582472" w:rsidRPr="00582472" w:rsidRDefault="00582472" w:rsidP="00582472">
      <w:pPr>
        <w:pStyle w:val="SingleTxtGC"/>
        <w:ind w:firstLine="431"/>
        <w:rPr>
          <w:lang w:val="en-GB"/>
        </w:rPr>
      </w:pPr>
      <w:r w:rsidRPr="00582472">
        <w:rPr>
          <w:lang w:val="en-GB"/>
        </w:rPr>
        <w:t>23</w:t>
      </w:r>
      <w:r w:rsidR="00374C42">
        <w:rPr>
          <w:lang w:val="en-GB"/>
        </w:rPr>
        <w:t xml:space="preserve">.  </w:t>
      </w:r>
      <w:r w:rsidRPr="00374C42">
        <w:rPr>
          <w:rFonts w:eastAsia="KaiTi_GB2312" w:hint="eastAsia"/>
          <w:lang w:val="en-GB"/>
        </w:rPr>
        <w:t>请</w:t>
      </w:r>
      <w:r w:rsidRPr="00582472">
        <w:rPr>
          <w:rFonts w:hint="eastAsia"/>
          <w:lang w:val="en-GB"/>
        </w:rPr>
        <w:t>秘书长向理事会第二十七届和第三十届会议提出报告，说明高级专员办事处在协助柬埔寨政府和人民增进和保护人权方面发挥的作用和取得的成绩；</w:t>
      </w:r>
    </w:p>
    <w:p w:rsidR="00582472" w:rsidRPr="00582472" w:rsidRDefault="00582472" w:rsidP="00582472">
      <w:pPr>
        <w:pStyle w:val="SingleTxtGC"/>
        <w:ind w:firstLine="431"/>
        <w:rPr>
          <w:lang w:val="en-GB"/>
        </w:rPr>
      </w:pPr>
      <w:r w:rsidRPr="00582472">
        <w:rPr>
          <w:lang w:val="en-GB"/>
        </w:rPr>
        <w:t>24</w:t>
      </w:r>
      <w:r w:rsidR="00374C42">
        <w:rPr>
          <w:lang w:val="en-GB"/>
        </w:rPr>
        <w:t xml:space="preserve">.  </w:t>
      </w:r>
      <w:r w:rsidRPr="00374C42">
        <w:rPr>
          <w:rFonts w:eastAsia="KaiTi_GB2312" w:hint="eastAsia"/>
          <w:lang w:val="en-GB"/>
        </w:rPr>
        <w:t>决定</w:t>
      </w:r>
      <w:r w:rsidRPr="00582472">
        <w:rPr>
          <w:rFonts w:hint="eastAsia"/>
          <w:lang w:val="en-GB"/>
        </w:rPr>
        <w:t>第三十届会议继续审议柬埔寨的人权状况。</w:t>
      </w:r>
    </w:p>
    <w:p w:rsidR="00301C19" w:rsidRPr="00E62F5C" w:rsidRDefault="00301C19" w:rsidP="00301C19">
      <w:pPr>
        <w:pStyle w:val="SingleTxtGC"/>
        <w:spacing w:after="0"/>
        <w:jc w:val="right"/>
        <w:rPr>
          <w:rFonts w:hint="eastAsia"/>
          <w:lang w:val="fr-FR"/>
        </w:rPr>
      </w:pPr>
      <w:r>
        <w:rPr>
          <w:rFonts w:eastAsia="KaiTi_GB2312" w:hint="eastAsia"/>
        </w:rPr>
        <w:t>2</w:t>
      </w:r>
      <w:r w:rsidRPr="00331E83">
        <w:rPr>
          <w:rFonts w:eastAsia="KaiTi_GB2312" w:hint="eastAsia"/>
        </w:rPr>
        <w:t>01</w:t>
      </w:r>
      <w:r>
        <w:rPr>
          <w:rFonts w:eastAsia="KaiTi_GB2312" w:hint="eastAsia"/>
        </w:rPr>
        <w:t>3</w:t>
      </w:r>
      <w:r w:rsidRPr="00331E83">
        <w:rPr>
          <w:rFonts w:eastAsia="KaiTi_GB2312" w:hint="eastAsia"/>
        </w:rPr>
        <w:t>年</w:t>
      </w:r>
      <w:r>
        <w:rPr>
          <w:rFonts w:eastAsia="KaiTi_GB2312" w:hint="eastAsia"/>
        </w:rPr>
        <w:t>9</w:t>
      </w:r>
      <w:r w:rsidRPr="00331E83">
        <w:rPr>
          <w:rFonts w:eastAsia="KaiTi_GB2312" w:hint="eastAsia"/>
        </w:rPr>
        <w:t>月</w:t>
      </w:r>
      <w:r>
        <w:rPr>
          <w:rFonts w:eastAsia="KaiTi_GB2312" w:hint="eastAsia"/>
        </w:rPr>
        <w:t>27</w:t>
      </w:r>
      <w:r w:rsidRPr="00331E83">
        <w:rPr>
          <w:rFonts w:eastAsia="KaiTi_GB2312" w:hint="eastAsia"/>
        </w:rPr>
        <w:t>日</w:t>
      </w:r>
    </w:p>
    <w:p w:rsidR="00301C19" w:rsidRDefault="00301C19" w:rsidP="00301C19">
      <w:pPr>
        <w:pStyle w:val="SingleTxtGC"/>
        <w:jc w:val="right"/>
        <w:rPr>
          <w:rFonts w:eastAsia="KaiTi_GB2312" w:hint="eastAsia"/>
        </w:rPr>
      </w:pPr>
      <w:r w:rsidRPr="00331E83">
        <w:rPr>
          <w:rFonts w:eastAsia="KaiTi_GB2312" w:hint="eastAsia"/>
        </w:rPr>
        <w:t>第</w:t>
      </w:r>
      <w:r>
        <w:rPr>
          <w:rFonts w:eastAsia="KaiTi_GB2312" w:hint="eastAsia"/>
        </w:rPr>
        <w:t>37</w:t>
      </w:r>
      <w:r w:rsidRPr="00331E83">
        <w:rPr>
          <w:rFonts w:eastAsia="KaiTi_GB2312" w:hint="eastAsia"/>
        </w:rPr>
        <w:t>次会议</w:t>
      </w:r>
    </w:p>
    <w:p w:rsidR="00F53D4C" w:rsidRPr="00301C19" w:rsidRDefault="00301C19" w:rsidP="00145946">
      <w:pPr>
        <w:pStyle w:val="SingleTxtGC"/>
        <w:rPr>
          <w:rFonts w:eastAsia="KaiTi_GB2312" w:hint="eastAsia"/>
        </w:rPr>
      </w:pPr>
      <w:r w:rsidRPr="007C5D9D">
        <w:rPr>
          <w:rFonts w:hint="eastAsia"/>
        </w:rPr>
        <w:t>[</w:t>
      </w:r>
      <w:r w:rsidRPr="007C5D9D">
        <w:rPr>
          <w:rFonts w:hint="eastAsia"/>
        </w:rPr>
        <w:t>未经表决获得通过。</w:t>
      </w:r>
      <w:r w:rsidRPr="007C5D9D">
        <w:rPr>
          <w:rFonts w:hint="eastAsia"/>
        </w:rPr>
        <w:t>]</w:t>
      </w:r>
    </w:p>
    <w:p w:rsidR="00582472" w:rsidRPr="002D6A9C" w:rsidRDefault="0058247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82472" w:rsidRDefault="00582472" w:rsidP="00145946">
      <w:pPr>
        <w:pStyle w:val="SingleTxtGC"/>
        <w:rPr>
          <w:rFonts w:hint="eastAsia"/>
        </w:rPr>
      </w:pPr>
    </w:p>
    <w:sectPr w:rsidR="0058247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E4" w:rsidRPr="00E0554F" w:rsidRDefault="00AD0CE4"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D0CE4" w:rsidRPr="00E0554F" w:rsidRDefault="00AD0CE4"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69" w:rsidRPr="00EF100B" w:rsidRDefault="00E54969"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83114">
      <w:rPr>
        <w:rStyle w:val="PageNumber"/>
        <w:noProof/>
      </w:rPr>
      <w:t>4</w:t>
    </w:r>
    <w:r>
      <w:rPr>
        <w:rStyle w:val="PageNumber"/>
      </w:rPr>
      <w:fldChar w:fldCharType="end"/>
    </w:r>
    <w:r>
      <w:rPr>
        <w:rStyle w:val="PageNumber"/>
        <w:rFonts w:eastAsia="SimSun" w:hint="eastAsia"/>
        <w:lang w:eastAsia="zh-CN"/>
      </w:rPr>
      <w:tab/>
    </w:r>
    <w:r w:rsidRPr="00EF100B">
      <w:rPr>
        <w:rFonts w:eastAsia="SimSun"/>
        <w:lang w:eastAsia="zh-CN"/>
      </w:rPr>
      <w:t>GE.13-17984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69" w:rsidRDefault="00E54969">
    <w:pPr>
      <w:pStyle w:val="Footer"/>
      <w:tabs>
        <w:tab w:val="right" w:pos="9639"/>
      </w:tabs>
    </w:pPr>
    <w:r w:rsidRPr="00EF100B">
      <w:rPr>
        <w:rFonts w:eastAsia="SimSun"/>
        <w:lang w:eastAsia="zh-CN"/>
      </w:rPr>
      <w:t>GE.13-17984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83114">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69" w:rsidRPr="00690C33" w:rsidRDefault="00E54969" w:rsidP="00690C33">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17984</w:t>
    </w:r>
    <w:r w:rsidRPr="00EE277A">
      <w:rPr>
        <w:rFonts w:eastAsia="SimSun"/>
        <w:sz w:val="20"/>
        <w:lang w:eastAsia="zh-CN"/>
      </w:rPr>
      <w:t xml:space="preserve"> (C)</w:t>
    </w:r>
    <w:r>
      <w:rPr>
        <w:rFonts w:eastAsia="SimSun"/>
        <w:sz w:val="20"/>
        <w:lang w:eastAsia="zh-CN"/>
      </w:rPr>
      <w:tab/>
    </w:r>
    <w:r>
      <w:rPr>
        <w:rFonts w:eastAsia="SimSun" w:hint="eastAsia"/>
        <w:sz w:val="20"/>
        <w:lang w:eastAsia="zh-CN"/>
      </w:rPr>
      <w:t>211113</w:t>
    </w:r>
    <w:r>
      <w:rPr>
        <w:rFonts w:eastAsia="SimSun"/>
        <w:sz w:val="20"/>
        <w:lang w:eastAsia="zh-CN"/>
      </w:rPr>
      <w:tab/>
    </w:r>
    <w:r>
      <w:rPr>
        <w:rFonts w:eastAsia="SimSun" w:hint="eastAsia"/>
        <w:sz w:val="20"/>
        <w:lang w:eastAsia="zh-CN"/>
      </w:rPr>
      <w:t>211113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E4" w:rsidRPr="000157B1" w:rsidRDefault="00AD0CE4"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AD0CE4" w:rsidRPr="000157B1" w:rsidRDefault="00AD0CE4"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AD0CE4" w:rsidRDefault="00AD0CE4"/>
  </w:footnote>
  <w:footnote w:id="2">
    <w:p w:rsidR="00E54969" w:rsidRDefault="00E54969" w:rsidP="000D6627">
      <w:pPr>
        <w:pStyle w:val="FootnoteText"/>
        <w:rPr>
          <w:rFonts w:hint="eastAsia"/>
        </w:rPr>
      </w:pPr>
      <w:r>
        <w:rPr>
          <w:rFonts w:hint="eastAsia"/>
        </w:rPr>
        <w:tab/>
      </w:r>
      <w:r w:rsidRPr="00650AD2">
        <w:rPr>
          <w:rStyle w:val="FootnoteReference"/>
          <w:vertAlign w:val="baseline"/>
        </w:rPr>
        <w:sym w:font="Symbol" w:char="F02A"/>
      </w:r>
      <w:r>
        <w:rPr>
          <w:rFonts w:hint="eastAsia"/>
        </w:rPr>
        <w:tab/>
      </w:r>
      <w:r>
        <w:t>人权理事会通过的决议和决定将载于理事会第</w:t>
      </w:r>
      <w:r>
        <w:rPr>
          <w:rFonts w:hint="eastAsia"/>
        </w:rPr>
        <w:t>二十四</w:t>
      </w:r>
      <w:r>
        <w:t>届会议报告</w:t>
      </w:r>
      <w:r>
        <w:t>(A/HRC/</w:t>
      </w:r>
      <w:r>
        <w:rPr>
          <w:rFonts w:hint="eastAsia"/>
        </w:rPr>
        <w:t>24</w:t>
      </w:r>
      <w:r>
        <w:t>/2)</w:t>
      </w:r>
      <w:r>
        <w:t>，第一</w:t>
      </w:r>
      <w:r>
        <w:rPr>
          <w:rFonts w:hint="eastAsia"/>
        </w:rPr>
        <w:t>部分</w:t>
      </w:r>
      <w:r>
        <w:t>。</w:t>
      </w:r>
    </w:p>
  </w:footnote>
  <w:footnote w:id="3">
    <w:p w:rsidR="00E54969" w:rsidRPr="0085131B" w:rsidRDefault="00E54969" w:rsidP="00DE0317">
      <w:pPr>
        <w:pStyle w:val="FootnoteText"/>
        <w:spacing w:after="0"/>
        <w:rPr>
          <w:rFonts w:hint="eastAsia"/>
        </w:rPr>
      </w:pPr>
      <w:r>
        <w:tab/>
      </w:r>
      <w:r w:rsidRPr="00DE0317">
        <w:rPr>
          <w:rStyle w:val="FootnoteReference"/>
        </w:rPr>
        <w:footnoteRef/>
      </w:r>
      <w:r>
        <w:tab/>
      </w:r>
      <w:r w:rsidRPr="00E37B90">
        <w:rPr>
          <w:rFonts w:hint="eastAsia"/>
        </w:rPr>
        <w:t>A/HRC/24/32</w:t>
      </w:r>
      <w:r>
        <w:rPr>
          <w:rFonts w:hint="eastAsia"/>
        </w:rPr>
        <w:t>。</w:t>
      </w:r>
    </w:p>
  </w:footnote>
  <w:footnote w:id="4">
    <w:p w:rsidR="00E54969" w:rsidRDefault="00E54969" w:rsidP="00002A62">
      <w:pPr>
        <w:pStyle w:val="FootnoteText"/>
        <w:rPr>
          <w:rFonts w:hint="eastAsia"/>
        </w:rPr>
      </w:pPr>
      <w:r>
        <w:tab/>
      </w:r>
      <w:r w:rsidRPr="00DE0317">
        <w:rPr>
          <w:rStyle w:val="FootnoteReference"/>
        </w:rPr>
        <w:footnoteRef/>
      </w:r>
      <w:r>
        <w:tab/>
      </w:r>
      <w:r w:rsidRPr="00002A62">
        <w:rPr>
          <w:rFonts w:hint="eastAsia"/>
        </w:rPr>
        <w:t>A/HRC/21/63</w:t>
      </w:r>
      <w:r w:rsidRPr="00002A62">
        <w:rPr>
          <w:rFonts w:hint="eastAsia"/>
        </w:rPr>
        <w:t>和</w:t>
      </w:r>
      <w:r w:rsidRPr="00002A62">
        <w:rPr>
          <w:rFonts w:hint="eastAsia"/>
        </w:rPr>
        <w:t>A/HRC/24/36</w:t>
      </w:r>
      <w:r w:rsidRPr="00002A62">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69" w:rsidRPr="00EF100B" w:rsidRDefault="00E54969">
    <w:pPr>
      <w:pStyle w:val="Header"/>
    </w:pPr>
    <w:r w:rsidRPr="00EF100B">
      <w:t>A/HRC/RES/24/29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69" w:rsidRPr="00EF100B" w:rsidRDefault="00E54969">
    <w:pPr>
      <w:pStyle w:val="Header"/>
      <w:jc w:val="right"/>
      <w:rPr>
        <w:rFonts w:hint="eastAsia"/>
        <w:lang w:eastAsia="zh-CN"/>
      </w:rPr>
    </w:pPr>
    <w:r w:rsidRPr="00EF100B">
      <w:rPr>
        <w:lang w:eastAsia="zh-CN"/>
      </w:rPr>
      <w:t>A/HRC/RES/24/29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7C11EB1"/>
    <w:multiLevelType w:val="hybridMultilevel"/>
    <w:tmpl w:val="253610DC"/>
    <w:lvl w:ilvl="0" w:tplc="4C4454B6">
      <w:start w:val="1"/>
      <w:numFmt w:val="lowerLetter"/>
      <w:lvlText w:val="(%1)"/>
      <w:lvlJc w:val="left"/>
      <w:pPr>
        <w:tabs>
          <w:tab w:val="num" w:pos="1136"/>
        </w:tabs>
        <w:ind w:left="1136" w:hanging="705"/>
      </w:pPr>
      <w:rPr>
        <w:rFonts w:hint="default"/>
        <w:i/>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13">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2">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8C2341E"/>
    <w:multiLevelType w:val="hybridMultilevel"/>
    <w:tmpl w:val="31BA3596"/>
    <w:lvl w:ilvl="0" w:tplc="1CDEC2EE">
      <w:start w:val="1"/>
      <w:numFmt w:val="lowerLetter"/>
      <w:lvlRestart w:val="0"/>
      <w:lvlText w:val="(%1)"/>
      <w:lvlJc w:val="left"/>
      <w:pPr>
        <w:tabs>
          <w:tab w:val="num" w:pos="2857"/>
        </w:tabs>
        <w:ind w:left="1565" w:firstLine="431"/>
      </w:pPr>
      <w:rPr>
        <w:rFonts w:hint="eastAsia"/>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24">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CAF3CB4"/>
    <w:multiLevelType w:val="hybridMultilevel"/>
    <w:tmpl w:val="E8165BF8"/>
    <w:lvl w:ilvl="0" w:tplc="1CDEC2E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9">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8"/>
  </w:num>
  <w:num w:numId="13">
    <w:abstractNumId w:val="27"/>
  </w:num>
  <w:num w:numId="14">
    <w:abstractNumId w:val="14"/>
  </w:num>
  <w:num w:numId="15">
    <w:abstractNumId w:val="15"/>
  </w:num>
  <w:num w:numId="16">
    <w:abstractNumId w:val="30"/>
  </w:num>
  <w:num w:numId="17">
    <w:abstractNumId w:val="14"/>
  </w:num>
  <w:num w:numId="18">
    <w:abstractNumId w:val="30"/>
  </w:num>
  <w:num w:numId="19">
    <w:abstractNumId w:val="15"/>
  </w:num>
  <w:num w:numId="20">
    <w:abstractNumId w:val="15"/>
  </w:num>
  <w:num w:numId="21">
    <w:abstractNumId w:val="20"/>
  </w:num>
  <w:num w:numId="22">
    <w:abstractNumId w:val="13"/>
  </w:num>
  <w:num w:numId="23">
    <w:abstractNumId w:val="26"/>
  </w:num>
  <w:num w:numId="24">
    <w:abstractNumId w:val="28"/>
  </w:num>
  <w:num w:numId="25">
    <w:abstractNumId w:val="22"/>
  </w:num>
  <w:num w:numId="26">
    <w:abstractNumId w:val="19"/>
  </w:num>
  <w:num w:numId="27">
    <w:abstractNumId w:val="31"/>
  </w:num>
  <w:num w:numId="28">
    <w:abstractNumId w:val="28"/>
  </w:num>
  <w:num w:numId="29">
    <w:abstractNumId w:val="22"/>
  </w:num>
  <w:num w:numId="30">
    <w:abstractNumId w:val="19"/>
  </w:num>
  <w:num w:numId="31">
    <w:abstractNumId w:val="26"/>
  </w:num>
  <w:num w:numId="32">
    <w:abstractNumId w:val="13"/>
  </w:num>
  <w:num w:numId="33">
    <w:abstractNumId w:val="20"/>
  </w:num>
  <w:num w:numId="34">
    <w:abstractNumId w:val="31"/>
  </w:num>
  <w:num w:numId="35">
    <w:abstractNumId w:val="29"/>
  </w:num>
  <w:num w:numId="36">
    <w:abstractNumId w:val="24"/>
  </w:num>
  <w:num w:numId="37">
    <w:abstractNumId w:val="17"/>
  </w:num>
  <w:num w:numId="38">
    <w:abstractNumId w:val="10"/>
  </w:num>
  <w:num w:numId="39">
    <w:abstractNumId w:val="21"/>
  </w:num>
  <w:num w:numId="40">
    <w:abstractNumId w:val="11"/>
  </w:num>
  <w:num w:numId="41">
    <w:abstractNumId w:val="23"/>
  </w:num>
  <w:num w:numId="42">
    <w:abstractNumId w:val="12"/>
  </w:num>
  <w:num w:numId="43">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2472"/>
    <w:rsid w:val="00002A62"/>
    <w:rsid w:val="0000411A"/>
    <w:rsid w:val="00005A89"/>
    <w:rsid w:val="00007BCF"/>
    <w:rsid w:val="000157B1"/>
    <w:rsid w:val="00035EB2"/>
    <w:rsid w:val="00036B4E"/>
    <w:rsid w:val="00042471"/>
    <w:rsid w:val="00045C25"/>
    <w:rsid w:val="00050226"/>
    <w:rsid w:val="0005102E"/>
    <w:rsid w:val="00057E12"/>
    <w:rsid w:val="000637CE"/>
    <w:rsid w:val="00082E10"/>
    <w:rsid w:val="000A03EB"/>
    <w:rsid w:val="000A7C04"/>
    <w:rsid w:val="000C416A"/>
    <w:rsid w:val="000D1E21"/>
    <w:rsid w:val="000D39E1"/>
    <w:rsid w:val="000D6627"/>
    <w:rsid w:val="000F5937"/>
    <w:rsid w:val="00107C15"/>
    <w:rsid w:val="00125776"/>
    <w:rsid w:val="00127C05"/>
    <w:rsid w:val="00140B6A"/>
    <w:rsid w:val="00145946"/>
    <w:rsid w:val="00145C92"/>
    <w:rsid w:val="001613CE"/>
    <w:rsid w:val="00165F4E"/>
    <w:rsid w:val="001A23E8"/>
    <w:rsid w:val="001A34D6"/>
    <w:rsid w:val="001A5624"/>
    <w:rsid w:val="001B11DB"/>
    <w:rsid w:val="001C3E9A"/>
    <w:rsid w:val="0024012F"/>
    <w:rsid w:val="002629D4"/>
    <w:rsid w:val="00280515"/>
    <w:rsid w:val="00286515"/>
    <w:rsid w:val="002D31D6"/>
    <w:rsid w:val="002D3FCB"/>
    <w:rsid w:val="002E68BE"/>
    <w:rsid w:val="002F3F47"/>
    <w:rsid w:val="002F6678"/>
    <w:rsid w:val="00301C19"/>
    <w:rsid w:val="00315796"/>
    <w:rsid w:val="00322B61"/>
    <w:rsid w:val="00322F28"/>
    <w:rsid w:val="003734E0"/>
    <w:rsid w:val="00374C42"/>
    <w:rsid w:val="00382B00"/>
    <w:rsid w:val="003836F1"/>
    <w:rsid w:val="00385C14"/>
    <w:rsid w:val="003B038F"/>
    <w:rsid w:val="003C27FE"/>
    <w:rsid w:val="003F65D6"/>
    <w:rsid w:val="003F7BF8"/>
    <w:rsid w:val="00400A2E"/>
    <w:rsid w:val="00407FCF"/>
    <w:rsid w:val="00433F25"/>
    <w:rsid w:val="0044178A"/>
    <w:rsid w:val="00453A81"/>
    <w:rsid w:val="00467D72"/>
    <w:rsid w:val="004746B9"/>
    <w:rsid w:val="004755EF"/>
    <w:rsid w:val="004818F0"/>
    <w:rsid w:val="00484065"/>
    <w:rsid w:val="004858FB"/>
    <w:rsid w:val="00486766"/>
    <w:rsid w:val="00497F5C"/>
    <w:rsid w:val="004C5291"/>
    <w:rsid w:val="004D1280"/>
    <w:rsid w:val="004D2A48"/>
    <w:rsid w:val="004D7F04"/>
    <w:rsid w:val="004E6C67"/>
    <w:rsid w:val="004E7DD1"/>
    <w:rsid w:val="00500866"/>
    <w:rsid w:val="00522C49"/>
    <w:rsid w:val="00535843"/>
    <w:rsid w:val="00571343"/>
    <w:rsid w:val="00580038"/>
    <w:rsid w:val="00582472"/>
    <w:rsid w:val="00582C70"/>
    <w:rsid w:val="00586D87"/>
    <w:rsid w:val="005906E6"/>
    <w:rsid w:val="005A5B0A"/>
    <w:rsid w:val="005B0D8A"/>
    <w:rsid w:val="005D0498"/>
    <w:rsid w:val="005F34AF"/>
    <w:rsid w:val="005F4B29"/>
    <w:rsid w:val="00612C50"/>
    <w:rsid w:val="00613337"/>
    <w:rsid w:val="00630755"/>
    <w:rsid w:val="006367A1"/>
    <w:rsid w:val="00637441"/>
    <w:rsid w:val="00637834"/>
    <w:rsid w:val="00647FD7"/>
    <w:rsid w:val="00650AD2"/>
    <w:rsid w:val="00654172"/>
    <w:rsid w:val="00670C28"/>
    <w:rsid w:val="0067129C"/>
    <w:rsid w:val="00690C33"/>
    <w:rsid w:val="00697A6C"/>
    <w:rsid w:val="006B1273"/>
    <w:rsid w:val="006B3300"/>
    <w:rsid w:val="006B3471"/>
    <w:rsid w:val="006D002F"/>
    <w:rsid w:val="006E0708"/>
    <w:rsid w:val="006E37C0"/>
    <w:rsid w:val="006E3CD4"/>
    <w:rsid w:val="006E7DF9"/>
    <w:rsid w:val="006E7E21"/>
    <w:rsid w:val="006F619D"/>
    <w:rsid w:val="00700789"/>
    <w:rsid w:val="007131E3"/>
    <w:rsid w:val="00717C19"/>
    <w:rsid w:val="00720C85"/>
    <w:rsid w:val="007418FE"/>
    <w:rsid w:val="00751C2E"/>
    <w:rsid w:val="007522B5"/>
    <w:rsid w:val="00785BE9"/>
    <w:rsid w:val="00786BD2"/>
    <w:rsid w:val="0079116A"/>
    <w:rsid w:val="00796BD3"/>
    <w:rsid w:val="007B1ACA"/>
    <w:rsid w:val="007B1D63"/>
    <w:rsid w:val="007C0B4E"/>
    <w:rsid w:val="007D00F8"/>
    <w:rsid w:val="007D0842"/>
    <w:rsid w:val="007D7229"/>
    <w:rsid w:val="007E7822"/>
    <w:rsid w:val="007F0D35"/>
    <w:rsid w:val="007F501B"/>
    <w:rsid w:val="00801DCC"/>
    <w:rsid w:val="0082049D"/>
    <w:rsid w:val="00824A57"/>
    <w:rsid w:val="008267AF"/>
    <w:rsid w:val="0083180F"/>
    <w:rsid w:val="00860F8D"/>
    <w:rsid w:val="00871093"/>
    <w:rsid w:val="00885DC7"/>
    <w:rsid w:val="00890356"/>
    <w:rsid w:val="008A6AB8"/>
    <w:rsid w:val="008B76AA"/>
    <w:rsid w:val="009006FB"/>
    <w:rsid w:val="00964622"/>
    <w:rsid w:val="0096567D"/>
    <w:rsid w:val="00983114"/>
    <w:rsid w:val="0099703C"/>
    <w:rsid w:val="009B1BD6"/>
    <w:rsid w:val="009D60E5"/>
    <w:rsid w:val="009E733C"/>
    <w:rsid w:val="009F6C52"/>
    <w:rsid w:val="009F7338"/>
    <w:rsid w:val="00A067AD"/>
    <w:rsid w:val="00A21A28"/>
    <w:rsid w:val="00A26748"/>
    <w:rsid w:val="00A36F72"/>
    <w:rsid w:val="00A67F3E"/>
    <w:rsid w:val="00A85220"/>
    <w:rsid w:val="00A90679"/>
    <w:rsid w:val="00A95BD9"/>
    <w:rsid w:val="00A97235"/>
    <w:rsid w:val="00AC4BB0"/>
    <w:rsid w:val="00AD0CE4"/>
    <w:rsid w:val="00AD6719"/>
    <w:rsid w:val="00AE4D20"/>
    <w:rsid w:val="00B16973"/>
    <w:rsid w:val="00B30642"/>
    <w:rsid w:val="00B34537"/>
    <w:rsid w:val="00B61E34"/>
    <w:rsid w:val="00B624FD"/>
    <w:rsid w:val="00B82B2A"/>
    <w:rsid w:val="00B8703D"/>
    <w:rsid w:val="00B9104B"/>
    <w:rsid w:val="00BB4670"/>
    <w:rsid w:val="00BC2A65"/>
    <w:rsid w:val="00BC2B3A"/>
    <w:rsid w:val="00BC3D38"/>
    <w:rsid w:val="00BE4EAA"/>
    <w:rsid w:val="00BF5E1C"/>
    <w:rsid w:val="00BF6DC5"/>
    <w:rsid w:val="00BF7E3F"/>
    <w:rsid w:val="00C143D7"/>
    <w:rsid w:val="00C435EE"/>
    <w:rsid w:val="00C62277"/>
    <w:rsid w:val="00C623B2"/>
    <w:rsid w:val="00C62984"/>
    <w:rsid w:val="00C80DA9"/>
    <w:rsid w:val="00C862E5"/>
    <w:rsid w:val="00C93FEC"/>
    <w:rsid w:val="00CA073C"/>
    <w:rsid w:val="00CA4105"/>
    <w:rsid w:val="00CE6DB5"/>
    <w:rsid w:val="00D05E8D"/>
    <w:rsid w:val="00D2146D"/>
    <w:rsid w:val="00D2523E"/>
    <w:rsid w:val="00D406B7"/>
    <w:rsid w:val="00D43F71"/>
    <w:rsid w:val="00D54DF4"/>
    <w:rsid w:val="00D56026"/>
    <w:rsid w:val="00D619F6"/>
    <w:rsid w:val="00D67B1D"/>
    <w:rsid w:val="00D84673"/>
    <w:rsid w:val="00DA7104"/>
    <w:rsid w:val="00DD66BC"/>
    <w:rsid w:val="00DD78D3"/>
    <w:rsid w:val="00DE0317"/>
    <w:rsid w:val="00DF4798"/>
    <w:rsid w:val="00E05040"/>
    <w:rsid w:val="00E0554F"/>
    <w:rsid w:val="00E1548B"/>
    <w:rsid w:val="00E332BD"/>
    <w:rsid w:val="00E40A46"/>
    <w:rsid w:val="00E422D4"/>
    <w:rsid w:val="00E54840"/>
    <w:rsid w:val="00E54969"/>
    <w:rsid w:val="00E911E5"/>
    <w:rsid w:val="00E91C05"/>
    <w:rsid w:val="00ED64F8"/>
    <w:rsid w:val="00EE0918"/>
    <w:rsid w:val="00EE277A"/>
    <w:rsid w:val="00EF100B"/>
    <w:rsid w:val="00F41BAF"/>
    <w:rsid w:val="00F50AC2"/>
    <w:rsid w:val="00F50CB9"/>
    <w:rsid w:val="00F53D4C"/>
    <w:rsid w:val="00F54A14"/>
    <w:rsid w:val="00F61015"/>
    <w:rsid w:val="00F70079"/>
    <w:rsid w:val="00F72A3C"/>
    <w:rsid w:val="00F75048"/>
    <w:rsid w:val="00F75357"/>
    <w:rsid w:val="00F806C4"/>
    <w:rsid w:val="00FA7F6D"/>
    <w:rsid w:val="00FC6A02"/>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Text"/>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FootnoteTextChar">
    <w:name w:val="Footnote Text Char"/>
    <w:aliases w:val="5_G Char,Footnote Char,Text Char"/>
    <w:basedOn w:val="DefaultParagraphFont"/>
    <w:link w:val="FootnoteText"/>
    <w:rsid w:val="00582472"/>
    <w:rPr>
      <w:rFonts w:eastAsia="SimSun"/>
      <w:snapToGrid w:val="0"/>
      <w:sz w:val="18"/>
      <w:lang w:val="en-US" w:eastAsia="zh-CN" w:bidi="ar-SA"/>
    </w:rPr>
  </w:style>
  <w:style w:type="character" w:customStyle="1" w:styleId="SingleTxtGCChar">
    <w:name w:val="_ Single Txt_GC Char"/>
    <w:basedOn w:val="DefaultParagraphFont"/>
    <w:link w:val="SingleTxtGC"/>
    <w:locked/>
    <w:rsid w:val="00301C19"/>
    <w:rPr>
      <w:rFonts w:eastAsia="SimSun"/>
      <w:snapToGrid w:val="0"/>
      <w:sz w:val="21"/>
      <w:lang w:val="en-US" w:eastAsia="zh-CN" w:bidi="ar-SA"/>
    </w:rPr>
  </w:style>
  <w:style w:type="paragraph" w:styleId="BalloonText">
    <w:name w:val="Balloon Text"/>
    <w:basedOn w:val="Normal"/>
    <w:semiHidden/>
    <w:rsid w:val="006F619D"/>
    <w:rPr>
      <w:sz w:val="18"/>
      <w:szCs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1</TotalTime>
  <Pages>1</Pages>
  <Words>464</Words>
  <Characters>2648</Characters>
  <Application>Microsoft Office Outlook</Application>
  <DocSecurity>4</DocSecurity>
  <Lines>22</Lines>
  <Paragraphs>6</Paragraphs>
  <ScaleCrop>false</ScaleCrop>
  <Company>CSD</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4</cp:revision>
  <cp:lastPrinted>2013-11-22T08:58:00Z</cp:lastPrinted>
  <dcterms:created xsi:type="dcterms:W3CDTF">2013-11-22T08:58:00Z</dcterms:created>
  <dcterms:modified xsi:type="dcterms:W3CDTF">2013-11-22T08:59:00Z</dcterms:modified>
</cp:coreProperties>
</file>