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5AAF67C6" w14:textId="77777777" w:rsidTr="00E6618E">
        <w:trPr>
          <w:trHeight w:hRule="exact" w:val="851"/>
        </w:trPr>
        <w:tc>
          <w:tcPr>
            <w:tcW w:w="1276" w:type="dxa"/>
            <w:tcBorders>
              <w:bottom w:val="single" w:sz="4" w:space="0" w:color="auto"/>
            </w:tcBorders>
          </w:tcPr>
          <w:p w14:paraId="1965F9B1" w14:textId="77777777" w:rsidR="00A12E20" w:rsidRPr="00DB58B5" w:rsidRDefault="00A12E20" w:rsidP="00532A0E"/>
        </w:tc>
        <w:tc>
          <w:tcPr>
            <w:tcW w:w="2268" w:type="dxa"/>
            <w:tcBorders>
              <w:bottom w:val="single" w:sz="4" w:space="0" w:color="auto"/>
            </w:tcBorders>
            <w:vAlign w:val="bottom"/>
          </w:tcPr>
          <w:p w14:paraId="7828B5F7"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CD9CD8D" w14:textId="77777777" w:rsidR="00A12E20" w:rsidRPr="00DB58B5" w:rsidRDefault="00532A0E" w:rsidP="00532A0E">
            <w:pPr>
              <w:jc w:val="right"/>
            </w:pPr>
            <w:r w:rsidRPr="00532A0E">
              <w:rPr>
                <w:sz w:val="40"/>
              </w:rPr>
              <w:t>A</w:t>
            </w:r>
            <w:r>
              <w:t>/HRC/RES/47/2</w:t>
            </w:r>
          </w:p>
        </w:tc>
      </w:tr>
      <w:tr w:rsidR="00A12E20" w:rsidRPr="00DB58B5" w14:paraId="5F614538" w14:textId="77777777" w:rsidTr="00E6618E">
        <w:trPr>
          <w:trHeight w:hRule="exact" w:val="2835"/>
        </w:trPr>
        <w:tc>
          <w:tcPr>
            <w:tcW w:w="1276" w:type="dxa"/>
            <w:tcBorders>
              <w:top w:val="single" w:sz="4" w:space="0" w:color="auto"/>
              <w:bottom w:val="single" w:sz="12" w:space="0" w:color="auto"/>
            </w:tcBorders>
          </w:tcPr>
          <w:p w14:paraId="162CF0B2" w14:textId="77777777" w:rsidR="00A12E20" w:rsidRPr="00DB58B5" w:rsidRDefault="00A12E20" w:rsidP="00E6618E">
            <w:pPr>
              <w:spacing w:before="120"/>
              <w:jc w:val="center"/>
            </w:pPr>
            <w:r>
              <w:rPr>
                <w:noProof/>
                <w:lang w:eastAsia="fr-CH"/>
              </w:rPr>
              <w:drawing>
                <wp:inline distT="0" distB="0" distL="0" distR="0" wp14:anchorId="1EC6534D" wp14:editId="397671C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1AA75E"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7A939EA8" w14:textId="77777777" w:rsidR="00A12E20" w:rsidRDefault="00532A0E" w:rsidP="00E6618E">
            <w:pPr>
              <w:spacing w:before="240"/>
            </w:pPr>
            <w:r>
              <w:t>Distr. générale</w:t>
            </w:r>
          </w:p>
          <w:p w14:paraId="0C3A8740" w14:textId="77777777" w:rsidR="00532A0E" w:rsidRDefault="00532A0E" w:rsidP="00532A0E">
            <w:pPr>
              <w:spacing w:line="240" w:lineRule="exact"/>
            </w:pPr>
            <w:r>
              <w:t>26 juillet 2021</w:t>
            </w:r>
          </w:p>
          <w:p w14:paraId="3C634B3C" w14:textId="77777777" w:rsidR="00532A0E" w:rsidRDefault="00532A0E" w:rsidP="00532A0E">
            <w:pPr>
              <w:spacing w:line="240" w:lineRule="exact"/>
            </w:pPr>
            <w:r>
              <w:t>Français</w:t>
            </w:r>
          </w:p>
          <w:p w14:paraId="484A2459" w14:textId="77777777" w:rsidR="00532A0E" w:rsidRPr="00DB58B5" w:rsidRDefault="00532A0E" w:rsidP="00532A0E">
            <w:pPr>
              <w:spacing w:line="240" w:lineRule="exact"/>
            </w:pPr>
            <w:r>
              <w:t>Original : anglais</w:t>
            </w:r>
          </w:p>
        </w:tc>
      </w:tr>
    </w:tbl>
    <w:p w14:paraId="31A95BD9" w14:textId="77777777" w:rsidR="00D45432" w:rsidRDefault="00D45432" w:rsidP="00D45432">
      <w:pPr>
        <w:spacing w:before="120"/>
        <w:rPr>
          <w:b/>
          <w:sz w:val="24"/>
          <w:szCs w:val="24"/>
        </w:rPr>
      </w:pPr>
      <w:r w:rsidRPr="00BA184E">
        <w:rPr>
          <w:b/>
          <w:sz w:val="24"/>
          <w:szCs w:val="24"/>
        </w:rPr>
        <w:t>Conseil des droits de l’homme</w:t>
      </w:r>
    </w:p>
    <w:p w14:paraId="3B2F5C36" w14:textId="77777777" w:rsidR="00BA4470" w:rsidRPr="00194505" w:rsidRDefault="00BA4470" w:rsidP="00BA4470">
      <w:pPr>
        <w:rPr>
          <w:b/>
          <w:lang w:val="fr-FR"/>
        </w:rPr>
      </w:pPr>
      <w:r w:rsidRPr="00194505">
        <w:rPr>
          <w:b/>
          <w:bCs/>
          <w:lang w:val="fr-FR"/>
        </w:rPr>
        <w:t>Quarante-septième session</w:t>
      </w:r>
    </w:p>
    <w:p w14:paraId="22F154EB" w14:textId="77777777" w:rsidR="00BA4470" w:rsidRPr="00194505" w:rsidRDefault="00BA4470" w:rsidP="00BA4470">
      <w:pPr>
        <w:rPr>
          <w:lang w:val="fr-FR"/>
        </w:rPr>
      </w:pPr>
      <w:r w:rsidRPr="00194505">
        <w:rPr>
          <w:lang w:val="fr-FR"/>
        </w:rPr>
        <w:t>21 juin-1</w:t>
      </w:r>
      <w:r>
        <w:rPr>
          <w:lang w:val="fr-FR"/>
        </w:rPr>
        <w:t>4</w:t>
      </w:r>
      <w:r w:rsidRPr="00194505">
        <w:rPr>
          <w:lang w:val="fr-FR"/>
        </w:rPr>
        <w:t xml:space="preserve"> juillet 2021</w:t>
      </w:r>
    </w:p>
    <w:p w14:paraId="1F5371EC" w14:textId="77777777" w:rsidR="00BA4470" w:rsidRPr="00194505" w:rsidRDefault="00BA4470" w:rsidP="00BA4470">
      <w:pPr>
        <w:rPr>
          <w:lang w:val="fr-FR"/>
        </w:rPr>
      </w:pPr>
      <w:r w:rsidRPr="00194505">
        <w:rPr>
          <w:lang w:val="fr-FR"/>
        </w:rPr>
        <w:t>Point 2 de l</w:t>
      </w:r>
      <w:r>
        <w:rPr>
          <w:lang w:val="fr-FR"/>
        </w:rPr>
        <w:t>’</w:t>
      </w:r>
      <w:r w:rsidRPr="00194505">
        <w:rPr>
          <w:lang w:val="fr-FR"/>
        </w:rPr>
        <w:t>ordre du jour</w:t>
      </w:r>
    </w:p>
    <w:p w14:paraId="5F462733" w14:textId="64FB337D" w:rsidR="00BA4470" w:rsidRPr="00194505" w:rsidRDefault="00BA4470" w:rsidP="00BA4470">
      <w:pPr>
        <w:rPr>
          <w:b/>
          <w:lang w:val="fr-FR"/>
        </w:rPr>
      </w:pPr>
      <w:r w:rsidRPr="00194505">
        <w:rPr>
          <w:b/>
          <w:bCs/>
          <w:lang w:val="fr-FR"/>
        </w:rPr>
        <w:t>Rapport annuel du Haut-Commissaire des Nations Unies</w:t>
      </w:r>
      <w:r>
        <w:rPr>
          <w:b/>
          <w:bCs/>
          <w:lang w:val="fr-FR"/>
        </w:rPr>
        <w:t xml:space="preserve"> </w:t>
      </w:r>
      <w:r>
        <w:rPr>
          <w:b/>
          <w:bCs/>
          <w:lang w:val="fr-FR"/>
        </w:rPr>
        <w:br/>
      </w:r>
      <w:r w:rsidRPr="00194505">
        <w:rPr>
          <w:b/>
          <w:bCs/>
          <w:lang w:val="fr-FR"/>
        </w:rPr>
        <w:t>aux droits de l</w:t>
      </w:r>
      <w:r>
        <w:rPr>
          <w:b/>
          <w:bCs/>
          <w:lang w:val="fr-FR"/>
        </w:rPr>
        <w:t>’</w:t>
      </w:r>
      <w:r w:rsidRPr="00194505">
        <w:rPr>
          <w:b/>
          <w:bCs/>
          <w:lang w:val="fr-FR"/>
        </w:rPr>
        <w:t>homme et rapports du Haut-Commissariat</w:t>
      </w:r>
      <w:r>
        <w:rPr>
          <w:b/>
          <w:bCs/>
          <w:lang w:val="fr-FR"/>
        </w:rPr>
        <w:t xml:space="preserve"> </w:t>
      </w:r>
      <w:r>
        <w:rPr>
          <w:b/>
          <w:bCs/>
          <w:lang w:val="fr-FR"/>
        </w:rPr>
        <w:br/>
      </w:r>
      <w:r w:rsidRPr="00194505">
        <w:rPr>
          <w:b/>
          <w:bCs/>
          <w:lang w:val="fr-FR"/>
        </w:rPr>
        <w:t>et du Secrétaire général</w:t>
      </w:r>
    </w:p>
    <w:p w14:paraId="215ABFC6" w14:textId="3CEB50BF" w:rsidR="00BA4470" w:rsidRPr="00E15B38" w:rsidRDefault="00BA4470" w:rsidP="00BA4470">
      <w:pPr>
        <w:pStyle w:val="HChG"/>
        <w:rPr>
          <w:lang w:val="fr-FR"/>
        </w:rPr>
      </w:pPr>
      <w:r>
        <w:rPr>
          <w:lang w:val="fr-FR"/>
        </w:rPr>
        <w:tab/>
      </w:r>
      <w:r>
        <w:rPr>
          <w:lang w:val="fr-FR"/>
        </w:rPr>
        <w:tab/>
        <w:t>R</w:t>
      </w:r>
      <w:r w:rsidRPr="00194505">
        <w:rPr>
          <w:lang w:val="fr-FR"/>
        </w:rPr>
        <w:t>ésolution</w:t>
      </w:r>
      <w:r>
        <w:rPr>
          <w:lang w:val="fr-FR"/>
        </w:rPr>
        <w:t xml:space="preserve"> adoptée par le Conseil des droits de l’homme </w:t>
      </w:r>
      <w:r>
        <w:rPr>
          <w:lang w:val="fr-FR"/>
        </w:rPr>
        <w:br/>
      </w:r>
      <w:r>
        <w:rPr>
          <w:lang w:val="fr-FR"/>
        </w:rPr>
        <w:t>le 12 juillet 2021</w:t>
      </w:r>
    </w:p>
    <w:p w14:paraId="317BC627" w14:textId="77777777" w:rsidR="00BA4470" w:rsidRPr="00E15B38" w:rsidRDefault="00BA4470" w:rsidP="00BA4470">
      <w:pPr>
        <w:pStyle w:val="H1G"/>
        <w:rPr>
          <w:lang w:val="fr-FR"/>
        </w:rPr>
      </w:pPr>
      <w:r>
        <w:rPr>
          <w:lang w:val="fr-FR"/>
        </w:rPr>
        <w:tab/>
        <w:t>47/2.</w:t>
      </w:r>
      <w:r>
        <w:rPr>
          <w:lang w:val="fr-FR"/>
        </w:rPr>
        <w:tab/>
        <w:t>Situation des droits de l’homme en Érythrée</w:t>
      </w:r>
    </w:p>
    <w:p w14:paraId="746D9AFC" w14:textId="77777777" w:rsidR="00BA4470" w:rsidRPr="00E15B38" w:rsidRDefault="00BA4470" w:rsidP="00BA4470">
      <w:pPr>
        <w:pStyle w:val="SingleTxtG"/>
        <w:ind w:firstLine="567"/>
        <w:rPr>
          <w:lang w:val="fr-FR"/>
        </w:rPr>
      </w:pPr>
      <w:r w:rsidRPr="00194505">
        <w:rPr>
          <w:i/>
          <w:iCs/>
          <w:lang w:val="fr-FR"/>
        </w:rPr>
        <w:t>Le Conseil des droits de l</w:t>
      </w:r>
      <w:r>
        <w:rPr>
          <w:i/>
          <w:iCs/>
          <w:lang w:val="fr-FR"/>
        </w:rPr>
        <w:t>’</w:t>
      </w:r>
      <w:r w:rsidRPr="00194505">
        <w:rPr>
          <w:i/>
          <w:iCs/>
          <w:lang w:val="fr-FR"/>
        </w:rPr>
        <w:t>homme</w:t>
      </w:r>
      <w:r>
        <w:rPr>
          <w:lang w:val="fr-FR"/>
        </w:rPr>
        <w:t>,</w:t>
      </w:r>
    </w:p>
    <w:p w14:paraId="2BDFA711" w14:textId="77777777" w:rsidR="00BA4470" w:rsidRPr="00E15B38" w:rsidRDefault="00BA4470" w:rsidP="00BA4470">
      <w:pPr>
        <w:pStyle w:val="SingleTxtG"/>
        <w:rPr>
          <w:lang w:val="fr-FR"/>
        </w:rPr>
      </w:pPr>
      <w:r>
        <w:rPr>
          <w:i/>
          <w:iCs/>
          <w:lang w:val="fr-FR"/>
        </w:rPr>
        <w:tab/>
      </w:r>
      <w:r w:rsidRPr="00FD2759">
        <w:rPr>
          <w:i/>
          <w:iCs/>
          <w:lang w:val="fr-FR"/>
        </w:rPr>
        <w:t>Guidé</w:t>
      </w:r>
      <w:r>
        <w:rPr>
          <w:lang w:val="fr-FR"/>
        </w:rPr>
        <w:t xml:space="preserve"> par la Charte des Nations Unies, la Déclaration universelle des droits de l’homme, les pactes internationaux relatifs aux droits de l’homme et les autres instruments internationaux relatifs aux droits de l’homme</w:t>
      </w:r>
      <w:r w:rsidRPr="009D07ED">
        <w:rPr>
          <w:lang w:val="fr-FR"/>
        </w:rPr>
        <w:t xml:space="preserve"> </w:t>
      </w:r>
      <w:r>
        <w:rPr>
          <w:lang w:val="fr-FR"/>
        </w:rPr>
        <w:t>pertinents,</w:t>
      </w:r>
    </w:p>
    <w:p w14:paraId="3E18F1D8" w14:textId="77777777" w:rsidR="00BA4470" w:rsidRPr="00E15B38" w:rsidRDefault="00BA4470" w:rsidP="00BA4470">
      <w:pPr>
        <w:pStyle w:val="SingleTxtG"/>
        <w:ind w:firstLine="567"/>
        <w:rPr>
          <w:lang w:val="fr-FR"/>
        </w:rPr>
      </w:pPr>
      <w:r w:rsidRPr="00337842">
        <w:rPr>
          <w:i/>
          <w:iCs/>
          <w:lang w:val="fr-FR"/>
        </w:rPr>
        <w:t>Rappelant</w:t>
      </w:r>
      <w:r>
        <w:rPr>
          <w:lang w:val="fr-FR"/>
        </w:rPr>
        <w:t xml:space="preserve"> la résolution 60/251 de l’Assemblée générale, du 15 mars 2006, ses propres résolutions 5/1 et 5/2, du 18 juin 2007, la résolution 91 et les décisions 250/2002, 275/2003 et 428/12 de la Commission africaine des droits de l’homme et des peuples, et toutes ses propres résolutions antérieures sur la situation des droits de l’homme en Érythrée,</w:t>
      </w:r>
    </w:p>
    <w:p w14:paraId="5E02CDEC" w14:textId="77777777" w:rsidR="00BA4470" w:rsidRPr="00337842" w:rsidRDefault="00BA4470" w:rsidP="00BA4470">
      <w:pPr>
        <w:pStyle w:val="SingleTxtG"/>
        <w:ind w:firstLine="567"/>
        <w:rPr>
          <w:lang w:val="fr-FR"/>
        </w:rPr>
      </w:pPr>
      <w:r w:rsidRPr="00337842">
        <w:rPr>
          <w:i/>
          <w:lang w:val="fr-FR"/>
        </w:rPr>
        <w:t>Notant</w:t>
      </w:r>
      <w:r w:rsidRPr="00DB6127">
        <w:rPr>
          <w:iCs/>
          <w:lang w:val="fr-FR"/>
        </w:rPr>
        <w:t xml:space="preserve"> l</w:t>
      </w:r>
      <w:r>
        <w:rPr>
          <w:iCs/>
          <w:lang w:val="fr-FR"/>
        </w:rPr>
        <w:t>’</w:t>
      </w:r>
      <w:r w:rsidRPr="00DB6127">
        <w:rPr>
          <w:iCs/>
          <w:lang w:val="fr-FR"/>
        </w:rPr>
        <w:t xml:space="preserve">évolution de ces derniers mois dans la région et </w:t>
      </w:r>
      <w:r>
        <w:rPr>
          <w:iCs/>
          <w:lang w:val="fr-FR"/>
        </w:rPr>
        <w:t>ses</w:t>
      </w:r>
      <w:r w:rsidRPr="00DB6127">
        <w:rPr>
          <w:iCs/>
          <w:lang w:val="fr-FR"/>
        </w:rPr>
        <w:t xml:space="preserve"> répercussions, notamment </w:t>
      </w:r>
      <w:r>
        <w:rPr>
          <w:iCs/>
          <w:lang w:val="fr-FR"/>
        </w:rPr>
        <w:t>pour</w:t>
      </w:r>
      <w:r w:rsidRPr="00DB6127">
        <w:rPr>
          <w:iCs/>
          <w:lang w:val="fr-FR"/>
        </w:rPr>
        <w:t xml:space="preserve"> les droits de l</w:t>
      </w:r>
      <w:r>
        <w:rPr>
          <w:iCs/>
          <w:lang w:val="fr-FR"/>
        </w:rPr>
        <w:t>’</w:t>
      </w:r>
      <w:r w:rsidRPr="00DB6127">
        <w:rPr>
          <w:iCs/>
          <w:lang w:val="fr-FR"/>
        </w:rPr>
        <w:t>homme en Érythrée,</w:t>
      </w:r>
    </w:p>
    <w:p w14:paraId="2CA2CA80" w14:textId="77777777" w:rsidR="00BA4470" w:rsidRPr="00E15B38" w:rsidRDefault="00BA4470" w:rsidP="00BA4470">
      <w:pPr>
        <w:pStyle w:val="SingleTxtG"/>
        <w:ind w:firstLine="567"/>
        <w:rPr>
          <w:lang w:val="fr-FR"/>
        </w:rPr>
      </w:pPr>
      <w:r w:rsidRPr="00337842">
        <w:rPr>
          <w:i/>
          <w:iCs/>
          <w:lang w:val="fr-FR"/>
        </w:rPr>
        <w:t>Accueillant avec satisfaction</w:t>
      </w:r>
      <w:r>
        <w:rPr>
          <w:lang w:val="fr-FR"/>
        </w:rPr>
        <w:t xml:space="preserve"> le rapport du Rapporteur spécial sur la situation des droits de l’homme en Érythrée</w:t>
      </w:r>
      <w:r w:rsidRPr="00BA4470">
        <w:rPr>
          <w:rStyle w:val="Appelnotedebasdep"/>
        </w:rPr>
        <w:footnoteReference w:id="2"/>
      </w:r>
      <w:r w:rsidRPr="00DB0B5D">
        <w:rPr>
          <w:lang w:val="fr-FR"/>
        </w:rPr>
        <w:t xml:space="preserve"> </w:t>
      </w:r>
      <w:r>
        <w:rPr>
          <w:lang w:val="fr-FR"/>
        </w:rPr>
        <w:t>et les conclusions qui y sont formulées,</w:t>
      </w:r>
    </w:p>
    <w:p w14:paraId="7C3F5C53" w14:textId="77777777" w:rsidR="00BA4470" w:rsidRPr="00E15B38" w:rsidRDefault="00BA4470" w:rsidP="00BA4470">
      <w:pPr>
        <w:pStyle w:val="SingleTxtG"/>
        <w:ind w:firstLine="567"/>
        <w:rPr>
          <w:lang w:val="fr-FR"/>
        </w:rPr>
      </w:pPr>
      <w:r w:rsidRPr="00337842">
        <w:rPr>
          <w:i/>
          <w:iCs/>
          <w:lang w:val="fr-FR"/>
        </w:rPr>
        <w:t>Vivement préoccupé</w:t>
      </w:r>
      <w:r>
        <w:rPr>
          <w:lang w:val="fr-FR"/>
        </w:rPr>
        <w:t xml:space="preserve"> par le fait que les violations des droits de l’homme et les violences se poursuivent, comme l’indique le Rapporteur spécial dans son rapport,</w:t>
      </w:r>
    </w:p>
    <w:p w14:paraId="25C5D577" w14:textId="77777777" w:rsidR="00BA4470" w:rsidRPr="00E15B38" w:rsidRDefault="00BA4470" w:rsidP="00BA4470">
      <w:pPr>
        <w:pStyle w:val="SingleTxtG"/>
        <w:ind w:firstLine="567"/>
        <w:rPr>
          <w:lang w:val="fr-FR"/>
        </w:rPr>
      </w:pPr>
      <w:r>
        <w:rPr>
          <w:lang w:val="fr-FR"/>
        </w:rPr>
        <w:t>1.</w:t>
      </w:r>
      <w:r>
        <w:rPr>
          <w:lang w:val="fr-FR"/>
        </w:rPr>
        <w:tab/>
      </w:r>
      <w:r w:rsidRPr="00337842">
        <w:rPr>
          <w:i/>
          <w:iCs/>
          <w:lang w:val="fr-FR"/>
        </w:rPr>
        <w:t>Prie</w:t>
      </w:r>
      <w:r>
        <w:rPr>
          <w:lang w:val="fr-FR"/>
        </w:rPr>
        <w:t xml:space="preserve"> le Haut-Commissariat des Nations Unies aux droits de l’homme de lui présenter, à sa quarante-neuvième session, des informations actualisées sur les progrès de la coopération entre l’Érythrée et le Haut-Commissariat et leur incidence sur la situation des droits de l’homme en Érythrée ;</w:t>
      </w:r>
    </w:p>
    <w:p w14:paraId="319AECB4" w14:textId="77777777" w:rsidR="00BA4470" w:rsidRPr="00E15B38" w:rsidRDefault="00BA4470" w:rsidP="00BA4470">
      <w:pPr>
        <w:pStyle w:val="SingleTxtG"/>
        <w:ind w:firstLine="567"/>
        <w:rPr>
          <w:lang w:val="fr-FR"/>
        </w:rPr>
      </w:pPr>
      <w:r>
        <w:rPr>
          <w:lang w:val="fr-FR"/>
        </w:rPr>
        <w:t>2.</w:t>
      </w:r>
      <w:r>
        <w:rPr>
          <w:lang w:val="fr-FR"/>
        </w:rPr>
        <w:tab/>
      </w:r>
      <w:r w:rsidRPr="00337842">
        <w:rPr>
          <w:i/>
          <w:iCs/>
          <w:lang w:val="fr-FR"/>
        </w:rPr>
        <w:t>Décide</w:t>
      </w:r>
      <w:r>
        <w:rPr>
          <w:lang w:val="fr-FR"/>
        </w:rPr>
        <w:t xml:space="preserve"> de proroger le mandat de Rapporteur spécial sur la situation des droits de l’homme en Érythrée pour une nouvelle période d’un an et de continuer d’évaluer la situation des droits de l’homme et d’en rendre compte sur la base du rapport du Rapporteur spécial, et prie celui-ci de lui présenter oralement des informations actualisées à sa quarante</w:t>
      </w:r>
      <w:r>
        <w:rPr>
          <w:lang w:val="fr-FR"/>
        </w:rPr>
        <w:noBreakHyphen/>
        <w:t>neuvième session, au cours d’un dialogue, de lui faire rapport sur les activités qu’il aura menées, au cours d’un dialogue, à sa cinquantième session, et de faire également rapport à ce sujet à l’Assemblée générale, à sa soixante-seizième session ;</w:t>
      </w:r>
    </w:p>
    <w:p w14:paraId="1F779141" w14:textId="77777777" w:rsidR="00BA4470" w:rsidRPr="00E15B38" w:rsidRDefault="00BA4470" w:rsidP="00BA4470">
      <w:pPr>
        <w:pStyle w:val="SingleTxtG"/>
        <w:ind w:firstLine="567"/>
        <w:rPr>
          <w:lang w:val="fr-FR"/>
        </w:rPr>
      </w:pPr>
      <w:r>
        <w:rPr>
          <w:lang w:val="fr-FR"/>
        </w:rPr>
        <w:lastRenderedPageBreak/>
        <w:t>3.</w:t>
      </w:r>
      <w:r>
        <w:rPr>
          <w:lang w:val="fr-FR"/>
        </w:rPr>
        <w:tab/>
      </w:r>
      <w:r w:rsidRPr="00082F21">
        <w:rPr>
          <w:i/>
          <w:iCs/>
          <w:lang w:val="fr-FR"/>
        </w:rPr>
        <w:t>Demande</w:t>
      </w:r>
      <w:r>
        <w:rPr>
          <w:lang w:val="fr-FR"/>
        </w:rPr>
        <w:t xml:space="preserve"> au Gouvernement érythréen de coopérer pleinement avec le Rapporteur spécial, notamment en l’autorisant à se rendre dans le pays et en s’engageant à faire des progrès au regard des critères proposés par la précédente titulaire du mandat</w:t>
      </w:r>
      <w:r w:rsidRPr="00BA4470">
        <w:rPr>
          <w:rStyle w:val="Appelnotedebasdep"/>
        </w:rPr>
        <w:footnoteReference w:id="3"/>
      </w:r>
      <w:r>
        <w:rPr>
          <w:lang w:val="fr-FR"/>
        </w:rPr>
        <w:t> ;</w:t>
      </w:r>
    </w:p>
    <w:p w14:paraId="490C389D" w14:textId="77777777" w:rsidR="00BA4470" w:rsidRPr="00E15B38" w:rsidRDefault="00BA4470" w:rsidP="00BA4470">
      <w:pPr>
        <w:pStyle w:val="SingleTxtG"/>
        <w:ind w:firstLine="567"/>
        <w:rPr>
          <w:lang w:val="fr-FR"/>
        </w:rPr>
      </w:pPr>
      <w:r>
        <w:rPr>
          <w:lang w:val="fr-FR"/>
        </w:rPr>
        <w:t>4.</w:t>
      </w:r>
      <w:r>
        <w:rPr>
          <w:lang w:val="fr-FR"/>
        </w:rPr>
        <w:tab/>
      </w:r>
      <w:r w:rsidRPr="00082F21">
        <w:rPr>
          <w:i/>
          <w:iCs/>
          <w:lang w:val="fr-FR"/>
        </w:rPr>
        <w:t>Prie</w:t>
      </w:r>
      <w:r>
        <w:rPr>
          <w:lang w:val="fr-FR"/>
        </w:rPr>
        <w:t xml:space="preserve"> le Secrétaire général de fournir au Rapporteur spécial toutes les informations et toutes les ressources nécessaires à l’accomplissement de son mandat ;</w:t>
      </w:r>
    </w:p>
    <w:p w14:paraId="74E4BC3E" w14:textId="77777777" w:rsidR="00BA4470" w:rsidRDefault="00BA4470" w:rsidP="00BA4470">
      <w:pPr>
        <w:pStyle w:val="SingleTxtG"/>
        <w:ind w:firstLine="567"/>
        <w:rPr>
          <w:lang w:val="fr-FR"/>
        </w:rPr>
      </w:pPr>
      <w:r>
        <w:rPr>
          <w:lang w:val="fr-FR"/>
        </w:rPr>
        <w:t>5.</w:t>
      </w:r>
      <w:r>
        <w:rPr>
          <w:lang w:val="fr-FR"/>
        </w:rPr>
        <w:tab/>
      </w:r>
      <w:r w:rsidRPr="00082F21">
        <w:rPr>
          <w:i/>
          <w:iCs/>
          <w:lang w:val="fr-FR"/>
        </w:rPr>
        <w:t>Décide</w:t>
      </w:r>
      <w:r>
        <w:rPr>
          <w:lang w:val="fr-FR"/>
        </w:rPr>
        <w:t xml:space="preserve"> de rester saisi de la question.</w:t>
      </w:r>
    </w:p>
    <w:p w14:paraId="0616953B" w14:textId="77777777" w:rsidR="00BA4470" w:rsidRPr="00BA4470" w:rsidRDefault="00BA4470" w:rsidP="00BA4470">
      <w:pPr>
        <w:pStyle w:val="SingleTxtG"/>
        <w:jc w:val="right"/>
        <w:rPr>
          <w:i/>
          <w:iCs/>
          <w:lang w:val="fr-FR"/>
        </w:rPr>
      </w:pPr>
      <w:r w:rsidRPr="00BA4470">
        <w:rPr>
          <w:i/>
          <w:iCs/>
          <w:lang w:val="fr-FR"/>
        </w:rPr>
        <w:t>35</w:t>
      </w:r>
      <w:r w:rsidRPr="00BA4470">
        <w:rPr>
          <w:i/>
          <w:iCs/>
          <w:vertAlign w:val="superscript"/>
          <w:lang w:val="fr-FR"/>
        </w:rPr>
        <w:t>e</w:t>
      </w:r>
      <w:r w:rsidRPr="00BA4470">
        <w:rPr>
          <w:i/>
          <w:iCs/>
          <w:lang w:val="fr-FR"/>
        </w:rPr>
        <w:t xml:space="preserve"> séance </w:t>
      </w:r>
      <w:r w:rsidRPr="00BA4470">
        <w:rPr>
          <w:i/>
          <w:iCs/>
          <w:lang w:val="fr-FR"/>
        </w:rPr>
        <w:br/>
        <w:t>12 juillet 2021</w:t>
      </w:r>
    </w:p>
    <w:p w14:paraId="2B67B1E8" w14:textId="77777777" w:rsidR="00BA4470" w:rsidRDefault="00BA4470" w:rsidP="00BA4470">
      <w:pPr>
        <w:pStyle w:val="SingleTxtG"/>
        <w:rPr>
          <w:lang w:val="fr-FR"/>
        </w:rPr>
      </w:pPr>
      <w:r>
        <w:rPr>
          <w:lang w:val="fr-FR"/>
        </w:rPr>
        <w:t>[Adoptée à l’issue d’un vote enregistré par 21 voix contre 13, avec 13 abstentions. Les voix se sont réparties comme suit :</w:t>
      </w:r>
    </w:p>
    <w:p w14:paraId="4420D0F8" w14:textId="77777777" w:rsidR="00BA4470" w:rsidRDefault="00BA4470" w:rsidP="00BA4470">
      <w:pPr>
        <w:pStyle w:val="SingleTxtG"/>
        <w:spacing w:after="0"/>
        <w:ind w:firstLine="567"/>
        <w:rPr>
          <w:lang w:val="fr-FR"/>
        </w:rPr>
      </w:pPr>
      <w:r w:rsidRPr="00E65C4F">
        <w:rPr>
          <w:i/>
          <w:iCs/>
          <w:lang w:val="fr-FR"/>
        </w:rPr>
        <w:t>Ont voté pour</w:t>
      </w:r>
      <w:r>
        <w:rPr>
          <w:lang w:val="fr-FR"/>
        </w:rPr>
        <w:t> :</w:t>
      </w:r>
    </w:p>
    <w:p w14:paraId="39FDA312" w14:textId="77777777" w:rsidR="00BA4470" w:rsidRPr="00E65C4F" w:rsidRDefault="00BA4470" w:rsidP="00BA4470">
      <w:pPr>
        <w:pStyle w:val="SingleTxtG"/>
        <w:ind w:left="2268"/>
        <w:rPr>
          <w:lang w:val="fr-FR"/>
        </w:rPr>
      </w:pPr>
      <w:r w:rsidRPr="0045563D">
        <w:t>Allemagne</w:t>
      </w:r>
      <w:r>
        <w:t xml:space="preserve">, </w:t>
      </w:r>
      <w:r w:rsidRPr="0045563D">
        <w:t>Argentine</w:t>
      </w:r>
      <w:r>
        <w:t xml:space="preserve">, </w:t>
      </w:r>
      <w:r w:rsidRPr="0045563D">
        <w:t>Arménie</w:t>
      </w:r>
      <w:r>
        <w:t xml:space="preserve">, </w:t>
      </w:r>
      <w:r w:rsidRPr="0045563D">
        <w:t>Autriche</w:t>
      </w:r>
      <w:r>
        <w:t xml:space="preserve">, </w:t>
      </w:r>
      <w:r w:rsidRPr="0045563D">
        <w:t>Bahamas</w:t>
      </w:r>
      <w:r>
        <w:t xml:space="preserve">, </w:t>
      </w:r>
      <w:r w:rsidRPr="0045563D">
        <w:t>Brésil</w:t>
      </w:r>
      <w:r>
        <w:t xml:space="preserve">, </w:t>
      </w:r>
      <w:r w:rsidRPr="0045563D">
        <w:t>Bulgarie</w:t>
      </w:r>
      <w:r>
        <w:t xml:space="preserve">, </w:t>
      </w:r>
      <w:r w:rsidRPr="0045563D">
        <w:t>Danemark</w:t>
      </w:r>
      <w:r>
        <w:t xml:space="preserve">, </w:t>
      </w:r>
      <w:r w:rsidRPr="0045563D">
        <w:t>Fidji</w:t>
      </w:r>
      <w:r>
        <w:t xml:space="preserve">, </w:t>
      </w:r>
      <w:r w:rsidRPr="0045563D">
        <w:t>France</w:t>
      </w:r>
      <w:r>
        <w:t xml:space="preserve">, </w:t>
      </w:r>
      <w:r w:rsidRPr="0045563D">
        <w:t>Îles Marshall</w:t>
      </w:r>
      <w:r>
        <w:t xml:space="preserve">, </w:t>
      </w:r>
      <w:r w:rsidRPr="0045563D">
        <w:t>Italie</w:t>
      </w:r>
      <w:r>
        <w:t xml:space="preserve">, </w:t>
      </w:r>
      <w:r w:rsidRPr="0045563D">
        <w:t>Japon</w:t>
      </w:r>
      <w:r>
        <w:t xml:space="preserve">, </w:t>
      </w:r>
      <w:r w:rsidRPr="0045563D">
        <w:t>Mexique</w:t>
      </w:r>
      <w:r>
        <w:t xml:space="preserve">, </w:t>
      </w:r>
      <w:r w:rsidRPr="0045563D">
        <w:t>Pays-Bas</w:t>
      </w:r>
      <w:r>
        <w:t xml:space="preserve">, </w:t>
      </w:r>
      <w:r w:rsidRPr="0045563D">
        <w:t>Pologne</w:t>
      </w:r>
      <w:r>
        <w:t xml:space="preserve">, </w:t>
      </w:r>
      <w:r w:rsidRPr="0045563D">
        <w:t>République de Corée</w:t>
      </w:r>
      <w:r>
        <w:t xml:space="preserve">, </w:t>
      </w:r>
      <w:r w:rsidRPr="0045563D">
        <w:t>Royaume-Uni de Grande-Bretagne et d</w:t>
      </w:r>
      <w:r>
        <w:t>’</w:t>
      </w:r>
      <w:r w:rsidRPr="0045563D">
        <w:t>Irlande du Nord</w:t>
      </w:r>
      <w:r>
        <w:t xml:space="preserve">, </w:t>
      </w:r>
      <w:r w:rsidRPr="0045563D">
        <w:t>Tchéquie</w:t>
      </w:r>
      <w:r>
        <w:t xml:space="preserve">, </w:t>
      </w:r>
      <w:r w:rsidRPr="0045563D">
        <w:t>Ukraine</w:t>
      </w:r>
      <w:r>
        <w:t xml:space="preserve"> et </w:t>
      </w:r>
      <w:r w:rsidRPr="0045563D">
        <w:t>Uruguay</w:t>
      </w:r>
      <w:r>
        <w:t>.</w:t>
      </w:r>
    </w:p>
    <w:p w14:paraId="5265AF5F" w14:textId="77777777" w:rsidR="00BA4470" w:rsidRPr="00BA4470" w:rsidRDefault="00BA4470" w:rsidP="00BA4470">
      <w:pPr>
        <w:pStyle w:val="SingleTxtG"/>
        <w:spacing w:after="0"/>
        <w:ind w:firstLine="567"/>
      </w:pPr>
      <w:r w:rsidRPr="00BA4470">
        <w:rPr>
          <w:i/>
          <w:iCs/>
        </w:rPr>
        <w:t>Ont voté contre</w:t>
      </w:r>
      <w:r w:rsidRPr="00BA4470">
        <w:t> :</w:t>
      </w:r>
    </w:p>
    <w:p w14:paraId="2205B471" w14:textId="77777777" w:rsidR="00BA4470" w:rsidRPr="00E65C4F" w:rsidRDefault="00BA4470" w:rsidP="00BA4470">
      <w:pPr>
        <w:pStyle w:val="SingleTxtG"/>
        <w:ind w:left="2268"/>
      </w:pPr>
      <w:r w:rsidRPr="003561B9">
        <w:t>Bahreïn</w:t>
      </w:r>
      <w:r>
        <w:t xml:space="preserve">, </w:t>
      </w:r>
      <w:r w:rsidRPr="003561B9">
        <w:t>Bolivie (État plurinational de)</w:t>
      </w:r>
      <w:r>
        <w:t xml:space="preserve">, </w:t>
      </w:r>
      <w:r w:rsidRPr="003561B9">
        <w:t>Cameroun</w:t>
      </w:r>
      <w:r>
        <w:t xml:space="preserve">, </w:t>
      </w:r>
      <w:r w:rsidRPr="003561B9">
        <w:t>Chine</w:t>
      </w:r>
      <w:r>
        <w:t xml:space="preserve">, </w:t>
      </w:r>
      <w:r w:rsidRPr="003561B9">
        <w:t>Cuba</w:t>
      </w:r>
      <w:r>
        <w:t xml:space="preserve">, </w:t>
      </w:r>
      <w:r w:rsidRPr="003561B9">
        <w:t>Érythrée</w:t>
      </w:r>
      <w:r>
        <w:t xml:space="preserve">, </w:t>
      </w:r>
      <w:r w:rsidRPr="003561B9">
        <w:t>Fédération de Russie</w:t>
      </w:r>
      <w:r>
        <w:t xml:space="preserve">, </w:t>
      </w:r>
      <w:r w:rsidRPr="003561B9">
        <w:t>Inde</w:t>
      </w:r>
      <w:r>
        <w:t xml:space="preserve">, </w:t>
      </w:r>
      <w:r w:rsidRPr="003561B9">
        <w:t>Pakistan</w:t>
      </w:r>
      <w:r>
        <w:t xml:space="preserve">, </w:t>
      </w:r>
      <w:r w:rsidRPr="003561B9">
        <w:t>Philippines</w:t>
      </w:r>
      <w:r>
        <w:t xml:space="preserve">, </w:t>
      </w:r>
      <w:r w:rsidRPr="003561B9">
        <w:t>Somalie</w:t>
      </w:r>
      <w:r>
        <w:t xml:space="preserve">, </w:t>
      </w:r>
      <w:r w:rsidRPr="003561B9">
        <w:t>Soudan</w:t>
      </w:r>
      <w:r>
        <w:t xml:space="preserve"> et </w:t>
      </w:r>
      <w:r w:rsidRPr="003561B9">
        <w:t>Venezuela (République bolivarienne du)</w:t>
      </w:r>
      <w:r>
        <w:t>.</w:t>
      </w:r>
    </w:p>
    <w:p w14:paraId="4FE8203A" w14:textId="77777777" w:rsidR="00BA4470" w:rsidRPr="00E65C4F" w:rsidRDefault="00BA4470" w:rsidP="00BA4470">
      <w:pPr>
        <w:pStyle w:val="SingleTxtG"/>
        <w:spacing w:after="0"/>
        <w:ind w:firstLine="567"/>
      </w:pPr>
      <w:r w:rsidRPr="00E65C4F">
        <w:rPr>
          <w:i/>
          <w:iCs/>
        </w:rPr>
        <w:t>Se sont abstenus</w:t>
      </w:r>
      <w:r w:rsidRPr="00E65C4F">
        <w:t> :</w:t>
      </w:r>
    </w:p>
    <w:p w14:paraId="493559E4" w14:textId="498F6687" w:rsidR="00552797" w:rsidRDefault="00BA4470" w:rsidP="00BA4470">
      <w:pPr>
        <w:pStyle w:val="SingleTxtG"/>
        <w:ind w:left="2268"/>
      </w:pPr>
      <w:r w:rsidRPr="00A3318D">
        <w:t>Bangladesh</w:t>
      </w:r>
      <w:r>
        <w:t xml:space="preserve">, </w:t>
      </w:r>
      <w:r w:rsidRPr="00A3318D">
        <w:t>Burkina Faso</w:t>
      </w:r>
      <w:r>
        <w:t xml:space="preserve">, </w:t>
      </w:r>
      <w:r w:rsidRPr="00A3318D">
        <w:t>Côte d</w:t>
      </w:r>
      <w:r>
        <w:t>’</w:t>
      </w:r>
      <w:r w:rsidRPr="00A3318D">
        <w:t>Ivoire</w:t>
      </w:r>
      <w:r>
        <w:t xml:space="preserve">, </w:t>
      </w:r>
      <w:r w:rsidRPr="00A3318D">
        <w:t>Gabon</w:t>
      </w:r>
      <w:r>
        <w:t xml:space="preserve">, </w:t>
      </w:r>
      <w:r w:rsidRPr="00A3318D">
        <w:t>Indonésie</w:t>
      </w:r>
      <w:r>
        <w:t xml:space="preserve">, </w:t>
      </w:r>
      <w:r w:rsidRPr="00A3318D">
        <w:t>Libye</w:t>
      </w:r>
      <w:r>
        <w:t xml:space="preserve">, </w:t>
      </w:r>
      <w:r w:rsidRPr="00A3318D">
        <w:t>Malawi</w:t>
      </w:r>
      <w:r>
        <w:t xml:space="preserve">, </w:t>
      </w:r>
      <w:r w:rsidRPr="00A3318D">
        <w:t>Mauritanie</w:t>
      </w:r>
      <w:r>
        <w:t xml:space="preserve">, </w:t>
      </w:r>
      <w:r w:rsidRPr="00A3318D">
        <w:t>Namibie</w:t>
      </w:r>
      <w:r>
        <w:t xml:space="preserve">, </w:t>
      </w:r>
      <w:r w:rsidRPr="00A3318D">
        <w:t>Népal</w:t>
      </w:r>
      <w:r>
        <w:t xml:space="preserve">, </w:t>
      </w:r>
      <w:r w:rsidRPr="00A3318D">
        <w:t>Ouzbékistan</w:t>
      </w:r>
      <w:r>
        <w:t xml:space="preserve">, </w:t>
      </w:r>
      <w:r w:rsidRPr="00A3318D">
        <w:t>Sénégal</w:t>
      </w:r>
      <w:r>
        <w:t xml:space="preserve"> et</w:t>
      </w:r>
      <w:r>
        <w:t xml:space="preserve"> </w:t>
      </w:r>
      <w:r w:rsidRPr="00A3318D">
        <w:t>Togo</w:t>
      </w:r>
      <w:r w:rsidRPr="00E65C4F">
        <w:t>.]</w:t>
      </w:r>
    </w:p>
    <w:p w14:paraId="6144F8F3" w14:textId="2E0F7D3C" w:rsidR="00BA4470" w:rsidRPr="00BA4470" w:rsidRDefault="00BA4470" w:rsidP="00BA4470">
      <w:pPr>
        <w:pStyle w:val="SingleTxtG"/>
        <w:spacing w:before="240" w:after="0"/>
        <w:jc w:val="center"/>
        <w:rPr>
          <w:u w:val="single"/>
        </w:rPr>
      </w:pPr>
      <w:r>
        <w:rPr>
          <w:u w:val="single"/>
        </w:rPr>
        <w:tab/>
      </w:r>
      <w:r>
        <w:rPr>
          <w:u w:val="single"/>
        </w:rPr>
        <w:tab/>
      </w:r>
      <w:r>
        <w:rPr>
          <w:u w:val="single"/>
        </w:rPr>
        <w:tab/>
      </w:r>
    </w:p>
    <w:sectPr w:rsidR="00BA4470" w:rsidRPr="00BA4470" w:rsidSect="00532A0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F6234" w14:textId="77777777" w:rsidR="003B6630" w:rsidRPr="00EF7F30" w:rsidRDefault="003B6630" w:rsidP="00EF7F30">
      <w:pPr>
        <w:pStyle w:val="Pieddepage"/>
      </w:pPr>
    </w:p>
  </w:endnote>
  <w:endnote w:type="continuationSeparator" w:id="0">
    <w:p w14:paraId="4CE7690B" w14:textId="77777777" w:rsidR="003B6630" w:rsidRPr="00EF7F30" w:rsidRDefault="003B6630" w:rsidP="00EF7F30">
      <w:pPr>
        <w:pStyle w:val="Pieddepage"/>
      </w:pPr>
    </w:p>
  </w:endnote>
  <w:endnote w:type="continuationNotice" w:id="1">
    <w:p w14:paraId="26FA5D7F" w14:textId="77777777" w:rsidR="003B6630" w:rsidRDefault="003B66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6B7AC" w14:textId="77777777" w:rsidR="00532A0E" w:rsidRPr="00532A0E" w:rsidRDefault="00532A0E" w:rsidP="00532A0E">
    <w:pPr>
      <w:pStyle w:val="Pieddepage"/>
      <w:tabs>
        <w:tab w:val="right" w:pos="9638"/>
      </w:tabs>
    </w:pPr>
    <w:r w:rsidRPr="00532A0E">
      <w:rPr>
        <w:b/>
        <w:sz w:val="18"/>
      </w:rPr>
      <w:fldChar w:fldCharType="begin"/>
    </w:r>
    <w:r w:rsidRPr="00532A0E">
      <w:rPr>
        <w:b/>
        <w:sz w:val="18"/>
      </w:rPr>
      <w:instrText xml:space="preserve"> PAGE  \* MERGEFORMAT </w:instrText>
    </w:r>
    <w:r w:rsidRPr="00532A0E">
      <w:rPr>
        <w:b/>
        <w:sz w:val="18"/>
      </w:rPr>
      <w:fldChar w:fldCharType="separate"/>
    </w:r>
    <w:r w:rsidRPr="00532A0E">
      <w:rPr>
        <w:b/>
        <w:noProof/>
        <w:sz w:val="18"/>
      </w:rPr>
      <w:t>2</w:t>
    </w:r>
    <w:r w:rsidRPr="00532A0E">
      <w:rPr>
        <w:b/>
        <w:sz w:val="18"/>
      </w:rPr>
      <w:fldChar w:fldCharType="end"/>
    </w:r>
    <w:r>
      <w:rPr>
        <w:b/>
        <w:sz w:val="18"/>
      </w:rPr>
      <w:tab/>
    </w:r>
    <w:r>
      <w:t>GE.21-10293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D7119" w14:textId="77777777" w:rsidR="00532A0E" w:rsidRPr="00532A0E" w:rsidRDefault="00532A0E" w:rsidP="00532A0E">
    <w:pPr>
      <w:pStyle w:val="Pieddepage"/>
      <w:tabs>
        <w:tab w:val="right" w:pos="9638"/>
      </w:tabs>
      <w:rPr>
        <w:b/>
        <w:sz w:val="18"/>
      </w:rPr>
    </w:pPr>
    <w:r>
      <w:t>GE.21-10293</w:t>
    </w:r>
    <w:r>
      <w:tab/>
    </w:r>
    <w:r w:rsidRPr="00532A0E">
      <w:rPr>
        <w:b/>
        <w:sz w:val="18"/>
      </w:rPr>
      <w:fldChar w:fldCharType="begin"/>
    </w:r>
    <w:r w:rsidRPr="00532A0E">
      <w:rPr>
        <w:b/>
        <w:sz w:val="18"/>
      </w:rPr>
      <w:instrText xml:space="preserve"> PAGE  \* MERGEFORMAT </w:instrText>
    </w:r>
    <w:r w:rsidRPr="00532A0E">
      <w:rPr>
        <w:b/>
        <w:sz w:val="18"/>
      </w:rPr>
      <w:fldChar w:fldCharType="separate"/>
    </w:r>
    <w:r w:rsidRPr="00532A0E">
      <w:rPr>
        <w:b/>
        <w:noProof/>
        <w:sz w:val="18"/>
      </w:rPr>
      <w:t>3</w:t>
    </w:r>
    <w:r w:rsidRPr="00532A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CE772" w14:textId="1C608A85" w:rsidR="0094352E" w:rsidRPr="00532A0E" w:rsidRDefault="00532A0E" w:rsidP="00532A0E">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1F2A64E7" wp14:editId="386DC55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21-10293  (F)</w:t>
    </w:r>
    <w:r>
      <w:rPr>
        <w:noProof/>
        <w:sz w:val="20"/>
      </w:rPr>
      <w:drawing>
        <wp:anchor distT="0" distB="0" distL="114300" distR="114300" simplePos="0" relativeHeight="251660288" behindDoc="0" locked="0" layoutInCell="1" allowOverlap="1" wp14:anchorId="4B87C920" wp14:editId="333BB36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300821    300821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63A33" w14:textId="77777777" w:rsidR="003B6630" w:rsidRPr="00EF7F30" w:rsidRDefault="003B6630"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277F8579" w14:textId="77777777" w:rsidR="003B6630" w:rsidRPr="00EF7F30" w:rsidRDefault="003B6630" w:rsidP="000E5ADA">
      <w:pPr>
        <w:pStyle w:val="Pieddepage"/>
        <w:tabs>
          <w:tab w:val="right" w:pos="2155"/>
        </w:tabs>
        <w:spacing w:after="80" w:line="240" w:lineRule="atLeast"/>
        <w:ind w:left="680"/>
      </w:pPr>
      <w:r w:rsidRPr="00EF7F30">
        <w:rPr>
          <w:u w:val="single"/>
        </w:rPr>
        <w:tab/>
      </w:r>
    </w:p>
  </w:footnote>
  <w:footnote w:type="continuationNotice" w:id="1">
    <w:p w14:paraId="7177E5DB" w14:textId="77777777" w:rsidR="003B6630" w:rsidRPr="000F2457" w:rsidRDefault="003B6630">
      <w:pPr>
        <w:spacing w:line="240" w:lineRule="auto"/>
        <w:rPr>
          <w:sz w:val="2"/>
          <w:szCs w:val="2"/>
        </w:rPr>
      </w:pPr>
    </w:p>
  </w:footnote>
  <w:footnote w:id="2">
    <w:p w14:paraId="21E4385F" w14:textId="77777777" w:rsidR="00BA4470" w:rsidRPr="00E15B38" w:rsidRDefault="00BA4470" w:rsidP="00BA4470">
      <w:pPr>
        <w:pStyle w:val="Notedebasdepage"/>
        <w:rPr>
          <w:lang w:val="fr-FR"/>
        </w:rPr>
      </w:pPr>
      <w:r>
        <w:rPr>
          <w:lang w:val="fr-FR"/>
        </w:rPr>
        <w:tab/>
      </w:r>
      <w:r w:rsidRPr="00BA4470">
        <w:rPr>
          <w:rStyle w:val="Appelnotedebasdep"/>
        </w:rPr>
        <w:footnoteRef/>
      </w:r>
      <w:r>
        <w:rPr>
          <w:lang w:val="fr-FR"/>
        </w:rPr>
        <w:tab/>
        <w:t>A/HRC/47/21.</w:t>
      </w:r>
    </w:p>
  </w:footnote>
  <w:footnote w:id="3">
    <w:p w14:paraId="4B5349C9" w14:textId="7F6A858C" w:rsidR="00BA4470" w:rsidRPr="00E15B38" w:rsidRDefault="00BA4470" w:rsidP="00BA4470">
      <w:pPr>
        <w:pStyle w:val="Notedebasdepage"/>
        <w:rPr>
          <w:lang w:val="fr-FR"/>
        </w:rPr>
      </w:pPr>
      <w:r>
        <w:rPr>
          <w:lang w:val="fr-FR"/>
        </w:rPr>
        <w:tab/>
      </w:r>
      <w:r w:rsidRPr="00BA4470">
        <w:rPr>
          <w:rStyle w:val="Appelnotedebasdep"/>
        </w:rPr>
        <w:footnoteRef/>
      </w:r>
      <w:r>
        <w:rPr>
          <w:lang w:val="fr-FR"/>
        </w:rPr>
        <w:tab/>
        <w:t>Voir A/HRC/41/53, par. 78</w:t>
      </w:r>
      <w:r w:rsidR="00702AAD">
        <w:rPr>
          <w:lang w:val="fr-FR"/>
        </w:rPr>
        <w:t xml:space="preserve"> à </w:t>
      </w:r>
      <w:r>
        <w:rPr>
          <w:lang w:val="fr-FR"/>
        </w:rPr>
        <w:t>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EA3F" w14:textId="7D1F9F49" w:rsidR="00532A0E" w:rsidRPr="00532A0E" w:rsidRDefault="00532A0E">
    <w:pPr>
      <w:pStyle w:val="En-tte"/>
    </w:pPr>
    <w:fldSimple w:instr=" TITLE  \* MERGEFORMAT ">
      <w:r w:rsidR="00B27AB9">
        <w:t>A/HRC/RES/47/2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34E78" w14:textId="3513D02A" w:rsidR="00532A0E" w:rsidRPr="00532A0E" w:rsidRDefault="00532A0E" w:rsidP="00532A0E">
    <w:pPr>
      <w:pStyle w:val="En-tte"/>
      <w:jc w:val="right"/>
    </w:pPr>
    <w:fldSimple w:instr=" TITLE  \* MERGEFORMAT ">
      <w:r w:rsidR="00B27AB9">
        <w:t>A/HRC/RES/47/2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30"/>
    <w:rsid w:val="00023842"/>
    <w:rsid w:val="0007796D"/>
    <w:rsid w:val="000E5ADA"/>
    <w:rsid w:val="000F2457"/>
    <w:rsid w:val="00111F2F"/>
    <w:rsid w:val="00131E73"/>
    <w:rsid w:val="0014365E"/>
    <w:rsid w:val="00163628"/>
    <w:rsid w:val="00176178"/>
    <w:rsid w:val="001F525A"/>
    <w:rsid w:val="00212168"/>
    <w:rsid w:val="002165E2"/>
    <w:rsid w:val="00260711"/>
    <w:rsid w:val="002E0D9C"/>
    <w:rsid w:val="003547BE"/>
    <w:rsid w:val="003B6630"/>
    <w:rsid w:val="00446FE5"/>
    <w:rsid w:val="004D4CB4"/>
    <w:rsid w:val="00532A0E"/>
    <w:rsid w:val="00552797"/>
    <w:rsid w:val="00573BE5"/>
    <w:rsid w:val="00586ED3"/>
    <w:rsid w:val="00587A52"/>
    <w:rsid w:val="005B4E23"/>
    <w:rsid w:val="00617B29"/>
    <w:rsid w:val="0068446C"/>
    <w:rsid w:val="00695AED"/>
    <w:rsid w:val="00702AAD"/>
    <w:rsid w:val="00710BD6"/>
    <w:rsid w:val="0071601D"/>
    <w:rsid w:val="00721020"/>
    <w:rsid w:val="00731589"/>
    <w:rsid w:val="0080684C"/>
    <w:rsid w:val="00840FB4"/>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27AB9"/>
    <w:rsid w:val="00B528BF"/>
    <w:rsid w:val="00BA4470"/>
    <w:rsid w:val="00BE2FA2"/>
    <w:rsid w:val="00C02897"/>
    <w:rsid w:val="00C12613"/>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376E45"/>
  <w15:docId w15:val="{FD2652B7-68B2-46A7-AAA8-037D2BFC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2307A"/>
    <w:pPr>
      <w:tabs>
        <w:tab w:val="left" w:pos="1701"/>
        <w:tab w:val="left" w:pos="2268"/>
        <w:tab w:val="left" w:pos="2835"/>
      </w:tabs>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D617-A2D7-4690-9F2E-EACAD79E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Pages>
  <Words>525</Words>
  <Characters>3152</Characters>
  <Application>Microsoft Office Word</Application>
  <DocSecurity>0</DocSecurity>
  <Lines>450</Lines>
  <Paragraphs>193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A/HRC/RES/47/2</dc:title>
  <dc:subject/>
  <dc:creator>Maud DARICHE</dc:creator>
  <cp:keywords/>
  <cp:lastModifiedBy>Maud Dariche</cp:lastModifiedBy>
  <cp:revision>3</cp:revision>
  <cp:lastPrinted>2021-08-30T08:21:00Z</cp:lastPrinted>
  <dcterms:created xsi:type="dcterms:W3CDTF">2021-08-30T08:21:00Z</dcterms:created>
  <dcterms:modified xsi:type="dcterms:W3CDTF">2021-08-30T08:21:00Z</dcterms:modified>
</cp:coreProperties>
</file>