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941584">
            <w:pPr>
              <w:jc w:val="right"/>
            </w:pPr>
            <w:r w:rsidRPr="00EE2A77">
              <w:rPr>
                <w:sz w:val="40"/>
              </w:rPr>
              <w:t>A</w:t>
            </w:r>
            <w:r>
              <w:t>/HRC/</w:t>
            </w:r>
            <w:r w:rsidR="00941584">
              <w:t>RES/</w:t>
            </w:r>
            <w:r w:rsidR="00944104">
              <w:t>3</w:t>
            </w:r>
            <w:r w:rsidR="007C5E9C">
              <w:t>2</w:t>
            </w:r>
            <w:r>
              <w:t>/</w:t>
            </w:r>
            <w:r w:rsidR="00941584">
              <w:t>32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74FD7E9C" wp14:editId="3BEF205B">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092475" w:rsidRPr="00B3317B" w:rsidRDefault="00B3317B" w:rsidP="00920640">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3031DC" w:rsidP="00EE2A77">
            <w:pPr>
              <w:spacing w:before="240" w:line="240" w:lineRule="exact"/>
            </w:pPr>
            <w:r>
              <w:t>Distr.: General</w:t>
            </w:r>
          </w:p>
          <w:p w:rsidR="00EE2A77" w:rsidRDefault="00F1352D" w:rsidP="00EE2A77">
            <w:pPr>
              <w:spacing w:line="240" w:lineRule="exact"/>
            </w:pPr>
            <w:r>
              <w:t>1</w:t>
            </w:r>
            <w:r w:rsidR="00FB6895">
              <w:t>8</w:t>
            </w:r>
            <w:r w:rsidR="003F1346">
              <w:t xml:space="preserve"> </w:t>
            </w:r>
            <w:r w:rsidR="007C5E9C">
              <w:t>Ju</w:t>
            </w:r>
            <w:r>
              <w:t>ly</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Default="00941584" w:rsidP="008F603A">
      <w:pPr>
        <w:pStyle w:val="HChG"/>
        <w:ind w:right="0"/>
        <w:jc w:val="center"/>
      </w:pPr>
      <w:bookmarkStart w:id="0" w:name="_GoBack"/>
      <w:r>
        <w:t>R</w:t>
      </w:r>
      <w:bookmarkEnd w:id="0"/>
      <w:r w:rsidR="002F006E">
        <w:t>esolution</w:t>
      </w:r>
      <w:r>
        <w:t xml:space="preserve"> adopted by the Human Rights Council on 1 July 2016</w:t>
      </w:r>
    </w:p>
    <w:p w:rsidR="002F006E" w:rsidRPr="007A45D3" w:rsidRDefault="00944104" w:rsidP="00941584">
      <w:pPr>
        <w:pStyle w:val="H1G"/>
        <w:tabs>
          <w:tab w:val="clear" w:pos="851"/>
        </w:tabs>
        <w:ind w:left="2268"/>
      </w:pPr>
      <w:proofErr w:type="gramStart"/>
      <w:r>
        <w:t>3</w:t>
      </w:r>
      <w:r w:rsidR="007C5E9C">
        <w:t>2</w:t>
      </w:r>
      <w:r>
        <w:t>/</w:t>
      </w:r>
      <w:r w:rsidR="00941584">
        <w:t>32.</w:t>
      </w:r>
      <w:proofErr w:type="gramEnd"/>
      <w:r>
        <w:tab/>
      </w:r>
      <w:r w:rsidR="003F1346" w:rsidRPr="003F1346">
        <w:rPr>
          <w:lang w:val="en-US"/>
        </w:rPr>
        <w:t>The rights to freedom of peaceful assembly and of association</w:t>
      </w:r>
    </w:p>
    <w:p w:rsidR="002F006E" w:rsidRDefault="002F006E" w:rsidP="00402A2C">
      <w:pPr>
        <w:pStyle w:val="SingleTxtG"/>
      </w:pPr>
      <w:r>
        <w:tab/>
      </w:r>
      <w:r w:rsidRPr="00402A2C">
        <w:rPr>
          <w:i/>
        </w:rPr>
        <w:t>The Human Rights Council</w:t>
      </w:r>
      <w:r w:rsidRPr="00402A2C">
        <w:t>,</w:t>
      </w:r>
    </w:p>
    <w:p w:rsidR="003F1346" w:rsidRPr="003F1346" w:rsidRDefault="003F1346" w:rsidP="003F1346">
      <w:pPr>
        <w:pStyle w:val="SingleTxtG"/>
      </w:pPr>
      <w:r>
        <w:tab/>
      </w:r>
      <w:r w:rsidRPr="003F1346">
        <w:rPr>
          <w:i/>
        </w:rPr>
        <w:t>Guided</w:t>
      </w:r>
      <w:r w:rsidRPr="003F1346">
        <w:t xml:space="preserve"> by the purposes and principles of the Charter of the United Nations,</w:t>
      </w:r>
    </w:p>
    <w:p w:rsidR="003F1346" w:rsidRPr="003F1346" w:rsidRDefault="003F1346" w:rsidP="003F1346">
      <w:pPr>
        <w:pStyle w:val="SingleTxtG"/>
      </w:pPr>
      <w:r>
        <w:tab/>
      </w:r>
      <w:r w:rsidRPr="003F1346">
        <w:rPr>
          <w:i/>
        </w:rPr>
        <w:t>Recalling</w:t>
      </w:r>
      <w:r w:rsidRPr="003F1346">
        <w:t xml:space="preserve"> the Universal Declaration of Human Rights</w:t>
      </w:r>
      <w:r w:rsidR="00E42FCC">
        <w:t>,</w:t>
      </w:r>
      <w:r w:rsidRPr="003F1346">
        <w:t xml:space="preserve"> the International Covenant on Civil and Political Rights, the International Covenant on Economic, Social and Cultural Rights and other relevant human rights instruments,</w:t>
      </w:r>
    </w:p>
    <w:p w:rsidR="003F1346" w:rsidRPr="003F1346" w:rsidRDefault="003F1346" w:rsidP="003F1346">
      <w:pPr>
        <w:pStyle w:val="SingleTxtG"/>
        <w:rPr>
          <w:rFonts w:eastAsia="Calibri"/>
        </w:rPr>
      </w:pPr>
      <w:r>
        <w:rPr>
          <w:rFonts w:eastAsia="Calibri"/>
        </w:rPr>
        <w:tab/>
      </w:r>
      <w:r w:rsidRPr="003F1346">
        <w:rPr>
          <w:rFonts w:eastAsia="Calibri"/>
          <w:i/>
        </w:rPr>
        <w:t>Reaffirming</w:t>
      </w:r>
      <w:r w:rsidRPr="003F1346">
        <w:rPr>
          <w:rFonts w:eastAsia="Calibri"/>
        </w:rPr>
        <w:t xml:space="preserve"> Human Rights Council resolutions </w:t>
      </w:r>
      <w:r w:rsidR="00702CA6" w:rsidRPr="003F1346">
        <w:rPr>
          <w:rFonts w:eastAsia="Calibri"/>
        </w:rPr>
        <w:t>15/21 of 30 September 2010</w:t>
      </w:r>
      <w:r w:rsidR="00702CA6">
        <w:rPr>
          <w:rFonts w:eastAsia="Calibri"/>
        </w:rPr>
        <w:t xml:space="preserve">, </w:t>
      </w:r>
      <w:r w:rsidR="00702CA6" w:rsidRPr="003F1346">
        <w:rPr>
          <w:rFonts w:eastAsia="Calibri"/>
        </w:rPr>
        <w:t>21/16 of 27 September 2012</w:t>
      </w:r>
      <w:r w:rsidR="00702CA6">
        <w:rPr>
          <w:rFonts w:eastAsia="Calibri"/>
        </w:rPr>
        <w:t xml:space="preserve"> and</w:t>
      </w:r>
      <w:r w:rsidR="00702CA6" w:rsidRPr="003F1346">
        <w:rPr>
          <w:rFonts w:eastAsia="Calibri"/>
        </w:rPr>
        <w:t xml:space="preserve"> </w:t>
      </w:r>
      <w:r w:rsidRPr="003F1346">
        <w:rPr>
          <w:rFonts w:eastAsia="Calibri"/>
        </w:rPr>
        <w:t xml:space="preserve">24/5 of 26 September 2013, and recalling Council resolutions </w:t>
      </w:r>
      <w:r w:rsidR="00702CA6" w:rsidRPr="003F1346">
        <w:rPr>
          <w:rFonts w:eastAsia="Calibri"/>
        </w:rPr>
        <w:t xml:space="preserve">22/10 of 21 March 2013, 25/38 of 28 March 2014 </w:t>
      </w:r>
      <w:r w:rsidR="00702CA6">
        <w:rPr>
          <w:rFonts w:eastAsia="Calibri"/>
        </w:rPr>
        <w:t xml:space="preserve">and </w:t>
      </w:r>
      <w:r w:rsidRPr="003F1346">
        <w:rPr>
          <w:rFonts w:eastAsia="Calibri"/>
        </w:rPr>
        <w:t>26/13 of 26 June 2014, and relevant resolutions of the Commission on Human Rights,</w:t>
      </w:r>
    </w:p>
    <w:p w:rsidR="003F1346" w:rsidRPr="003F1346" w:rsidRDefault="003F1346" w:rsidP="003F1346">
      <w:pPr>
        <w:pStyle w:val="SingleTxtG"/>
        <w:rPr>
          <w:rFonts w:eastAsia="Calibri"/>
        </w:rPr>
      </w:pPr>
      <w:r>
        <w:rPr>
          <w:rFonts w:eastAsia="Calibri"/>
        </w:rPr>
        <w:tab/>
      </w:r>
      <w:r w:rsidRPr="003F1346">
        <w:rPr>
          <w:rFonts w:eastAsia="Calibri"/>
          <w:i/>
        </w:rPr>
        <w:t>Recalling</w:t>
      </w:r>
      <w:r w:rsidRPr="003F1346">
        <w:rPr>
          <w:rFonts w:eastAsia="Calibri"/>
        </w:rPr>
        <w:t xml:space="preserve"> Human Rights Council resolutions 5/1</w:t>
      </w:r>
      <w:r w:rsidR="00057D38">
        <w:rPr>
          <w:rFonts w:eastAsia="Calibri"/>
        </w:rPr>
        <w:t>,</w:t>
      </w:r>
      <w:r w:rsidRPr="003F1346">
        <w:rPr>
          <w:rFonts w:eastAsia="Calibri"/>
        </w:rPr>
        <w:t xml:space="preserve"> </w:t>
      </w:r>
      <w:r w:rsidR="003C3312">
        <w:rPr>
          <w:rFonts w:eastAsia="Calibri"/>
        </w:rPr>
        <w:t>on institution-building of the Council</w:t>
      </w:r>
      <w:r w:rsidR="00057D38">
        <w:rPr>
          <w:rFonts w:eastAsia="Calibri"/>
        </w:rPr>
        <w:t>,</w:t>
      </w:r>
      <w:r w:rsidR="003C3312">
        <w:rPr>
          <w:rFonts w:eastAsia="Calibri"/>
        </w:rPr>
        <w:t xml:space="preserve"> </w:t>
      </w:r>
      <w:r w:rsidRPr="003F1346">
        <w:rPr>
          <w:rFonts w:eastAsia="Calibri"/>
        </w:rPr>
        <w:t>and 5/2</w:t>
      </w:r>
      <w:r w:rsidR="00057D38">
        <w:rPr>
          <w:rFonts w:eastAsia="Calibri"/>
        </w:rPr>
        <w:t>,</w:t>
      </w:r>
      <w:r w:rsidRPr="003F1346">
        <w:rPr>
          <w:rFonts w:eastAsia="Calibri"/>
        </w:rPr>
        <w:t xml:space="preserve"> </w:t>
      </w:r>
      <w:r w:rsidR="003C3312">
        <w:rPr>
          <w:rFonts w:eastAsia="Calibri"/>
        </w:rPr>
        <w:t xml:space="preserve">on the </w:t>
      </w:r>
      <w:r w:rsidR="00057D38">
        <w:rPr>
          <w:rFonts w:eastAsia="Calibri"/>
        </w:rPr>
        <w:t>C</w:t>
      </w:r>
      <w:r w:rsidR="003C3312">
        <w:rPr>
          <w:rFonts w:eastAsia="Calibri"/>
        </w:rPr>
        <w:t xml:space="preserve">ode of </w:t>
      </w:r>
      <w:r w:rsidR="00057D38">
        <w:rPr>
          <w:rFonts w:eastAsia="Calibri"/>
        </w:rPr>
        <w:t>C</w:t>
      </w:r>
      <w:r w:rsidR="003C3312">
        <w:rPr>
          <w:rFonts w:eastAsia="Calibri"/>
        </w:rPr>
        <w:t xml:space="preserve">onduct for </w:t>
      </w:r>
      <w:r w:rsidR="00057D38">
        <w:rPr>
          <w:rFonts w:eastAsia="Calibri"/>
        </w:rPr>
        <w:t>S</w:t>
      </w:r>
      <w:r w:rsidR="003C3312">
        <w:rPr>
          <w:rFonts w:eastAsia="Calibri"/>
        </w:rPr>
        <w:t xml:space="preserve">pecial </w:t>
      </w:r>
      <w:r w:rsidR="00057D38">
        <w:rPr>
          <w:rFonts w:eastAsia="Calibri"/>
        </w:rPr>
        <w:t>P</w:t>
      </w:r>
      <w:r w:rsidR="003C3312">
        <w:rPr>
          <w:rFonts w:eastAsia="Calibri"/>
        </w:rPr>
        <w:t xml:space="preserve">rocedures </w:t>
      </w:r>
      <w:r w:rsidR="00057D38">
        <w:rPr>
          <w:rFonts w:eastAsia="Calibri"/>
        </w:rPr>
        <w:t>M</w:t>
      </w:r>
      <w:r w:rsidR="003C3312">
        <w:rPr>
          <w:rFonts w:eastAsia="Calibri"/>
        </w:rPr>
        <w:t xml:space="preserve">andate </w:t>
      </w:r>
      <w:r w:rsidR="00057D38">
        <w:rPr>
          <w:rFonts w:eastAsia="Calibri"/>
        </w:rPr>
        <w:t>H</w:t>
      </w:r>
      <w:r w:rsidR="003C3312">
        <w:rPr>
          <w:rFonts w:eastAsia="Calibri"/>
        </w:rPr>
        <w:t>olders of the Council</w:t>
      </w:r>
      <w:r w:rsidR="003C3312" w:rsidRPr="003F1346">
        <w:rPr>
          <w:rFonts w:eastAsia="Calibri"/>
        </w:rPr>
        <w:t>,</w:t>
      </w:r>
      <w:r w:rsidR="00D123AE">
        <w:rPr>
          <w:rFonts w:eastAsia="Calibri"/>
        </w:rPr>
        <w:t xml:space="preserve"> </w:t>
      </w:r>
      <w:r w:rsidRPr="003F1346">
        <w:rPr>
          <w:rFonts w:eastAsia="Calibri"/>
        </w:rPr>
        <w:t>of 18 June 2007</w:t>
      </w:r>
      <w:r w:rsidR="00057D38">
        <w:rPr>
          <w:rFonts w:eastAsia="Calibri"/>
        </w:rPr>
        <w:t>,</w:t>
      </w:r>
    </w:p>
    <w:p w:rsidR="003F1346" w:rsidRPr="003F1346" w:rsidRDefault="003F1346" w:rsidP="003F1346">
      <w:pPr>
        <w:pStyle w:val="SingleTxtG"/>
        <w:rPr>
          <w:rFonts w:eastAsia="Calibri"/>
        </w:rPr>
      </w:pPr>
      <w:r>
        <w:rPr>
          <w:rFonts w:eastAsia="Calibri"/>
        </w:rPr>
        <w:tab/>
      </w:r>
      <w:r w:rsidRPr="003F1346">
        <w:rPr>
          <w:rFonts w:eastAsia="Calibri"/>
          <w:i/>
        </w:rPr>
        <w:t>Recognizing</w:t>
      </w:r>
      <w:r w:rsidRPr="003F1346">
        <w:rPr>
          <w:rFonts w:eastAsia="Calibri"/>
        </w:rPr>
        <w:t xml:space="preserve"> that the effective exercise of the rights to freedom of peaceful assembly and of association, as enshrined in the International Covenant on Civil and Political Rights and the Universal Declaration of Human Rights, is essential for the enjoyment of other human rights and freedoms and constitutes a fundamental pillar for building a democratic society and strengthening democracy, bearing in mind that all human rights are universal, indivisible, interdependent and interrelated,</w:t>
      </w:r>
      <w:r w:rsidR="00F209A5">
        <w:rPr>
          <w:rFonts w:eastAsia="Calibri"/>
        </w:rPr>
        <w:t xml:space="preserve"> </w:t>
      </w:r>
    </w:p>
    <w:p w:rsidR="003F1346" w:rsidRPr="003F1346" w:rsidRDefault="003F1346" w:rsidP="003F1346">
      <w:pPr>
        <w:pStyle w:val="SingleTxtG"/>
        <w:rPr>
          <w:rFonts w:eastAsia="Calibri"/>
        </w:rPr>
      </w:pPr>
      <w:r>
        <w:rPr>
          <w:rFonts w:eastAsia="Calibri"/>
        </w:rPr>
        <w:tab/>
      </w:r>
      <w:r w:rsidRPr="003F1346">
        <w:rPr>
          <w:rFonts w:eastAsia="Calibri"/>
          <w:i/>
        </w:rPr>
        <w:t>Aware</w:t>
      </w:r>
      <w:r w:rsidRPr="003F1346">
        <w:rPr>
          <w:rFonts w:eastAsia="Calibri"/>
        </w:rPr>
        <w:t xml:space="preserve"> of the crucial importance of the active involvement of civil society in processes of governance</w:t>
      </w:r>
      <w:r>
        <w:rPr>
          <w:rFonts w:eastAsia="Calibri"/>
        </w:rPr>
        <w:t xml:space="preserve"> that affect the life of people,</w:t>
      </w:r>
    </w:p>
    <w:p w:rsidR="003F1346" w:rsidRPr="003F1346" w:rsidRDefault="003F1346" w:rsidP="003F1346">
      <w:pPr>
        <w:pStyle w:val="SingleTxtG"/>
        <w:rPr>
          <w:rFonts w:eastAsia="Calibri"/>
        </w:rPr>
      </w:pPr>
      <w:r>
        <w:rPr>
          <w:rFonts w:eastAsia="Calibri"/>
        </w:rPr>
        <w:tab/>
      </w:r>
      <w:r w:rsidRPr="003F1346">
        <w:rPr>
          <w:rFonts w:eastAsia="Calibri"/>
          <w:i/>
        </w:rPr>
        <w:t>Taking note</w:t>
      </w:r>
      <w:r w:rsidRPr="003F1346">
        <w:rPr>
          <w:rFonts w:eastAsia="Calibri"/>
        </w:rPr>
        <w:t xml:space="preserve"> of the report of the Special Rapporteur on the rights to freedom of peaceful assembly and of association submitted to the Human Rights Council at its thirty-second session,</w:t>
      </w:r>
      <w:r w:rsidR="00B45392">
        <w:rPr>
          <w:rStyle w:val="FootnoteReference"/>
          <w:rFonts w:eastAsia="Calibri"/>
        </w:rPr>
        <w:footnoteReference w:id="2"/>
      </w:r>
    </w:p>
    <w:p w:rsidR="003F1346" w:rsidRPr="003F1346" w:rsidRDefault="003F1346" w:rsidP="00ED7236">
      <w:pPr>
        <w:pStyle w:val="SingleTxtG"/>
        <w:rPr>
          <w:rFonts w:eastAsia="Calibri"/>
        </w:rPr>
      </w:pPr>
      <w:r>
        <w:rPr>
          <w:rFonts w:eastAsia="Calibri"/>
        </w:rPr>
        <w:lastRenderedPageBreak/>
        <w:tab/>
      </w:r>
      <w:r w:rsidRPr="003F1346">
        <w:rPr>
          <w:rFonts w:eastAsia="Calibri"/>
          <w:i/>
        </w:rPr>
        <w:t>Acknowledging</w:t>
      </w:r>
      <w:r w:rsidRPr="003F1346">
        <w:rPr>
          <w:rFonts w:eastAsia="Calibri"/>
        </w:rPr>
        <w:t xml:space="preserve"> that professional associations </w:t>
      </w:r>
      <w:r w:rsidR="007F5FE7">
        <w:rPr>
          <w:rFonts w:eastAsia="Calibri"/>
        </w:rPr>
        <w:t xml:space="preserve">are among </w:t>
      </w:r>
      <w:r w:rsidRPr="003F1346">
        <w:rPr>
          <w:rFonts w:eastAsia="Calibri"/>
        </w:rPr>
        <w:t>the manifestations of the right to freedom of association</w:t>
      </w:r>
      <w:r>
        <w:rPr>
          <w:rFonts w:eastAsia="Calibri"/>
        </w:rPr>
        <w:t>,</w:t>
      </w:r>
    </w:p>
    <w:p w:rsidR="003F1346" w:rsidRPr="003F1346" w:rsidRDefault="003F1346" w:rsidP="003F1346">
      <w:pPr>
        <w:pStyle w:val="SingleTxtG"/>
        <w:rPr>
          <w:rFonts w:eastAsia="Calibri"/>
        </w:rPr>
      </w:pPr>
      <w:r>
        <w:rPr>
          <w:rFonts w:eastAsia="Calibri"/>
        </w:rPr>
        <w:tab/>
      </w:r>
      <w:r w:rsidRPr="003F1346">
        <w:rPr>
          <w:rFonts w:eastAsia="Calibri"/>
        </w:rPr>
        <w:t>1.</w:t>
      </w:r>
      <w:r w:rsidRPr="003F1346">
        <w:rPr>
          <w:rFonts w:eastAsia="Calibri"/>
        </w:rPr>
        <w:tab/>
      </w:r>
      <w:r w:rsidRPr="003F1346">
        <w:rPr>
          <w:rFonts w:eastAsia="Calibri"/>
          <w:i/>
        </w:rPr>
        <w:t>Decides</w:t>
      </w:r>
      <w:r w:rsidRPr="003F1346">
        <w:rPr>
          <w:rFonts w:eastAsia="Calibri"/>
        </w:rPr>
        <w:t xml:space="preserve"> to renew the mandate of the Special Rapporteur on the rights to freedom of peaceful assembly and of association, as established by the Human Rights Council in its resolution 15/21, for a period of three years;</w:t>
      </w:r>
    </w:p>
    <w:p w:rsidR="003F1346" w:rsidRPr="003F1346" w:rsidRDefault="003F1346" w:rsidP="003F1346">
      <w:pPr>
        <w:pStyle w:val="SingleTxtG"/>
        <w:rPr>
          <w:rFonts w:eastAsia="Calibri"/>
        </w:rPr>
      </w:pPr>
      <w:r>
        <w:rPr>
          <w:rFonts w:eastAsia="Calibri"/>
        </w:rPr>
        <w:tab/>
      </w:r>
      <w:r w:rsidRPr="003F1346">
        <w:rPr>
          <w:rFonts w:eastAsia="Calibri"/>
        </w:rPr>
        <w:t>2</w:t>
      </w:r>
      <w:r>
        <w:rPr>
          <w:rFonts w:eastAsia="Calibri"/>
        </w:rPr>
        <w:t>.</w:t>
      </w:r>
      <w:r w:rsidRPr="003F1346">
        <w:rPr>
          <w:rFonts w:eastAsia="Calibri"/>
        </w:rPr>
        <w:tab/>
      </w:r>
      <w:r w:rsidRPr="003F1346">
        <w:rPr>
          <w:rFonts w:eastAsia="Calibri"/>
          <w:i/>
        </w:rPr>
        <w:t>Calls upon</w:t>
      </w:r>
      <w:r w:rsidRPr="003F1346">
        <w:rPr>
          <w:rFonts w:eastAsia="Calibri"/>
        </w:rPr>
        <w:t xml:space="preserve"> States to continue to cooperate fully with and assist the Special Rapporteur in the performance of </w:t>
      </w:r>
      <w:r w:rsidR="00B45392">
        <w:rPr>
          <w:rFonts w:eastAsia="Calibri"/>
        </w:rPr>
        <w:t>the</w:t>
      </w:r>
      <w:r w:rsidRPr="003F1346">
        <w:rPr>
          <w:rFonts w:eastAsia="Calibri"/>
        </w:rPr>
        <w:t xml:space="preserve"> mandate, to respond promptly to his or her urgent appeals and other communications</w:t>
      </w:r>
      <w:r w:rsidR="00B45392">
        <w:rPr>
          <w:rFonts w:eastAsia="Calibri"/>
        </w:rPr>
        <w:t>,</w:t>
      </w:r>
      <w:r w:rsidRPr="003F1346">
        <w:rPr>
          <w:rFonts w:eastAsia="Calibri"/>
        </w:rPr>
        <w:t xml:space="preserve"> and to consider favourably his or her requests for visits;</w:t>
      </w:r>
    </w:p>
    <w:p w:rsidR="003F1346" w:rsidRPr="003F1346" w:rsidRDefault="003F1346" w:rsidP="003F1346">
      <w:pPr>
        <w:pStyle w:val="SingleTxtG"/>
        <w:rPr>
          <w:rFonts w:eastAsia="Calibri"/>
        </w:rPr>
      </w:pPr>
      <w:r>
        <w:rPr>
          <w:rFonts w:eastAsia="Calibri"/>
        </w:rPr>
        <w:tab/>
      </w:r>
      <w:r w:rsidRPr="003F1346">
        <w:rPr>
          <w:rFonts w:eastAsia="Calibri"/>
        </w:rPr>
        <w:t>3.</w:t>
      </w:r>
      <w:r w:rsidRPr="003F1346">
        <w:rPr>
          <w:rFonts w:eastAsia="Calibri"/>
        </w:rPr>
        <w:tab/>
      </w:r>
      <w:r w:rsidRPr="003F1346">
        <w:rPr>
          <w:rFonts w:eastAsia="Calibri"/>
          <w:i/>
        </w:rPr>
        <w:t>Requests</w:t>
      </w:r>
      <w:r w:rsidRPr="003F1346">
        <w:rPr>
          <w:rFonts w:eastAsia="Calibri"/>
        </w:rPr>
        <w:t xml:space="preserve"> the Special Rapporteur to continue to report annually to the Human Rights Council and the General Assembly;</w:t>
      </w:r>
      <w:r>
        <w:rPr>
          <w:rFonts w:eastAsia="Calibri"/>
        </w:rPr>
        <w:tab/>
      </w:r>
    </w:p>
    <w:p w:rsidR="003F1346" w:rsidRPr="003F1346" w:rsidRDefault="003F1346" w:rsidP="003F1346">
      <w:pPr>
        <w:pStyle w:val="SingleTxtG"/>
        <w:rPr>
          <w:rFonts w:eastAsia="Calibri"/>
        </w:rPr>
      </w:pPr>
      <w:r>
        <w:rPr>
          <w:rFonts w:eastAsia="Calibri"/>
        </w:rPr>
        <w:tab/>
      </w:r>
      <w:r w:rsidR="007F5FE7">
        <w:rPr>
          <w:rFonts w:eastAsia="Calibri"/>
        </w:rPr>
        <w:t>4</w:t>
      </w:r>
      <w:r w:rsidRPr="003F1346">
        <w:rPr>
          <w:rFonts w:eastAsia="Calibri"/>
        </w:rPr>
        <w:t>.</w:t>
      </w:r>
      <w:r w:rsidRPr="003F1346">
        <w:rPr>
          <w:rFonts w:eastAsia="Calibri"/>
        </w:rPr>
        <w:tab/>
      </w:r>
      <w:r w:rsidRPr="003F1346">
        <w:rPr>
          <w:rFonts w:eastAsia="SimSun"/>
          <w:i/>
        </w:rPr>
        <w:t>Invites</w:t>
      </w:r>
      <w:r w:rsidRPr="003F1346">
        <w:rPr>
          <w:rFonts w:eastAsia="SimSun"/>
        </w:rPr>
        <w:t xml:space="preserve"> the Special Rapporteur to consider </w:t>
      </w:r>
      <w:r w:rsidR="00A21ED0">
        <w:rPr>
          <w:rFonts w:eastAsia="SimSun"/>
          <w:lang w:eastAsia="ar-SA"/>
        </w:rPr>
        <w:t xml:space="preserve">addressing, in his or her future reporting, </w:t>
      </w:r>
      <w:r w:rsidRPr="003F1346">
        <w:rPr>
          <w:rFonts w:eastAsia="SimSun"/>
        </w:rPr>
        <w:t>the topic of professional associations</w:t>
      </w:r>
      <w:r w:rsidR="00A21ED0">
        <w:rPr>
          <w:rFonts w:eastAsia="SimSun"/>
          <w:lang w:eastAsia="ar-SA"/>
        </w:rPr>
        <w:t xml:space="preserve">, </w:t>
      </w:r>
      <w:r w:rsidR="00A21ED0">
        <w:rPr>
          <w:rFonts w:eastAsia="Calibri"/>
        </w:rPr>
        <w:t xml:space="preserve">including the role </w:t>
      </w:r>
      <w:r w:rsidR="00D123AE">
        <w:rPr>
          <w:rFonts w:eastAsia="Calibri"/>
        </w:rPr>
        <w:t xml:space="preserve">of </w:t>
      </w:r>
      <w:r w:rsidR="00A21ED0" w:rsidRPr="007122EA">
        <w:rPr>
          <w:rFonts w:eastAsia="Calibri"/>
        </w:rPr>
        <w:t xml:space="preserve">professional associations </w:t>
      </w:r>
      <w:r w:rsidR="00D123AE">
        <w:rPr>
          <w:rFonts w:eastAsia="Calibri"/>
        </w:rPr>
        <w:t xml:space="preserve">in </w:t>
      </w:r>
      <w:r w:rsidR="00A21ED0" w:rsidRPr="007122EA">
        <w:rPr>
          <w:rFonts w:eastAsia="Calibri"/>
        </w:rPr>
        <w:t>the promotion and protection of all human rights, the reali</w:t>
      </w:r>
      <w:r w:rsidR="00057D38">
        <w:rPr>
          <w:rFonts w:eastAsia="Calibri"/>
        </w:rPr>
        <w:t>z</w:t>
      </w:r>
      <w:r w:rsidR="00A21ED0" w:rsidRPr="007122EA">
        <w:rPr>
          <w:rFonts w:eastAsia="Calibri"/>
        </w:rPr>
        <w:t>ation of development efforts, and building and maintaining a democratic society</w:t>
      </w:r>
      <w:r w:rsidR="00A21ED0">
        <w:rPr>
          <w:rFonts w:eastAsia="Calibri"/>
        </w:rPr>
        <w:t xml:space="preserve">, and also including how </w:t>
      </w:r>
      <w:r w:rsidR="00A21ED0" w:rsidRPr="007122EA">
        <w:rPr>
          <w:rFonts w:eastAsia="Calibri"/>
        </w:rPr>
        <w:t xml:space="preserve">States and other relevant stakeholders </w:t>
      </w:r>
      <w:r w:rsidR="00A21ED0">
        <w:rPr>
          <w:rFonts w:eastAsia="Calibri"/>
        </w:rPr>
        <w:t xml:space="preserve">may </w:t>
      </w:r>
      <w:r w:rsidR="00A21ED0" w:rsidRPr="007122EA">
        <w:rPr>
          <w:rFonts w:eastAsia="Calibri"/>
        </w:rPr>
        <w:t xml:space="preserve">promote, create and maintain conditions conducive </w:t>
      </w:r>
      <w:r w:rsidR="00057D38">
        <w:rPr>
          <w:rFonts w:eastAsia="Calibri"/>
        </w:rPr>
        <w:t>to</w:t>
      </w:r>
      <w:r w:rsidR="00A21ED0" w:rsidRPr="007122EA">
        <w:rPr>
          <w:rFonts w:eastAsia="Calibri"/>
        </w:rPr>
        <w:t xml:space="preserve"> the development and activities of professional associations</w:t>
      </w:r>
      <w:r w:rsidRPr="003F1346">
        <w:rPr>
          <w:rFonts w:eastAsia="SimSun"/>
        </w:rPr>
        <w:t>;</w:t>
      </w:r>
    </w:p>
    <w:p w:rsidR="003F1346" w:rsidRPr="003F1346" w:rsidRDefault="003F1346" w:rsidP="003F1346">
      <w:pPr>
        <w:pStyle w:val="SingleTxtG"/>
        <w:rPr>
          <w:rFonts w:eastAsia="Calibri"/>
        </w:rPr>
      </w:pPr>
      <w:r>
        <w:rPr>
          <w:rFonts w:eastAsia="Calibri"/>
        </w:rPr>
        <w:tab/>
      </w:r>
      <w:r w:rsidR="007F5FE7">
        <w:rPr>
          <w:rFonts w:eastAsia="Calibri"/>
        </w:rPr>
        <w:t>5</w:t>
      </w:r>
      <w:r>
        <w:rPr>
          <w:rFonts w:eastAsia="Calibri"/>
        </w:rPr>
        <w:t>.</w:t>
      </w:r>
      <w:r w:rsidRPr="003F1346">
        <w:rPr>
          <w:rFonts w:eastAsia="Calibri"/>
        </w:rPr>
        <w:tab/>
      </w:r>
      <w:r w:rsidRPr="003F1346">
        <w:rPr>
          <w:rFonts w:eastAsia="Calibri"/>
          <w:i/>
        </w:rPr>
        <w:t>Requests</w:t>
      </w:r>
      <w:r w:rsidRPr="003F1346">
        <w:rPr>
          <w:rFonts w:eastAsia="Calibri"/>
        </w:rPr>
        <w:t xml:space="preserve"> the Secretary</w:t>
      </w:r>
      <w:r w:rsidR="00B45392">
        <w:rPr>
          <w:rFonts w:eastAsia="Calibri"/>
        </w:rPr>
        <w:t>-</w:t>
      </w:r>
      <w:r w:rsidRPr="003F1346">
        <w:rPr>
          <w:rFonts w:eastAsia="Calibri"/>
        </w:rPr>
        <w:t xml:space="preserve">General to provide the assistance necessary to the Special Rapporteur to fulfil </w:t>
      </w:r>
      <w:r w:rsidR="00B45392">
        <w:rPr>
          <w:rFonts w:eastAsia="Calibri"/>
        </w:rPr>
        <w:t>the</w:t>
      </w:r>
      <w:r w:rsidRPr="003F1346">
        <w:rPr>
          <w:rFonts w:eastAsia="Calibri"/>
        </w:rPr>
        <w:t xml:space="preserve"> mandate, in particular by placing adequate human and material r</w:t>
      </w:r>
      <w:r>
        <w:rPr>
          <w:rFonts w:eastAsia="Calibri"/>
        </w:rPr>
        <w:t>esources at his or her disposal;</w:t>
      </w:r>
    </w:p>
    <w:p w:rsidR="003F1346" w:rsidRDefault="003F1346" w:rsidP="003F1346">
      <w:pPr>
        <w:pStyle w:val="SingleTxtG"/>
        <w:rPr>
          <w:rFonts w:eastAsia="Calibri"/>
        </w:rPr>
      </w:pPr>
      <w:r>
        <w:rPr>
          <w:rFonts w:eastAsia="Calibri"/>
        </w:rPr>
        <w:tab/>
      </w:r>
      <w:r w:rsidR="007F5FE7">
        <w:rPr>
          <w:rFonts w:eastAsia="Calibri"/>
        </w:rPr>
        <w:t>6</w:t>
      </w:r>
      <w:r w:rsidRPr="003F1346">
        <w:rPr>
          <w:rFonts w:eastAsia="Calibri"/>
        </w:rPr>
        <w:t>.</w:t>
      </w:r>
      <w:r w:rsidRPr="003F1346">
        <w:rPr>
          <w:rFonts w:eastAsia="Calibri"/>
        </w:rPr>
        <w:tab/>
      </w:r>
      <w:r w:rsidRPr="003F1346">
        <w:rPr>
          <w:rFonts w:eastAsia="Calibri"/>
          <w:i/>
        </w:rPr>
        <w:t>Decides</w:t>
      </w:r>
      <w:r w:rsidRPr="003F1346">
        <w:rPr>
          <w:rFonts w:eastAsia="Calibri"/>
        </w:rPr>
        <w:t xml:space="preserve"> to continue its consideration of the issue of the rights to freedom of peaceful assembly and of association in accordance with its programme of work.</w:t>
      </w:r>
    </w:p>
    <w:p w:rsidR="008D3F3C" w:rsidRPr="00FB6895" w:rsidRDefault="008D3F3C" w:rsidP="008D3F3C">
      <w:pPr>
        <w:pStyle w:val="Default"/>
        <w:ind w:right="1134"/>
        <w:jc w:val="right"/>
        <w:rPr>
          <w:sz w:val="20"/>
          <w:szCs w:val="20"/>
          <w:lang w:val="en-GB"/>
        </w:rPr>
      </w:pPr>
      <w:r w:rsidRPr="00FB6895">
        <w:rPr>
          <w:i/>
          <w:iCs/>
          <w:sz w:val="20"/>
          <w:szCs w:val="20"/>
          <w:lang w:val="en-GB"/>
        </w:rPr>
        <w:t>46th meeting</w:t>
      </w:r>
    </w:p>
    <w:p w:rsidR="008D3F3C" w:rsidRPr="00FB6895" w:rsidRDefault="008D3F3C" w:rsidP="008D3F3C">
      <w:pPr>
        <w:pStyle w:val="Default"/>
        <w:ind w:right="1134"/>
        <w:jc w:val="right"/>
        <w:rPr>
          <w:sz w:val="20"/>
          <w:szCs w:val="20"/>
          <w:lang w:val="en-GB"/>
        </w:rPr>
      </w:pPr>
      <w:r w:rsidRPr="00FB6895">
        <w:rPr>
          <w:i/>
          <w:iCs/>
          <w:sz w:val="20"/>
          <w:szCs w:val="20"/>
          <w:lang w:val="en-GB"/>
        </w:rPr>
        <w:t>1 July 2016</w:t>
      </w:r>
    </w:p>
    <w:p w:rsidR="008D3F3C" w:rsidRPr="003F1346" w:rsidRDefault="008D3F3C" w:rsidP="008D3F3C">
      <w:pPr>
        <w:pStyle w:val="SingleTxtG"/>
        <w:rPr>
          <w:rFonts w:eastAsia="Calibri"/>
        </w:rPr>
      </w:pPr>
      <w:proofErr w:type="gramStart"/>
      <w:r>
        <w:t>[Adopted without a vote.]</w:t>
      </w:r>
      <w:proofErr w:type="gramEnd"/>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9F" w:rsidRDefault="00C8399F"/>
  </w:endnote>
  <w:endnote w:type="continuationSeparator" w:id="0">
    <w:p w:rsidR="00C8399F" w:rsidRDefault="00C8399F"/>
  </w:endnote>
  <w:endnote w:type="continuationNotice" w:id="1">
    <w:p w:rsidR="00C8399F" w:rsidRDefault="00C83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B5A6B">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8F603A">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6B" w:rsidRDefault="006B5A6B" w:rsidP="006B5A6B">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B5A6B" w:rsidRDefault="006B5A6B" w:rsidP="006B5A6B">
    <w:pPr>
      <w:pStyle w:val="Footer"/>
      <w:ind w:right="1134"/>
      <w:rPr>
        <w:sz w:val="20"/>
      </w:rPr>
    </w:pPr>
    <w:r>
      <w:rPr>
        <w:sz w:val="20"/>
      </w:rPr>
      <w:t>GE.16-12329(E)</w:t>
    </w:r>
  </w:p>
  <w:p w:rsidR="006B5A6B" w:rsidRPr="006B5A6B" w:rsidRDefault="006B5A6B" w:rsidP="006B5A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RES/32/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2/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9F" w:rsidRPr="000B175B" w:rsidRDefault="00C8399F" w:rsidP="000B175B">
      <w:pPr>
        <w:tabs>
          <w:tab w:val="right" w:pos="2155"/>
        </w:tabs>
        <w:spacing w:after="80"/>
        <w:ind w:left="680"/>
        <w:rPr>
          <w:u w:val="single"/>
        </w:rPr>
      </w:pPr>
      <w:r>
        <w:rPr>
          <w:u w:val="single"/>
        </w:rPr>
        <w:tab/>
      </w:r>
    </w:p>
  </w:footnote>
  <w:footnote w:type="continuationSeparator" w:id="0">
    <w:p w:rsidR="00C8399F" w:rsidRPr="00FC68B7" w:rsidRDefault="00C8399F" w:rsidP="00FC68B7">
      <w:pPr>
        <w:tabs>
          <w:tab w:val="left" w:pos="2155"/>
        </w:tabs>
        <w:spacing w:after="80"/>
        <w:ind w:left="680"/>
        <w:rPr>
          <w:u w:val="single"/>
        </w:rPr>
      </w:pPr>
      <w:r>
        <w:rPr>
          <w:u w:val="single"/>
        </w:rPr>
        <w:tab/>
      </w:r>
    </w:p>
  </w:footnote>
  <w:footnote w:type="continuationNotice" w:id="1">
    <w:p w:rsidR="00C8399F" w:rsidRDefault="00C8399F"/>
  </w:footnote>
  <w:footnote w:id="2">
    <w:p w:rsidR="00B45392" w:rsidRPr="003953BA" w:rsidRDefault="00B45392">
      <w:pPr>
        <w:pStyle w:val="FootnoteText"/>
        <w:rPr>
          <w:lang w:val="en-US"/>
        </w:rPr>
      </w:pPr>
      <w:r>
        <w:tab/>
      </w:r>
      <w:r>
        <w:rPr>
          <w:rStyle w:val="FootnoteReference"/>
        </w:rPr>
        <w:footnoteRef/>
      </w:r>
      <w:r>
        <w:t xml:space="preserve"> </w:t>
      </w:r>
      <w:r>
        <w:tab/>
      </w:r>
      <w:proofErr w:type="gramStart"/>
      <w:r>
        <w:rPr>
          <w:lang w:val="en-US"/>
        </w:rPr>
        <w:t>A/HRC/32/36.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941584">
      <w:t>RES/</w:t>
    </w:r>
    <w:r w:rsidR="00402A2C">
      <w:t>3</w:t>
    </w:r>
    <w:r w:rsidR="00F714CA">
      <w:t>2</w:t>
    </w:r>
    <w:r w:rsidR="00E10083">
      <w:t>/</w:t>
    </w:r>
    <w:r w:rsidR="00941584">
      <w:t>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941584">
      <w:t>RES/32/32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46077"/>
    <w:rsid w:val="00050F6B"/>
    <w:rsid w:val="0005216E"/>
    <w:rsid w:val="00057854"/>
    <w:rsid w:val="00057D38"/>
    <w:rsid w:val="00072C8C"/>
    <w:rsid w:val="00073E70"/>
    <w:rsid w:val="000876EB"/>
    <w:rsid w:val="00091419"/>
    <w:rsid w:val="00092475"/>
    <w:rsid w:val="000931C0"/>
    <w:rsid w:val="000A2AFE"/>
    <w:rsid w:val="000B175B"/>
    <w:rsid w:val="000B1E07"/>
    <w:rsid w:val="000B3A0F"/>
    <w:rsid w:val="000B4A3B"/>
    <w:rsid w:val="000D1851"/>
    <w:rsid w:val="000E0415"/>
    <w:rsid w:val="0010066F"/>
    <w:rsid w:val="00111F87"/>
    <w:rsid w:val="0011209E"/>
    <w:rsid w:val="00114904"/>
    <w:rsid w:val="00146D32"/>
    <w:rsid w:val="001509BA"/>
    <w:rsid w:val="00153FA2"/>
    <w:rsid w:val="00154B0E"/>
    <w:rsid w:val="00190DA0"/>
    <w:rsid w:val="00195879"/>
    <w:rsid w:val="001A21D1"/>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85A"/>
    <w:rsid w:val="002A05B4"/>
    <w:rsid w:val="002C21F0"/>
    <w:rsid w:val="002D4176"/>
    <w:rsid w:val="002E7C76"/>
    <w:rsid w:val="002F006E"/>
    <w:rsid w:val="003031DC"/>
    <w:rsid w:val="003107FA"/>
    <w:rsid w:val="003229D8"/>
    <w:rsid w:val="003314D1"/>
    <w:rsid w:val="00335A2F"/>
    <w:rsid w:val="00341937"/>
    <w:rsid w:val="0036088C"/>
    <w:rsid w:val="00364A1C"/>
    <w:rsid w:val="00390052"/>
    <w:rsid w:val="0039277A"/>
    <w:rsid w:val="003953BA"/>
    <w:rsid w:val="003972E0"/>
    <w:rsid w:val="003975ED"/>
    <w:rsid w:val="003C2CC4"/>
    <w:rsid w:val="003C3312"/>
    <w:rsid w:val="003D206B"/>
    <w:rsid w:val="003D2765"/>
    <w:rsid w:val="003D4B23"/>
    <w:rsid w:val="003E7D53"/>
    <w:rsid w:val="003F1346"/>
    <w:rsid w:val="00402A2C"/>
    <w:rsid w:val="00424C80"/>
    <w:rsid w:val="00427510"/>
    <w:rsid w:val="004325CB"/>
    <w:rsid w:val="004410BB"/>
    <w:rsid w:val="004413C2"/>
    <w:rsid w:val="00443464"/>
    <w:rsid w:val="0044503A"/>
    <w:rsid w:val="004453BF"/>
    <w:rsid w:val="00445791"/>
    <w:rsid w:val="00446DE4"/>
    <w:rsid w:val="00447761"/>
    <w:rsid w:val="00451EC3"/>
    <w:rsid w:val="00456DD6"/>
    <w:rsid w:val="004721B1"/>
    <w:rsid w:val="00472982"/>
    <w:rsid w:val="004859EC"/>
    <w:rsid w:val="00487B50"/>
    <w:rsid w:val="004939B3"/>
    <w:rsid w:val="00493D3E"/>
    <w:rsid w:val="00496A15"/>
    <w:rsid w:val="004A637F"/>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5ECF"/>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5A6B"/>
    <w:rsid w:val="006B7D65"/>
    <w:rsid w:val="006C28EE"/>
    <w:rsid w:val="006C35AD"/>
    <w:rsid w:val="006D4961"/>
    <w:rsid w:val="006D5F84"/>
    <w:rsid w:val="006D6DA6"/>
    <w:rsid w:val="006E564B"/>
    <w:rsid w:val="006E59E7"/>
    <w:rsid w:val="006F13F0"/>
    <w:rsid w:val="006F5035"/>
    <w:rsid w:val="00702CA6"/>
    <w:rsid w:val="0070635F"/>
    <w:rsid w:val="007065EB"/>
    <w:rsid w:val="0071701A"/>
    <w:rsid w:val="00720183"/>
    <w:rsid w:val="0072632A"/>
    <w:rsid w:val="0074200B"/>
    <w:rsid w:val="0075517E"/>
    <w:rsid w:val="007A3577"/>
    <w:rsid w:val="007A6296"/>
    <w:rsid w:val="007B208E"/>
    <w:rsid w:val="007B5706"/>
    <w:rsid w:val="007B6BA5"/>
    <w:rsid w:val="007B7C6F"/>
    <w:rsid w:val="007C00FB"/>
    <w:rsid w:val="007C1B62"/>
    <w:rsid w:val="007C3390"/>
    <w:rsid w:val="007C367B"/>
    <w:rsid w:val="007C4F4B"/>
    <w:rsid w:val="007C5E9C"/>
    <w:rsid w:val="007D2CDC"/>
    <w:rsid w:val="007D5327"/>
    <w:rsid w:val="007E15F4"/>
    <w:rsid w:val="007F5FE7"/>
    <w:rsid w:val="007F6611"/>
    <w:rsid w:val="008155C3"/>
    <w:rsid w:val="008175E9"/>
    <w:rsid w:val="0082243E"/>
    <w:rsid w:val="008242D7"/>
    <w:rsid w:val="008402E9"/>
    <w:rsid w:val="00856CD2"/>
    <w:rsid w:val="00861BC6"/>
    <w:rsid w:val="00871FD5"/>
    <w:rsid w:val="008979B1"/>
    <w:rsid w:val="008A66CE"/>
    <w:rsid w:val="008A6B25"/>
    <w:rsid w:val="008A6C4F"/>
    <w:rsid w:val="008C1E4D"/>
    <w:rsid w:val="008D1C5B"/>
    <w:rsid w:val="008D34BB"/>
    <w:rsid w:val="008D3F3C"/>
    <w:rsid w:val="008E0E46"/>
    <w:rsid w:val="008F603A"/>
    <w:rsid w:val="0090452C"/>
    <w:rsid w:val="00907C3F"/>
    <w:rsid w:val="00920640"/>
    <w:rsid w:val="0092237C"/>
    <w:rsid w:val="0093707B"/>
    <w:rsid w:val="009400EB"/>
    <w:rsid w:val="00941584"/>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14C42"/>
    <w:rsid w:val="00A21ED0"/>
    <w:rsid w:val="00A3589E"/>
    <w:rsid w:val="00A4634F"/>
    <w:rsid w:val="00A51CF3"/>
    <w:rsid w:val="00A72F22"/>
    <w:rsid w:val="00A748A6"/>
    <w:rsid w:val="00A879A4"/>
    <w:rsid w:val="00A87E95"/>
    <w:rsid w:val="00A92E29"/>
    <w:rsid w:val="00AA38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45392"/>
    <w:rsid w:val="00B53013"/>
    <w:rsid w:val="00B57EDB"/>
    <w:rsid w:val="00B67F5E"/>
    <w:rsid w:val="00B73E65"/>
    <w:rsid w:val="00B81E12"/>
    <w:rsid w:val="00B87110"/>
    <w:rsid w:val="00B94B00"/>
    <w:rsid w:val="00B97FA8"/>
    <w:rsid w:val="00BA31AF"/>
    <w:rsid w:val="00BB5313"/>
    <w:rsid w:val="00BB6B54"/>
    <w:rsid w:val="00BC1385"/>
    <w:rsid w:val="00BC74E9"/>
    <w:rsid w:val="00BE00DE"/>
    <w:rsid w:val="00BE618E"/>
    <w:rsid w:val="00C24693"/>
    <w:rsid w:val="00C359A4"/>
    <w:rsid w:val="00C35F0B"/>
    <w:rsid w:val="00C42278"/>
    <w:rsid w:val="00C463DD"/>
    <w:rsid w:val="00C62C58"/>
    <w:rsid w:val="00C64458"/>
    <w:rsid w:val="00C745C3"/>
    <w:rsid w:val="00C8399F"/>
    <w:rsid w:val="00C86EEF"/>
    <w:rsid w:val="00CA2A58"/>
    <w:rsid w:val="00CC0B55"/>
    <w:rsid w:val="00CD1E06"/>
    <w:rsid w:val="00CD6995"/>
    <w:rsid w:val="00CE4A8F"/>
    <w:rsid w:val="00CE5514"/>
    <w:rsid w:val="00CF0214"/>
    <w:rsid w:val="00CF0545"/>
    <w:rsid w:val="00CF3588"/>
    <w:rsid w:val="00CF586F"/>
    <w:rsid w:val="00CF7D43"/>
    <w:rsid w:val="00D11129"/>
    <w:rsid w:val="00D123AE"/>
    <w:rsid w:val="00D2031B"/>
    <w:rsid w:val="00D22332"/>
    <w:rsid w:val="00D22E84"/>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2FCC"/>
    <w:rsid w:val="00E438D9"/>
    <w:rsid w:val="00E5536D"/>
    <w:rsid w:val="00E5644E"/>
    <w:rsid w:val="00E613F9"/>
    <w:rsid w:val="00E61A6C"/>
    <w:rsid w:val="00E7260F"/>
    <w:rsid w:val="00E806EE"/>
    <w:rsid w:val="00E9471B"/>
    <w:rsid w:val="00E96630"/>
    <w:rsid w:val="00EA5EC1"/>
    <w:rsid w:val="00EB0C95"/>
    <w:rsid w:val="00EB0FB9"/>
    <w:rsid w:val="00EC0763"/>
    <w:rsid w:val="00EC250E"/>
    <w:rsid w:val="00ED0CA9"/>
    <w:rsid w:val="00ED7236"/>
    <w:rsid w:val="00ED7A2A"/>
    <w:rsid w:val="00EE2A77"/>
    <w:rsid w:val="00EE36FF"/>
    <w:rsid w:val="00EF1D7F"/>
    <w:rsid w:val="00EF5BDB"/>
    <w:rsid w:val="00F07FD9"/>
    <w:rsid w:val="00F1352D"/>
    <w:rsid w:val="00F15AA7"/>
    <w:rsid w:val="00F209A5"/>
    <w:rsid w:val="00F20DFD"/>
    <w:rsid w:val="00F225CB"/>
    <w:rsid w:val="00F23933"/>
    <w:rsid w:val="00F24119"/>
    <w:rsid w:val="00F40E75"/>
    <w:rsid w:val="00F42CD9"/>
    <w:rsid w:val="00F4793B"/>
    <w:rsid w:val="00F52936"/>
    <w:rsid w:val="00F674F3"/>
    <w:rsid w:val="00F677CB"/>
    <w:rsid w:val="00F714CA"/>
    <w:rsid w:val="00F74DEA"/>
    <w:rsid w:val="00F96A1E"/>
    <w:rsid w:val="00FA7DF3"/>
    <w:rsid w:val="00FB6895"/>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character" w:customStyle="1" w:styleId="HeaderChar">
    <w:name w:val="Header Char"/>
    <w:aliases w:val="6_G Char"/>
    <w:link w:val="Header"/>
    <w:rsid w:val="008D3F3C"/>
    <w:rPr>
      <w:b/>
      <w:sz w:val="18"/>
      <w:lang w:eastAsia="en-US"/>
    </w:rPr>
  </w:style>
  <w:style w:type="paragraph" w:customStyle="1" w:styleId="Default">
    <w:name w:val="Default"/>
    <w:rsid w:val="008D3F3C"/>
    <w:pPr>
      <w:pBdr>
        <w:top w:val="nil"/>
        <w:left w:val="nil"/>
        <w:bottom w:val="nil"/>
        <w:right w:val="nil"/>
        <w:between w:val="nil"/>
        <w:bar w:val="nil"/>
      </w:pBdr>
    </w:pPr>
    <w:rPr>
      <w:rFonts w:eastAsia="Arial Unicode MS" w:cs="Arial Unicode MS"/>
      <w:color w:val="000000"/>
      <w:sz w:val="24"/>
      <w:szCs w:val="24"/>
      <w:u w:color="000000"/>
      <w:bdr w:val="nil"/>
      <w:lang w:val="fr-FR"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character" w:customStyle="1" w:styleId="HeaderChar">
    <w:name w:val="Header Char"/>
    <w:aliases w:val="6_G Char"/>
    <w:link w:val="Header"/>
    <w:rsid w:val="008D3F3C"/>
    <w:rPr>
      <w:b/>
      <w:sz w:val="18"/>
      <w:lang w:eastAsia="en-US"/>
    </w:rPr>
  </w:style>
  <w:style w:type="paragraph" w:customStyle="1" w:styleId="Default">
    <w:name w:val="Default"/>
    <w:rsid w:val="008D3F3C"/>
    <w:pPr>
      <w:pBdr>
        <w:top w:val="nil"/>
        <w:left w:val="nil"/>
        <w:bottom w:val="nil"/>
        <w:right w:val="nil"/>
        <w:between w:val="nil"/>
        <w:bar w:val="nil"/>
      </w:pBdr>
    </w:pPr>
    <w:rPr>
      <w:rFonts w:eastAsia="Arial Unicode MS" w:cs="Arial Unicode MS"/>
      <w:color w:val="000000"/>
      <w:sz w:val="24"/>
      <w:szCs w:val="24"/>
      <w:u w:color="000000"/>
      <w:bdr w:val="nil"/>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87AD-0E11-4F72-A979-B1F06285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3001</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1610945</vt:lpstr>
    </vt:vector>
  </TitlesOfParts>
  <Company>CSD</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1612329</dc:title>
  <dc:subject>A/HRC/RES/32/32</dc:subject>
  <dc:creator>Kiatsurayanon</dc:creator>
  <cp:keywords/>
  <dc:description/>
  <cp:lastModifiedBy>Brigoli</cp:lastModifiedBy>
  <cp:revision>2</cp:revision>
  <cp:lastPrinted>2016-07-18T09:19:00Z</cp:lastPrinted>
  <dcterms:created xsi:type="dcterms:W3CDTF">2016-07-25T08:46:00Z</dcterms:created>
  <dcterms:modified xsi:type="dcterms:W3CDTF">2016-07-25T08:46:00Z</dcterms:modified>
</cp:coreProperties>
</file>