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EF260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EF26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F260F" w:rsidP="00EF260F">
            <w:pPr>
              <w:jc w:val="right"/>
            </w:pPr>
            <w:r w:rsidRPr="00EF260F">
              <w:rPr>
                <w:sz w:val="40"/>
              </w:rPr>
              <w:t>A</w:t>
            </w:r>
            <w:r>
              <w:t>/HRC/RES/32/32</w:t>
            </w:r>
          </w:p>
        </w:tc>
      </w:tr>
      <w:tr w:rsidR="002D5AAC" w:rsidTr="00EF260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18649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2C86D96" wp14:editId="5E20D3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F260F" w:rsidP="00712895">
            <w:pPr>
              <w:spacing w:before="240"/>
            </w:pPr>
            <w:r>
              <w:t>Distr. general</w:t>
            </w:r>
          </w:p>
          <w:p w:rsidR="00EF260F" w:rsidRDefault="00EF260F" w:rsidP="00EF260F">
            <w:pPr>
              <w:spacing w:line="240" w:lineRule="exact"/>
            </w:pPr>
            <w:r>
              <w:t>18 de julio de 2016</w:t>
            </w:r>
          </w:p>
          <w:p w:rsidR="00EF260F" w:rsidRDefault="00EF260F" w:rsidP="00EF260F">
            <w:pPr>
              <w:spacing w:line="240" w:lineRule="exact"/>
            </w:pPr>
            <w:r>
              <w:t>Español</w:t>
            </w:r>
          </w:p>
          <w:p w:rsidR="00EF260F" w:rsidRDefault="00EF260F" w:rsidP="00EF260F">
            <w:pPr>
              <w:spacing w:line="240" w:lineRule="exact"/>
            </w:pPr>
            <w:r>
              <w:t>Original: inglés</w:t>
            </w:r>
          </w:p>
        </w:tc>
      </w:tr>
    </w:tbl>
    <w:p w:rsidR="00E40BA6" w:rsidRPr="00EF260F" w:rsidRDefault="006C3D4E" w:rsidP="00EF260F">
      <w:pPr>
        <w:spacing w:before="120"/>
        <w:rPr>
          <w:b/>
          <w:sz w:val="24"/>
          <w:szCs w:val="24"/>
        </w:rPr>
      </w:pPr>
      <w:r w:rsidRPr="00EF260F">
        <w:rPr>
          <w:b/>
          <w:sz w:val="24"/>
          <w:szCs w:val="24"/>
        </w:rPr>
        <w:t>Consejo de Derechos Humanos</w:t>
      </w:r>
    </w:p>
    <w:p w:rsidR="00EF260F" w:rsidRPr="00EF260F" w:rsidRDefault="00EF260F" w:rsidP="00EF260F">
      <w:pPr>
        <w:rPr>
          <w:b/>
        </w:rPr>
      </w:pPr>
      <w:r w:rsidRPr="00EF260F">
        <w:rPr>
          <w:b/>
        </w:rPr>
        <w:t>32º período de sesiones</w:t>
      </w:r>
    </w:p>
    <w:p w:rsidR="00EF260F" w:rsidRPr="00EF260F" w:rsidRDefault="00EF260F" w:rsidP="00EF260F">
      <w:r w:rsidRPr="00EF260F">
        <w:t>Tema 3 de la agenda</w:t>
      </w:r>
    </w:p>
    <w:p w:rsidR="00EF260F" w:rsidRPr="00EF260F" w:rsidRDefault="00EF260F" w:rsidP="00EF260F">
      <w:pPr>
        <w:pStyle w:val="HChG"/>
      </w:pPr>
      <w:r w:rsidRPr="00EF260F">
        <w:tab/>
      </w:r>
      <w:r>
        <w:tab/>
      </w:r>
      <w:r w:rsidRPr="00EF260F">
        <w:t>Resolución aprobada por el Consejo de Derechos Humanos el</w:t>
      </w:r>
      <w:r>
        <w:t> </w:t>
      </w:r>
      <w:r w:rsidRPr="00EF260F">
        <w:t>1 de julio de 2016</w:t>
      </w:r>
    </w:p>
    <w:p w:rsidR="00EF260F" w:rsidRPr="00EF260F" w:rsidRDefault="00EF260F" w:rsidP="00EF260F">
      <w:pPr>
        <w:pStyle w:val="H1G"/>
        <w:tabs>
          <w:tab w:val="left" w:pos="1904"/>
        </w:tabs>
      </w:pPr>
      <w:r w:rsidRPr="00EF260F">
        <w:tab/>
      </w:r>
      <w:r>
        <w:tab/>
      </w:r>
      <w:r w:rsidRPr="00EF260F">
        <w:t>32/32.</w:t>
      </w:r>
      <w:r>
        <w:tab/>
      </w:r>
      <w:r w:rsidRPr="00EF260F">
        <w:t>Derechos a la libertad de reunión pacífica y de asociación</w:t>
      </w:r>
    </w:p>
    <w:p w:rsidR="00EF260F" w:rsidRPr="00EF260F" w:rsidRDefault="00EF260F" w:rsidP="00EF260F">
      <w:pPr>
        <w:pStyle w:val="SingleTxtG"/>
      </w:pPr>
      <w:r w:rsidRPr="00EF260F">
        <w:tab/>
      </w:r>
      <w:r w:rsidRPr="00EF260F">
        <w:rPr>
          <w:i/>
        </w:rPr>
        <w:t>El Consejo de Derechos Humanos</w:t>
      </w:r>
      <w:r w:rsidRPr="00EF260F">
        <w:t>,</w:t>
      </w:r>
    </w:p>
    <w:p w:rsidR="00EF260F" w:rsidRPr="00EF260F" w:rsidRDefault="00EF260F" w:rsidP="00EF260F">
      <w:pPr>
        <w:pStyle w:val="SingleTxtG"/>
      </w:pPr>
      <w:r w:rsidRPr="00EF260F">
        <w:tab/>
      </w:r>
      <w:r w:rsidRPr="00EF260F">
        <w:rPr>
          <w:i/>
        </w:rPr>
        <w:t>Guiado</w:t>
      </w:r>
      <w:r w:rsidRPr="00EF260F">
        <w:t xml:space="preserve"> por los propósitos y principios de la Carta de las Naciones Unidas,</w:t>
      </w:r>
    </w:p>
    <w:p w:rsidR="00EF260F" w:rsidRPr="00EF260F" w:rsidRDefault="00EF260F" w:rsidP="00EF260F">
      <w:pPr>
        <w:pStyle w:val="SingleTxtG"/>
      </w:pPr>
      <w:r w:rsidRPr="00EF260F">
        <w:tab/>
      </w:r>
      <w:r w:rsidRPr="00EF260F">
        <w:rPr>
          <w:i/>
        </w:rPr>
        <w:t>Recordando</w:t>
      </w:r>
      <w:r w:rsidRPr="00EF260F">
        <w:t xml:space="preserve"> la Declaración Universal de Derechos Humanos, el Pacto Internacional de Derechos Civiles y Políticos, el Pacto Internacional de Derechos Económicos, Sociales y Culturales y otros instrumentos de derechos humanos pertinentes,</w:t>
      </w:r>
    </w:p>
    <w:p w:rsidR="00EF260F" w:rsidRPr="00EF260F" w:rsidRDefault="00EF260F" w:rsidP="00EF260F">
      <w:pPr>
        <w:pStyle w:val="SingleTxtG"/>
      </w:pPr>
      <w:r w:rsidRPr="00EF260F">
        <w:tab/>
      </w:r>
      <w:r w:rsidRPr="00EF260F">
        <w:rPr>
          <w:i/>
        </w:rPr>
        <w:t>Reafirmando</w:t>
      </w:r>
      <w:r w:rsidRPr="00EF260F">
        <w:t xml:space="preserve"> las resoluciones del Consejo de Derechos Humanos 15/21 de 30 de septiembre de 2010, 21/16 de 27 de septiembre de 2012 y 24/5 de 26 de septiembre de 2013, y recordando sus resoluciones 22/10 de 21 de marzo de 2013, 25/38 de 28 de marzo de 2014 y 26/13 de 26 de junio de 2014, así como las resoluciones pertinentes de la Comisión de Derechos Humanos,</w:t>
      </w:r>
    </w:p>
    <w:p w:rsidR="00EF260F" w:rsidRPr="00EF260F" w:rsidRDefault="00EF260F" w:rsidP="00EF260F">
      <w:pPr>
        <w:pStyle w:val="SingleTxtG"/>
      </w:pPr>
      <w:r w:rsidRPr="00EF260F">
        <w:tab/>
      </w:r>
      <w:r w:rsidRPr="00EF260F">
        <w:rPr>
          <w:i/>
        </w:rPr>
        <w:t>Recordando</w:t>
      </w:r>
      <w:r w:rsidRPr="00EF260F">
        <w:t xml:space="preserve"> las resoluciones del Consejo de Derechos Humanos 5/1, sobre la construcción institucional del Consejo, y 5/2, sobre el Código de Conducta para los Titulares de Mandatos de los Procedimientos Especiales del Consejo de Derechos Humanos, de 18 de junio de 2007,</w:t>
      </w:r>
    </w:p>
    <w:p w:rsidR="00EF260F" w:rsidRPr="00EF260F" w:rsidRDefault="00EF260F" w:rsidP="00EF260F">
      <w:pPr>
        <w:pStyle w:val="SingleTxtG"/>
      </w:pPr>
      <w:r w:rsidRPr="00EF260F">
        <w:tab/>
      </w:r>
      <w:r w:rsidRPr="00EF260F">
        <w:rPr>
          <w:i/>
        </w:rPr>
        <w:t>Reconociendo</w:t>
      </w:r>
      <w:r w:rsidRPr="00EF260F">
        <w:t xml:space="preserve"> que el ejercicio efectivo de los derechos a la libertad de reunión pacífica y de asociación, consagrados en el Pacto Internacional de Derechos Civiles y Políticos y en la Declaración Universal de Derechos Humanos, es esencial para el disfrute de otros derechos humanos y libertades y constituye un pilar fundamental en la construcción de una sociedad democrática y el fortalecimiento de la democracia, teniendo presente que todos los derechos humanos son universales, indivisibles e interdependientes y están relacionados entre sí,</w:t>
      </w:r>
    </w:p>
    <w:p w:rsidR="00EF260F" w:rsidRPr="00EF260F" w:rsidRDefault="00EF260F" w:rsidP="00EF260F">
      <w:pPr>
        <w:pStyle w:val="SingleTxtG"/>
      </w:pPr>
      <w:r w:rsidRPr="00EF260F">
        <w:tab/>
      </w:r>
      <w:r w:rsidRPr="00EF260F">
        <w:rPr>
          <w:i/>
        </w:rPr>
        <w:t>Consciente</w:t>
      </w:r>
      <w:r w:rsidRPr="00EF260F">
        <w:t xml:space="preserve"> de la importancia fundamental de la participación activa de la sociedad civil en los procesos de gobernanza que afectan a la vida de la población,</w:t>
      </w:r>
    </w:p>
    <w:p w:rsidR="00EF260F" w:rsidRPr="00EF260F" w:rsidRDefault="00EF260F" w:rsidP="00EF260F">
      <w:pPr>
        <w:pStyle w:val="SingleTxtG"/>
      </w:pPr>
      <w:r w:rsidRPr="00EF260F">
        <w:lastRenderedPageBreak/>
        <w:tab/>
      </w:r>
      <w:r w:rsidRPr="00EF260F">
        <w:rPr>
          <w:i/>
        </w:rPr>
        <w:t>Tomando nota</w:t>
      </w:r>
      <w:r w:rsidRPr="00EF260F">
        <w:t xml:space="preserve"> del informe del Relator Especial sobre los derechos a la libertad de reunión pacífica y de asociación presentado al Consejo de Derechos Humanos en su 32º</w:t>
      </w:r>
      <w:r>
        <w:t> </w:t>
      </w:r>
      <w:r w:rsidRPr="00EF260F">
        <w:t>período de sesiones</w:t>
      </w:r>
      <w:r>
        <w:rPr>
          <w:rStyle w:val="Refdenotaalpie"/>
        </w:rPr>
        <w:footnoteReference w:id="1"/>
      </w:r>
      <w:r w:rsidRPr="00EF260F">
        <w:t>,</w:t>
      </w:r>
    </w:p>
    <w:p w:rsidR="00EF260F" w:rsidRPr="00EF260F" w:rsidRDefault="00EF260F" w:rsidP="00EF260F">
      <w:pPr>
        <w:pStyle w:val="SingleTxtG"/>
      </w:pPr>
      <w:r w:rsidRPr="00EF260F">
        <w:tab/>
      </w:r>
      <w:r w:rsidRPr="00EF260F">
        <w:rPr>
          <w:i/>
        </w:rPr>
        <w:t>Reconociendo</w:t>
      </w:r>
      <w:r w:rsidRPr="00EF260F">
        <w:t xml:space="preserve"> que las asociaciones profesionales son una de las manifestaciones del derecho a la libertad de asociación,</w:t>
      </w:r>
    </w:p>
    <w:p w:rsidR="00EF260F" w:rsidRPr="00EF260F" w:rsidRDefault="00EF260F" w:rsidP="00EF260F">
      <w:pPr>
        <w:pStyle w:val="SingleTxtG"/>
      </w:pPr>
      <w:r w:rsidRPr="00EF260F">
        <w:tab/>
        <w:t>1.</w:t>
      </w:r>
      <w:r w:rsidRPr="00EF260F">
        <w:tab/>
      </w:r>
      <w:r w:rsidRPr="00EF260F">
        <w:rPr>
          <w:i/>
        </w:rPr>
        <w:t>Decide</w:t>
      </w:r>
      <w:r w:rsidRPr="00EF260F">
        <w:t xml:space="preserve"> renovar el mandato del Relator Especial sobre los derechos a la libertad de reunión pacífica y de asociación, que el Consejo de Derechos Humanos estableció en su resolución 15/21, por un período de tres años;</w:t>
      </w:r>
    </w:p>
    <w:p w:rsidR="00EF260F" w:rsidRPr="00EF260F" w:rsidRDefault="00EF260F" w:rsidP="00EF260F">
      <w:pPr>
        <w:pStyle w:val="SingleTxtG"/>
      </w:pPr>
      <w:r w:rsidRPr="00EF260F">
        <w:tab/>
        <w:t>2.</w:t>
      </w:r>
      <w:r w:rsidRPr="00EF260F">
        <w:tab/>
      </w:r>
      <w:r w:rsidRPr="00EF260F">
        <w:rPr>
          <w:i/>
        </w:rPr>
        <w:t>Exhorta</w:t>
      </w:r>
      <w:r w:rsidRPr="00EF260F">
        <w:t xml:space="preserve"> a los Estados a que colaboren plenamente con el Relator Especial y le presten asistencia en el desempeño de su mandato, respondan con prontitud a los llamamientos urgentes y a otras comunicaciones que haga, y consideren favorablemente sus solicitudes para realizar visitas;</w:t>
      </w:r>
    </w:p>
    <w:p w:rsidR="00EF260F" w:rsidRPr="00EF260F" w:rsidRDefault="00EF260F" w:rsidP="00EF260F">
      <w:pPr>
        <w:pStyle w:val="SingleTxtG"/>
      </w:pPr>
      <w:r w:rsidRPr="00EF260F">
        <w:tab/>
        <w:t>3.</w:t>
      </w:r>
      <w:r w:rsidRPr="00EF260F">
        <w:tab/>
      </w:r>
      <w:r w:rsidRPr="00EF260F">
        <w:rPr>
          <w:i/>
        </w:rPr>
        <w:t>Solicita</w:t>
      </w:r>
      <w:r w:rsidRPr="00EF260F">
        <w:t xml:space="preserve"> al Relator Especial que siga presentando un informe anual al Consejo de Derechos Humanos y a la Asamblea General;</w:t>
      </w:r>
    </w:p>
    <w:p w:rsidR="00EF260F" w:rsidRPr="00EF260F" w:rsidRDefault="00EF260F" w:rsidP="00EF260F">
      <w:pPr>
        <w:pStyle w:val="SingleTxtG"/>
      </w:pPr>
      <w:r w:rsidRPr="00EF260F">
        <w:tab/>
        <w:t>4.</w:t>
      </w:r>
      <w:r w:rsidRPr="00EF260F">
        <w:tab/>
      </w:r>
      <w:r w:rsidRPr="00EF260F">
        <w:rPr>
          <w:i/>
        </w:rPr>
        <w:t>Invita</w:t>
      </w:r>
      <w:r w:rsidRPr="00EF260F">
        <w:t xml:space="preserve"> al Relator Especial a que considere la posibilidad de examinar, en sus informes futuros, el tema de las asociaciones profesionales, en particular la función que desempeñan dichas asociaciones en la promoción y la protección de todos los derechos humanos, la realización de esfuerzos en pro del desarrollo y la creación y el mantenimiento de una sociedad democrática, así como el modo en que los Estados y otros interesados pertinentes pueden promover, crear y mantener condiciones propicias para el desarrollo y las actividades de las asociaciones profesionales;</w:t>
      </w:r>
    </w:p>
    <w:p w:rsidR="00EF260F" w:rsidRPr="00EF260F" w:rsidRDefault="00EF260F" w:rsidP="00EF260F">
      <w:pPr>
        <w:pStyle w:val="SingleTxtG"/>
      </w:pPr>
      <w:r w:rsidRPr="00EF260F">
        <w:tab/>
        <w:t>5.</w:t>
      </w:r>
      <w:r w:rsidRPr="00EF260F">
        <w:tab/>
      </w:r>
      <w:r w:rsidRPr="00EF260F">
        <w:rPr>
          <w:i/>
        </w:rPr>
        <w:t>Pide</w:t>
      </w:r>
      <w:r w:rsidRPr="00EF260F">
        <w:t xml:space="preserve"> al Secretario General que preste la asistencia necesaria al Relator Especial para que pueda cumplir su mandato, en particular poniendo a su disposición recursos humanos y materiales suficientes;</w:t>
      </w:r>
    </w:p>
    <w:p w:rsidR="00EF260F" w:rsidRPr="00EF260F" w:rsidRDefault="00EF260F" w:rsidP="00EF260F">
      <w:pPr>
        <w:pStyle w:val="SingleTxtG"/>
      </w:pPr>
      <w:r w:rsidRPr="00EF260F">
        <w:tab/>
        <w:t>6.</w:t>
      </w:r>
      <w:r w:rsidRPr="00EF260F">
        <w:tab/>
      </w:r>
      <w:r w:rsidRPr="00EF260F">
        <w:rPr>
          <w:i/>
        </w:rPr>
        <w:t>Decide</w:t>
      </w:r>
      <w:r w:rsidRPr="00EF260F">
        <w:t xml:space="preserve"> seguir examinando la cuestión de los derechos a la libertad de reunión pacífica y de asociación de conformidad con su programa de trabajo.</w:t>
      </w:r>
    </w:p>
    <w:p w:rsidR="00EF260F" w:rsidRPr="00EF260F" w:rsidRDefault="00EF260F" w:rsidP="00EF260F">
      <w:pPr>
        <w:pStyle w:val="SingleTxtG"/>
        <w:spacing w:after="0"/>
        <w:jc w:val="right"/>
        <w:rPr>
          <w:i/>
        </w:rPr>
      </w:pPr>
      <w:r w:rsidRPr="00EF260F">
        <w:rPr>
          <w:i/>
        </w:rPr>
        <w:t>46ª sesión</w:t>
      </w:r>
    </w:p>
    <w:p w:rsidR="00EF260F" w:rsidRPr="00EF260F" w:rsidRDefault="00EF260F" w:rsidP="00EF260F">
      <w:pPr>
        <w:pStyle w:val="SingleTxtG"/>
        <w:jc w:val="right"/>
        <w:rPr>
          <w:i/>
        </w:rPr>
      </w:pPr>
      <w:r w:rsidRPr="00EF260F">
        <w:rPr>
          <w:i/>
        </w:rPr>
        <w:t>1 de julio de 2016</w:t>
      </w:r>
    </w:p>
    <w:p w:rsidR="00381C24" w:rsidRDefault="00EF260F" w:rsidP="00EF260F">
      <w:pPr>
        <w:pStyle w:val="SingleTxtG"/>
      </w:pPr>
      <w:r w:rsidRPr="00EF260F">
        <w:t>[Aprobada sin votación.]</w:t>
      </w:r>
    </w:p>
    <w:p w:rsidR="00EF260F" w:rsidRPr="00EF260F" w:rsidRDefault="00EF260F" w:rsidP="00EF260F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260F" w:rsidRPr="00EF260F" w:rsidSect="00EF260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A7" w:rsidRPr="00A312BC" w:rsidRDefault="003828A7" w:rsidP="00A312BC">
      <w:pPr>
        <w:pStyle w:val="Piedepgina"/>
      </w:pPr>
    </w:p>
  </w:endnote>
  <w:endnote w:type="continuationSeparator" w:id="0">
    <w:p w:rsidR="003828A7" w:rsidRPr="00A312BC" w:rsidRDefault="003828A7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0F" w:rsidRPr="00EF260F" w:rsidRDefault="00EF260F" w:rsidP="00EF260F">
    <w:pPr>
      <w:pStyle w:val="Piedepgina"/>
      <w:tabs>
        <w:tab w:val="right" w:pos="9638"/>
      </w:tabs>
    </w:pPr>
    <w:r w:rsidRPr="00EF260F">
      <w:rPr>
        <w:b/>
        <w:sz w:val="18"/>
      </w:rPr>
      <w:fldChar w:fldCharType="begin"/>
    </w:r>
    <w:r w:rsidRPr="00EF260F">
      <w:rPr>
        <w:b/>
        <w:sz w:val="18"/>
      </w:rPr>
      <w:instrText xml:space="preserve"> PAGE  \* MERGEFORMAT </w:instrText>
    </w:r>
    <w:r w:rsidRPr="00EF260F">
      <w:rPr>
        <w:b/>
        <w:sz w:val="18"/>
      </w:rPr>
      <w:fldChar w:fldCharType="separate"/>
    </w:r>
    <w:r w:rsidR="00BB2328">
      <w:rPr>
        <w:b/>
        <w:noProof/>
        <w:sz w:val="18"/>
      </w:rPr>
      <w:t>2</w:t>
    </w:r>
    <w:r w:rsidRPr="00EF260F">
      <w:rPr>
        <w:b/>
        <w:sz w:val="18"/>
      </w:rPr>
      <w:fldChar w:fldCharType="end"/>
    </w:r>
    <w:r>
      <w:rPr>
        <w:b/>
        <w:sz w:val="18"/>
      </w:rPr>
      <w:tab/>
    </w:r>
    <w:r>
      <w:t>GE.16-12329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0F" w:rsidRPr="00EF260F" w:rsidRDefault="00EF260F" w:rsidP="00EF260F">
    <w:pPr>
      <w:pStyle w:val="Piedepgina"/>
      <w:tabs>
        <w:tab w:val="right" w:pos="9638"/>
      </w:tabs>
      <w:rPr>
        <w:b/>
        <w:sz w:val="18"/>
      </w:rPr>
    </w:pPr>
    <w:r>
      <w:t>GE.16-12329</w:t>
    </w:r>
    <w:r>
      <w:tab/>
    </w:r>
    <w:r w:rsidRPr="00EF260F">
      <w:rPr>
        <w:b/>
        <w:sz w:val="18"/>
      </w:rPr>
      <w:fldChar w:fldCharType="begin"/>
    </w:r>
    <w:r w:rsidRPr="00EF260F">
      <w:rPr>
        <w:b/>
        <w:sz w:val="18"/>
      </w:rPr>
      <w:instrText xml:space="preserve"> PAGE  \* MERGEFORMAT </w:instrText>
    </w:r>
    <w:r w:rsidRPr="00EF260F">
      <w:rPr>
        <w:b/>
        <w:sz w:val="18"/>
      </w:rPr>
      <w:fldChar w:fldCharType="separate"/>
    </w:r>
    <w:r w:rsidR="006C3D4E">
      <w:rPr>
        <w:b/>
        <w:noProof/>
        <w:sz w:val="18"/>
      </w:rPr>
      <w:t>2</w:t>
    </w:r>
    <w:r w:rsidRPr="00EF26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F260F" w:rsidRDefault="00EF260F" w:rsidP="00EF260F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7728" behindDoc="0" locked="1" layoutInCell="1" allowOverlap="1" wp14:anchorId="102E811F" wp14:editId="631C3FC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16-12329  (S)    250716    250716</w:t>
    </w:r>
    <w:r>
      <w:rPr>
        <w:sz w:val="20"/>
      </w:rPr>
      <w:br/>
    </w:r>
    <w:r w:rsidRPr="00EF260F">
      <w:rPr>
        <w:rFonts w:ascii="C39T30Lfz" w:hAnsi="C39T30Lfz"/>
        <w:sz w:val="56"/>
      </w:rPr>
      <w:t></w:t>
    </w:r>
    <w:r w:rsidRPr="00EF260F">
      <w:rPr>
        <w:rFonts w:ascii="C39T30Lfz" w:hAnsi="C39T30Lfz"/>
        <w:sz w:val="56"/>
      </w:rPr>
      <w:t></w:t>
    </w:r>
    <w:r w:rsidRPr="00EF260F">
      <w:rPr>
        <w:rFonts w:ascii="C39T30Lfz" w:hAnsi="C39T30Lfz"/>
        <w:sz w:val="56"/>
      </w:rPr>
      <w:t></w:t>
    </w:r>
    <w:r w:rsidRPr="00EF260F">
      <w:rPr>
        <w:rFonts w:ascii="C39T30Lfz" w:hAnsi="C39T30Lfz"/>
        <w:sz w:val="56"/>
      </w:rPr>
      <w:t></w:t>
    </w:r>
    <w:r w:rsidRPr="00EF260F">
      <w:rPr>
        <w:rFonts w:ascii="C39T30Lfz" w:hAnsi="C39T30Lfz"/>
        <w:sz w:val="56"/>
      </w:rPr>
      <w:t></w:t>
    </w:r>
    <w:r w:rsidRPr="00EF260F">
      <w:rPr>
        <w:rFonts w:ascii="C39T30Lfz" w:hAnsi="C39T30Lfz"/>
        <w:sz w:val="56"/>
      </w:rPr>
      <w:t></w:t>
    </w:r>
    <w:r w:rsidRPr="00EF260F">
      <w:rPr>
        <w:rFonts w:ascii="C39T30Lfz" w:hAnsi="C39T30Lfz"/>
        <w:sz w:val="56"/>
      </w:rPr>
      <w:t></w:t>
    </w:r>
    <w:r w:rsidRPr="00EF260F">
      <w:rPr>
        <w:rFonts w:ascii="C39T30Lfz" w:hAnsi="C39T30Lfz"/>
        <w:sz w:val="56"/>
      </w:rPr>
      <w:t></w:t>
    </w:r>
    <w:r w:rsidRPr="00EF260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A/HRC/RES/32/32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2/32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A7" w:rsidRPr="001075E9" w:rsidRDefault="003828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28A7" w:rsidRDefault="003828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F260F" w:rsidRDefault="00EF260F" w:rsidP="00EF260F">
      <w:pPr>
        <w:pStyle w:val="Textonotapie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Refdenotaalpie"/>
        </w:rPr>
        <w:footnoteRef/>
      </w:r>
      <w:r>
        <w:tab/>
      </w:r>
      <w:r w:rsidR="006C3D4E" w:rsidRPr="00EF260F">
        <w:t>A/HRC/32/36.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0F" w:rsidRPr="00EF260F" w:rsidRDefault="00EF260F">
    <w:pPr>
      <w:pStyle w:val="Encabezado"/>
    </w:pPr>
    <w:r>
      <w:t>A/HRC/RES/32/32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0F" w:rsidRPr="00EF260F" w:rsidRDefault="00EF260F" w:rsidP="00EF260F">
    <w:pPr>
      <w:pStyle w:val="Encabezado"/>
      <w:jc w:val="right"/>
    </w:pPr>
    <w:r>
      <w:t>A/HRC/RES/32/32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7"/>
    <w:rsid w:val="00025FC8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828A7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3D4E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30004"/>
    <w:rsid w:val="00951972"/>
    <w:rsid w:val="009608F3"/>
    <w:rsid w:val="009A24AC"/>
    <w:rsid w:val="00A312BC"/>
    <w:rsid w:val="00A80F8C"/>
    <w:rsid w:val="00A84021"/>
    <w:rsid w:val="00A84D35"/>
    <w:rsid w:val="00A917B3"/>
    <w:rsid w:val="00AB4B51"/>
    <w:rsid w:val="00B10CC7"/>
    <w:rsid w:val="00B113E3"/>
    <w:rsid w:val="00B21197"/>
    <w:rsid w:val="00B539E7"/>
    <w:rsid w:val="00B62458"/>
    <w:rsid w:val="00BB232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138"/>
    <w:rsid w:val="00DD4B7E"/>
    <w:rsid w:val="00E73F76"/>
    <w:rsid w:val="00EA2C9F"/>
    <w:rsid w:val="00ED0BDA"/>
    <w:rsid w:val="00EF1360"/>
    <w:rsid w:val="00EF260F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A/HRC/RES/32/32</dc:title>
  <dc:subject/>
  <dc:creator>Urquizu</dc:creator>
  <cp:keywords/>
  <dc:description/>
  <cp:lastModifiedBy>Maruchi Zeballos</cp:lastModifiedBy>
  <cp:revision>3</cp:revision>
  <cp:lastPrinted>2016-07-25T12:41:00Z</cp:lastPrinted>
  <dcterms:created xsi:type="dcterms:W3CDTF">2016-07-25T12:41:00Z</dcterms:created>
  <dcterms:modified xsi:type="dcterms:W3CDTF">2016-07-25T12:42:00Z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