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6F1C69" w:rsidP="006F1C69">
            <w:pPr>
              <w:bidi w:val="0"/>
              <w:spacing w:after="20"/>
              <w:jc w:val="left"/>
              <w:rPr>
                <w:szCs w:val="20"/>
              </w:rPr>
            </w:pPr>
            <w:r w:rsidRPr="006F1C69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/HRC/RES/18/28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6F1C69" w:rsidRDefault="006F1C69" w:rsidP="006F1C69">
            <w:pPr>
              <w:bidi w:val="0"/>
              <w:spacing w:before="240"/>
              <w:jc w:val="left"/>
            </w:pPr>
            <w:r>
              <w:t>Distr.: General</w:t>
            </w:r>
          </w:p>
          <w:p w:rsidR="006F1C69" w:rsidRDefault="006F1C69" w:rsidP="006F1C69">
            <w:pPr>
              <w:bidi w:val="0"/>
              <w:jc w:val="left"/>
            </w:pPr>
            <w:r>
              <w:t>17 October 2011</w:t>
            </w:r>
          </w:p>
          <w:p w:rsidR="006F1C69" w:rsidRDefault="006F1C69" w:rsidP="006F1C69">
            <w:pPr>
              <w:bidi w:val="0"/>
              <w:jc w:val="left"/>
            </w:pPr>
            <w:r>
              <w:t>Arabic</w:t>
            </w:r>
          </w:p>
          <w:p w:rsidR="00257225" w:rsidRPr="008B4BC6" w:rsidRDefault="006F1C69" w:rsidP="006F1C69">
            <w:pPr>
              <w:bidi w:val="0"/>
              <w:jc w:val="left"/>
            </w:pPr>
            <w:r>
              <w:t>Original: English</w:t>
            </w:r>
          </w:p>
        </w:tc>
      </w:tr>
    </w:tbl>
    <w:p w:rsidR="006F1C69" w:rsidRPr="00D5500A" w:rsidRDefault="006F1C69" w:rsidP="006F1C69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D5500A">
        <w:rPr>
          <w:rFonts w:hint="cs"/>
          <w:b/>
          <w:bCs/>
          <w:sz w:val="26"/>
          <w:szCs w:val="36"/>
          <w:rtl/>
        </w:rPr>
        <w:t>مجلس حقوق الإنسان</w:t>
      </w:r>
    </w:p>
    <w:p w:rsidR="006F1C69" w:rsidRPr="00D5500A" w:rsidRDefault="006F1C69" w:rsidP="006F1C69">
      <w:pPr>
        <w:spacing w:line="380" w:lineRule="exact"/>
        <w:rPr>
          <w:rFonts w:hint="cs"/>
          <w:b/>
          <w:bCs/>
          <w:rtl/>
        </w:rPr>
      </w:pPr>
      <w:r w:rsidRPr="00D5500A">
        <w:rPr>
          <w:rFonts w:hint="cs"/>
          <w:b/>
          <w:bCs/>
          <w:rtl/>
        </w:rPr>
        <w:t>الدورة الثامنة عشرة</w:t>
      </w:r>
    </w:p>
    <w:p w:rsidR="006F1C69" w:rsidRPr="00D5500A" w:rsidRDefault="006F1C69" w:rsidP="006F1C69">
      <w:pPr>
        <w:spacing w:line="380" w:lineRule="exact"/>
        <w:rPr>
          <w:rFonts w:hint="cs"/>
          <w:rtl/>
        </w:rPr>
      </w:pPr>
      <w:r w:rsidRPr="00D5500A">
        <w:rPr>
          <w:rFonts w:hint="cs"/>
          <w:rtl/>
        </w:rPr>
        <w:t>البند 9 من جدول الأعمال</w:t>
      </w:r>
    </w:p>
    <w:p w:rsidR="006F1C69" w:rsidRPr="00E56721" w:rsidRDefault="006F1C69" w:rsidP="006F1C69">
      <w:pPr>
        <w:spacing w:after="240" w:line="380" w:lineRule="exact"/>
        <w:ind w:right="4700"/>
        <w:rPr>
          <w:rFonts w:hint="cs"/>
          <w:b/>
          <w:bCs/>
          <w:spacing w:val="-4"/>
          <w:rtl/>
        </w:rPr>
      </w:pPr>
      <w:r w:rsidRPr="00E56721">
        <w:rPr>
          <w:rFonts w:hint="cs"/>
          <w:b/>
          <w:bCs/>
          <w:spacing w:val="-4"/>
          <w:rtl/>
        </w:rPr>
        <w:t xml:space="preserve">العنصرية والتمييز العنصري وكره الأجانب وما يتصل بذلك من أشكال </w:t>
      </w:r>
      <w:r w:rsidR="00E56721" w:rsidRPr="00E56721">
        <w:rPr>
          <w:rFonts w:hint="cs"/>
          <w:b/>
          <w:bCs/>
          <w:spacing w:val="-4"/>
          <w:rtl/>
        </w:rPr>
        <w:t>ال</w:t>
      </w:r>
      <w:r w:rsidRPr="00E56721">
        <w:rPr>
          <w:rFonts w:hint="cs"/>
          <w:b/>
          <w:bCs/>
          <w:spacing w:val="-4"/>
          <w:rtl/>
        </w:rPr>
        <w:t>تعصب: متابعة وتنفيذ إعلان وبرنامج عمل ديربان</w:t>
      </w:r>
    </w:p>
    <w:p w:rsidR="006F1C69" w:rsidRPr="00D5500A" w:rsidRDefault="006F1C69" w:rsidP="006F1C69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قرار اعتمده مجلس حقوق الإنسان</w:t>
      </w:r>
      <w:r w:rsidRPr="006F1C69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6F1C69" w:rsidRPr="00D5500A" w:rsidRDefault="006F1C69" w:rsidP="006F1C69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D5500A">
        <w:rPr>
          <w:rFonts w:hint="cs"/>
          <w:rtl/>
        </w:rPr>
        <w:t>18/</w:t>
      </w:r>
      <w:r>
        <w:rPr>
          <w:rFonts w:hint="cs"/>
          <w:rtl/>
        </w:rPr>
        <w:t>28</w:t>
      </w:r>
      <w:r>
        <w:rPr>
          <w:rtl/>
        </w:rPr>
        <w:br/>
      </w:r>
      <w:r w:rsidRPr="00D5500A">
        <w:rPr>
          <w:rFonts w:hint="cs"/>
          <w:rtl/>
        </w:rPr>
        <w:t>ولاية فريق الخبراء العامل المعني بالمنحدرين من أصل أفريقي</w:t>
      </w:r>
    </w:p>
    <w:p w:rsidR="006F1C69" w:rsidRPr="00D5500A" w:rsidRDefault="006F1C69" w:rsidP="006F1C69">
      <w:pPr>
        <w:pStyle w:val="SingleTxtGA"/>
        <w:spacing w:line="360" w:lineRule="exact"/>
        <w:rPr>
          <w:rFonts w:hint="cs"/>
          <w:i/>
          <w:iCs/>
          <w:rtl/>
        </w:rPr>
      </w:pPr>
      <w:r w:rsidRPr="00D5500A">
        <w:rPr>
          <w:rFonts w:hint="cs"/>
          <w:i/>
          <w:iCs/>
          <w:rtl/>
        </w:rPr>
        <w:tab/>
        <w:t>إن مجلس حقوق الإنسان،</w:t>
      </w:r>
    </w:p>
    <w:p w:rsidR="006F1C69" w:rsidRPr="00D5500A" w:rsidRDefault="006F1C69" w:rsidP="006F1C69">
      <w:pPr>
        <w:pStyle w:val="SingleTxtGA"/>
        <w:spacing w:line="360" w:lineRule="exact"/>
        <w:rPr>
          <w:rFonts w:hint="cs"/>
          <w:spacing w:val="-3"/>
          <w:rtl/>
        </w:rPr>
      </w:pPr>
      <w:r w:rsidRPr="00D5500A">
        <w:rPr>
          <w:rFonts w:hint="cs"/>
          <w:i/>
          <w:iCs/>
          <w:spacing w:val="-3"/>
          <w:rtl/>
        </w:rPr>
        <w:tab/>
        <w:t xml:space="preserve">إذ يشير </w:t>
      </w:r>
      <w:r w:rsidRPr="00D5500A">
        <w:rPr>
          <w:rFonts w:hint="cs"/>
          <w:spacing w:val="-3"/>
          <w:rtl/>
        </w:rPr>
        <w:t>إلى قراري لجنة حقوق الإنسان 2002/68 المؤرخ 25 نيسان/أبريل 2002، و2003/30 المؤرخ 23 نيسان/أبريل 2003،</w:t>
      </w:r>
    </w:p>
    <w:p w:rsidR="006F1C69" w:rsidRPr="00D5500A" w:rsidRDefault="006F1C69" w:rsidP="006F1C69">
      <w:pPr>
        <w:pStyle w:val="SingleTxtGA"/>
        <w:spacing w:line="360" w:lineRule="exact"/>
        <w:rPr>
          <w:rFonts w:hint="cs"/>
          <w:rtl/>
        </w:rPr>
      </w:pP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وإذ يضع في اعتباره</w:t>
      </w:r>
      <w:r w:rsidRPr="00D5500A">
        <w:rPr>
          <w:rFonts w:hint="cs"/>
          <w:rtl/>
        </w:rPr>
        <w:t xml:space="preserve"> الفقرة 6 من قرار الجمعية العامة 60/251 المؤرخ 1</w:t>
      </w:r>
      <w:r>
        <w:rPr>
          <w:rFonts w:hint="cs"/>
          <w:rtl/>
        </w:rPr>
        <w:t>5</w:t>
      </w:r>
      <w:r w:rsidRPr="00D5500A">
        <w:rPr>
          <w:rFonts w:hint="cs"/>
          <w:rtl/>
        </w:rPr>
        <w:t xml:space="preserve"> آذار/مارس 2006،</w:t>
      </w:r>
    </w:p>
    <w:p w:rsidR="006F1C69" w:rsidRPr="00D5500A" w:rsidRDefault="006F1C69" w:rsidP="006F1C69">
      <w:pPr>
        <w:pStyle w:val="SingleTxtGA"/>
        <w:spacing w:line="360" w:lineRule="exact"/>
        <w:rPr>
          <w:rFonts w:hint="cs"/>
          <w:rtl/>
        </w:rPr>
      </w:pP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وإذ يؤكد مجدداً</w:t>
      </w:r>
      <w:r w:rsidRPr="00D5500A">
        <w:rPr>
          <w:rFonts w:hint="cs"/>
          <w:rtl/>
        </w:rPr>
        <w:t xml:space="preserve"> التزامات الدول بموجب صكوك حقوق الإنسان الدولية </w:t>
      </w:r>
      <w:r>
        <w:rPr>
          <w:rFonts w:hint="cs"/>
          <w:rtl/>
        </w:rPr>
        <w:t>ذات الصلة</w:t>
      </w:r>
      <w:r w:rsidRPr="00D5500A">
        <w:rPr>
          <w:rFonts w:hint="cs"/>
          <w:rtl/>
        </w:rPr>
        <w:t>، لا سيما الاتفاقية الدولية للقضاء على جميع أشكال التمييز العنصري، التي اعتمدتها الجمعية العامة في قرارها</w:t>
      </w:r>
      <w:r>
        <w:rPr>
          <w:rFonts w:hint="eastAsia"/>
          <w:rtl/>
        </w:rPr>
        <w:t> </w:t>
      </w:r>
      <w:r w:rsidRPr="00D5500A">
        <w:rPr>
          <w:rFonts w:hint="cs"/>
          <w:rtl/>
        </w:rPr>
        <w:t>2106 (</w:t>
      </w:r>
      <w:r>
        <w:rPr>
          <w:rFonts w:hint="cs"/>
          <w:rtl/>
        </w:rPr>
        <w:t>د-20</w:t>
      </w:r>
      <w:r w:rsidRPr="00D5500A">
        <w:rPr>
          <w:rFonts w:hint="cs"/>
          <w:rtl/>
        </w:rPr>
        <w:t>) المؤرخ 21 كانون الأول/ديسمبر 1965،</w:t>
      </w:r>
    </w:p>
    <w:p w:rsidR="006F1C69" w:rsidRPr="00D5500A" w:rsidRDefault="006F1C69" w:rsidP="006F1C69">
      <w:pPr>
        <w:pStyle w:val="SingleTxtGA"/>
        <w:spacing w:line="360" w:lineRule="exact"/>
        <w:rPr>
          <w:rFonts w:hint="cs"/>
          <w:rtl/>
        </w:rPr>
      </w:pP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وإذ يشير</w:t>
      </w:r>
      <w:r w:rsidRPr="00D5500A">
        <w:rPr>
          <w:rFonts w:hint="cs"/>
          <w:rtl/>
        </w:rPr>
        <w:t xml:space="preserve"> إلى جميع القرارات والمقررات السابقة للجمعية العامة، ولجنة حقوق الإنسان ومجلس حقوق الإنسان، بشأن القضاء على العنصرية والتمييز العنصري وكره الأجانب وما يتصل بذلك من تعصب، لا سيما قرار المجلس 9/14 المؤرخ 18 أيلول/سبتمبر 2008 بشأن ولاية فريق الخبراء العامل المعني بالمنحدرين من أصل أفريقي، </w:t>
      </w:r>
    </w:p>
    <w:p w:rsidR="006F1C69" w:rsidRPr="00D5500A" w:rsidRDefault="006F1C69" w:rsidP="00C42C1B">
      <w:pPr>
        <w:pStyle w:val="SingleTxtGA"/>
        <w:spacing w:line="370" w:lineRule="exact"/>
        <w:rPr>
          <w:rFonts w:hint="cs"/>
          <w:rtl/>
        </w:rPr>
      </w:pP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وإذ يشير أيضاً</w:t>
      </w:r>
      <w:r w:rsidRPr="00D5500A">
        <w:rPr>
          <w:rFonts w:hint="cs"/>
          <w:rtl/>
        </w:rPr>
        <w:t xml:space="preserve"> إلى قراري مجلس حقوق الإنسان 5/1 بشأن بناء مؤسسات المجلس</w:t>
      </w:r>
      <w:r>
        <w:rPr>
          <w:rFonts w:hint="cs"/>
          <w:rtl/>
        </w:rPr>
        <w:t>،</w:t>
      </w:r>
      <w:r w:rsidRPr="00D5500A">
        <w:rPr>
          <w:rFonts w:hint="cs"/>
          <w:rtl/>
        </w:rPr>
        <w:t xml:space="preserve"> و5/2 بشأن مدونة قواعد سلوك </w:t>
      </w:r>
      <w:r>
        <w:rPr>
          <w:rFonts w:hint="cs"/>
          <w:rtl/>
        </w:rPr>
        <w:t>المكلفين بولاي</w:t>
      </w:r>
      <w:r w:rsidR="00C42C1B">
        <w:rPr>
          <w:rFonts w:hint="cs"/>
          <w:rtl/>
        </w:rPr>
        <w:t>ات</w:t>
      </w:r>
      <w:r w:rsidRPr="00D5500A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إطار </w:t>
      </w:r>
      <w:r w:rsidRPr="00D5500A">
        <w:rPr>
          <w:rFonts w:hint="cs"/>
          <w:rtl/>
        </w:rPr>
        <w:t>الإجراءات الخاصة</w:t>
      </w:r>
      <w:r>
        <w:rPr>
          <w:rFonts w:hint="cs"/>
          <w:rtl/>
        </w:rPr>
        <w:t xml:space="preserve"> للمجلس</w:t>
      </w:r>
      <w:r w:rsidRPr="00D5500A">
        <w:rPr>
          <w:rFonts w:hint="cs"/>
          <w:rtl/>
        </w:rPr>
        <w:t>، المؤرخَيْن</w:t>
      </w:r>
      <w:r>
        <w:rPr>
          <w:rFonts w:hint="eastAsia"/>
          <w:rtl/>
        </w:rPr>
        <w:t> </w:t>
      </w:r>
      <w:r w:rsidRPr="00D5500A">
        <w:rPr>
          <w:rFonts w:hint="cs"/>
          <w:rtl/>
        </w:rPr>
        <w:t>18 حزيران/يونيه 2007، و</w:t>
      </w:r>
      <w:r>
        <w:rPr>
          <w:rFonts w:hint="cs"/>
          <w:rtl/>
        </w:rPr>
        <w:t>إذ يشدد</w:t>
      </w:r>
      <w:r w:rsidRPr="00D5500A">
        <w:rPr>
          <w:rFonts w:hint="cs"/>
          <w:rtl/>
        </w:rPr>
        <w:t xml:space="preserve"> على أن المكلف بالولاية </w:t>
      </w:r>
      <w:r w:rsidR="00C42C1B">
        <w:rPr>
          <w:rFonts w:hint="cs"/>
          <w:rtl/>
        </w:rPr>
        <w:t xml:space="preserve">يجب أن يضطلع </w:t>
      </w:r>
      <w:r w:rsidRPr="00D5500A">
        <w:rPr>
          <w:rFonts w:hint="cs"/>
          <w:rtl/>
        </w:rPr>
        <w:t xml:space="preserve">بمهامه وفقاً لهذين القرارين ومرفقاتهما، </w:t>
      </w:r>
    </w:p>
    <w:p w:rsidR="006F1C69" w:rsidRPr="00D5500A" w:rsidRDefault="006F1C69" w:rsidP="00C42C1B">
      <w:pPr>
        <w:pStyle w:val="SingleTxtGA"/>
        <w:spacing w:line="370" w:lineRule="exact"/>
        <w:rPr>
          <w:rFonts w:hint="cs"/>
          <w:rtl/>
        </w:rPr>
      </w:pPr>
      <w:r w:rsidRPr="00D5500A">
        <w:rPr>
          <w:rFonts w:hint="cs"/>
          <w:rtl/>
        </w:rPr>
        <w:tab/>
      </w:r>
      <w:r w:rsidR="00C42C1B">
        <w:rPr>
          <w:rFonts w:hint="cs"/>
          <w:i/>
          <w:iCs/>
          <w:rtl/>
        </w:rPr>
        <w:t>وإذ يشدد</w:t>
      </w:r>
      <w:r w:rsidR="00C42C1B">
        <w:rPr>
          <w:rFonts w:hint="cs"/>
          <w:rtl/>
        </w:rPr>
        <w:t xml:space="preserve"> على الحاجة الملحة لإنجاز ولاية فريق الخبراء العامل المعني بالمنحدرين من أصل أفريقي</w:t>
      </w:r>
      <w:r w:rsidR="00C47434">
        <w:rPr>
          <w:rFonts w:hint="cs"/>
          <w:rtl/>
        </w:rPr>
        <w:t>، بما في ذلك وفقاً للفقرات 5 إلى 7 من إعلان وبرنامج عمل ديربان،</w:t>
      </w:r>
      <w:r w:rsidR="00C42C1B">
        <w:rPr>
          <w:rFonts w:hint="cs"/>
          <w:rtl/>
        </w:rPr>
        <w:t xml:space="preserve"> </w:t>
      </w:r>
    </w:p>
    <w:p w:rsidR="006F1C69" w:rsidRPr="00D5500A" w:rsidRDefault="006F1C69" w:rsidP="00C47434">
      <w:pPr>
        <w:pStyle w:val="SingleTxtGA"/>
        <w:spacing w:line="370" w:lineRule="exact"/>
        <w:rPr>
          <w:rFonts w:hint="cs"/>
          <w:spacing w:val="-2"/>
          <w:rtl/>
        </w:rPr>
      </w:pPr>
      <w:r w:rsidRPr="00D5500A">
        <w:rPr>
          <w:rFonts w:hint="cs"/>
          <w:spacing w:val="-2"/>
          <w:rtl/>
        </w:rPr>
        <w:tab/>
        <w:t>1-</w:t>
      </w:r>
      <w:r w:rsidRPr="00D5500A">
        <w:rPr>
          <w:rFonts w:hint="cs"/>
          <w:spacing w:val="-2"/>
          <w:rtl/>
        </w:rPr>
        <w:tab/>
      </w:r>
      <w:r w:rsidRPr="00D5500A">
        <w:rPr>
          <w:rFonts w:hint="cs"/>
          <w:i/>
          <w:iCs/>
          <w:spacing w:val="-2"/>
          <w:rtl/>
        </w:rPr>
        <w:t>يقرر</w:t>
      </w:r>
      <w:r w:rsidRPr="00D5500A">
        <w:rPr>
          <w:rFonts w:hint="cs"/>
          <w:spacing w:val="-2"/>
          <w:rtl/>
        </w:rPr>
        <w:t xml:space="preserve"> تمديد ولاية فريق الخبراء العامل المعني بالمنحدرين من أصل أفريقي </w:t>
      </w:r>
      <w:r w:rsidR="00C47434">
        <w:rPr>
          <w:rFonts w:hint="cs"/>
          <w:spacing w:val="-2"/>
          <w:rtl/>
        </w:rPr>
        <w:t>لمدة</w:t>
      </w:r>
      <w:r w:rsidRPr="00D5500A">
        <w:rPr>
          <w:rFonts w:hint="cs"/>
          <w:spacing w:val="-2"/>
          <w:rtl/>
        </w:rPr>
        <w:t xml:space="preserve"> ثلاث سنوات</w:t>
      </w:r>
      <w:r w:rsidR="00C47434">
        <w:rPr>
          <w:rFonts w:hint="cs"/>
          <w:spacing w:val="-2"/>
          <w:rtl/>
        </w:rPr>
        <w:t xml:space="preserve"> أخرى</w:t>
      </w:r>
      <w:r w:rsidRPr="00D5500A">
        <w:rPr>
          <w:rFonts w:hint="cs"/>
          <w:spacing w:val="-2"/>
          <w:rtl/>
        </w:rPr>
        <w:t>، وفقاً للاختصاصات الواردة في قرار مجلس حقوق الإنسان 9/14؛</w:t>
      </w:r>
    </w:p>
    <w:p w:rsidR="006F1C69" w:rsidRPr="00D5500A" w:rsidRDefault="006F1C69" w:rsidP="006F1C69">
      <w:pPr>
        <w:pStyle w:val="SingleTxtGA"/>
        <w:spacing w:line="370" w:lineRule="exact"/>
        <w:rPr>
          <w:rFonts w:hint="cs"/>
          <w:rtl/>
        </w:rPr>
      </w:pPr>
      <w:r w:rsidRPr="00D5500A">
        <w:rPr>
          <w:rFonts w:hint="cs"/>
          <w:rtl/>
        </w:rPr>
        <w:tab/>
        <w:t>2-</w:t>
      </w: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يقرر أيضاً</w:t>
      </w:r>
      <w:r w:rsidRPr="00D5500A">
        <w:rPr>
          <w:rFonts w:hint="cs"/>
          <w:rtl/>
        </w:rPr>
        <w:t xml:space="preserve"> أن يقوم الفريق العامل بزيارتين قطريتين في السنة</w:t>
      </w:r>
      <w:r>
        <w:rPr>
          <w:rFonts w:hint="cs"/>
          <w:rtl/>
        </w:rPr>
        <w:t xml:space="preserve"> على الأقل</w:t>
      </w:r>
      <w:r w:rsidRPr="00D5500A">
        <w:rPr>
          <w:rFonts w:hint="cs"/>
          <w:rtl/>
        </w:rPr>
        <w:t>؛</w:t>
      </w:r>
    </w:p>
    <w:p w:rsidR="006F1C69" w:rsidRPr="00D5500A" w:rsidRDefault="006F1C69" w:rsidP="006F1C69">
      <w:pPr>
        <w:pStyle w:val="SingleTxtGA"/>
        <w:spacing w:line="370" w:lineRule="exact"/>
        <w:rPr>
          <w:rFonts w:hint="cs"/>
          <w:spacing w:val="-2"/>
          <w:rtl/>
        </w:rPr>
      </w:pPr>
      <w:r w:rsidRPr="00D5500A">
        <w:rPr>
          <w:rFonts w:hint="cs"/>
          <w:spacing w:val="-2"/>
          <w:rtl/>
        </w:rPr>
        <w:tab/>
        <w:t>3-</w:t>
      </w:r>
      <w:r w:rsidRPr="00D5500A">
        <w:rPr>
          <w:rFonts w:hint="cs"/>
          <w:spacing w:val="-2"/>
          <w:rtl/>
        </w:rPr>
        <w:tab/>
      </w:r>
      <w:r w:rsidRPr="00D5500A">
        <w:rPr>
          <w:rFonts w:hint="cs"/>
          <w:i/>
          <w:iCs/>
          <w:spacing w:val="-2"/>
          <w:rtl/>
        </w:rPr>
        <w:t>يطلب</w:t>
      </w:r>
      <w:r w:rsidRPr="00D5500A">
        <w:rPr>
          <w:rFonts w:hint="cs"/>
          <w:spacing w:val="-2"/>
          <w:rtl/>
        </w:rPr>
        <w:t xml:space="preserve"> إلى جميع الحكومات أن تتعاون تعاوناً كاملاً مع الفريق العامل في أداء ولايته، بما في ذلك بالاستجابة السريعة لما يوجهه الفريق من رسائل وبتقديم المعلومات المطلوبة؛</w:t>
      </w:r>
    </w:p>
    <w:p w:rsidR="006F1C69" w:rsidRPr="00D5500A" w:rsidRDefault="006F1C69" w:rsidP="006F1C69">
      <w:pPr>
        <w:pStyle w:val="SingleTxtGA"/>
        <w:spacing w:line="370" w:lineRule="exact"/>
        <w:rPr>
          <w:rFonts w:hint="cs"/>
          <w:rtl/>
        </w:rPr>
      </w:pPr>
      <w:r w:rsidRPr="00D5500A">
        <w:rPr>
          <w:rFonts w:hint="cs"/>
          <w:rtl/>
        </w:rPr>
        <w:tab/>
        <w:t>4-</w:t>
      </w:r>
      <w:r w:rsidRPr="00D5500A">
        <w:rPr>
          <w:rFonts w:hint="cs"/>
          <w:rtl/>
        </w:rPr>
        <w:tab/>
      </w:r>
      <w:r w:rsidRPr="00D5500A">
        <w:rPr>
          <w:rFonts w:hint="cs"/>
          <w:i/>
          <w:iCs/>
          <w:rtl/>
        </w:rPr>
        <w:t>يطلب</w:t>
      </w:r>
      <w:r w:rsidRPr="00D5500A">
        <w:rPr>
          <w:rFonts w:hint="cs"/>
          <w:rtl/>
        </w:rPr>
        <w:t xml:space="preserve"> إلى الفريق العامل أن يقدم تقريراً سنوياً إلى مجلس حقوق الإنسان بشأن جميع الأنشطة ذات الصلة بولايته؛</w:t>
      </w:r>
    </w:p>
    <w:p w:rsidR="006F1C69" w:rsidRPr="00D5500A" w:rsidRDefault="006F1C69" w:rsidP="006F1C69">
      <w:pPr>
        <w:pStyle w:val="SingleTxtGA"/>
        <w:spacing w:line="370" w:lineRule="exact"/>
        <w:rPr>
          <w:rFonts w:hint="cs"/>
          <w:spacing w:val="-2"/>
          <w:rtl/>
        </w:rPr>
      </w:pPr>
      <w:r w:rsidRPr="00D5500A">
        <w:rPr>
          <w:rFonts w:hint="cs"/>
          <w:spacing w:val="-2"/>
          <w:rtl/>
        </w:rPr>
        <w:tab/>
        <w:t>5-</w:t>
      </w:r>
      <w:r w:rsidRPr="00D5500A">
        <w:rPr>
          <w:rFonts w:hint="cs"/>
          <w:spacing w:val="-2"/>
          <w:rtl/>
        </w:rPr>
        <w:tab/>
      </w:r>
      <w:r w:rsidRPr="00D5500A">
        <w:rPr>
          <w:rFonts w:hint="cs"/>
          <w:i/>
          <w:iCs/>
          <w:spacing w:val="-2"/>
          <w:rtl/>
        </w:rPr>
        <w:t>يطلب</w:t>
      </w:r>
      <w:r w:rsidRPr="00D5500A">
        <w:rPr>
          <w:rFonts w:hint="cs"/>
          <w:spacing w:val="-2"/>
          <w:rtl/>
        </w:rPr>
        <w:t xml:space="preserve"> إلى الدول، والمنظمات غير الحكومية، وهيئات معاهدات حقوق الإنسان ذات الصلة، والإجراءات الخاصة وغيرها من آليات مجلس حقوق الإنسان، والمؤسسات الوطنية لحقوق الإنسان، والمؤسسات المالية والإنمائية </w:t>
      </w:r>
      <w:r>
        <w:rPr>
          <w:rFonts w:hint="cs"/>
          <w:spacing w:val="-2"/>
          <w:rtl/>
        </w:rPr>
        <w:t>الدولية</w:t>
      </w:r>
      <w:r w:rsidRPr="00D5500A">
        <w:rPr>
          <w:rFonts w:hint="cs"/>
          <w:spacing w:val="-2"/>
          <w:rtl/>
        </w:rPr>
        <w:t xml:space="preserve">، والوكالات المتخصصة، والبرامج والصناديق التابعة للأمم المتحدة، أن تتعاون مع الفريق العامل، بطرق منها تزويده بالمعلومات الضرورية وكذلك، إن أمكن، بالتقارير كي يتسنى له </w:t>
      </w:r>
      <w:r>
        <w:rPr>
          <w:rFonts w:hint="cs"/>
          <w:spacing w:val="-2"/>
          <w:rtl/>
        </w:rPr>
        <w:t xml:space="preserve">الاضطلاع </w:t>
      </w:r>
      <w:r w:rsidRPr="00D5500A">
        <w:rPr>
          <w:rFonts w:hint="cs"/>
          <w:spacing w:val="-2"/>
          <w:rtl/>
        </w:rPr>
        <w:t>بولايته</w:t>
      </w:r>
      <w:r w:rsidR="00C47434">
        <w:rPr>
          <w:rFonts w:hint="cs"/>
          <w:spacing w:val="-2"/>
          <w:rtl/>
        </w:rPr>
        <w:t xml:space="preserve"> بما في ذلك فيما يتعلق بالبعثات الميدانية</w:t>
      </w:r>
      <w:r w:rsidRPr="00D5500A">
        <w:rPr>
          <w:rFonts w:hint="cs"/>
          <w:spacing w:val="-2"/>
          <w:rtl/>
        </w:rPr>
        <w:t>؛</w:t>
      </w:r>
    </w:p>
    <w:p w:rsidR="006F1C69" w:rsidRPr="00DB2905" w:rsidRDefault="006F1C69" w:rsidP="00DB2905">
      <w:pPr>
        <w:pStyle w:val="SingleTxtGA"/>
        <w:spacing w:line="370" w:lineRule="exact"/>
        <w:rPr>
          <w:rFonts w:hint="cs"/>
          <w:spacing w:val="-4"/>
          <w:rtl/>
        </w:rPr>
      </w:pPr>
      <w:r w:rsidRPr="00DB2905">
        <w:rPr>
          <w:rFonts w:hint="cs"/>
          <w:spacing w:val="-4"/>
          <w:rtl/>
        </w:rPr>
        <w:tab/>
        <w:t>6-</w:t>
      </w:r>
      <w:r w:rsidRPr="00DB2905">
        <w:rPr>
          <w:rFonts w:hint="cs"/>
          <w:spacing w:val="-4"/>
          <w:rtl/>
        </w:rPr>
        <w:tab/>
      </w:r>
      <w:r w:rsidRPr="00DB2905">
        <w:rPr>
          <w:rFonts w:hint="cs"/>
          <w:i/>
          <w:iCs/>
          <w:spacing w:val="-4"/>
          <w:rtl/>
        </w:rPr>
        <w:t>يطلب</w:t>
      </w:r>
      <w:r w:rsidRPr="00DB2905">
        <w:rPr>
          <w:rFonts w:hint="cs"/>
          <w:spacing w:val="-4"/>
          <w:rtl/>
        </w:rPr>
        <w:t xml:space="preserve"> إلى الأمين العام ومفوضة الأمم المتحدة السامية لحقوق الإنسان تزويد الفريق العامل ب</w:t>
      </w:r>
      <w:r w:rsidR="00DB2905" w:rsidRPr="00DB2905">
        <w:rPr>
          <w:rFonts w:hint="cs"/>
          <w:spacing w:val="-4"/>
          <w:rtl/>
        </w:rPr>
        <w:t xml:space="preserve">كل ما يلزمه من </w:t>
      </w:r>
      <w:r w:rsidRPr="00DB2905">
        <w:rPr>
          <w:rFonts w:hint="cs"/>
          <w:spacing w:val="-4"/>
          <w:rtl/>
        </w:rPr>
        <w:t xml:space="preserve">مساعدة </w:t>
      </w:r>
      <w:r w:rsidR="00DB2905" w:rsidRPr="00DB2905">
        <w:rPr>
          <w:rFonts w:hint="cs"/>
          <w:spacing w:val="-4"/>
          <w:rtl/>
        </w:rPr>
        <w:t xml:space="preserve"> بشرية و</w:t>
      </w:r>
      <w:r w:rsidRPr="00DB2905">
        <w:rPr>
          <w:rFonts w:hint="cs"/>
          <w:spacing w:val="-4"/>
          <w:rtl/>
        </w:rPr>
        <w:t>تقنية ومالية من أجل التنفيذ الفعّال لولايته؛</w:t>
      </w:r>
    </w:p>
    <w:p w:rsidR="006F1C69" w:rsidRPr="00DB2905" w:rsidRDefault="006F1C69" w:rsidP="00DB2905">
      <w:pPr>
        <w:pStyle w:val="SingleTxtGA"/>
        <w:spacing w:line="370" w:lineRule="exact"/>
        <w:rPr>
          <w:rFonts w:hint="cs"/>
          <w:spacing w:val="-8"/>
          <w:rtl/>
        </w:rPr>
      </w:pPr>
      <w:r w:rsidRPr="00DB2905">
        <w:rPr>
          <w:rFonts w:hint="cs"/>
          <w:spacing w:val="-8"/>
          <w:rtl/>
        </w:rPr>
        <w:tab/>
        <w:t>7-</w:t>
      </w:r>
      <w:r w:rsidRPr="00DB2905">
        <w:rPr>
          <w:rFonts w:hint="cs"/>
          <w:spacing w:val="-8"/>
          <w:rtl/>
        </w:rPr>
        <w:tab/>
      </w:r>
      <w:r w:rsidRPr="00DB2905">
        <w:rPr>
          <w:rFonts w:hint="cs"/>
          <w:i/>
          <w:iCs/>
          <w:spacing w:val="-8"/>
          <w:rtl/>
        </w:rPr>
        <w:t>يشير</w:t>
      </w:r>
      <w:r w:rsidRPr="00DB2905">
        <w:rPr>
          <w:rFonts w:hint="cs"/>
          <w:spacing w:val="-8"/>
          <w:rtl/>
        </w:rPr>
        <w:t xml:space="preserve"> إلى إنشاء صندوق تبرعات لتوفير موارد إضافية لأغراض منها مشاركة المنحدرين من أصل أفريقي، وممثلي البلدان النامية، لا</w:t>
      </w:r>
      <w:r w:rsidR="00DB2905" w:rsidRPr="00DB2905">
        <w:rPr>
          <w:rFonts w:hint="cs"/>
          <w:spacing w:val="-8"/>
          <w:rtl/>
        </w:rPr>
        <w:t xml:space="preserve"> </w:t>
      </w:r>
      <w:r w:rsidRPr="00DB2905">
        <w:rPr>
          <w:rFonts w:hint="cs"/>
          <w:spacing w:val="-8"/>
          <w:rtl/>
        </w:rPr>
        <w:t>سيما أقل البلدان نمواً، والمنظمات غير الحكومية، والخبراء، في دورات الفريق العامل المفتوحة العضوية، ويدعو الدول إلى التبرع لهذا الصندوق؛</w:t>
      </w:r>
    </w:p>
    <w:p w:rsidR="006F1C69" w:rsidRPr="00DB2905" w:rsidRDefault="00DB2905" w:rsidP="00DB2905">
      <w:pPr>
        <w:pStyle w:val="SingleTxtGA"/>
        <w:spacing w:after="0" w:line="370" w:lineRule="exact"/>
        <w:jc w:val="right"/>
        <w:rPr>
          <w:rFonts w:hint="cs"/>
          <w:i/>
          <w:iCs/>
          <w:rtl/>
        </w:rPr>
      </w:pPr>
      <w:r w:rsidRPr="00DB2905">
        <w:rPr>
          <w:rFonts w:hint="cs"/>
          <w:i/>
          <w:iCs/>
          <w:rtl/>
        </w:rPr>
        <w:t>الجلسة 38</w:t>
      </w:r>
    </w:p>
    <w:p w:rsidR="00DB2905" w:rsidRPr="00DB2905" w:rsidRDefault="00DB2905" w:rsidP="00DB2905">
      <w:pPr>
        <w:pStyle w:val="SingleTxtGA"/>
        <w:spacing w:line="370" w:lineRule="exact"/>
        <w:jc w:val="right"/>
        <w:rPr>
          <w:rFonts w:hint="cs"/>
          <w:i/>
          <w:iCs/>
          <w:rtl/>
        </w:rPr>
      </w:pPr>
      <w:r w:rsidRPr="00DB2905">
        <w:rPr>
          <w:rFonts w:hint="cs"/>
          <w:i/>
          <w:iCs/>
          <w:rtl/>
        </w:rPr>
        <w:t xml:space="preserve">30 </w:t>
      </w:r>
      <w:r w:rsidRPr="00DB2905">
        <w:rPr>
          <w:rFonts w:hint="cs"/>
          <w:i/>
          <w:iCs/>
          <w:sz w:val="30"/>
          <w:rtl/>
        </w:rPr>
        <w:t xml:space="preserve">أيلول/سبتمبر </w:t>
      </w:r>
      <w:r w:rsidRPr="00DB2905">
        <w:rPr>
          <w:rFonts w:hint="cs"/>
          <w:i/>
          <w:iCs/>
          <w:rtl/>
        </w:rPr>
        <w:t>2011</w:t>
      </w:r>
    </w:p>
    <w:p w:rsidR="00DB2905" w:rsidRPr="00DB2905" w:rsidRDefault="00DB2905" w:rsidP="006F1C69">
      <w:pPr>
        <w:pStyle w:val="SingleTxtGA"/>
        <w:spacing w:line="370" w:lineRule="exact"/>
        <w:rPr>
          <w:rFonts w:hint="cs"/>
          <w:rtl/>
        </w:rPr>
      </w:pPr>
      <w:r>
        <w:rPr>
          <w:rFonts w:hint="cs"/>
          <w:rtl/>
        </w:rPr>
        <w:t>[اعتُمد دون تصويت.]</w:t>
      </w:r>
    </w:p>
    <w:p w:rsidR="006F1C69" w:rsidRPr="00D5500A" w:rsidRDefault="006F1C69" w:rsidP="006F1C69">
      <w:pPr>
        <w:spacing w:before="120" w:line="300" w:lineRule="exact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F1C69" w:rsidRPr="00D5500A" w:rsidSect="006F1C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98" w:rsidRPr="00FE6865" w:rsidRDefault="000C0698" w:rsidP="00FE6865">
      <w:pPr>
        <w:pStyle w:val="Footer"/>
      </w:pPr>
    </w:p>
  </w:endnote>
  <w:endnote w:type="continuationSeparator" w:id="0">
    <w:p w:rsidR="000C0698" w:rsidRDefault="000C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8" w:rsidRPr="006F1C69" w:rsidRDefault="000C0698" w:rsidP="006F1C69">
    <w:pPr>
      <w:pStyle w:val="Footer"/>
      <w:tabs>
        <w:tab w:val="right" w:pos="9598"/>
      </w:tabs>
    </w:pPr>
    <w:r>
      <w:t>GE.11-16795</w:t>
    </w:r>
    <w:r>
      <w:tab/>
    </w:r>
    <w:r w:rsidRPr="006F1C69">
      <w:rPr>
        <w:b/>
        <w:sz w:val="18"/>
      </w:rPr>
      <w:fldChar w:fldCharType="begin"/>
    </w:r>
    <w:r w:rsidRPr="006F1C69">
      <w:rPr>
        <w:b/>
        <w:sz w:val="18"/>
      </w:rPr>
      <w:instrText xml:space="preserve"> PAGE  \* MERGEFORMAT </w:instrText>
    </w:r>
    <w:r w:rsidRPr="006F1C69">
      <w:rPr>
        <w:b/>
        <w:sz w:val="18"/>
      </w:rPr>
      <w:fldChar w:fldCharType="separate"/>
    </w:r>
    <w:r w:rsidR="0052481F">
      <w:rPr>
        <w:b/>
        <w:noProof/>
        <w:sz w:val="18"/>
      </w:rPr>
      <w:t>2</w:t>
    </w:r>
    <w:r w:rsidRPr="006F1C69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8" w:rsidRPr="006F1C69" w:rsidRDefault="000C0698" w:rsidP="006F1C69">
    <w:pPr>
      <w:pStyle w:val="Footer"/>
      <w:tabs>
        <w:tab w:val="right" w:pos="9598"/>
      </w:tabs>
      <w:rPr>
        <w:b/>
        <w:sz w:val="18"/>
      </w:rPr>
    </w:pPr>
    <w:r w:rsidRPr="006F1C69">
      <w:rPr>
        <w:b/>
        <w:sz w:val="18"/>
      </w:rPr>
      <w:fldChar w:fldCharType="begin"/>
    </w:r>
    <w:r w:rsidRPr="006F1C69">
      <w:rPr>
        <w:b/>
        <w:sz w:val="18"/>
      </w:rPr>
      <w:instrText xml:space="preserve"> PAGE  \* MERGEFORMAT </w:instrText>
    </w:r>
    <w:r w:rsidRPr="006F1C6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F1C69">
      <w:rPr>
        <w:b/>
        <w:sz w:val="18"/>
      </w:rPr>
      <w:fldChar w:fldCharType="end"/>
    </w:r>
    <w:r>
      <w:rPr>
        <w:b/>
        <w:sz w:val="18"/>
      </w:rPr>
      <w:tab/>
    </w:r>
    <w:r>
      <w:t>GE.11-16795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8" w:rsidRDefault="000C0698" w:rsidP="006F1C69">
    <w:pPr>
      <w:pStyle w:val="Footer"/>
      <w:jc w:val="right"/>
    </w:pPr>
    <w:r>
      <w:rPr>
        <w:sz w:val="20"/>
      </w:rPr>
      <w:t>(A)   GE.11-16795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1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 xml:space="preserve">    261011    271011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98" w:rsidRDefault="000C0698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0C0698" w:rsidRDefault="000C0698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0C0698" w:rsidRPr="00DE0890" w:rsidRDefault="000C0698" w:rsidP="00F1267D">
      <w:pPr>
        <w:pStyle w:val="footnoteText0"/>
        <w:tabs>
          <w:tab w:val="left" w:pos="1253"/>
        </w:tabs>
        <w:rPr>
          <w:rFonts w:hint="cs"/>
          <w:rtl/>
        </w:rPr>
      </w:pPr>
      <w:r>
        <w:rPr>
          <w:rtl/>
        </w:rPr>
        <w:tab/>
      </w:r>
      <w:r w:rsidRPr="006F1C69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>
        <w:rPr>
          <w:rFonts w:hint="cs"/>
          <w:rtl/>
        </w:rPr>
        <w:t>سترد القرارات والمقررات التي اعتمدها مجلس حقوق الإنسان في تقرير المجلس عن دورته الثامنة عشرة (</w:t>
      </w:r>
      <w:r>
        <w:t>A/HRC/18/2</w:t>
      </w:r>
      <w:r>
        <w:rPr>
          <w:rFonts w:hint="cs"/>
          <w:rtl/>
        </w:rPr>
        <w:t xml:space="preserve">)، الفصل الأول.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8" w:rsidRPr="006F1C69" w:rsidRDefault="000C0698" w:rsidP="006F1C69">
    <w:pPr>
      <w:pStyle w:val="Header"/>
      <w:jc w:val="right"/>
    </w:pPr>
    <w:r w:rsidRPr="006F1C69">
      <w:t>A/HRC/RES/18/28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8" w:rsidRPr="006F1C69" w:rsidRDefault="000C0698" w:rsidP="006F1C69">
    <w:pPr>
      <w:pStyle w:val="Header"/>
      <w:jc w:val="left"/>
    </w:pPr>
    <w:r w:rsidRPr="006F1C69">
      <w:t>A/HRC/RES/18/28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BB"/>
    <w:rsid w:val="00040E25"/>
    <w:rsid w:val="00042149"/>
    <w:rsid w:val="000648EA"/>
    <w:rsid w:val="000957C8"/>
    <w:rsid w:val="000B52F2"/>
    <w:rsid w:val="000C0698"/>
    <w:rsid w:val="000D0EAE"/>
    <w:rsid w:val="000D5380"/>
    <w:rsid w:val="000D6654"/>
    <w:rsid w:val="000F0264"/>
    <w:rsid w:val="000F2EBF"/>
    <w:rsid w:val="000F5FF6"/>
    <w:rsid w:val="00113FA5"/>
    <w:rsid w:val="001455A0"/>
    <w:rsid w:val="001602A3"/>
    <w:rsid w:val="001A5161"/>
    <w:rsid w:val="001A60BD"/>
    <w:rsid w:val="0023736D"/>
    <w:rsid w:val="00257225"/>
    <w:rsid w:val="00275860"/>
    <w:rsid w:val="00310160"/>
    <w:rsid w:val="00331845"/>
    <w:rsid w:val="00341A8C"/>
    <w:rsid w:val="003519E6"/>
    <w:rsid w:val="003B4356"/>
    <w:rsid w:val="003F08A8"/>
    <w:rsid w:val="004250E3"/>
    <w:rsid w:val="00444AA6"/>
    <w:rsid w:val="00472A81"/>
    <w:rsid w:val="004B2C92"/>
    <w:rsid w:val="004D6A3A"/>
    <w:rsid w:val="004F4AD7"/>
    <w:rsid w:val="0052481F"/>
    <w:rsid w:val="005449D8"/>
    <w:rsid w:val="00557CD3"/>
    <w:rsid w:val="00571432"/>
    <w:rsid w:val="005732A2"/>
    <w:rsid w:val="005762A5"/>
    <w:rsid w:val="00590BA3"/>
    <w:rsid w:val="005A1A9A"/>
    <w:rsid w:val="005B7AE0"/>
    <w:rsid w:val="005F146F"/>
    <w:rsid w:val="005F71B6"/>
    <w:rsid w:val="006201BB"/>
    <w:rsid w:val="00660FD4"/>
    <w:rsid w:val="00677E40"/>
    <w:rsid w:val="006A4425"/>
    <w:rsid w:val="006B4669"/>
    <w:rsid w:val="006C768B"/>
    <w:rsid w:val="006E3473"/>
    <w:rsid w:val="006F1C69"/>
    <w:rsid w:val="006F6BF8"/>
    <w:rsid w:val="00707BDF"/>
    <w:rsid w:val="00710727"/>
    <w:rsid w:val="00715F45"/>
    <w:rsid w:val="00731B84"/>
    <w:rsid w:val="00734AE7"/>
    <w:rsid w:val="007B599E"/>
    <w:rsid w:val="007E197F"/>
    <w:rsid w:val="007F68C4"/>
    <w:rsid w:val="008153DE"/>
    <w:rsid w:val="00852A10"/>
    <w:rsid w:val="00862634"/>
    <w:rsid w:val="00866C59"/>
    <w:rsid w:val="00877306"/>
    <w:rsid w:val="00887B5C"/>
    <w:rsid w:val="008A6242"/>
    <w:rsid w:val="008B4BC6"/>
    <w:rsid w:val="00901E57"/>
    <w:rsid w:val="00935F0E"/>
    <w:rsid w:val="0095208F"/>
    <w:rsid w:val="00977B3F"/>
    <w:rsid w:val="009814AE"/>
    <w:rsid w:val="00983870"/>
    <w:rsid w:val="00994B89"/>
    <w:rsid w:val="00996BBE"/>
    <w:rsid w:val="009A0C39"/>
    <w:rsid w:val="009A720D"/>
    <w:rsid w:val="009D1DD5"/>
    <w:rsid w:val="00A11DDA"/>
    <w:rsid w:val="00A26157"/>
    <w:rsid w:val="00A265C3"/>
    <w:rsid w:val="00A43F9A"/>
    <w:rsid w:val="00A543D4"/>
    <w:rsid w:val="00AD0014"/>
    <w:rsid w:val="00AD4CF2"/>
    <w:rsid w:val="00AF0BBA"/>
    <w:rsid w:val="00B30468"/>
    <w:rsid w:val="00B639B9"/>
    <w:rsid w:val="00BB2C41"/>
    <w:rsid w:val="00BC55C8"/>
    <w:rsid w:val="00BC5C10"/>
    <w:rsid w:val="00BE2964"/>
    <w:rsid w:val="00C24FBD"/>
    <w:rsid w:val="00C42C1B"/>
    <w:rsid w:val="00C473BA"/>
    <w:rsid w:val="00C47434"/>
    <w:rsid w:val="00C611ED"/>
    <w:rsid w:val="00C6490A"/>
    <w:rsid w:val="00C64FE1"/>
    <w:rsid w:val="00C66164"/>
    <w:rsid w:val="00C8345E"/>
    <w:rsid w:val="00CA4C17"/>
    <w:rsid w:val="00CA5F7C"/>
    <w:rsid w:val="00D51067"/>
    <w:rsid w:val="00D75657"/>
    <w:rsid w:val="00D960AD"/>
    <w:rsid w:val="00DA0E0E"/>
    <w:rsid w:val="00DB0C39"/>
    <w:rsid w:val="00DB2905"/>
    <w:rsid w:val="00DB7679"/>
    <w:rsid w:val="00DE0890"/>
    <w:rsid w:val="00DF1702"/>
    <w:rsid w:val="00DF4DD8"/>
    <w:rsid w:val="00DF668E"/>
    <w:rsid w:val="00E05DE3"/>
    <w:rsid w:val="00E14D2B"/>
    <w:rsid w:val="00E20DBA"/>
    <w:rsid w:val="00E56721"/>
    <w:rsid w:val="00E660D6"/>
    <w:rsid w:val="00E771AB"/>
    <w:rsid w:val="00EA796F"/>
    <w:rsid w:val="00EB077B"/>
    <w:rsid w:val="00EC50B9"/>
    <w:rsid w:val="00ED26A0"/>
    <w:rsid w:val="00F04473"/>
    <w:rsid w:val="00F1267D"/>
    <w:rsid w:val="00F1727A"/>
    <w:rsid w:val="00F34764"/>
    <w:rsid w:val="00F54E3C"/>
    <w:rsid w:val="00F874BD"/>
    <w:rsid w:val="00FA6DD0"/>
    <w:rsid w:val="00FE0F68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</TotalTime>
  <Pages>2</Pages>
  <Words>441</Words>
  <Characters>2517</Characters>
  <Application>Microsoft Office Outlook</Application>
  <DocSecurity>4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A/HRC/RES/18/28</vt:lpstr>
    </vt:vector>
  </TitlesOfParts>
  <Company>CSD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A/HRC/RES/18/28</dc:title>
  <dc:subject>EL HAJ</dc:subject>
  <dc:creator>Rima</dc:creator>
  <cp:keywords/>
  <dc:description/>
  <cp:lastModifiedBy>Rima</cp:lastModifiedBy>
  <cp:revision>2</cp:revision>
  <cp:lastPrinted>2011-10-27T13:35:00Z</cp:lastPrinted>
  <dcterms:created xsi:type="dcterms:W3CDTF">2011-10-27T14:31:00Z</dcterms:created>
  <dcterms:modified xsi:type="dcterms:W3CDTF">2011-10-27T14:31:00Z</dcterms:modified>
</cp:coreProperties>
</file>