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C1B36" w:rsidP="00C019CF">
            <w:pPr>
              <w:bidi w:val="0"/>
              <w:spacing w:after="20"/>
              <w:jc w:val="left"/>
              <w:rPr>
                <w:szCs w:val="20"/>
              </w:rPr>
            </w:pPr>
            <w:r w:rsidRPr="007C1B36">
              <w:rPr>
                <w:sz w:val="40"/>
                <w:szCs w:val="20"/>
              </w:rPr>
              <w:t>A</w:t>
            </w:r>
            <w:r>
              <w:rPr>
                <w:szCs w:val="20"/>
              </w:rPr>
              <w:t>/HRC/RES/35/5</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C019CF" w:rsidP="00C019CF">
            <w:pPr>
              <w:bidi w:val="0"/>
              <w:spacing w:before="240"/>
              <w:jc w:val="left"/>
              <w:rPr>
                <w:szCs w:val="20"/>
              </w:rPr>
            </w:pPr>
            <w:r>
              <w:rPr>
                <w:szCs w:val="20"/>
              </w:rPr>
              <w:t>Distr.: General</w:t>
            </w:r>
          </w:p>
          <w:p w:rsidR="00C019CF" w:rsidRDefault="00C019CF" w:rsidP="00C019CF">
            <w:pPr>
              <w:bidi w:val="0"/>
              <w:jc w:val="left"/>
              <w:rPr>
                <w:szCs w:val="20"/>
              </w:rPr>
            </w:pPr>
            <w:r>
              <w:rPr>
                <w:szCs w:val="20"/>
              </w:rPr>
              <w:t>10 July 2017</w:t>
            </w:r>
          </w:p>
          <w:p w:rsidR="00C019CF" w:rsidRDefault="00C019CF" w:rsidP="00C019CF">
            <w:pPr>
              <w:bidi w:val="0"/>
              <w:jc w:val="left"/>
              <w:rPr>
                <w:szCs w:val="20"/>
              </w:rPr>
            </w:pPr>
            <w:r>
              <w:rPr>
                <w:szCs w:val="20"/>
              </w:rPr>
              <w:t>Arabic</w:t>
            </w:r>
          </w:p>
          <w:p w:rsidR="00C019CF" w:rsidRPr="003E159A" w:rsidRDefault="00C019CF" w:rsidP="00C019CF">
            <w:pPr>
              <w:bidi w:val="0"/>
              <w:jc w:val="left"/>
              <w:rPr>
                <w:szCs w:val="20"/>
              </w:rPr>
            </w:pPr>
            <w:r>
              <w:rPr>
                <w:szCs w:val="20"/>
              </w:rPr>
              <w:t>Original: English</w:t>
            </w:r>
          </w:p>
        </w:tc>
      </w:tr>
    </w:tbl>
    <w:p w:rsidR="00C019CF" w:rsidRDefault="001773DB" w:rsidP="00C019CF">
      <w:pPr>
        <w:spacing w:before="120" w:line="380" w:lineRule="exact"/>
        <w:jc w:val="left"/>
        <w:rPr>
          <w:b/>
          <w:bCs/>
          <w:sz w:val="36"/>
          <w:szCs w:val="36"/>
          <w:rtl/>
        </w:rPr>
      </w:pPr>
      <w:r w:rsidRPr="001773DB">
        <w:rPr>
          <w:rFonts w:hint="cs"/>
          <w:b/>
          <w:bCs/>
          <w:sz w:val="36"/>
          <w:szCs w:val="36"/>
          <w:rtl/>
        </w:rPr>
        <w:t>مجلس حقوق الإنسان</w:t>
      </w:r>
    </w:p>
    <w:p w:rsidR="00C019CF" w:rsidRPr="009F6F52" w:rsidRDefault="00C019CF" w:rsidP="00C019CF">
      <w:pPr>
        <w:spacing w:line="380" w:lineRule="exact"/>
        <w:textDirection w:val="tbRlV"/>
        <w:rPr>
          <w:b/>
          <w:bCs/>
          <w:rtl/>
          <w:lang w:eastAsia="zh-TW"/>
        </w:rPr>
      </w:pPr>
      <w:r w:rsidRPr="009F6F52">
        <w:rPr>
          <w:b/>
          <w:bCs/>
          <w:rtl/>
          <w:lang w:eastAsia="zh-TW"/>
        </w:rPr>
        <w:t>الدورة الخامسة والثلاثون</w:t>
      </w:r>
    </w:p>
    <w:p w:rsidR="00C019CF" w:rsidRPr="00836FE4" w:rsidRDefault="00C019CF" w:rsidP="00C019CF">
      <w:pPr>
        <w:spacing w:line="380" w:lineRule="exact"/>
        <w:textDirection w:val="tbRlV"/>
        <w:rPr>
          <w:rtl/>
          <w:lang w:eastAsia="zh-TW"/>
        </w:rPr>
      </w:pPr>
      <w:r w:rsidRPr="00836FE4">
        <w:rPr>
          <w:rtl/>
          <w:lang w:eastAsia="zh-TW"/>
        </w:rPr>
        <w:t>6-23 حزيران/يونيه 2017</w:t>
      </w:r>
      <w:r w:rsidRPr="00836FE4">
        <w:rPr>
          <w:rtl/>
          <w:lang w:eastAsia="zh-TW"/>
        </w:rPr>
        <w:t>‬</w:t>
      </w:r>
      <w:r w:rsidRPr="00836FE4">
        <w:t>‬</w:t>
      </w:r>
      <w:r w:rsidRPr="00836FE4">
        <w:t>‬</w:t>
      </w:r>
      <w:r>
        <w:t>‬</w:t>
      </w:r>
    </w:p>
    <w:p w:rsidR="00C019CF" w:rsidRPr="00836FE4" w:rsidRDefault="00C019CF" w:rsidP="00C019CF">
      <w:pPr>
        <w:spacing w:line="380" w:lineRule="exact"/>
        <w:textDirection w:val="tbRlV"/>
        <w:rPr>
          <w:rtl/>
          <w:lang w:eastAsia="zh-TW"/>
        </w:rPr>
      </w:pPr>
      <w:r w:rsidRPr="00836FE4">
        <w:rPr>
          <w:rtl/>
          <w:lang w:eastAsia="zh-TW"/>
        </w:rPr>
        <w:t>البند 3 من جدول الأعمال</w:t>
      </w:r>
      <w:r w:rsidRPr="00836FE4">
        <w:rPr>
          <w:rtl/>
          <w:lang w:eastAsia="zh-TW"/>
        </w:rPr>
        <w:t>‬</w:t>
      </w:r>
      <w:r w:rsidRPr="00836FE4">
        <w:t>‬</w:t>
      </w:r>
      <w:r w:rsidRPr="00836FE4">
        <w:t>‬</w:t>
      </w:r>
      <w:r>
        <w:t>‬</w:t>
      </w:r>
    </w:p>
    <w:p w:rsidR="00C019CF" w:rsidRPr="009F6F52" w:rsidRDefault="00C019CF" w:rsidP="002D262F">
      <w:pPr>
        <w:pStyle w:val="HChGA"/>
        <w:ind w:left="0" w:right="0" w:firstLine="0"/>
        <w:jc w:val="center"/>
        <w:rPr>
          <w:rtl/>
        </w:rPr>
      </w:pPr>
      <w:r w:rsidRPr="009B1A79">
        <w:rPr>
          <w:rFonts w:hint="eastAsia"/>
          <w:rtl/>
        </w:rPr>
        <w:t>قرار</w:t>
      </w:r>
      <w:r>
        <w:rPr>
          <w:rFonts w:hint="cs"/>
          <w:rtl/>
        </w:rPr>
        <w:t xml:space="preserve"> اعتمده مجلس حقوق الإنسان في 22 حزيران/يونيه 2017</w:t>
      </w:r>
    </w:p>
    <w:p w:rsidR="00C019CF" w:rsidRPr="009154D9" w:rsidRDefault="00C019CF" w:rsidP="00421592">
      <w:pPr>
        <w:pStyle w:val="H1GA"/>
        <w:ind w:left="2192" w:hanging="980"/>
        <w:rPr>
          <w:spacing w:val="-2"/>
          <w:rtl/>
          <w:lang w:eastAsia="zh-TW"/>
        </w:rPr>
      </w:pPr>
      <w:r w:rsidRPr="009154D9">
        <w:rPr>
          <w:spacing w:val="-2"/>
          <w:rtl/>
          <w:lang w:eastAsia="zh-TW"/>
        </w:rPr>
        <w:t>٣٥/</w:t>
      </w:r>
      <w:r w:rsidRPr="009154D9">
        <w:rPr>
          <w:rFonts w:hint="cs"/>
          <w:spacing w:val="-2"/>
          <w:rtl/>
          <w:lang w:eastAsia="zh-TW"/>
        </w:rPr>
        <w:t>5</w:t>
      </w:r>
      <w:r w:rsidR="002D262F">
        <w:rPr>
          <w:rFonts w:hint="cs"/>
          <w:spacing w:val="-2"/>
          <w:rtl/>
          <w:lang w:eastAsia="zh-TW"/>
        </w:rPr>
        <w:t>-</w:t>
      </w:r>
      <w:r w:rsidR="00167890">
        <w:rPr>
          <w:rFonts w:hint="cs"/>
          <w:spacing w:val="-2"/>
          <w:rtl/>
          <w:lang w:eastAsia="zh-TW"/>
        </w:rPr>
        <w:tab/>
      </w:r>
      <w:r w:rsidRPr="00D53BED">
        <w:rPr>
          <w:rtl/>
          <w:lang w:eastAsia="zh-TW"/>
        </w:rPr>
        <w:t>ولاية</w:t>
      </w:r>
      <w:bookmarkStart w:id="0" w:name="_GoBack"/>
      <w:bookmarkEnd w:id="0"/>
      <w:r w:rsidRPr="00D53BED">
        <w:rPr>
          <w:rtl/>
          <w:lang w:eastAsia="zh-TW"/>
        </w:rPr>
        <w:t xml:space="preserve"> المقررة الخاصة المعنية </w:t>
      </w:r>
      <w:proofErr w:type="spellStart"/>
      <w:r w:rsidRPr="00D53BED">
        <w:rPr>
          <w:rtl/>
          <w:lang w:eastAsia="zh-TW"/>
        </w:rPr>
        <w:t>بالاتجار</w:t>
      </w:r>
      <w:proofErr w:type="spellEnd"/>
      <w:r w:rsidRPr="00D53BED">
        <w:rPr>
          <w:rtl/>
          <w:lang w:eastAsia="zh-TW"/>
        </w:rPr>
        <w:t xml:space="preserve"> بالأشخاص، وبخاصة </w:t>
      </w:r>
      <w:r w:rsidR="00167890">
        <w:rPr>
          <w:rFonts w:hint="cs"/>
          <w:rtl/>
          <w:lang w:eastAsia="zh-TW"/>
        </w:rPr>
        <w:t xml:space="preserve">         </w:t>
      </w:r>
      <w:r w:rsidRPr="00D53BED">
        <w:rPr>
          <w:rtl/>
          <w:lang w:eastAsia="zh-TW"/>
        </w:rPr>
        <w:t>النساء والأطفال</w:t>
      </w:r>
      <w:r w:rsidRPr="00D53BED">
        <w:rPr>
          <w:rFonts w:cs="Times New Roman" w:hint="cs"/>
          <w:rtl/>
          <w:lang w:eastAsia="zh-TW"/>
        </w:rPr>
        <w:t>‬</w:t>
      </w:r>
    </w:p>
    <w:p w:rsidR="00C019CF" w:rsidRPr="00D53BED" w:rsidRDefault="00C019CF" w:rsidP="00C019CF">
      <w:pPr>
        <w:pStyle w:val="SingleTxtGA"/>
        <w:rPr>
          <w:i/>
          <w:iCs/>
          <w:rtl/>
          <w:lang w:eastAsia="zh-TW"/>
        </w:rPr>
      </w:pPr>
      <w:r w:rsidRPr="00D53BED">
        <w:rPr>
          <w:i/>
          <w:iCs/>
          <w:lang w:eastAsia="zh-TW"/>
        </w:rPr>
        <w:tab/>
      </w:r>
      <w:r w:rsidRPr="00D53BED">
        <w:rPr>
          <w:rFonts w:hint="eastAsia"/>
          <w:i/>
          <w:iCs/>
          <w:rtl/>
          <w:lang w:eastAsia="zh-TW"/>
        </w:rPr>
        <w:t>إن</w:t>
      </w:r>
      <w:r w:rsidRPr="00D53BED">
        <w:rPr>
          <w:i/>
          <w:iCs/>
          <w:rtl/>
          <w:lang w:eastAsia="zh-TW"/>
        </w:rPr>
        <w:t xml:space="preserve"> </w:t>
      </w:r>
      <w:r w:rsidRPr="00D53BED">
        <w:rPr>
          <w:rFonts w:hint="eastAsia"/>
          <w:i/>
          <w:iCs/>
          <w:rtl/>
          <w:lang w:eastAsia="zh-TW"/>
        </w:rPr>
        <w:t>مجلس</w:t>
      </w:r>
      <w:r w:rsidRPr="00D53BED">
        <w:rPr>
          <w:i/>
          <w:iCs/>
          <w:rtl/>
          <w:lang w:eastAsia="zh-TW"/>
        </w:rPr>
        <w:t xml:space="preserve"> </w:t>
      </w:r>
      <w:r w:rsidRPr="00D53BED">
        <w:rPr>
          <w:rFonts w:hint="eastAsia"/>
          <w:i/>
          <w:iCs/>
          <w:rtl/>
          <w:lang w:eastAsia="zh-TW"/>
        </w:rPr>
        <w:t>حقوق</w:t>
      </w:r>
      <w:r w:rsidRPr="00D53BED">
        <w:rPr>
          <w:i/>
          <w:iCs/>
          <w:rtl/>
          <w:lang w:eastAsia="zh-TW"/>
        </w:rPr>
        <w:t xml:space="preserve"> </w:t>
      </w:r>
      <w:r w:rsidRPr="00D53BED">
        <w:rPr>
          <w:rFonts w:hint="eastAsia"/>
          <w:i/>
          <w:iCs/>
          <w:rtl/>
          <w:lang w:eastAsia="zh-TW"/>
        </w:rPr>
        <w:t>الإنسان،</w:t>
      </w:r>
      <w:r w:rsidRPr="00D53BED">
        <w:rPr>
          <w:rFonts w:cs="Times New Roman" w:hint="cs"/>
          <w:i/>
          <w:iCs/>
          <w:rtl/>
          <w:lang w:eastAsia="zh-TW"/>
        </w:rPr>
        <w:t>‬</w:t>
      </w:r>
      <w:r w:rsidRPr="00D53BED">
        <w:rPr>
          <w:i/>
          <w:iCs/>
        </w:rPr>
        <w:t>‬</w:t>
      </w:r>
      <w:r w:rsidRPr="00D53BED">
        <w:rPr>
          <w:i/>
          <w:iCs/>
        </w:rPr>
        <w:t>‬</w:t>
      </w:r>
      <w:r w:rsidRPr="00D53BED">
        <w:rPr>
          <w:i/>
          <w:iCs/>
        </w:rPr>
        <w:t>‬</w:t>
      </w:r>
    </w:p>
    <w:p w:rsidR="00C019CF" w:rsidRPr="00D53BED" w:rsidRDefault="00C019CF" w:rsidP="00C019CF">
      <w:pPr>
        <w:pStyle w:val="SingleTxtGA"/>
        <w:rPr>
          <w:rtl/>
          <w:lang w:eastAsia="zh-TW"/>
        </w:rPr>
      </w:pPr>
      <w:r w:rsidRPr="00D53BED">
        <w:rPr>
          <w:lang w:eastAsia="zh-TW"/>
        </w:rPr>
        <w:tab/>
      </w:r>
      <w:r w:rsidRPr="00D53BED">
        <w:rPr>
          <w:rFonts w:hint="eastAsia"/>
          <w:i/>
          <w:iCs/>
          <w:rtl/>
          <w:lang w:eastAsia="zh-TW"/>
        </w:rPr>
        <w:t>إذ</w:t>
      </w:r>
      <w:r w:rsidRPr="00D53BED">
        <w:rPr>
          <w:i/>
          <w:iCs/>
          <w:rtl/>
          <w:lang w:eastAsia="zh-TW"/>
        </w:rPr>
        <w:t xml:space="preserve"> </w:t>
      </w:r>
      <w:r w:rsidRPr="00D53BED">
        <w:rPr>
          <w:rFonts w:hint="eastAsia"/>
          <w:i/>
          <w:iCs/>
          <w:rtl/>
          <w:lang w:eastAsia="zh-TW"/>
        </w:rPr>
        <w:t>يسترشد</w:t>
      </w:r>
      <w:r w:rsidRPr="00D53BED">
        <w:rPr>
          <w:rtl/>
          <w:lang w:eastAsia="zh-TW"/>
        </w:rPr>
        <w:t xml:space="preserve"> بميثاق الأمم المتحدة،</w:t>
      </w:r>
    </w:p>
    <w:p w:rsidR="00C019CF" w:rsidRPr="00D53BED" w:rsidRDefault="00C019CF" w:rsidP="00D53BED">
      <w:pPr>
        <w:pStyle w:val="SingleTxtGA"/>
        <w:rPr>
          <w:spacing w:val="-5"/>
          <w:rtl/>
          <w:lang w:eastAsia="zh-TW"/>
        </w:rPr>
      </w:pPr>
      <w:r w:rsidRPr="00D53BED">
        <w:rPr>
          <w:rtl/>
          <w:lang w:eastAsia="zh-TW"/>
        </w:rPr>
        <w:tab/>
      </w:r>
      <w:r w:rsidRPr="00D53BED">
        <w:rPr>
          <w:rFonts w:hint="eastAsia"/>
          <w:i/>
          <w:iCs/>
          <w:spacing w:val="-5"/>
          <w:rtl/>
          <w:lang w:val="fr-CH" w:eastAsia="zh-TW"/>
        </w:rPr>
        <w:t>و</w:t>
      </w:r>
      <w:r w:rsidRPr="00D53BED">
        <w:rPr>
          <w:rFonts w:hint="eastAsia"/>
          <w:i/>
          <w:iCs/>
          <w:spacing w:val="-5"/>
          <w:rtl/>
          <w:lang w:eastAsia="zh-TW"/>
        </w:rPr>
        <w:t>إذ</w:t>
      </w:r>
      <w:r w:rsidRPr="00D53BED">
        <w:rPr>
          <w:i/>
          <w:iCs/>
          <w:spacing w:val="-5"/>
          <w:rtl/>
          <w:lang w:eastAsia="zh-TW"/>
        </w:rPr>
        <w:t xml:space="preserve"> </w:t>
      </w:r>
      <w:r w:rsidRPr="00D53BED">
        <w:rPr>
          <w:rFonts w:hint="eastAsia"/>
          <w:i/>
          <w:iCs/>
          <w:spacing w:val="-5"/>
          <w:rtl/>
          <w:lang w:eastAsia="zh-TW"/>
        </w:rPr>
        <w:t>يعيد</w:t>
      </w:r>
      <w:r w:rsidRPr="00D53BED">
        <w:rPr>
          <w:i/>
          <w:iCs/>
          <w:spacing w:val="-5"/>
          <w:rtl/>
          <w:lang w:eastAsia="zh-TW"/>
        </w:rPr>
        <w:t xml:space="preserve"> </w:t>
      </w:r>
      <w:r w:rsidRPr="00D53BED">
        <w:rPr>
          <w:rFonts w:hint="eastAsia"/>
          <w:i/>
          <w:iCs/>
          <w:spacing w:val="-5"/>
          <w:rtl/>
          <w:lang w:eastAsia="zh-TW"/>
        </w:rPr>
        <w:t>تأكيد</w:t>
      </w:r>
      <w:r w:rsidRPr="00D53BED">
        <w:rPr>
          <w:spacing w:val="-5"/>
          <w:rtl/>
          <w:lang w:eastAsia="zh-TW"/>
        </w:rPr>
        <w:t xml:space="preserve"> جميع القرارات السابقة للجمعية العامة ومجلس حقوق الإنسان بشأن مشكلة </w:t>
      </w:r>
      <w:proofErr w:type="spellStart"/>
      <w:r w:rsidRPr="00D53BED">
        <w:rPr>
          <w:spacing w:val="-5"/>
          <w:rtl/>
          <w:lang w:eastAsia="zh-TW"/>
        </w:rPr>
        <w:t>الاتجار</w:t>
      </w:r>
      <w:proofErr w:type="spellEnd"/>
      <w:r w:rsidRPr="00D53BED">
        <w:rPr>
          <w:spacing w:val="-5"/>
          <w:rtl/>
          <w:lang w:eastAsia="zh-TW"/>
        </w:rPr>
        <w:t xml:space="preserve"> بالأشخاص، وبخاصة النساء والأطفال، بما فيها قرارا </w:t>
      </w:r>
      <w:r w:rsidRPr="00D53BED">
        <w:rPr>
          <w:rFonts w:hint="cs"/>
          <w:spacing w:val="-5"/>
          <w:rtl/>
          <w:lang w:eastAsia="zh-TW"/>
        </w:rPr>
        <w:t>ال</w:t>
      </w:r>
      <w:r w:rsidRPr="00D53BED">
        <w:rPr>
          <w:spacing w:val="-5"/>
          <w:rtl/>
          <w:lang w:eastAsia="zh-TW"/>
        </w:rPr>
        <w:t xml:space="preserve">مجلس 26/8 المؤرخ 26 حزيران/يونيه ٢٠١٤ بشأن ولاية المقررة الخاصة المعنية </w:t>
      </w:r>
      <w:proofErr w:type="spellStart"/>
      <w:r w:rsidRPr="00D53BED">
        <w:rPr>
          <w:spacing w:val="-5"/>
          <w:rtl/>
          <w:lang w:eastAsia="zh-TW"/>
        </w:rPr>
        <w:t>بالاتجار</w:t>
      </w:r>
      <w:proofErr w:type="spellEnd"/>
      <w:r w:rsidRPr="00D53BED">
        <w:rPr>
          <w:spacing w:val="-5"/>
          <w:rtl/>
          <w:lang w:eastAsia="zh-TW"/>
        </w:rPr>
        <w:t xml:space="preserve"> بالأشخاص، وبخاصة النساء والأطفال، و32/3 المؤرخ ٣٠ حزيران/يونيه ٢٠١٦ بشأن حماية ضحايا </w:t>
      </w:r>
      <w:proofErr w:type="spellStart"/>
      <w:r w:rsidRPr="00D53BED">
        <w:rPr>
          <w:spacing w:val="-5"/>
          <w:rtl/>
          <w:lang w:eastAsia="zh-TW"/>
        </w:rPr>
        <w:t>الاتجار</w:t>
      </w:r>
      <w:proofErr w:type="spellEnd"/>
      <w:r w:rsidRPr="00D53BED">
        <w:rPr>
          <w:spacing w:val="-5"/>
          <w:rtl/>
          <w:lang w:eastAsia="zh-TW"/>
        </w:rPr>
        <w:t xml:space="preserve"> بالأشخاص والأشخاص المعرضين لخطر هذا </w:t>
      </w:r>
      <w:proofErr w:type="spellStart"/>
      <w:r w:rsidRPr="00D53BED">
        <w:rPr>
          <w:spacing w:val="-5"/>
          <w:rtl/>
          <w:lang w:eastAsia="zh-TW"/>
        </w:rPr>
        <w:t>الاتجار</w:t>
      </w:r>
      <w:proofErr w:type="spellEnd"/>
      <w:r w:rsidRPr="00D53BED">
        <w:rPr>
          <w:spacing w:val="-5"/>
          <w:rtl/>
          <w:lang w:eastAsia="zh-TW"/>
        </w:rPr>
        <w:t>، لا سيما النساء والأطفال، في حالات النزاع وما بعد النزاع،</w:t>
      </w:r>
    </w:p>
    <w:p w:rsidR="00C019CF" w:rsidRPr="00D53BED" w:rsidRDefault="00C019CF" w:rsidP="00D53BED">
      <w:pPr>
        <w:pStyle w:val="SingleTxtGA"/>
        <w:rPr>
          <w:rtl/>
          <w:lang w:eastAsia="zh-TW"/>
        </w:rPr>
      </w:pPr>
      <w:r w:rsidRPr="00D53BED">
        <w:rPr>
          <w:lang w:eastAsia="zh-TW"/>
        </w:rPr>
        <w:tab/>
      </w:r>
      <w:r w:rsidRPr="00D53BED">
        <w:rPr>
          <w:rFonts w:hint="eastAsia"/>
          <w:i/>
          <w:iCs/>
          <w:rtl/>
          <w:lang w:eastAsia="zh-TW"/>
        </w:rPr>
        <w:t>وإذ</w:t>
      </w:r>
      <w:r w:rsidRPr="00D53BED">
        <w:rPr>
          <w:i/>
          <w:iCs/>
          <w:rtl/>
          <w:lang w:eastAsia="zh-TW"/>
        </w:rPr>
        <w:t xml:space="preserve"> </w:t>
      </w:r>
      <w:r w:rsidRPr="00D53BED">
        <w:rPr>
          <w:rFonts w:hint="eastAsia"/>
          <w:i/>
          <w:iCs/>
          <w:rtl/>
          <w:lang w:eastAsia="zh-TW"/>
        </w:rPr>
        <w:t>يعيد</w:t>
      </w:r>
      <w:r w:rsidRPr="00D53BED">
        <w:rPr>
          <w:i/>
          <w:iCs/>
          <w:rtl/>
          <w:lang w:eastAsia="zh-TW"/>
        </w:rPr>
        <w:t xml:space="preserve"> </w:t>
      </w:r>
      <w:r w:rsidRPr="00D53BED">
        <w:rPr>
          <w:rFonts w:hint="cs"/>
          <w:i/>
          <w:iCs/>
          <w:rtl/>
          <w:lang w:eastAsia="zh-TW"/>
        </w:rPr>
        <w:t>أيضاً</w:t>
      </w:r>
      <w:r w:rsidRPr="00D53BED">
        <w:rPr>
          <w:i/>
          <w:iCs/>
          <w:rtl/>
          <w:lang w:eastAsia="zh-TW"/>
        </w:rPr>
        <w:t xml:space="preserve"> </w:t>
      </w:r>
      <w:r w:rsidRPr="00D53BED">
        <w:rPr>
          <w:rFonts w:hint="eastAsia"/>
          <w:i/>
          <w:iCs/>
          <w:rtl/>
          <w:lang w:eastAsia="zh-TW"/>
        </w:rPr>
        <w:t>تأكيد</w:t>
      </w:r>
      <w:r w:rsidRPr="00D53BED">
        <w:rPr>
          <w:rtl/>
          <w:lang w:eastAsia="zh-TW"/>
        </w:rPr>
        <w:t xml:space="preserve"> المبادئ المنصوص عليها في صكوك وإعلانات حقوق الإنسان ذات الصلة، بما في ذلك اتفاقية حقوق الطفل وبروتوكولها الاختياري بشأن بيع الأطفال واستغلال الأطفال في البغاء وفي المواد الإباحية، واتفاقية القضاء على جميع أشكال التمييز ضد المرأة وبروتوكولها الاختياري،</w:t>
      </w:r>
      <w:r w:rsidRPr="00D53BED">
        <w:rPr>
          <w:rFonts w:cs="Times New Roman" w:hint="cs"/>
          <w:rtl/>
          <w:lang w:eastAsia="zh-TW"/>
        </w:rPr>
        <w:t>‬</w:t>
      </w:r>
    </w:p>
    <w:p w:rsidR="00C019CF" w:rsidRPr="00D53BED" w:rsidRDefault="00C019CF" w:rsidP="00D53BED">
      <w:pPr>
        <w:pStyle w:val="SingleTxtGA"/>
        <w:rPr>
          <w:rtl/>
          <w:lang w:eastAsia="zh-TW"/>
        </w:rPr>
      </w:pPr>
      <w:r w:rsidRPr="00D53BED">
        <w:rPr>
          <w:lang w:eastAsia="zh-TW"/>
        </w:rPr>
        <w:tab/>
      </w:r>
      <w:r w:rsidRPr="00D53BED">
        <w:rPr>
          <w:rFonts w:hint="eastAsia"/>
          <w:i/>
          <w:iCs/>
          <w:rtl/>
          <w:lang w:eastAsia="zh-TW"/>
        </w:rPr>
        <w:t>وإذ</w:t>
      </w:r>
      <w:r w:rsidRPr="00D53BED">
        <w:rPr>
          <w:i/>
          <w:iCs/>
          <w:rtl/>
          <w:lang w:eastAsia="zh-TW"/>
        </w:rPr>
        <w:t xml:space="preserve"> </w:t>
      </w:r>
      <w:r w:rsidRPr="00D53BED">
        <w:rPr>
          <w:rFonts w:hint="eastAsia"/>
          <w:i/>
          <w:iCs/>
          <w:rtl/>
          <w:lang w:eastAsia="zh-TW"/>
        </w:rPr>
        <w:t>يعيد</w:t>
      </w:r>
      <w:r w:rsidRPr="00D53BED">
        <w:rPr>
          <w:i/>
          <w:iCs/>
          <w:rtl/>
          <w:lang w:eastAsia="zh-TW"/>
        </w:rPr>
        <w:t xml:space="preserve"> </w:t>
      </w:r>
      <w:r w:rsidRPr="00D53BED">
        <w:rPr>
          <w:rFonts w:hint="eastAsia"/>
          <w:i/>
          <w:iCs/>
          <w:rtl/>
          <w:lang w:eastAsia="zh-TW"/>
        </w:rPr>
        <w:t>كذلك</w:t>
      </w:r>
      <w:r w:rsidRPr="00D53BED">
        <w:rPr>
          <w:i/>
          <w:iCs/>
          <w:rtl/>
          <w:lang w:eastAsia="zh-TW"/>
        </w:rPr>
        <w:t xml:space="preserve"> </w:t>
      </w:r>
      <w:r w:rsidRPr="00D53BED">
        <w:rPr>
          <w:rFonts w:hint="eastAsia"/>
          <w:i/>
          <w:iCs/>
          <w:rtl/>
          <w:lang w:eastAsia="zh-TW"/>
        </w:rPr>
        <w:t>تأكيد</w:t>
      </w:r>
      <w:r w:rsidRPr="00D53BED">
        <w:rPr>
          <w:rtl/>
          <w:lang w:eastAsia="zh-TW"/>
        </w:rPr>
        <w:t xml:space="preserve"> اتفاقية الأمم المتحدة لمكافحة الجريمة المنظّمة عبر الوطنية وبروتوكوليها، ويعيد بوجه خاص تأكيد بروتوكول منع وقمع ومعاقبة </w:t>
      </w:r>
      <w:proofErr w:type="spellStart"/>
      <w:r w:rsidRPr="00D53BED">
        <w:rPr>
          <w:rtl/>
          <w:lang w:eastAsia="zh-TW"/>
        </w:rPr>
        <w:t>الاتجار</w:t>
      </w:r>
      <w:proofErr w:type="spellEnd"/>
      <w:r w:rsidRPr="00D53BED">
        <w:rPr>
          <w:rtl/>
          <w:lang w:eastAsia="zh-TW"/>
        </w:rPr>
        <w:t xml:space="preserve"> بالأشخاص، وبخاصة النساء والأطفال، المكمِّل لاتفاقية الأمم المتحدة لمكافحة الجريمة المنظّمة عبر </w:t>
      </w:r>
      <w:r w:rsidRPr="00D53BED">
        <w:rPr>
          <w:rFonts w:hint="cs"/>
          <w:rtl/>
          <w:lang w:eastAsia="zh-TW"/>
        </w:rPr>
        <w:t>الوطنية</w:t>
      </w:r>
      <w:r w:rsidRPr="00D53BED">
        <w:rPr>
          <w:rtl/>
          <w:lang w:eastAsia="zh-TW"/>
        </w:rPr>
        <w:t>،</w:t>
      </w:r>
      <w:r w:rsidRPr="00D53BED">
        <w:rPr>
          <w:rFonts w:cs="Times New Roman" w:hint="cs"/>
          <w:rtl/>
          <w:lang w:eastAsia="zh-TW"/>
        </w:rPr>
        <w:t>‬</w:t>
      </w:r>
      <w:r w:rsidRPr="00D53BED">
        <w:t>‬</w:t>
      </w:r>
      <w:r w:rsidRPr="00D53BED">
        <w:t>‬</w:t>
      </w:r>
      <w:r w:rsidRPr="00D53BED">
        <w:rPr>
          <w:rFonts w:hint="cs"/>
          <w:rtl/>
          <w:lang w:eastAsia="zh-TW"/>
        </w:rPr>
        <w:t xml:space="preserve"> </w:t>
      </w:r>
      <w:r w:rsidRPr="00D53BED">
        <w:t>‬</w:t>
      </w:r>
    </w:p>
    <w:p w:rsidR="00C019CF" w:rsidRPr="00D53BED" w:rsidRDefault="00C019CF" w:rsidP="00D53BED">
      <w:pPr>
        <w:pStyle w:val="SingleTxtGA"/>
        <w:rPr>
          <w:spacing w:val="-2"/>
          <w:rtl/>
          <w:lang w:eastAsia="zh-TW"/>
        </w:rPr>
      </w:pPr>
      <w:r w:rsidRPr="00D53BED">
        <w:rPr>
          <w:rtl/>
          <w:lang w:eastAsia="zh-TW"/>
        </w:rPr>
        <w:tab/>
      </w:r>
      <w:r w:rsidRPr="00D53BED">
        <w:rPr>
          <w:rFonts w:hint="eastAsia"/>
          <w:i/>
          <w:iCs/>
          <w:spacing w:val="-2"/>
          <w:rtl/>
          <w:lang w:eastAsia="zh-TW"/>
        </w:rPr>
        <w:t>وإذ</w:t>
      </w:r>
      <w:r w:rsidRPr="00D53BED">
        <w:rPr>
          <w:i/>
          <w:iCs/>
          <w:spacing w:val="-2"/>
          <w:rtl/>
          <w:lang w:eastAsia="zh-TW"/>
        </w:rPr>
        <w:t xml:space="preserve"> </w:t>
      </w:r>
      <w:r w:rsidRPr="00D53BED">
        <w:rPr>
          <w:rFonts w:hint="eastAsia"/>
          <w:i/>
          <w:iCs/>
          <w:spacing w:val="-2"/>
          <w:rtl/>
          <w:lang w:eastAsia="zh-TW"/>
        </w:rPr>
        <w:t>يرحّب</w:t>
      </w:r>
      <w:r w:rsidRPr="00D53BED">
        <w:rPr>
          <w:spacing w:val="-2"/>
          <w:rtl/>
          <w:lang w:eastAsia="zh-TW"/>
        </w:rPr>
        <w:t xml:space="preserve"> باعتماد الجمعية العامة خطةَ التنمية المستدامة لعام 2030</w:t>
      </w:r>
      <w:r w:rsidRPr="00D53BED">
        <w:rPr>
          <w:rFonts w:hint="cs"/>
          <w:spacing w:val="-2"/>
          <w:vertAlign w:val="superscript"/>
          <w:rtl/>
          <w:lang w:eastAsia="zh-TW"/>
        </w:rPr>
        <w:t>(</w:t>
      </w:r>
      <w:r w:rsidRPr="00D53BED">
        <w:rPr>
          <w:rStyle w:val="FootnoteReference"/>
          <w:spacing w:val="-2"/>
          <w:rtl/>
          <w:lang w:eastAsia="zh-TW"/>
        </w:rPr>
        <w:footnoteReference w:id="1"/>
      </w:r>
      <w:r w:rsidRPr="00D53BED">
        <w:rPr>
          <w:rFonts w:hint="cs"/>
          <w:spacing w:val="-2"/>
          <w:vertAlign w:val="superscript"/>
          <w:rtl/>
          <w:lang w:eastAsia="zh-TW"/>
        </w:rPr>
        <w:t>)</w:t>
      </w:r>
      <w:r w:rsidRPr="00D53BED">
        <w:rPr>
          <w:rFonts w:hint="cs"/>
          <w:spacing w:val="-2"/>
          <w:rtl/>
          <w:lang w:eastAsia="zh-TW"/>
        </w:rPr>
        <w:t>،</w:t>
      </w:r>
      <w:r w:rsidRPr="00D53BED">
        <w:rPr>
          <w:spacing w:val="-2"/>
          <w:rtl/>
          <w:lang w:eastAsia="zh-TW"/>
        </w:rPr>
        <w:t xml:space="preserve"> ويشير إلى الغايات 5-2 و8-7 و16-2، التي ترمي إلى القضاءِ على جميع أشكال العنف ضد النساء </w:t>
      </w:r>
      <w:r w:rsidRPr="00D53BED">
        <w:rPr>
          <w:spacing w:val="-2"/>
          <w:rtl/>
          <w:lang w:eastAsia="zh-TW"/>
        </w:rPr>
        <w:lastRenderedPageBreak/>
        <w:t xml:space="preserve">والفتيات كافة في المجالين العام والخاص، بما في ذلك </w:t>
      </w:r>
      <w:proofErr w:type="spellStart"/>
      <w:r w:rsidRPr="00D53BED">
        <w:rPr>
          <w:spacing w:val="-2"/>
          <w:rtl/>
          <w:lang w:eastAsia="zh-TW"/>
        </w:rPr>
        <w:t>الاتجار</w:t>
      </w:r>
      <w:proofErr w:type="spellEnd"/>
      <w:r w:rsidRPr="00D53BED">
        <w:rPr>
          <w:spacing w:val="-2"/>
          <w:rtl/>
          <w:lang w:eastAsia="zh-TW"/>
        </w:rPr>
        <w:t xml:space="preserve"> بالبشر والاستغلال الجنسي وغيره من أنواع الاستغلال؛ وإلى اتّخاذِ تدابير فورية وفعالة للقضاء على السخرة وإنهاء الأشكال المعاصرة للرق </w:t>
      </w:r>
      <w:proofErr w:type="spellStart"/>
      <w:r w:rsidRPr="00D53BED">
        <w:rPr>
          <w:spacing w:val="-2"/>
          <w:rtl/>
          <w:lang w:eastAsia="zh-TW"/>
        </w:rPr>
        <w:t>والاتّجار</w:t>
      </w:r>
      <w:proofErr w:type="spellEnd"/>
      <w:r w:rsidRPr="00D53BED">
        <w:rPr>
          <w:spacing w:val="-2"/>
          <w:rtl/>
          <w:lang w:eastAsia="zh-TW"/>
        </w:rPr>
        <w:t xml:space="preserve"> بالبشر وضمان حظر واستئصال أسوأ أشكال عمل الأطفال، بما في ذلك تجنيدهم واستخدامهم كجنود، وإنهاء عمل الأطفال بجميع أشكاله بحلول عام 2025؛ والقضاء على إساءة معاملة الأطفال واستغلالهم </w:t>
      </w:r>
      <w:proofErr w:type="spellStart"/>
      <w:r w:rsidRPr="00D53BED">
        <w:rPr>
          <w:spacing w:val="-2"/>
          <w:rtl/>
          <w:lang w:eastAsia="zh-TW"/>
        </w:rPr>
        <w:t>والاتجار</w:t>
      </w:r>
      <w:proofErr w:type="spellEnd"/>
      <w:r w:rsidRPr="00D53BED">
        <w:rPr>
          <w:spacing w:val="-2"/>
          <w:rtl/>
          <w:lang w:eastAsia="zh-TW"/>
        </w:rPr>
        <w:t xml:space="preserve"> بهم وتعذيبهم وسائر أشكال العنف المرتكب ضدهم،</w:t>
      </w:r>
    </w:p>
    <w:p w:rsidR="00C019CF" w:rsidRPr="00D53BED" w:rsidRDefault="00C019CF" w:rsidP="00D53BED">
      <w:pPr>
        <w:pStyle w:val="SingleTxtGA"/>
        <w:rPr>
          <w:rtl/>
          <w:lang w:eastAsia="zh-TW"/>
        </w:rPr>
      </w:pPr>
      <w:r w:rsidRPr="00D53BED">
        <w:rPr>
          <w:rtl/>
          <w:lang w:eastAsia="zh-TW"/>
        </w:rPr>
        <w:tab/>
      </w:r>
      <w:r w:rsidRPr="00D53BED">
        <w:rPr>
          <w:rFonts w:hint="eastAsia"/>
          <w:i/>
          <w:iCs/>
          <w:rtl/>
          <w:lang w:eastAsia="zh-TW"/>
        </w:rPr>
        <w:t>وإذ</w:t>
      </w:r>
      <w:r w:rsidRPr="00D53BED">
        <w:rPr>
          <w:i/>
          <w:iCs/>
          <w:rtl/>
          <w:lang w:eastAsia="zh-TW"/>
        </w:rPr>
        <w:t xml:space="preserve"> </w:t>
      </w:r>
      <w:r w:rsidRPr="00D53BED">
        <w:rPr>
          <w:rFonts w:hint="eastAsia"/>
          <w:i/>
          <w:iCs/>
          <w:rtl/>
          <w:lang w:eastAsia="zh-TW"/>
        </w:rPr>
        <w:t>يشير</w:t>
      </w:r>
      <w:r w:rsidRPr="00D53BED">
        <w:rPr>
          <w:rtl/>
          <w:lang w:eastAsia="zh-TW"/>
        </w:rPr>
        <w:t xml:space="preserve"> إلى قرار المجلس الاقتصادي والاجتماعي 2015/23 المؤرخ 21 تموز/ يوليه</w:t>
      </w:r>
      <w:r w:rsidRPr="00D53BED">
        <w:rPr>
          <w:rFonts w:hint="cs"/>
          <w:rtl/>
          <w:lang w:eastAsia="zh-TW"/>
        </w:rPr>
        <w:t> </w:t>
      </w:r>
      <w:r w:rsidRPr="00D53BED">
        <w:rPr>
          <w:rtl/>
          <w:lang w:eastAsia="zh-TW"/>
        </w:rPr>
        <w:t xml:space="preserve">2015 والمتعلق بتنفيذ خطة عمل الأمم المتحدة العالمية لمكافحة </w:t>
      </w:r>
      <w:proofErr w:type="spellStart"/>
      <w:r w:rsidRPr="00D53BED">
        <w:rPr>
          <w:rtl/>
          <w:lang w:eastAsia="zh-TW"/>
        </w:rPr>
        <w:t>الاتجار</w:t>
      </w:r>
      <w:proofErr w:type="spellEnd"/>
      <w:r w:rsidRPr="00D53BED">
        <w:rPr>
          <w:rtl/>
          <w:lang w:eastAsia="zh-TW"/>
        </w:rPr>
        <w:t xml:space="preserve"> بالأشخاص،</w:t>
      </w:r>
      <w:r w:rsidRPr="00D53BED">
        <w:rPr>
          <w:rFonts w:cs="Times New Roman" w:hint="cs"/>
          <w:rtl/>
          <w:lang w:eastAsia="zh-TW"/>
        </w:rPr>
        <w:t>‬</w:t>
      </w:r>
      <w:r w:rsidRPr="00D53BED">
        <w:rPr>
          <w:rtl/>
          <w:lang w:eastAsia="zh-TW"/>
        </w:rPr>
        <w:t xml:space="preserve"> </w:t>
      </w:r>
    </w:p>
    <w:p w:rsidR="00C019CF" w:rsidRPr="00D53BED" w:rsidRDefault="00C019CF" w:rsidP="00D53BED">
      <w:pPr>
        <w:pStyle w:val="SingleTxtGA"/>
        <w:rPr>
          <w:rtl/>
          <w:lang w:eastAsia="zh-TW"/>
        </w:rPr>
      </w:pPr>
      <w:r w:rsidRPr="00D53BED">
        <w:rPr>
          <w:rtl/>
          <w:lang w:eastAsia="zh-TW"/>
        </w:rPr>
        <w:tab/>
      </w:r>
      <w:r w:rsidRPr="00D53BED">
        <w:rPr>
          <w:rFonts w:hint="eastAsia"/>
          <w:i/>
          <w:iCs/>
          <w:rtl/>
          <w:lang w:eastAsia="zh-TW"/>
        </w:rPr>
        <w:t>وإذ</w:t>
      </w:r>
      <w:r w:rsidRPr="00D53BED">
        <w:rPr>
          <w:i/>
          <w:iCs/>
          <w:rtl/>
          <w:lang w:eastAsia="zh-TW"/>
        </w:rPr>
        <w:t xml:space="preserve"> </w:t>
      </w:r>
      <w:r w:rsidRPr="00D53BED">
        <w:rPr>
          <w:rFonts w:hint="eastAsia"/>
          <w:i/>
          <w:iCs/>
          <w:rtl/>
          <w:lang w:eastAsia="zh-TW"/>
        </w:rPr>
        <w:t>يشير</w:t>
      </w:r>
      <w:r w:rsidRPr="00D53BED">
        <w:rPr>
          <w:i/>
          <w:iCs/>
          <w:rtl/>
          <w:lang w:eastAsia="zh-TW"/>
        </w:rPr>
        <w:t xml:space="preserve"> </w:t>
      </w:r>
      <w:r w:rsidRPr="00D53BED">
        <w:rPr>
          <w:rFonts w:hint="cs"/>
          <w:i/>
          <w:iCs/>
          <w:rtl/>
          <w:lang w:eastAsia="zh-TW"/>
        </w:rPr>
        <w:t>أيضاً</w:t>
      </w:r>
      <w:r w:rsidRPr="00D53BED">
        <w:rPr>
          <w:rtl/>
          <w:lang w:eastAsia="zh-TW"/>
        </w:rPr>
        <w:t xml:space="preserve"> إلى قراري مجلس حقوق الإنسان 5/1 بشأن بناء مؤسسات المجلس و5/2 بشأن مدونة قواعد السلوك للمكلفين بولايات في إطار الإجراءات الخاصة للمجلس المؤرخين 18 حزيران/يونيه 2007،</w:t>
      </w:r>
      <w:r w:rsidRPr="00D53BED">
        <w:rPr>
          <w:rFonts w:cs="Times New Roman" w:hint="cs"/>
          <w:rtl/>
          <w:lang w:eastAsia="zh-TW"/>
        </w:rPr>
        <w:t>‬</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1-</w:t>
      </w:r>
      <w:r w:rsidRPr="00D53BED">
        <w:rPr>
          <w:rFonts w:hint="cs"/>
          <w:rtl/>
          <w:lang w:eastAsia="zh-TW"/>
        </w:rPr>
        <w:tab/>
      </w:r>
      <w:r w:rsidRPr="00D53BED">
        <w:rPr>
          <w:rFonts w:hint="eastAsia"/>
          <w:i/>
          <w:iCs/>
          <w:rtl/>
          <w:lang w:eastAsia="zh-TW"/>
        </w:rPr>
        <w:t>يرحب</w:t>
      </w:r>
      <w:r w:rsidRPr="00D53BED">
        <w:rPr>
          <w:rtl/>
          <w:lang w:eastAsia="zh-TW"/>
        </w:rPr>
        <w:t xml:space="preserve"> بعمل المقررة الخاصة المعنية </w:t>
      </w:r>
      <w:proofErr w:type="spellStart"/>
      <w:r w:rsidRPr="00D53BED">
        <w:rPr>
          <w:rtl/>
          <w:lang w:eastAsia="zh-TW"/>
        </w:rPr>
        <w:t>بالاتجار</w:t>
      </w:r>
      <w:proofErr w:type="spellEnd"/>
      <w:r w:rsidRPr="00D53BED">
        <w:rPr>
          <w:rtl/>
          <w:lang w:eastAsia="zh-TW"/>
        </w:rPr>
        <w:t xml:space="preserve"> بالأشخاص، وبخاصة النساء والأطفال، فيما يتعلق بتعزيز مكافحة </w:t>
      </w:r>
      <w:proofErr w:type="spellStart"/>
      <w:r w:rsidRPr="00D53BED">
        <w:rPr>
          <w:rtl/>
          <w:lang w:eastAsia="zh-TW"/>
        </w:rPr>
        <w:t>الاتجار</w:t>
      </w:r>
      <w:proofErr w:type="spellEnd"/>
      <w:r w:rsidRPr="00D53BED">
        <w:rPr>
          <w:rtl/>
          <w:lang w:eastAsia="zh-TW"/>
        </w:rPr>
        <w:t xml:space="preserve"> بالأشخاص على الصعيد العالمي؛</w:t>
      </w:r>
    </w:p>
    <w:p w:rsidR="00C019CF" w:rsidRPr="00D53BED" w:rsidRDefault="00C019CF" w:rsidP="00D53BED">
      <w:pPr>
        <w:pStyle w:val="SingleTxtGA"/>
        <w:rPr>
          <w:rtl/>
          <w:lang w:eastAsia="zh-TW" w:bidi="ar-DZ"/>
        </w:rPr>
      </w:pPr>
      <w:r w:rsidRPr="00D53BED">
        <w:rPr>
          <w:rtl/>
          <w:lang w:eastAsia="zh-TW"/>
        </w:rPr>
        <w:tab/>
      </w:r>
      <w:r w:rsidRPr="00D53BED">
        <w:rPr>
          <w:rFonts w:hint="cs"/>
          <w:rtl/>
          <w:lang w:eastAsia="zh-TW"/>
        </w:rPr>
        <w:t>2-</w:t>
      </w:r>
      <w:r w:rsidRPr="00D53BED">
        <w:rPr>
          <w:rFonts w:hint="cs"/>
          <w:rtl/>
          <w:lang w:eastAsia="zh-TW"/>
        </w:rPr>
        <w:tab/>
      </w:r>
      <w:r w:rsidRPr="00D53BED">
        <w:rPr>
          <w:rFonts w:hint="eastAsia"/>
          <w:i/>
          <w:iCs/>
          <w:rtl/>
          <w:lang w:eastAsia="zh-TW"/>
        </w:rPr>
        <w:t>يحيط</w:t>
      </w:r>
      <w:r w:rsidRPr="00D53BED">
        <w:rPr>
          <w:i/>
          <w:iCs/>
          <w:rtl/>
          <w:lang w:eastAsia="zh-TW"/>
        </w:rPr>
        <w:t xml:space="preserve"> </w:t>
      </w:r>
      <w:r w:rsidRPr="00D53BED">
        <w:rPr>
          <w:rFonts w:hint="eastAsia"/>
          <w:i/>
          <w:iCs/>
          <w:rtl/>
          <w:lang w:eastAsia="zh-TW"/>
        </w:rPr>
        <w:t>علما</w:t>
      </w:r>
      <w:r w:rsidRPr="00D53BED">
        <w:rPr>
          <w:rFonts w:hint="cs"/>
          <w:i/>
          <w:iCs/>
          <w:rtl/>
          <w:lang w:eastAsia="zh-TW"/>
        </w:rPr>
        <w:t>ً</w:t>
      </w:r>
      <w:r w:rsidRPr="00D53BED">
        <w:rPr>
          <w:i/>
          <w:iCs/>
          <w:rtl/>
          <w:lang w:eastAsia="zh-TW"/>
        </w:rPr>
        <w:t xml:space="preserve"> </w:t>
      </w:r>
      <w:r w:rsidRPr="00D53BED">
        <w:rPr>
          <w:rFonts w:hint="eastAsia"/>
          <w:i/>
          <w:iCs/>
          <w:rtl/>
          <w:lang w:eastAsia="zh-TW"/>
        </w:rPr>
        <w:t>مع</w:t>
      </w:r>
      <w:r w:rsidRPr="00D53BED">
        <w:rPr>
          <w:i/>
          <w:iCs/>
          <w:rtl/>
          <w:lang w:eastAsia="zh-TW"/>
        </w:rPr>
        <w:t xml:space="preserve"> </w:t>
      </w:r>
      <w:r w:rsidRPr="00D53BED">
        <w:rPr>
          <w:rFonts w:hint="eastAsia"/>
          <w:i/>
          <w:iCs/>
          <w:rtl/>
          <w:lang w:eastAsia="zh-TW"/>
        </w:rPr>
        <w:t>التقدير</w:t>
      </w:r>
      <w:r w:rsidRPr="00D53BED">
        <w:rPr>
          <w:rtl/>
          <w:lang w:eastAsia="zh-TW"/>
        </w:rPr>
        <w:t xml:space="preserve"> بالتقرير المواضيعي للمقررة الخاصة المتعلق بتعزيز المعايير الطوعية للأعمال التجارية بشأن منع ومكافحة </w:t>
      </w:r>
      <w:proofErr w:type="spellStart"/>
      <w:r w:rsidRPr="00D53BED">
        <w:rPr>
          <w:rtl/>
          <w:lang w:eastAsia="zh-TW"/>
        </w:rPr>
        <w:t>الاتجار</w:t>
      </w:r>
      <w:proofErr w:type="spellEnd"/>
      <w:r w:rsidRPr="00D53BED">
        <w:rPr>
          <w:rtl/>
          <w:lang w:eastAsia="zh-TW"/>
        </w:rPr>
        <w:t xml:space="preserve"> بالأشخاص والاستغلال في العمل، ولا</w:t>
      </w:r>
      <w:r w:rsidRPr="00D53BED">
        <w:rPr>
          <w:rFonts w:hint="cs"/>
          <w:rtl/>
          <w:lang w:eastAsia="zh-TW"/>
        </w:rPr>
        <w:t> </w:t>
      </w:r>
      <w:r w:rsidRPr="00D53BED">
        <w:rPr>
          <w:rtl/>
          <w:lang w:eastAsia="zh-TW"/>
        </w:rPr>
        <w:t>سيما في سلاسل الإمداد</w:t>
      </w:r>
      <w:r w:rsidRPr="00D53BED">
        <w:rPr>
          <w:rFonts w:hint="cs"/>
          <w:vertAlign w:val="superscript"/>
          <w:rtl/>
          <w:lang w:eastAsia="zh-TW"/>
        </w:rPr>
        <w:t>(</w:t>
      </w:r>
      <w:r w:rsidRPr="00D53BED">
        <w:rPr>
          <w:rStyle w:val="FootnoteReference"/>
          <w:sz w:val="29"/>
          <w:szCs w:val="29"/>
          <w:rtl/>
          <w:lang w:eastAsia="zh-TW"/>
        </w:rPr>
        <w:footnoteReference w:id="2"/>
      </w:r>
      <w:r w:rsidRPr="00D53BED">
        <w:rPr>
          <w:rFonts w:hint="cs"/>
          <w:vertAlign w:val="superscript"/>
          <w:rtl/>
          <w:lang w:eastAsia="zh-TW"/>
        </w:rPr>
        <w:t>)</w:t>
      </w:r>
      <w:r w:rsidRPr="00D53BED">
        <w:rPr>
          <w:rFonts w:hint="cs"/>
          <w:rtl/>
          <w:lang w:eastAsia="zh-TW"/>
        </w:rPr>
        <w:t>؛</w:t>
      </w:r>
      <w:r w:rsidRPr="00D53BED">
        <w:rPr>
          <w:rtl/>
          <w:lang w:eastAsia="zh-TW"/>
        </w:rPr>
        <w:t xml:space="preserve"> وتقاريرها المواضيعية بشأن </w:t>
      </w:r>
      <w:proofErr w:type="spellStart"/>
      <w:r w:rsidRPr="00D53BED">
        <w:rPr>
          <w:rtl/>
          <w:lang w:eastAsia="zh-TW"/>
        </w:rPr>
        <w:t>الاتجار</w:t>
      </w:r>
      <w:proofErr w:type="spellEnd"/>
      <w:r w:rsidRPr="00D53BED">
        <w:rPr>
          <w:rtl/>
          <w:lang w:eastAsia="zh-TW"/>
        </w:rPr>
        <w:t xml:space="preserve"> بالأشخاص في حالات النزاع وما بعد النزاع</w:t>
      </w:r>
      <w:r w:rsidRPr="00D53BED">
        <w:rPr>
          <w:rFonts w:hint="cs"/>
          <w:vertAlign w:val="superscript"/>
          <w:rtl/>
          <w:lang w:eastAsia="zh-TW"/>
        </w:rPr>
        <w:t>(</w:t>
      </w:r>
      <w:r w:rsidRPr="00D53BED">
        <w:rPr>
          <w:rStyle w:val="FootnoteReference"/>
          <w:rtl/>
          <w:lang w:eastAsia="zh-TW"/>
        </w:rPr>
        <w:footnoteReference w:id="3"/>
      </w:r>
      <w:r w:rsidRPr="00D53BED">
        <w:rPr>
          <w:rFonts w:hint="cs"/>
          <w:vertAlign w:val="superscript"/>
          <w:rtl/>
          <w:lang w:eastAsia="zh-TW"/>
        </w:rPr>
        <w:t>)</w:t>
      </w:r>
      <w:r w:rsidRPr="00D53BED">
        <w:rPr>
          <w:rFonts w:hint="cs"/>
          <w:rtl/>
          <w:lang w:eastAsia="zh-TW"/>
        </w:rPr>
        <w:t>؛</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3-</w:t>
      </w:r>
      <w:r w:rsidRPr="00D53BED">
        <w:rPr>
          <w:rFonts w:hint="cs"/>
          <w:rtl/>
          <w:lang w:eastAsia="zh-TW"/>
        </w:rPr>
        <w:tab/>
      </w:r>
      <w:r w:rsidRPr="00D53BED">
        <w:rPr>
          <w:rFonts w:hint="eastAsia"/>
          <w:i/>
          <w:iCs/>
          <w:rtl/>
          <w:lang w:eastAsia="zh-TW"/>
        </w:rPr>
        <w:t>يقرّر</w:t>
      </w:r>
      <w:r w:rsidRPr="00D53BED">
        <w:rPr>
          <w:rtl/>
          <w:lang w:eastAsia="zh-TW"/>
        </w:rPr>
        <w:t xml:space="preserve"> تمديد ولاية المقررة الخاصة المعنية </w:t>
      </w:r>
      <w:proofErr w:type="spellStart"/>
      <w:r w:rsidRPr="00D53BED">
        <w:rPr>
          <w:rtl/>
          <w:lang w:eastAsia="zh-TW"/>
        </w:rPr>
        <w:t>بالاتجار</w:t>
      </w:r>
      <w:proofErr w:type="spellEnd"/>
      <w:r w:rsidRPr="00D53BED">
        <w:rPr>
          <w:rtl/>
          <w:lang w:eastAsia="zh-TW"/>
        </w:rPr>
        <w:t xml:space="preserve"> بالأشخاص، وبخاصة النساء والأطفال، لفترة ثلاث سنوات؛</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4-</w:t>
      </w:r>
      <w:r w:rsidRPr="00D53BED">
        <w:rPr>
          <w:rFonts w:hint="cs"/>
          <w:rtl/>
          <w:lang w:eastAsia="zh-TW"/>
        </w:rPr>
        <w:tab/>
      </w:r>
      <w:r w:rsidRPr="00D53BED">
        <w:rPr>
          <w:rFonts w:hint="eastAsia"/>
          <w:i/>
          <w:iCs/>
          <w:rtl/>
          <w:lang w:eastAsia="zh-TW"/>
        </w:rPr>
        <w:t>يحث</w:t>
      </w:r>
      <w:r w:rsidRPr="00D53BED">
        <w:rPr>
          <w:rtl/>
          <w:lang w:eastAsia="zh-TW"/>
        </w:rPr>
        <w:t xml:space="preserve"> جميع الحكومات على </w:t>
      </w:r>
      <w:r w:rsidRPr="00D53BED">
        <w:rPr>
          <w:rtl/>
          <w:lang w:val="fr-CH" w:eastAsia="zh-TW"/>
        </w:rPr>
        <w:t>التعاون تعاوناً كاملاً</w:t>
      </w:r>
      <w:r w:rsidRPr="00D53BED">
        <w:rPr>
          <w:rtl/>
          <w:lang w:eastAsia="zh-TW"/>
        </w:rPr>
        <w:t xml:space="preserve"> مع المقررة الخاصة والاستجابة لطلباتها زيارة بلدانها، وتزويدها بجميع المعلومات اللازمة المتعلقة بولايتها، وعلى الاستجابة على وجه السرعة لبلاغاتها ونداءاتها العاجلة </w:t>
      </w:r>
      <w:r w:rsidRPr="00D53BED">
        <w:rPr>
          <w:rFonts w:hint="eastAsia"/>
          <w:rtl/>
          <w:lang w:eastAsia="zh-TW"/>
        </w:rPr>
        <w:t>لتمكينها</w:t>
      </w:r>
      <w:r w:rsidRPr="00D53BED">
        <w:rPr>
          <w:rtl/>
          <w:lang w:eastAsia="zh-TW"/>
        </w:rPr>
        <w:t xml:space="preserve"> من أداء ولايتها بفعالية؛</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5-</w:t>
      </w:r>
      <w:r w:rsidRPr="00D53BED">
        <w:rPr>
          <w:rFonts w:hint="cs"/>
          <w:rtl/>
          <w:lang w:eastAsia="zh-TW"/>
        </w:rPr>
        <w:tab/>
      </w:r>
      <w:r w:rsidRPr="00D53BED">
        <w:rPr>
          <w:rFonts w:hint="eastAsia"/>
          <w:i/>
          <w:iCs/>
          <w:rtl/>
          <w:lang w:eastAsia="zh-TW"/>
        </w:rPr>
        <w:t>يشدّد</w:t>
      </w:r>
      <w:r w:rsidRPr="00D53BED">
        <w:rPr>
          <w:rtl/>
          <w:lang w:eastAsia="zh-TW"/>
        </w:rPr>
        <w:t xml:space="preserve"> على أهمية أن تواصل المقرّرة الخاصة المشاركة في المحافل والمناسبات الدولية الوجيهة بشأن الهجرة بهدف مكافحة </w:t>
      </w:r>
      <w:proofErr w:type="spellStart"/>
      <w:r w:rsidRPr="00D53BED">
        <w:rPr>
          <w:rFonts w:hint="eastAsia"/>
          <w:rtl/>
          <w:lang w:eastAsia="zh-TW"/>
        </w:rPr>
        <w:t>الاتجار</w:t>
      </w:r>
      <w:proofErr w:type="spellEnd"/>
      <w:r w:rsidRPr="00D53BED">
        <w:rPr>
          <w:rtl/>
          <w:lang w:eastAsia="zh-TW"/>
        </w:rPr>
        <w:t xml:space="preserve"> </w:t>
      </w:r>
      <w:r w:rsidRPr="00D53BED">
        <w:rPr>
          <w:rFonts w:hint="eastAsia"/>
          <w:rtl/>
          <w:lang w:eastAsia="zh-TW"/>
        </w:rPr>
        <w:t>بالأشخاص</w:t>
      </w:r>
      <w:r w:rsidRPr="00D53BED">
        <w:rPr>
          <w:rtl/>
          <w:lang w:eastAsia="zh-TW"/>
        </w:rPr>
        <w:t xml:space="preserve"> والدفاع عن حقوق الإنسان لضحايا </w:t>
      </w:r>
      <w:proofErr w:type="spellStart"/>
      <w:r w:rsidRPr="00D53BED">
        <w:rPr>
          <w:rFonts w:hint="eastAsia"/>
          <w:rtl/>
          <w:lang w:eastAsia="zh-TW"/>
        </w:rPr>
        <w:t>الاتجار</w:t>
      </w:r>
      <w:proofErr w:type="spellEnd"/>
      <w:r w:rsidRPr="00D53BED">
        <w:rPr>
          <w:rtl/>
          <w:lang w:eastAsia="zh-TW"/>
        </w:rPr>
        <w:t xml:space="preserve"> </w:t>
      </w:r>
      <w:r w:rsidRPr="00D53BED">
        <w:rPr>
          <w:rFonts w:hint="eastAsia"/>
          <w:rtl/>
          <w:lang w:eastAsia="zh-TW"/>
        </w:rPr>
        <w:t>بالأشخاص</w:t>
      </w:r>
      <w:r w:rsidRPr="00D53BED">
        <w:rPr>
          <w:rtl/>
          <w:lang w:eastAsia="zh-TW"/>
        </w:rPr>
        <w:t>، وبخاصة النساء والأطفال؛</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6-</w:t>
      </w:r>
      <w:r w:rsidRPr="00D53BED">
        <w:rPr>
          <w:rFonts w:hint="cs"/>
          <w:rtl/>
          <w:lang w:eastAsia="zh-TW"/>
        </w:rPr>
        <w:tab/>
      </w:r>
      <w:r w:rsidRPr="00D53BED">
        <w:rPr>
          <w:rFonts w:hint="eastAsia"/>
          <w:i/>
          <w:iCs/>
          <w:rtl/>
          <w:lang w:eastAsia="zh-TW"/>
        </w:rPr>
        <w:t>يطلب</w:t>
      </w:r>
      <w:r w:rsidRPr="00D53BED">
        <w:rPr>
          <w:rtl/>
          <w:lang w:eastAsia="zh-TW"/>
        </w:rPr>
        <w:t xml:space="preserve"> إلى مفوض الأمم المتحدة السامي لحقوق الإنسان أن يكفل حصول المقررة الخاصة على الموارد اللازمة </w:t>
      </w:r>
      <w:r w:rsidRPr="00D53BED">
        <w:rPr>
          <w:rFonts w:hint="eastAsia"/>
          <w:rtl/>
          <w:lang w:eastAsia="zh-TW"/>
        </w:rPr>
        <w:t>لتمكينها</w:t>
      </w:r>
      <w:r w:rsidRPr="00D53BED">
        <w:rPr>
          <w:rtl/>
          <w:lang w:eastAsia="zh-TW"/>
        </w:rPr>
        <w:t xml:space="preserve"> </w:t>
      </w:r>
      <w:r w:rsidRPr="00D53BED">
        <w:rPr>
          <w:rFonts w:hint="eastAsia"/>
          <w:rtl/>
          <w:lang w:eastAsia="zh-TW"/>
        </w:rPr>
        <w:t>من</w:t>
      </w:r>
      <w:r w:rsidRPr="00D53BED">
        <w:rPr>
          <w:rtl/>
          <w:lang w:eastAsia="zh-TW"/>
        </w:rPr>
        <w:t xml:space="preserve"> </w:t>
      </w:r>
      <w:r w:rsidRPr="00D53BED">
        <w:rPr>
          <w:rFonts w:hint="eastAsia"/>
          <w:rtl/>
          <w:lang w:eastAsia="zh-TW"/>
        </w:rPr>
        <w:t>أداء</w:t>
      </w:r>
      <w:r w:rsidRPr="00D53BED">
        <w:rPr>
          <w:rtl/>
          <w:lang w:eastAsia="zh-TW"/>
        </w:rPr>
        <w:t xml:space="preserve"> </w:t>
      </w:r>
      <w:r w:rsidRPr="00D53BED">
        <w:rPr>
          <w:rFonts w:hint="cs"/>
          <w:rtl/>
          <w:lang w:eastAsia="zh-TW"/>
        </w:rPr>
        <w:t>ال</w:t>
      </w:r>
      <w:r w:rsidRPr="00D53BED">
        <w:rPr>
          <w:rFonts w:hint="eastAsia"/>
          <w:rtl/>
          <w:lang w:eastAsia="zh-TW"/>
        </w:rPr>
        <w:t>ولا</w:t>
      </w:r>
      <w:r w:rsidRPr="00D53BED">
        <w:rPr>
          <w:rFonts w:hint="cs"/>
          <w:rtl/>
          <w:lang w:eastAsia="zh-TW"/>
        </w:rPr>
        <w:t>ية</w:t>
      </w:r>
      <w:r w:rsidRPr="00D53BED">
        <w:rPr>
          <w:rtl/>
          <w:lang w:eastAsia="zh-TW"/>
        </w:rPr>
        <w:t xml:space="preserve"> على أكمل وجه؛</w:t>
      </w:r>
    </w:p>
    <w:p w:rsidR="00C019CF" w:rsidRPr="00D53BED" w:rsidRDefault="00C019CF" w:rsidP="00D53BED">
      <w:pPr>
        <w:pStyle w:val="SingleTxtGA"/>
        <w:rPr>
          <w:rtl/>
          <w:lang w:eastAsia="zh-TW"/>
        </w:rPr>
      </w:pPr>
      <w:r w:rsidRPr="00D53BED">
        <w:rPr>
          <w:rtl/>
          <w:lang w:eastAsia="zh-TW"/>
        </w:rPr>
        <w:tab/>
      </w:r>
      <w:r w:rsidRPr="00D53BED">
        <w:rPr>
          <w:rFonts w:hint="cs"/>
          <w:rtl/>
          <w:lang w:eastAsia="zh-TW"/>
        </w:rPr>
        <w:t>7-</w:t>
      </w:r>
      <w:r w:rsidRPr="00D53BED">
        <w:rPr>
          <w:rFonts w:hint="cs"/>
          <w:rtl/>
          <w:lang w:eastAsia="zh-TW"/>
        </w:rPr>
        <w:tab/>
      </w:r>
      <w:r w:rsidRPr="00D53BED">
        <w:rPr>
          <w:rFonts w:hint="eastAsia"/>
          <w:i/>
          <w:iCs/>
          <w:rtl/>
          <w:lang w:eastAsia="zh-TW"/>
        </w:rPr>
        <w:t>يُقرّر</w:t>
      </w:r>
      <w:r w:rsidRPr="00D53BED">
        <w:rPr>
          <w:rtl/>
          <w:lang w:eastAsia="zh-TW"/>
        </w:rPr>
        <w:t xml:space="preserve"> مواصلة النظر في مسألة </w:t>
      </w:r>
      <w:proofErr w:type="spellStart"/>
      <w:r w:rsidRPr="00D53BED">
        <w:rPr>
          <w:rtl/>
          <w:lang w:eastAsia="zh-TW"/>
        </w:rPr>
        <w:t>الاتجار</w:t>
      </w:r>
      <w:proofErr w:type="spellEnd"/>
      <w:r w:rsidRPr="00D53BED">
        <w:rPr>
          <w:rtl/>
          <w:lang w:eastAsia="zh-TW"/>
        </w:rPr>
        <w:t xml:space="preserve"> بالأشخاص، وبخاصة النساء والأطفال.</w:t>
      </w:r>
    </w:p>
    <w:p w:rsidR="00C019CF" w:rsidRPr="00D53BED" w:rsidRDefault="008369FA" w:rsidP="008369FA">
      <w:pPr>
        <w:pStyle w:val="SingleTxtGA"/>
        <w:spacing w:after="0"/>
        <w:jc w:val="right"/>
        <w:rPr>
          <w:i/>
          <w:iCs/>
          <w:rtl/>
          <w:lang w:eastAsia="zh-TW"/>
        </w:rPr>
      </w:pPr>
      <w:r w:rsidRPr="00D53BED">
        <w:rPr>
          <w:rFonts w:hint="cs"/>
          <w:i/>
          <w:iCs/>
          <w:rtl/>
          <w:lang w:eastAsia="zh-TW"/>
        </w:rPr>
        <w:t>الجلسة 34</w:t>
      </w:r>
    </w:p>
    <w:p w:rsidR="00C019CF" w:rsidRPr="00D53BED" w:rsidRDefault="00BB1EA7" w:rsidP="008369FA">
      <w:pPr>
        <w:pStyle w:val="SingleTxtGA"/>
        <w:jc w:val="right"/>
        <w:rPr>
          <w:i/>
          <w:iCs/>
          <w:rtl/>
          <w:lang w:eastAsia="zh-TW"/>
        </w:rPr>
      </w:pPr>
      <w:r w:rsidRPr="00D53BED">
        <w:rPr>
          <w:rFonts w:hint="cs"/>
          <w:i/>
          <w:iCs/>
          <w:rtl/>
          <w:lang w:eastAsia="zh-TW"/>
        </w:rPr>
        <w:t>22 حزيران/</w:t>
      </w:r>
      <w:r w:rsidR="008369FA" w:rsidRPr="00D53BED">
        <w:rPr>
          <w:rFonts w:hint="cs"/>
          <w:i/>
          <w:iCs/>
          <w:rtl/>
          <w:lang w:eastAsia="zh-TW"/>
        </w:rPr>
        <w:t>يونيه 2017</w:t>
      </w:r>
    </w:p>
    <w:p w:rsidR="00C019CF" w:rsidRPr="00D53BED" w:rsidRDefault="00C019CF" w:rsidP="00457124">
      <w:pPr>
        <w:pStyle w:val="SingleTxtGA"/>
        <w:spacing w:line="240" w:lineRule="exact"/>
        <w:jc w:val="left"/>
        <w:rPr>
          <w:rtl/>
          <w:lang w:eastAsia="zh-TW"/>
        </w:rPr>
      </w:pPr>
      <w:r w:rsidRPr="00D53BED">
        <w:rPr>
          <w:rFonts w:hint="cs"/>
          <w:rtl/>
          <w:lang w:eastAsia="zh-TW"/>
        </w:rPr>
        <w:t>[اعتمد دون تصويت</w:t>
      </w:r>
      <w:r w:rsidR="000D3250">
        <w:rPr>
          <w:rFonts w:hint="cs"/>
          <w:rtl/>
          <w:lang w:eastAsia="zh-TW"/>
        </w:rPr>
        <w:t>.</w:t>
      </w:r>
      <w:r w:rsidRPr="00D53BED">
        <w:rPr>
          <w:rFonts w:hint="cs"/>
          <w:rtl/>
          <w:lang w:eastAsia="zh-TW"/>
        </w:rPr>
        <w:t>]</w:t>
      </w:r>
    </w:p>
    <w:p w:rsidR="008369FA" w:rsidRPr="00D53BED" w:rsidRDefault="008369FA" w:rsidP="008369FA">
      <w:pPr>
        <w:spacing w:before="120"/>
        <w:jc w:val="center"/>
        <w:rPr>
          <w:u w:val="single"/>
          <w:rtl/>
          <w:lang w:eastAsia="zh-TW"/>
        </w:rPr>
      </w:pPr>
      <w:r w:rsidRPr="00D53BED">
        <w:rPr>
          <w:u w:val="single"/>
          <w:rtl/>
          <w:lang w:eastAsia="zh-TW"/>
        </w:rPr>
        <w:tab/>
      </w:r>
      <w:r w:rsidRPr="00D53BED">
        <w:rPr>
          <w:u w:val="single"/>
          <w:rtl/>
          <w:lang w:eastAsia="zh-TW"/>
        </w:rPr>
        <w:tab/>
      </w:r>
      <w:r w:rsidRPr="00D53BED">
        <w:rPr>
          <w:u w:val="single"/>
          <w:rtl/>
          <w:lang w:eastAsia="zh-TW"/>
        </w:rPr>
        <w:tab/>
      </w:r>
    </w:p>
    <w:sectPr w:rsidR="008369FA" w:rsidRPr="00D53BED" w:rsidSect="007C1B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E2" w:rsidRPr="002901D9" w:rsidRDefault="00CF25E2" w:rsidP="002901D9">
      <w:pPr>
        <w:spacing w:after="60" w:line="240" w:lineRule="auto"/>
        <w:rPr>
          <w:i/>
          <w:iCs/>
        </w:rPr>
      </w:pPr>
      <w:r>
        <w:rPr>
          <w:rFonts w:hint="cs"/>
          <w:i/>
          <w:iCs/>
          <w:rtl/>
        </w:rPr>
        <w:t>الحواشي</w:t>
      </w:r>
    </w:p>
  </w:endnote>
  <w:endnote w:type="continuationSeparator" w:id="0">
    <w:p w:rsidR="00CF25E2" w:rsidRDefault="00CF25E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36" w:rsidRPr="00C019CF" w:rsidRDefault="00C019CF" w:rsidP="00C019CF">
    <w:pPr>
      <w:pStyle w:val="Footer"/>
      <w:tabs>
        <w:tab w:val="right" w:pos="9598"/>
      </w:tabs>
      <w:rPr>
        <w:sz w:val="17"/>
      </w:rPr>
    </w:pPr>
    <w:r>
      <w:rPr>
        <w:sz w:val="17"/>
      </w:rPr>
      <w:t>GE.17-11520</w:t>
    </w:r>
    <w:r>
      <w:rPr>
        <w:sz w:val="17"/>
      </w:rPr>
      <w:tab/>
    </w:r>
    <w:r w:rsidRPr="00C019CF">
      <w:rPr>
        <w:b/>
        <w:sz w:val="18"/>
      </w:rPr>
      <w:fldChar w:fldCharType="begin"/>
    </w:r>
    <w:r w:rsidRPr="00C019CF">
      <w:rPr>
        <w:b/>
        <w:sz w:val="18"/>
      </w:rPr>
      <w:instrText xml:space="preserve"> PAGE  \* MERGEFORMAT </w:instrText>
    </w:r>
    <w:r w:rsidRPr="00C019CF">
      <w:rPr>
        <w:b/>
        <w:sz w:val="18"/>
      </w:rPr>
      <w:fldChar w:fldCharType="separate"/>
    </w:r>
    <w:r w:rsidR="00421592">
      <w:rPr>
        <w:b/>
        <w:noProof/>
        <w:sz w:val="18"/>
      </w:rPr>
      <w:t>2</w:t>
    </w:r>
    <w:r w:rsidRPr="00C019C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019CF" w:rsidRDefault="00C019CF" w:rsidP="006959B0">
    <w:pPr>
      <w:pStyle w:val="Footer"/>
      <w:tabs>
        <w:tab w:val="right" w:pos="9599"/>
      </w:tabs>
      <w:jc w:val="left"/>
      <w:rPr>
        <w:b/>
        <w:sz w:val="18"/>
        <w:lang w:val="en-US"/>
      </w:rPr>
    </w:pPr>
    <w:r w:rsidRPr="00C019CF">
      <w:rPr>
        <w:b/>
        <w:sz w:val="18"/>
        <w:lang w:val="en-US"/>
      </w:rPr>
      <w:fldChar w:fldCharType="begin"/>
    </w:r>
    <w:r w:rsidRPr="00C019CF">
      <w:rPr>
        <w:b/>
        <w:sz w:val="18"/>
        <w:lang w:val="en-US"/>
      </w:rPr>
      <w:instrText xml:space="preserve"> PAGE  \* MERGEFORMAT </w:instrText>
    </w:r>
    <w:r w:rsidRPr="00C019CF">
      <w:rPr>
        <w:b/>
        <w:sz w:val="18"/>
        <w:lang w:val="en-US"/>
      </w:rPr>
      <w:fldChar w:fldCharType="separate"/>
    </w:r>
    <w:r w:rsidR="00167890">
      <w:rPr>
        <w:b/>
        <w:noProof/>
        <w:sz w:val="18"/>
        <w:lang w:val="en-US"/>
      </w:rPr>
      <w:t>3</w:t>
    </w:r>
    <w:r w:rsidRPr="00C019CF">
      <w:rPr>
        <w:b/>
        <w:sz w:val="18"/>
        <w:lang w:val="en-US"/>
      </w:rPr>
      <w:fldChar w:fldCharType="end"/>
    </w:r>
    <w:r>
      <w:rPr>
        <w:b/>
        <w:sz w:val="18"/>
        <w:lang w:val="en-US"/>
      </w:rPr>
      <w:tab/>
    </w:r>
    <w:r>
      <w:rPr>
        <w:sz w:val="17"/>
        <w:lang w:val="en-US"/>
      </w:rPr>
      <w:t>GE.17-11520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7C1B36" w:rsidP="00F6741C">
    <w:pPr>
      <w:pStyle w:val="Footer"/>
      <w:spacing w:before="360"/>
      <w:jc w:val="right"/>
      <w:rPr>
        <w:sz w:val="20"/>
        <w:szCs w:val="20"/>
      </w:rPr>
    </w:pPr>
    <w:r>
      <w:rPr>
        <w:sz w:val="20"/>
        <w:szCs w:val="20"/>
      </w:rPr>
      <w:t>GE.17-11520</w:t>
    </w:r>
    <w:r w:rsidR="00FD4BC9">
      <w:rPr>
        <w:noProof/>
        <w:lang w:val="en-US"/>
      </w:rPr>
      <w:drawing>
        <wp:anchor distT="0" distB="0" distL="114300" distR="114300" simplePos="0" relativeHeight="25166643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C1B36" w:rsidRPr="007C1B36" w:rsidRDefault="007C1B36" w:rsidP="007C1B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E2" w:rsidRPr="0054762C" w:rsidRDefault="00CF25E2" w:rsidP="000E524A">
      <w:pPr>
        <w:pStyle w:val="Footer"/>
        <w:bidi/>
        <w:spacing w:after="80" w:line="200" w:lineRule="exact"/>
        <w:ind w:left="680"/>
      </w:pPr>
      <w:r>
        <w:rPr>
          <w:rtl/>
        </w:rPr>
        <w:t>__________</w:t>
      </w:r>
    </w:p>
  </w:footnote>
  <w:footnote w:type="continuationSeparator" w:id="0">
    <w:p w:rsidR="00CF25E2" w:rsidRDefault="00CF25E2" w:rsidP="00656392">
      <w:pPr>
        <w:spacing w:line="240" w:lineRule="auto"/>
      </w:pPr>
      <w:r>
        <w:continuationSeparator/>
      </w:r>
    </w:p>
  </w:footnote>
  <w:footnote w:id="1">
    <w:p w:rsidR="00C019CF" w:rsidRPr="00836FE4" w:rsidRDefault="00C019CF" w:rsidP="00C019CF">
      <w:pPr>
        <w:pStyle w:val="FootnoteText1"/>
        <w:textDirection w:val="tbRlV"/>
        <w:rPr>
          <w:rtl/>
          <w:lang w:eastAsia="zh-TW"/>
        </w:rPr>
      </w:pPr>
      <w:r w:rsidRPr="00836FE4">
        <w:rPr>
          <w:rtl/>
        </w:rPr>
        <w:t>(</w:t>
      </w:r>
      <w:r w:rsidRPr="00836FE4">
        <w:rPr>
          <w:rStyle w:val="FootnoteReference"/>
          <w:szCs w:val="26"/>
          <w:vertAlign w:val="baseline"/>
          <w:rtl/>
        </w:rPr>
        <w:footnoteRef/>
      </w:r>
      <w:r w:rsidRPr="00836FE4">
        <w:rPr>
          <w:rtl/>
        </w:rPr>
        <w:t>)</w:t>
      </w:r>
      <w:r w:rsidRPr="00836FE4">
        <w:rPr>
          <w:rtl/>
        </w:rPr>
        <w:tab/>
      </w:r>
      <w:r w:rsidRPr="00836FE4">
        <w:rPr>
          <w:rtl/>
          <w:lang w:eastAsia="zh-TW"/>
        </w:rPr>
        <w:t xml:space="preserve">قرار </w:t>
      </w:r>
      <w:r w:rsidRPr="00836FE4">
        <w:rPr>
          <w:rtl/>
          <w:lang w:bidi="ar-DZ"/>
        </w:rPr>
        <w:t>الجمعية</w:t>
      </w:r>
      <w:r w:rsidRPr="00836FE4">
        <w:rPr>
          <w:rtl/>
          <w:lang w:eastAsia="zh-TW"/>
        </w:rPr>
        <w:t xml:space="preserve"> العامة 70/1.</w:t>
      </w:r>
    </w:p>
  </w:footnote>
  <w:footnote w:id="2">
    <w:p w:rsidR="00C019CF" w:rsidRPr="00836FE4" w:rsidRDefault="00C019CF" w:rsidP="00C019CF">
      <w:pPr>
        <w:pStyle w:val="FootnoteText1"/>
        <w:textDirection w:val="tbRlV"/>
        <w:rPr>
          <w:rtl/>
          <w:lang w:eastAsia="zh-TW"/>
        </w:rPr>
      </w:pPr>
      <w:r w:rsidRPr="00836FE4">
        <w:rPr>
          <w:rtl/>
        </w:rPr>
        <w:t>(</w:t>
      </w:r>
      <w:r w:rsidRPr="00836FE4">
        <w:rPr>
          <w:rStyle w:val="FootnoteReference"/>
          <w:szCs w:val="26"/>
          <w:vertAlign w:val="baseline"/>
          <w:rtl/>
        </w:rPr>
        <w:footnoteRef/>
      </w:r>
      <w:r w:rsidRPr="00836FE4">
        <w:rPr>
          <w:rtl/>
        </w:rPr>
        <w:t>)</w:t>
      </w:r>
      <w:r w:rsidRPr="00836FE4">
        <w:rPr>
          <w:lang w:eastAsia="zh-TW"/>
        </w:rPr>
        <w:tab/>
        <w:t>A/HRC/35/37</w:t>
      </w:r>
      <w:r w:rsidRPr="00836FE4">
        <w:rPr>
          <w:rtl/>
          <w:lang w:eastAsia="zh-TW"/>
        </w:rPr>
        <w:t>.</w:t>
      </w:r>
    </w:p>
  </w:footnote>
  <w:footnote w:id="3">
    <w:p w:rsidR="00C019CF" w:rsidRPr="00836FE4" w:rsidRDefault="00C019CF" w:rsidP="00C019CF">
      <w:pPr>
        <w:pStyle w:val="FootnoteText1"/>
        <w:textDirection w:val="tbRlV"/>
        <w:rPr>
          <w:lang w:eastAsia="zh-TW"/>
        </w:rPr>
      </w:pPr>
      <w:r w:rsidRPr="00836FE4">
        <w:rPr>
          <w:rtl/>
        </w:rPr>
        <w:t>(</w:t>
      </w:r>
      <w:r w:rsidRPr="00836FE4">
        <w:rPr>
          <w:rStyle w:val="FootnoteReference"/>
          <w:szCs w:val="26"/>
          <w:vertAlign w:val="baseline"/>
          <w:rtl/>
        </w:rPr>
        <w:footnoteRef/>
      </w:r>
      <w:r w:rsidRPr="00836FE4">
        <w:rPr>
          <w:rtl/>
        </w:rPr>
        <w:t>)</w:t>
      </w:r>
      <w:r w:rsidRPr="00836FE4">
        <w:rPr>
          <w:rtl/>
          <w:lang w:val="fr-CH" w:eastAsia="zh-TW"/>
        </w:rPr>
        <w:tab/>
      </w:r>
      <w:r w:rsidRPr="00836FE4">
        <w:t>A/HRC/32/41</w:t>
      </w:r>
      <w:r w:rsidRPr="00836FE4">
        <w:rPr>
          <w:rFonts w:hint="cs"/>
          <w:rtl/>
          <w:lang w:val="fr-CH" w:eastAsia="zh-TW"/>
        </w:rPr>
        <w:t xml:space="preserve"> </w:t>
      </w:r>
      <w:r w:rsidRPr="00836FE4">
        <w:rPr>
          <w:rtl/>
          <w:lang w:val="fr-CH" w:eastAsia="zh-TW"/>
        </w:rPr>
        <w:t>و</w:t>
      </w:r>
      <w:r w:rsidRPr="00836FE4">
        <w:rPr>
          <w:lang w:eastAsia="zh-TW"/>
        </w:rPr>
        <w:t>Corr.1</w:t>
      </w:r>
      <w:r w:rsidRPr="00836FE4">
        <w:rPr>
          <w:rtl/>
          <w:lang w:val="fr-CH" w:eastAsia="zh-TW"/>
        </w:rPr>
        <w:t xml:space="preserve"> و</w:t>
      </w:r>
      <w:r w:rsidRPr="00836FE4">
        <w:rPr>
          <w:lang w:eastAsia="zh-TW"/>
        </w:rPr>
        <w:t>A/</w:t>
      </w:r>
      <w:r w:rsidRPr="00836FE4">
        <w:rPr>
          <w:lang w:bidi="ar-DZ"/>
        </w:rPr>
        <w:t>71</w:t>
      </w:r>
      <w:r w:rsidRPr="00836FE4">
        <w:rPr>
          <w:lang w:eastAsia="zh-TW"/>
        </w:rPr>
        <w:t>/303</w:t>
      </w:r>
      <w:r w:rsidRPr="00836FE4">
        <w:rPr>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36" w:rsidRPr="00C019CF" w:rsidRDefault="00C019CF" w:rsidP="00C019CF">
    <w:pPr>
      <w:pStyle w:val="Header"/>
      <w:jc w:val="right"/>
    </w:pPr>
    <w:r w:rsidRPr="00C019CF">
      <w:t>A/HRC/RES/35/5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36" w:rsidRPr="00C019CF" w:rsidRDefault="00C019CF" w:rsidP="00C019CF">
    <w:pPr>
      <w:pStyle w:val="Header"/>
      <w:jc w:val="left"/>
    </w:pPr>
    <w:r w:rsidRPr="00C019CF">
      <w:t>A/HRC/RES/35/5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F25E2"/>
    <w:rsid w:val="000076D5"/>
    <w:rsid w:val="00043663"/>
    <w:rsid w:val="000505CF"/>
    <w:rsid w:val="000B5918"/>
    <w:rsid w:val="000D3250"/>
    <w:rsid w:val="000D701C"/>
    <w:rsid w:val="000E2A71"/>
    <w:rsid w:val="000E524A"/>
    <w:rsid w:val="00160263"/>
    <w:rsid w:val="00167890"/>
    <w:rsid w:val="001773DB"/>
    <w:rsid w:val="00181F96"/>
    <w:rsid w:val="001A1371"/>
    <w:rsid w:val="001B346A"/>
    <w:rsid w:val="001E1CAD"/>
    <w:rsid w:val="001E290D"/>
    <w:rsid w:val="002144FA"/>
    <w:rsid w:val="0023469A"/>
    <w:rsid w:val="00243C8A"/>
    <w:rsid w:val="00267A0E"/>
    <w:rsid w:val="002901D9"/>
    <w:rsid w:val="002976C2"/>
    <w:rsid w:val="002A3817"/>
    <w:rsid w:val="002D1EB5"/>
    <w:rsid w:val="002D262F"/>
    <w:rsid w:val="00325CC1"/>
    <w:rsid w:val="003260FF"/>
    <w:rsid w:val="00343D95"/>
    <w:rsid w:val="00374341"/>
    <w:rsid w:val="003D1062"/>
    <w:rsid w:val="003E159A"/>
    <w:rsid w:val="004205C7"/>
    <w:rsid w:val="00420D7B"/>
    <w:rsid w:val="00421592"/>
    <w:rsid w:val="00450B21"/>
    <w:rsid w:val="00453B63"/>
    <w:rsid w:val="00455780"/>
    <w:rsid w:val="00457124"/>
    <w:rsid w:val="004B0A1C"/>
    <w:rsid w:val="004D298E"/>
    <w:rsid w:val="004E32F4"/>
    <w:rsid w:val="004F5B92"/>
    <w:rsid w:val="00517BC9"/>
    <w:rsid w:val="005212F8"/>
    <w:rsid w:val="00527E4C"/>
    <w:rsid w:val="00536286"/>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34141"/>
    <w:rsid w:val="00740188"/>
    <w:rsid w:val="00755394"/>
    <w:rsid w:val="0078071A"/>
    <w:rsid w:val="0078459A"/>
    <w:rsid w:val="007A70BB"/>
    <w:rsid w:val="007B11B3"/>
    <w:rsid w:val="007C1B36"/>
    <w:rsid w:val="008369FA"/>
    <w:rsid w:val="00852A9A"/>
    <w:rsid w:val="00871544"/>
    <w:rsid w:val="008930DB"/>
    <w:rsid w:val="00895D16"/>
    <w:rsid w:val="008F49E1"/>
    <w:rsid w:val="0090370F"/>
    <w:rsid w:val="009154D9"/>
    <w:rsid w:val="009269D2"/>
    <w:rsid w:val="00942135"/>
    <w:rsid w:val="009521B0"/>
    <w:rsid w:val="009A7E9F"/>
    <w:rsid w:val="009C5BC3"/>
    <w:rsid w:val="009E5018"/>
    <w:rsid w:val="00A12B37"/>
    <w:rsid w:val="00A50EC0"/>
    <w:rsid w:val="00A5703C"/>
    <w:rsid w:val="00A74331"/>
    <w:rsid w:val="00AB6758"/>
    <w:rsid w:val="00B13763"/>
    <w:rsid w:val="00B477A4"/>
    <w:rsid w:val="00B54045"/>
    <w:rsid w:val="00BA5E8B"/>
    <w:rsid w:val="00BB1EA7"/>
    <w:rsid w:val="00C019CF"/>
    <w:rsid w:val="00C022F5"/>
    <w:rsid w:val="00C438D7"/>
    <w:rsid w:val="00C53FE8"/>
    <w:rsid w:val="00C81B50"/>
    <w:rsid w:val="00CA655B"/>
    <w:rsid w:val="00CB3C3C"/>
    <w:rsid w:val="00CD1801"/>
    <w:rsid w:val="00CF25E2"/>
    <w:rsid w:val="00D10EF1"/>
    <w:rsid w:val="00D42810"/>
    <w:rsid w:val="00D53BED"/>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B270-4D48-45B3-B16B-ABD01A5F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A/HRC/RES/35/5</vt:lpstr>
    </vt:vector>
  </TitlesOfParts>
  <Company>DCM</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A/HRC/RES/35/5</dc:title>
  <dc:subject>GE.1711520</dc:subject>
  <dc:creator>JCHD/EM</dc:creator>
  <cp:keywords>ODS No.1718691</cp:keywords>
  <dc:description>Original: English _x000d_
Distribution: General_x000d_
Date: 10 July 2017</dc:description>
  <cp:lastModifiedBy>Tpsara</cp:lastModifiedBy>
  <cp:revision>2</cp:revision>
  <cp:lastPrinted>2017-08-02T11:07:00Z</cp:lastPrinted>
  <dcterms:created xsi:type="dcterms:W3CDTF">2017-08-02T11:08:00Z</dcterms:created>
  <dcterms:modified xsi:type="dcterms:W3CDTF">2017-08-02T11:08:00Z</dcterms:modified>
  <cp:category>Final</cp:category>
</cp:coreProperties>
</file>