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1908A2" w:rsidP="001908A2">
            <w:pPr>
              <w:bidi w:val="0"/>
              <w:spacing w:after="20"/>
              <w:jc w:val="left"/>
              <w:rPr>
                <w:szCs w:val="20"/>
              </w:rPr>
            </w:pPr>
            <w:r w:rsidRPr="001908A2">
              <w:rPr>
                <w:sz w:val="40"/>
                <w:szCs w:val="20"/>
              </w:rPr>
              <w:t>A</w:t>
            </w:r>
            <w:r>
              <w:rPr>
                <w:szCs w:val="20"/>
              </w:rPr>
              <w:t>/HRC/RES/24/18</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1908A2" w:rsidRDefault="001908A2" w:rsidP="001908A2">
            <w:pPr>
              <w:bidi w:val="0"/>
              <w:spacing w:before="240"/>
              <w:jc w:val="left"/>
            </w:pPr>
            <w:r>
              <w:t>Distr.: General</w:t>
            </w:r>
          </w:p>
          <w:p w:rsidR="001908A2" w:rsidRDefault="001908A2" w:rsidP="001908A2">
            <w:pPr>
              <w:bidi w:val="0"/>
              <w:jc w:val="left"/>
            </w:pPr>
            <w:r>
              <w:t>8 October 2013</w:t>
            </w:r>
          </w:p>
          <w:p w:rsidR="001908A2" w:rsidRDefault="001908A2" w:rsidP="001908A2">
            <w:pPr>
              <w:bidi w:val="0"/>
              <w:jc w:val="left"/>
            </w:pPr>
            <w:r>
              <w:t>Arabic</w:t>
            </w:r>
          </w:p>
          <w:p w:rsidR="00257225" w:rsidRPr="008B4BC6" w:rsidRDefault="001908A2" w:rsidP="001908A2">
            <w:pPr>
              <w:bidi w:val="0"/>
              <w:jc w:val="left"/>
            </w:pPr>
            <w:r>
              <w:t>Original: English</w:t>
            </w:r>
          </w:p>
        </w:tc>
      </w:tr>
    </w:tbl>
    <w:p w:rsidR="001908A2" w:rsidRPr="00024B39" w:rsidRDefault="001908A2" w:rsidP="001908A2">
      <w:pPr>
        <w:spacing w:before="120" w:line="380" w:lineRule="exact"/>
        <w:rPr>
          <w:rFonts w:hint="cs"/>
          <w:b/>
          <w:bCs/>
          <w:sz w:val="36"/>
          <w:szCs w:val="36"/>
          <w:rtl/>
        </w:rPr>
      </w:pPr>
      <w:r w:rsidRPr="00024B39">
        <w:rPr>
          <w:rFonts w:hint="cs"/>
          <w:b/>
          <w:bCs/>
          <w:sz w:val="36"/>
          <w:szCs w:val="36"/>
          <w:rtl/>
        </w:rPr>
        <w:t>مجلس حقوق الإنسان</w:t>
      </w:r>
    </w:p>
    <w:p w:rsidR="001908A2" w:rsidRPr="0055475B" w:rsidRDefault="001908A2" w:rsidP="001908A2">
      <w:pPr>
        <w:spacing w:line="380" w:lineRule="exact"/>
        <w:rPr>
          <w:rFonts w:hint="cs"/>
          <w:b/>
          <w:bCs/>
          <w:sz w:val="30"/>
          <w:rtl/>
        </w:rPr>
      </w:pPr>
      <w:r w:rsidRPr="0055475B">
        <w:rPr>
          <w:rFonts w:hint="cs"/>
          <w:b/>
          <w:bCs/>
          <w:sz w:val="30"/>
          <w:rtl/>
        </w:rPr>
        <w:t>الدورة الرابعة والعشرون</w:t>
      </w:r>
    </w:p>
    <w:p w:rsidR="001908A2" w:rsidRPr="00024B39" w:rsidRDefault="001908A2" w:rsidP="001908A2">
      <w:pPr>
        <w:spacing w:line="380" w:lineRule="exact"/>
        <w:rPr>
          <w:rFonts w:hint="cs"/>
          <w:sz w:val="30"/>
          <w:rtl/>
        </w:rPr>
      </w:pPr>
      <w:r w:rsidRPr="00024B39">
        <w:rPr>
          <w:rFonts w:hint="cs"/>
          <w:sz w:val="30"/>
          <w:rtl/>
        </w:rPr>
        <w:t>البند 3 من جدول الأعمال</w:t>
      </w:r>
    </w:p>
    <w:p w:rsidR="001908A2" w:rsidRPr="0055475B" w:rsidRDefault="001908A2" w:rsidP="001908A2">
      <w:pPr>
        <w:spacing w:after="120" w:line="380" w:lineRule="exact"/>
        <w:ind w:right="4479"/>
        <w:rPr>
          <w:rFonts w:hint="cs"/>
          <w:b/>
          <w:bCs/>
          <w:sz w:val="30"/>
          <w:rtl/>
        </w:rPr>
      </w:pPr>
      <w:r w:rsidRPr="0055475B">
        <w:rPr>
          <w:rFonts w:hint="cs"/>
          <w:b/>
          <w:bCs/>
          <w:sz w:val="30"/>
          <w:rtl/>
        </w:rPr>
        <w:t>تعزيز وحماية جميع حقوق الإنسان، المدنية والسياسية والاقتصادية</w:t>
      </w:r>
      <w:r>
        <w:rPr>
          <w:rFonts w:hint="cs"/>
          <w:b/>
          <w:bCs/>
          <w:sz w:val="30"/>
          <w:rtl/>
        </w:rPr>
        <w:t xml:space="preserve"> </w:t>
      </w:r>
      <w:r w:rsidRPr="0055475B">
        <w:rPr>
          <w:rFonts w:hint="cs"/>
          <w:b/>
          <w:bCs/>
          <w:sz w:val="30"/>
          <w:rtl/>
        </w:rPr>
        <w:t>والاجتماعية والثقافية، بما في ذلك الحق في التنمية</w:t>
      </w:r>
    </w:p>
    <w:p w:rsidR="001908A2" w:rsidRPr="0055475B" w:rsidRDefault="001908A2" w:rsidP="003A6ED2">
      <w:pPr>
        <w:pStyle w:val="HChGA"/>
        <w:rPr>
          <w:rFonts w:hint="cs"/>
          <w:rtl/>
        </w:rPr>
      </w:pPr>
      <w:r>
        <w:rPr>
          <w:rFonts w:hint="cs"/>
          <w:kern w:val="16"/>
          <w:rtl/>
        </w:rPr>
        <w:tab/>
      </w:r>
      <w:r>
        <w:rPr>
          <w:kern w:val="16"/>
          <w:rtl/>
        </w:rPr>
        <w:tab/>
      </w:r>
      <w:r>
        <w:rPr>
          <w:rFonts w:hint="cs"/>
          <w:kern w:val="16"/>
          <w:rtl/>
        </w:rPr>
        <w:t>قرار اعتمده مجلس حقوق الإنسان</w:t>
      </w:r>
      <w:r w:rsidRPr="00AB597B">
        <w:rPr>
          <w:rStyle w:val="FootnoteReference"/>
          <w:b/>
          <w:bCs w:val="0"/>
          <w:sz w:val="20"/>
          <w:vertAlign w:val="baseline"/>
          <w:rtl/>
        </w:rPr>
        <w:footnoteReference w:customMarkFollows="1" w:id="1"/>
        <w:t>*</w:t>
      </w:r>
    </w:p>
    <w:p w:rsidR="001908A2" w:rsidRPr="006C3F70" w:rsidRDefault="001908A2" w:rsidP="006C3F70">
      <w:pPr>
        <w:pStyle w:val="HChGA"/>
        <w:rPr>
          <w:rFonts w:hint="cs"/>
          <w:rtl/>
        </w:rPr>
      </w:pPr>
      <w:r>
        <w:rPr>
          <w:rtl/>
        </w:rPr>
        <w:tab/>
      </w:r>
      <w:r>
        <w:rPr>
          <w:rFonts w:hint="cs"/>
          <w:rtl/>
        </w:rPr>
        <w:tab/>
      </w:r>
      <w:r w:rsidRPr="0055475B">
        <w:rPr>
          <w:rFonts w:hint="cs"/>
          <w:rtl/>
        </w:rPr>
        <w:t>24/</w:t>
      </w:r>
      <w:r w:rsidR="006C3F70">
        <w:rPr>
          <w:rFonts w:hint="cs"/>
          <w:rtl/>
        </w:rPr>
        <w:t>18</w:t>
      </w:r>
      <w:r>
        <w:rPr>
          <w:rtl/>
        </w:rPr>
        <w:br/>
      </w:r>
      <w:r w:rsidRPr="006C3F70">
        <w:rPr>
          <w:rtl/>
        </w:rPr>
        <w:t>حق الإنسان في الحصول على مياه الشرب المأمونة وخدمات الصرف الصحي</w:t>
      </w:r>
    </w:p>
    <w:p w:rsidR="001908A2" w:rsidRPr="00FE00F6" w:rsidRDefault="001908A2" w:rsidP="001908A2">
      <w:pPr>
        <w:pStyle w:val="SingleTxtGA"/>
        <w:rPr>
          <w:rFonts w:hint="cs"/>
          <w:i/>
          <w:iCs/>
          <w:rtl/>
          <w:lang w:val="en-GB"/>
        </w:rPr>
      </w:pPr>
      <w:r w:rsidRPr="0055475B">
        <w:rPr>
          <w:rFonts w:hint="cs"/>
          <w:rtl/>
          <w:lang w:val="en-GB"/>
        </w:rPr>
        <w:tab/>
      </w:r>
      <w:r w:rsidRPr="00FE00F6">
        <w:rPr>
          <w:i/>
          <w:iCs/>
          <w:rtl/>
          <w:lang w:val="en-GB"/>
        </w:rPr>
        <w:t>إن مجلس حقوق الإنسان،</w:t>
      </w:r>
    </w:p>
    <w:p w:rsidR="001908A2" w:rsidRPr="0055475B" w:rsidRDefault="001908A2" w:rsidP="001908A2">
      <w:pPr>
        <w:pStyle w:val="SingleTxtGA"/>
        <w:rPr>
          <w:rFonts w:hint="cs"/>
          <w:rtl/>
        </w:rPr>
      </w:pPr>
      <w:r w:rsidRPr="0055475B">
        <w:rPr>
          <w:rFonts w:hint="cs"/>
          <w:i/>
          <w:iCs/>
          <w:rtl/>
        </w:rPr>
        <w:tab/>
      </w:r>
      <w:r w:rsidRPr="0055475B">
        <w:rPr>
          <w:i/>
          <w:iCs/>
          <w:rtl/>
        </w:rPr>
        <w:t>إذ يؤكد من جديد</w:t>
      </w:r>
      <w:r w:rsidRPr="0055475B">
        <w:rPr>
          <w:rtl/>
        </w:rPr>
        <w:t xml:space="preserve"> جميع قرارات مجلس حقوق الإنسان السابقة ذات الصلة، ومن جملتها القرارات 7/22 المؤرخ 28 آذار/مارس 2008، و12/8 المؤرخ 1 تشرين الأول/ أكتوبر 2009، و15/9 المؤرخ 30 أيلول/سبتمبر 2010، و16/2 المؤرخ 24 آذار/</w:t>
      </w:r>
      <w:r w:rsidRPr="0055475B">
        <w:rPr>
          <w:rFonts w:hint="cs"/>
          <w:rtl/>
        </w:rPr>
        <w:t xml:space="preserve"> </w:t>
      </w:r>
      <w:r w:rsidRPr="0055475B">
        <w:rPr>
          <w:rtl/>
        </w:rPr>
        <w:t>مارس 2011، و18/1 المؤرخ 28 أيلول/سبتمبر 2011</w:t>
      </w:r>
      <w:r w:rsidRPr="0055475B">
        <w:rPr>
          <w:rFonts w:hint="cs"/>
          <w:rtl/>
        </w:rPr>
        <w:t>، و21/2 المؤرخ 27 أيلول/</w:t>
      </w:r>
      <w:r>
        <w:rPr>
          <w:rFonts w:hint="cs"/>
          <w:rtl/>
        </w:rPr>
        <w:t xml:space="preserve"> </w:t>
      </w:r>
      <w:r w:rsidRPr="0055475B">
        <w:rPr>
          <w:rFonts w:hint="cs"/>
          <w:rtl/>
        </w:rPr>
        <w:t>سبتمبر 2012،</w:t>
      </w:r>
    </w:p>
    <w:p w:rsidR="001908A2" w:rsidRPr="0055475B" w:rsidRDefault="001908A2" w:rsidP="003A6ED2">
      <w:pPr>
        <w:pStyle w:val="SingleTxtGA"/>
        <w:spacing w:line="360" w:lineRule="exact"/>
        <w:rPr>
          <w:rFonts w:hint="cs"/>
          <w:rtl/>
        </w:rPr>
      </w:pPr>
      <w:r w:rsidRPr="0055475B">
        <w:rPr>
          <w:rFonts w:hint="cs"/>
          <w:rtl/>
        </w:rPr>
        <w:tab/>
      </w:r>
      <w:r w:rsidRPr="0055475B">
        <w:rPr>
          <w:i/>
          <w:iCs/>
          <w:rtl/>
        </w:rPr>
        <w:t>وإذ يشير</w:t>
      </w:r>
      <w:r w:rsidRPr="0055475B">
        <w:rPr>
          <w:rtl/>
        </w:rPr>
        <w:t xml:space="preserve"> إلى قرار الجمعية العامة 64/292 المؤرخ 28 تموز/يوليه 2010</w:t>
      </w:r>
      <w:r w:rsidRPr="0055475B">
        <w:rPr>
          <w:rFonts w:hint="cs"/>
          <w:rtl/>
        </w:rPr>
        <w:t>،</w:t>
      </w:r>
      <w:r w:rsidRPr="0055475B">
        <w:rPr>
          <w:rtl/>
        </w:rPr>
        <w:t xml:space="preserve"> الذي سلمت فيه الجمعية بالحق في الحصول على مياه الشرب المأمونة والنقية وخدمات الصرف الصحي باعتباره حق</w:t>
      </w:r>
      <w:r>
        <w:rPr>
          <w:rtl/>
        </w:rPr>
        <w:t>اً</w:t>
      </w:r>
      <w:r w:rsidRPr="0055475B">
        <w:rPr>
          <w:rFonts w:hint="cs"/>
          <w:rtl/>
        </w:rPr>
        <w:t xml:space="preserve"> </w:t>
      </w:r>
      <w:r w:rsidRPr="0055475B">
        <w:rPr>
          <w:rtl/>
        </w:rPr>
        <w:t>إنساني</w:t>
      </w:r>
      <w:r>
        <w:rPr>
          <w:rtl/>
        </w:rPr>
        <w:t>اً</w:t>
      </w:r>
      <w:r w:rsidRPr="0055475B">
        <w:rPr>
          <w:rtl/>
        </w:rPr>
        <w:t xml:space="preserve"> </w:t>
      </w:r>
      <w:r w:rsidRPr="0055475B">
        <w:rPr>
          <w:rFonts w:hint="cs"/>
          <w:rtl/>
        </w:rPr>
        <w:t>ضروري</w:t>
      </w:r>
      <w:r>
        <w:rPr>
          <w:rFonts w:hint="cs"/>
          <w:rtl/>
        </w:rPr>
        <w:t xml:space="preserve">اً </w:t>
      </w:r>
      <w:r w:rsidRPr="0055475B">
        <w:rPr>
          <w:rtl/>
        </w:rPr>
        <w:t>للتمتع بالحياة وبجميع حقوق الإنسان تمتعا</w:t>
      </w:r>
      <w:r>
        <w:rPr>
          <w:rFonts w:hint="cs"/>
          <w:rtl/>
        </w:rPr>
        <w:t>ً</w:t>
      </w:r>
      <w:r w:rsidRPr="0055475B">
        <w:rPr>
          <w:rtl/>
        </w:rPr>
        <w:t xml:space="preserve"> كاملا</w:t>
      </w:r>
      <w:r>
        <w:rPr>
          <w:rFonts w:hint="cs"/>
          <w:rtl/>
        </w:rPr>
        <w:t>ً</w:t>
      </w:r>
      <w:r w:rsidRPr="0055475B">
        <w:rPr>
          <w:rtl/>
        </w:rPr>
        <w:t>،</w:t>
      </w:r>
    </w:p>
    <w:p w:rsidR="001908A2" w:rsidRPr="0055475B" w:rsidRDefault="001908A2" w:rsidP="001908A2">
      <w:pPr>
        <w:pStyle w:val="SingleTxtGA"/>
        <w:rPr>
          <w:rFonts w:hint="cs"/>
          <w:rtl/>
        </w:rPr>
      </w:pPr>
      <w:r w:rsidRPr="0055475B">
        <w:rPr>
          <w:rFonts w:hint="cs"/>
          <w:i/>
          <w:iCs/>
          <w:rtl/>
        </w:rPr>
        <w:tab/>
      </w:r>
      <w:r w:rsidRPr="0055475B">
        <w:rPr>
          <w:i/>
          <w:iCs/>
          <w:rtl/>
        </w:rPr>
        <w:t xml:space="preserve">وإذ يشير </w:t>
      </w:r>
      <w:r w:rsidRPr="0055475B">
        <w:rPr>
          <w:rFonts w:hint="cs"/>
          <w:i/>
          <w:iCs/>
          <w:rtl/>
        </w:rPr>
        <w:t>أيض</w:t>
      </w:r>
      <w:r>
        <w:rPr>
          <w:rFonts w:hint="cs"/>
          <w:i/>
          <w:iCs/>
          <w:rtl/>
        </w:rPr>
        <w:t xml:space="preserve">اً </w:t>
      </w:r>
      <w:r w:rsidRPr="0055475B">
        <w:rPr>
          <w:rtl/>
        </w:rPr>
        <w:t>إلى الإعلان العالمي لحقوق الإنسان، والعهد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حقوق الطفل، واتفاقية حقوق الأشخاص ذوي الإعاقة،</w:t>
      </w:r>
    </w:p>
    <w:p w:rsidR="001908A2" w:rsidRPr="0055475B" w:rsidRDefault="001908A2" w:rsidP="001908A2">
      <w:pPr>
        <w:pStyle w:val="SingleTxtGA"/>
        <w:rPr>
          <w:rFonts w:hint="cs"/>
          <w:rtl/>
        </w:rPr>
      </w:pPr>
      <w:r w:rsidRPr="0055475B">
        <w:rPr>
          <w:rFonts w:hint="cs"/>
          <w:rtl/>
        </w:rPr>
        <w:tab/>
      </w:r>
      <w:r w:rsidRPr="0055475B">
        <w:rPr>
          <w:i/>
          <w:iCs/>
          <w:rtl/>
        </w:rPr>
        <w:t>وإذ يشير</w:t>
      </w:r>
      <w:r w:rsidRPr="0055475B">
        <w:rPr>
          <w:rFonts w:hint="cs"/>
          <w:i/>
          <w:iCs/>
          <w:rtl/>
        </w:rPr>
        <w:t xml:space="preserve"> كذلك</w:t>
      </w:r>
      <w:r w:rsidRPr="0055475B">
        <w:rPr>
          <w:rtl/>
        </w:rPr>
        <w:t xml:space="preserve"> إلى قرار مجلس حقوق الإنسان </w:t>
      </w:r>
      <w:r w:rsidRPr="0055475B">
        <w:rPr>
          <w:rFonts w:hint="cs"/>
          <w:rtl/>
        </w:rPr>
        <w:t xml:space="preserve">22/5 </w:t>
      </w:r>
      <w:r w:rsidRPr="0055475B">
        <w:rPr>
          <w:rtl/>
        </w:rPr>
        <w:t xml:space="preserve">المؤرخ </w:t>
      </w:r>
      <w:r w:rsidRPr="0055475B">
        <w:rPr>
          <w:rFonts w:hint="cs"/>
          <w:rtl/>
        </w:rPr>
        <w:t xml:space="preserve">21 </w:t>
      </w:r>
      <w:r w:rsidRPr="0055475B">
        <w:rPr>
          <w:rtl/>
        </w:rPr>
        <w:t>آذار/</w:t>
      </w:r>
      <w:r>
        <w:rPr>
          <w:rFonts w:hint="cs"/>
          <w:rtl/>
        </w:rPr>
        <w:t xml:space="preserve"> </w:t>
      </w:r>
      <w:r>
        <w:rPr>
          <w:rtl/>
        </w:rPr>
        <w:t>مارس</w:t>
      </w:r>
      <w:r>
        <w:rPr>
          <w:rFonts w:hint="cs"/>
          <w:rtl/>
        </w:rPr>
        <w:t> </w:t>
      </w:r>
      <w:r w:rsidRPr="0055475B">
        <w:rPr>
          <w:rFonts w:hint="cs"/>
          <w:rtl/>
        </w:rPr>
        <w:t xml:space="preserve">2013 </w:t>
      </w:r>
      <w:r w:rsidRPr="0055475B">
        <w:rPr>
          <w:rtl/>
        </w:rPr>
        <w:t>بشأن مسألة إعمال الحقوق الاقتصادية والاجتماعية والثقافية في جميع البلدان</w:t>
      </w:r>
      <w:r w:rsidRPr="0055475B">
        <w:rPr>
          <w:rFonts w:hint="cs"/>
          <w:rtl/>
        </w:rPr>
        <w:t>،</w:t>
      </w:r>
    </w:p>
    <w:p w:rsidR="001908A2" w:rsidRPr="0055475B" w:rsidRDefault="001908A2" w:rsidP="001908A2">
      <w:pPr>
        <w:pStyle w:val="SingleTxtGA"/>
        <w:rPr>
          <w:rFonts w:hint="cs"/>
          <w:rtl/>
        </w:rPr>
      </w:pPr>
      <w:r w:rsidRPr="0055475B">
        <w:rPr>
          <w:rFonts w:hint="cs"/>
          <w:rtl/>
        </w:rPr>
        <w:tab/>
      </w:r>
      <w:r w:rsidRPr="0055475B">
        <w:rPr>
          <w:i/>
          <w:iCs/>
          <w:rtl/>
        </w:rPr>
        <w:t xml:space="preserve">وإذ يشير </w:t>
      </w:r>
      <w:r w:rsidRPr="0055475B">
        <w:rPr>
          <w:rtl/>
        </w:rPr>
        <w:t xml:space="preserve">إلى </w:t>
      </w:r>
      <w:r w:rsidRPr="0055475B">
        <w:rPr>
          <w:rFonts w:hint="cs"/>
          <w:rtl/>
        </w:rPr>
        <w:t xml:space="preserve">الأحكام ذات الصلة من </w:t>
      </w:r>
      <w:r w:rsidRPr="0055475B">
        <w:rPr>
          <w:rtl/>
        </w:rPr>
        <w:t xml:space="preserve">الإعلانات والبرامج </w:t>
      </w:r>
      <w:r w:rsidRPr="0055475B">
        <w:rPr>
          <w:rFonts w:hint="cs"/>
          <w:rtl/>
        </w:rPr>
        <w:t>بشأن إمكانية الحصول</w:t>
      </w:r>
      <w:r w:rsidRPr="0055475B">
        <w:rPr>
          <w:rtl/>
        </w:rPr>
        <w:t xml:space="preserve"> </w:t>
      </w:r>
      <w:r w:rsidRPr="0055475B">
        <w:rPr>
          <w:rFonts w:hint="cs"/>
          <w:rtl/>
        </w:rPr>
        <w:t xml:space="preserve">على </w:t>
      </w:r>
      <w:r w:rsidRPr="0055475B">
        <w:rPr>
          <w:rtl/>
        </w:rPr>
        <w:t>مياه الشرب المأمونة وخدمات الصرف الصحي</w:t>
      </w:r>
      <w:r w:rsidRPr="0055475B">
        <w:rPr>
          <w:rFonts w:hint="cs"/>
          <w:rtl/>
        </w:rPr>
        <w:t>،</w:t>
      </w:r>
      <w:r w:rsidRPr="0055475B">
        <w:rPr>
          <w:rtl/>
        </w:rPr>
        <w:t xml:space="preserve"> </w:t>
      </w:r>
      <w:r w:rsidRPr="0055475B">
        <w:rPr>
          <w:rFonts w:hint="cs"/>
          <w:rtl/>
        </w:rPr>
        <w:t>التي اعتمدتها المؤتمرات الرئيسية ومؤتمرات القمة التي تعقدها الأمم المتحدة والدورات الاستثنائية ل</w:t>
      </w:r>
      <w:r w:rsidRPr="0055475B">
        <w:rPr>
          <w:rtl/>
        </w:rPr>
        <w:t xml:space="preserve">لجمعية العامة </w:t>
      </w:r>
      <w:r w:rsidRPr="0055475B">
        <w:rPr>
          <w:rFonts w:hint="cs"/>
          <w:rtl/>
        </w:rPr>
        <w:t>و</w:t>
      </w:r>
      <w:r w:rsidRPr="0055475B">
        <w:rPr>
          <w:rtl/>
        </w:rPr>
        <w:t>أثناء اجتماعات المتابعة</w:t>
      </w:r>
      <w:r w:rsidRPr="0055475B">
        <w:rPr>
          <w:rFonts w:hint="cs"/>
          <w:rtl/>
        </w:rPr>
        <w:t>، بما في ذلك قرار الجمعية العامة 66/288 المؤرخ 27 تموز/يوليه 2012 الذي اعتمدت فيه الجمعية الوثيقة الختامية لمؤتمر الأمم المتحدة للتنمية المستدامة المعنونة "المستقبل الذي نصبو إليه"،</w:t>
      </w:r>
    </w:p>
    <w:p w:rsidR="001908A2" w:rsidRPr="0055475B" w:rsidRDefault="001908A2" w:rsidP="001908A2">
      <w:pPr>
        <w:pStyle w:val="SingleTxtGA"/>
        <w:rPr>
          <w:rFonts w:hint="cs"/>
          <w:rtl/>
        </w:rPr>
      </w:pPr>
      <w:r w:rsidRPr="0055475B">
        <w:rPr>
          <w:rFonts w:hint="cs"/>
          <w:i/>
          <w:iCs/>
          <w:rtl/>
        </w:rPr>
        <w:tab/>
        <w:t>وإذ يشير أيض</w:t>
      </w:r>
      <w:r>
        <w:rPr>
          <w:rFonts w:hint="cs"/>
          <w:i/>
          <w:iCs/>
          <w:rtl/>
        </w:rPr>
        <w:t xml:space="preserve">اً </w:t>
      </w:r>
      <w:r w:rsidRPr="0055475B">
        <w:rPr>
          <w:rFonts w:hint="cs"/>
          <w:rtl/>
        </w:rPr>
        <w:t>إلى قرار الجمعية العامة 65/154 المؤرخ 20 كانون الأول/</w:t>
      </w:r>
      <w:r>
        <w:rPr>
          <w:rFonts w:hint="cs"/>
          <w:rtl/>
        </w:rPr>
        <w:t xml:space="preserve"> ديسمبر</w:t>
      </w:r>
      <w:r>
        <w:rPr>
          <w:rFonts w:hint="eastAsia"/>
          <w:rtl/>
        </w:rPr>
        <w:t> </w:t>
      </w:r>
      <w:r w:rsidR="002773B8">
        <w:rPr>
          <w:rFonts w:hint="cs"/>
          <w:rtl/>
        </w:rPr>
        <w:t xml:space="preserve">2010 </w:t>
      </w:r>
      <w:r w:rsidRPr="0055475B">
        <w:rPr>
          <w:rFonts w:hint="cs"/>
          <w:rtl/>
        </w:rPr>
        <w:t>الذي يحدد عام 2013 باعتباره السنة الدولية للتعاون في مجال المياه، وإلى الأهمية البالغة لتعزيز التعاون الدولي في سبيل تحقيق الإعمال التدريجي لحق جميع البشر في الحصول على مياه الشرب النقية وخدمات الصرف الصحي،</w:t>
      </w:r>
    </w:p>
    <w:p w:rsidR="001908A2" w:rsidRPr="0055475B" w:rsidRDefault="001908A2" w:rsidP="001908A2">
      <w:pPr>
        <w:pStyle w:val="SingleTxtGA"/>
        <w:rPr>
          <w:rFonts w:hint="cs"/>
          <w:rtl/>
        </w:rPr>
      </w:pPr>
      <w:r w:rsidRPr="0055475B">
        <w:rPr>
          <w:rFonts w:hint="cs"/>
          <w:rtl/>
        </w:rPr>
        <w:tab/>
      </w:r>
      <w:r w:rsidRPr="0055475B">
        <w:rPr>
          <w:rFonts w:hint="cs"/>
          <w:i/>
          <w:iCs/>
          <w:rtl/>
        </w:rPr>
        <w:t>وإذ يرحب</w:t>
      </w:r>
      <w:r w:rsidRPr="0055475B">
        <w:rPr>
          <w:rFonts w:hint="cs"/>
          <w:rtl/>
        </w:rPr>
        <w:t xml:space="preserve"> بإعلان 19 تشرين الثاني/نوفمبر يوم</w:t>
      </w:r>
      <w:r>
        <w:rPr>
          <w:rFonts w:hint="cs"/>
          <w:rtl/>
        </w:rPr>
        <w:t xml:space="preserve">اً </w:t>
      </w:r>
      <w:r w:rsidRPr="0055475B">
        <w:rPr>
          <w:rFonts w:hint="cs"/>
          <w:rtl/>
        </w:rPr>
        <w:t>عالمي</w:t>
      </w:r>
      <w:r>
        <w:rPr>
          <w:rFonts w:hint="cs"/>
          <w:rtl/>
        </w:rPr>
        <w:t xml:space="preserve">اً </w:t>
      </w:r>
      <w:r w:rsidRPr="0055475B">
        <w:rPr>
          <w:rFonts w:hint="cs"/>
          <w:rtl/>
        </w:rPr>
        <w:t>لدورات المياه في سياق توفير مرافق الصرف الصحي للجميع، عمل</w:t>
      </w:r>
      <w:r>
        <w:rPr>
          <w:rFonts w:hint="cs"/>
          <w:rtl/>
        </w:rPr>
        <w:t xml:space="preserve">اً </w:t>
      </w:r>
      <w:r w:rsidRPr="0055475B">
        <w:rPr>
          <w:rFonts w:hint="cs"/>
          <w:rtl/>
        </w:rPr>
        <w:t>بقرار الجمعية العامة 67/291 المؤرخ 24 تموز/</w:t>
      </w:r>
      <w:r>
        <w:rPr>
          <w:rFonts w:hint="cs"/>
          <w:rtl/>
        </w:rPr>
        <w:t xml:space="preserve"> يوليه</w:t>
      </w:r>
      <w:r>
        <w:rPr>
          <w:rFonts w:hint="eastAsia"/>
          <w:rtl/>
        </w:rPr>
        <w:t> </w:t>
      </w:r>
      <w:r w:rsidRPr="0055475B">
        <w:rPr>
          <w:rFonts w:hint="cs"/>
          <w:rtl/>
        </w:rPr>
        <w:t>2013،</w:t>
      </w:r>
    </w:p>
    <w:p w:rsidR="001908A2" w:rsidRPr="0055475B" w:rsidRDefault="001908A2" w:rsidP="001908A2">
      <w:pPr>
        <w:pStyle w:val="SingleTxtGA"/>
        <w:rPr>
          <w:rFonts w:hint="cs"/>
          <w:rtl/>
        </w:rPr>
      </w:pPr>
      <w:r w:rsidRPr="0055475B">
        <w:rPr>
          <w:rFonts w:hint="cs"/>
          <w:rtl/>
        </w:rPr>
        <w:tab/>
      </w:r>
      <w:r w:rsidRPr="0055475B">
        <w:rPr>
          <w:rFonts w:hint="cs"/>
          <w:i/>
          <w:iCs/>
          <w:rtl/>
        </w:rPr>
        <w:t>وإذ يشير</w:t>
      </w:r>
      <w:r w:rsidRPr="0055475B">
        <w:rPr>
          <w:rFonts w:hint="cs"/>
          <w:rtl/>
        </w:rPr>
        <w:t xml:space="preserve"> إلى قرار الجمعية العامة 65/1 المؤرخ 22 أيلول/سبتمبر 2010 بشأن متابعة نتائج مؤتمر قمة الألفية، حيث تعهد رؤساء الدول والحكومات بجملة أمور من بينه</w:t>
      </w:r>
      <w:r>
        <w:rPr>
          <w:rFonts w:hint="cs"/>
          <w:rtl/>
        </w:rPr>
        <w:t xml:space="preserve">ا </w:t>
      </w:r>
      <w:r w:rsidRPr="0055475B">
        <w:rPr>
          <w:rFonts w:hint="cs"/>
          <w:rtl/>
        </w:rPr>
        <w:t>التعجيل بإحراز التقدم من أجل تحقيق الهدف 7 من الأهداف الإنمائية للألفية، بطرق من بينه</w:t>
      </w:r>
      <w:r>
        <w:rPr>
          <w:rFonts w:hint="cs"/>
          <w:rtl/>
        </w:rPr>
        <w:t xml:space="preserve">ا </w:t>
      </w:r>
      <w:r w:rsidRPr="0055475B">
        <w:rPr>
          <w:rFonts w:hint="cs"/>
          <w:rtl/>
        </w:rPr>
        <w:t>مضاعفة الجهود الرامية إلى سد الفجوة في خدمات الصرف الصحي من خلال توسيع نطاق الإجراءات المتخذة على مستوى القاعدة؛ وقرار الجمعية العامة 65/153 المؤرخ 20 كانون الأول/ديسمبر 2010 بشأن مت</w:t>
      </w:r>
      <w:r>
        <w:rPr>
          <w:rFonts w:hint="cs"/>
          <w:rtl/>
        </w:rPr>
        <w:t>ابعة السنة الدولية للصرف الصحي،</w:t>
      </w:r>
    </w:p>
    <w:p w:rsidR="001908A2" w:rsidRPr="0055475B" w:rsidRDefault="001908A2" w:rsidP="001908A2">
      <w:pPr>
        <w:pStyle w:val="SingleTxtGA"/>
        <w:rPr>
          <w:rFonts w:hint="cs"/>
          <w:rtl/>
        </w:rPr>
      </w:pPr>
      <w:r w:rsidRPr="0055475B">
        <w:rPr>
          <w:rFonts w:hint="cs"/>
          <w:rtl/>
        </w:rPr>
        <w:tab/>
      </w:r>
      <w:r w:rsidRPr="0055475B">
        <w:rPr>
          <w:i/>
          <w:iCs/>
          <w:rtl/>
        </w:rPr>
        <w:t>وإذ يضع في اعتباره</w:t>
      </w:r>
      <w:r w:rsidRPr="0055475B">
        <w:rPr>
          <w:rtl/>
        </w:rPr>
        <w:t xml:space="preserve"> </w:t>
      </w:r>
      <w:r w:rsidRPr="0055475B">
        <w:rPr>
          <w:rFonts w:hint="cs"/>
          <w:rtl/>
        </w:rPr>
        <w:t>ال</w:t>
      </w:r>
      <w:r w:rsidRPr="0055475B">
        <w:rPr>
          <w:rtl/>
        </w:rPr>
        <w:t xml:space="preserve">التزامات </w:t>
      </w:r>
      <w:r w:rsidRPr="0055475B">
        <w:rPr>
          <w:rFonts w:hint="cs"/>
          <w:rtl/>
        </w:rPr>
        <w:t>التي تعهد به</w:t>
      </w:r>
      <w:r>
        <w:rPr>
          <w:rFonts w:hint="cs"/>
          <w:rtl/>
        </w:rPr>
        <w:t xml:space="preserve">ا </w:t>
      </w:r>
      <w:r w:rsidRPr="0055475B">
        <w:rPr>
          <w:rtl/>
        </w:rPr>
        <w:t xml:space="preserve">المجتمع الدولي </w:t>
      </w:r>
      <w:r w:rsidRPr="0055475B">
        <w:rPr>
          <w:rFonts w:hint="cs"/>
          <w:rtl/>
        </w:rPr>
        <w:t xml:space="preserve">بشأن </w:t>
      </w:r>
      <w:r w:rsidRPr="0055475B">
        <w:rPr>
          <w:rtl/>
        </w:rPr>
        <w:t>تحقيق الأهداف الإنمائية للألفية كاملةً، وإذ يشدد في هذ</w:t>
      </w:r>
      <w:r>
        <w:rPr>
          <w:rtl/>
        </w:rPr>
        <w:t xml:space="preserve">ا </w:t>
      </w:r>
      <w:r w:rsidRPr="0055475B">
        <w:rPr>
          <w:rtl/>
        </w:rPr>
        <w:t>السياق على عزم رؤساء الدول والحكومات، حسب م</w:t>
      </w:r>
      <w:r>
        <w:rPr>
          <w:rtl/>
        </w:rPr>
        <w:t xml:space="preserve">ا </w:t>
      </w:r>
      <w:r w:rsidRPr="0055475B">
        <w:rPr>
          <w:rtl/>
        </w:rPr>
        <w:t xml:space="preserve">أُعرب عنه في إعلان الأمم المتحدة </w:t>
      </w:r>
      <w:r w:rsidRPr="0055475B">
        <w:rPr>
          <w:rFonts w:hint="cs"/>
          <w:rtl/>
        </w:rPr>
        <w:t>لل</w:t>
      </w:r>
      <w:r w:rsidRPr="0055475B">
        <w:rPr>
          <w:rtl/>
        </w:rPr>
        <w:t>ألفية، على أن يخفضو</w:t>
      </w:r>
      <w:r>
        <w:rPr>
          <w:rtl/>
        </w:rPr>
        <w:t xml:space="preserve">ا </w:t>
      </w:r>
      <w:r w:rsidRPr="0055475B">
        <w:rPr>
          <w:rtl/>
        </w:rPr>
        <w:t>إلى النصف بحلول عام</w:t>
      </w:r>
      <w:r>
        <w:rPr>
          <w:rFonts w:hint="cs"/>
          <w:rtl/>
        </w:rPr>
        <w:t> </w:t>
      </w:r>
      <w:r w:rsidRPr="0055475B">
        <w:rPr>
          <w:rtl/>
        </w:rPr>
        <w:t>2015</w:t>
      </w:r>
      <w:r w:rsidRPr="0055475B">
        <w:rPr>
          <w:rFonts w:hint="cs"/>
          <w:rtl/>
        </w:rPr>
        <w:t xml:space="preserve"> </w:t>
      </w:r>
      <w:r w:rsidRPr="0055475B">
        <w:rPr>
          <w:rtl/>
        </w:rPr>
        <w:t>نسبة السكان الذين ل</w:t>
      </w:r>
      <w:r>
        <w:rPr>
          <w:rtl/>
        </w:rPr>
        <w:t xml:space="preserve">ا </w:t>
      </w:r>
      <w:r w:rsidRPr="0055475B">
        <w:rPr>
          <w:rtl/>
        </w:rPr>
        <w:t>يستطيعون الحصول على مياه الشرب المأمونة أو تحمل كلفتها، وأن يخفضو</w:t>
      </w:r>
      <w:r>
        <w:rPr>
          <w:rtl/>
        </w:rPr>
        <w:t xml:space="preserve">ا </w:t>
      </w:r>
      <w:r w:rsidRPr="0055475B">
        <w:rPr>
          <w:rtl/>
        </w:rPr>
        <w:t xml:space="preserve">إلى النصف نسبة الأشخاص الذين لا يمكنهم </w:t>
      </w:r>
      <w:r w:rsidRPr="0055475B">
        <w:rPr>
          <w:rFonts w:hint="cs"/>
          <w:rtl/>
        </w:rPr>
        <w:t xml:space="preserve">الحصول على </w:t>
      </w:r>
      <w:r w:rsidRPr="0055475B">
        <w:rPr>
          <w:rtl/>
        </w:rPr>
        <w:t xml:space="preserve">خدمات الصرف الصحي الأساسية، </w:t>
      </w:r>
      <w:r w:rsidRPr="0055475B">
        <w:rPr>
          <w:rFonts w:hint="cs"/>
          <w:rtl/>
        </w:rPr>
        <w:t>على النحو ال</w:t>
      </w:r>
      <w:r w:rsidRPr="0055475B">
        <w:rPr>
          <w:rtl/>
        </w:rPr>
        <w:t xml:space="preserve">متفق عليه في خطة تنفيذ نتائج مؤتمر القمة العالمي للتنمية المستدامة ("خطة جوهانسبرغ التنفيذية") والوثيقة الختامية </w:t>
      </w:r>
      <w:r w:rsidRPr="0055475B">
        <w:rPr>
          <w:rFonts w:hint="cs"/>
          <w:rtl/>
        </w:rPr>
        <w:t>ل</w:t>
      </w:r>
      <w:r w:rsidRPr="0055475B">
        <w:rPr>
          <w:rtl/>
        </w:rPr>
        <w:t>لاجتماع العام الرفيع المستوى للجمعية العامة بشأن الأهداف الإنمائية للألفية المعنونة "الوفاء بالوعد: مت</w:t>
      </w:r>
      <w:r>
        <w:rPr>
          <w:rFonts w:hint="cs"/>
          <w:rtl/>
        </w:rPr>
        <w:t>ّ</w:t>
      </w:r>
      <w:r w:rsidRPr="0055475B">
        <w:rPr>
          <w:rtl/>
        </w:rPr>
        <w:t>حدون لتحقيق الأهداف الإنمائية للألفية"،</w:t>
      </w:r>
    </w:p>
    <w:p w:rsidR="001908A2" w:rsidRPr="007D7AD9" w:rsidRDefault="001908A2" w:rsidP="002773B8">
      <w:pPr>
        <w:pStyle w:val="SingleTxtGA"/>
        <w:rPr>
          <w:rFonts w:hint="cs"/>
          <w:rtl/>
        </w:rPr>
      </w:pPr>
      <w:r w:rsidRPr="007D7AD9">
        <w:rPr>
          <w:rFonts w:hint="cs"/>
          <w:rtl/>
        </w:rPr>
        <w:tab/>
      </w:r>
      <w:r w:rsidRPr="007D7AD9">
        <w:rPr>
          <w:i/>
          <w:iCs/>
          <w:rtl/>
        </w:rPr>
        <w:t xml:space="preserve">وإذ </w:t>
      </w:r>
      <w:r w:rsidR="002773B8">
        <w:rPr>
          <w:rFonts w:hint="cs"/>
          <w:i/>
          <w:iCs/>
          <w:rtl/>
        </w:rPr>
        <w:t>يحيط</w:t>
      </w:r>
      <w:r w:rsidR="00AB597B">
        <w:rPr>
          <w:rFonts w:hint="cs"/>
          <w:i/>
          <w:iCs/>
          <w:rtl/>
        </w:rPr>
        <w:t xml:space="preserve"> علماً</w:t>
      </w:r>
      <w:r w:rsidR="002773B8">
        <w:rPr>
          <w:rFonts w:hint="cs"/>
          <w:i/>
          <w:iCs/>
          <w:rtl/>
        </w:rPr>
        <w:t xml:space="preserve"> </w:t>
      </w:r>
      <w:r w:rsidR="002773B8">
        <w:rPr>
          <w:rFonts w:hint="cs"/>
          <w:rtl/>
        </w:rPr>
        <w:t>ب</w:t>
      </w:r>
      <w:r w:rsidRPr="007D7AD9">
        <w:rPr>
          <w:rtl/>
        </w:rPr>
        <w:t>الالتزامات والمبادرات ذات الصلة الرامية إلى تعزيز حق الإنسان في الحصول على مياه الشرب المأمونة وخدمات الصرف الصحي، بما فيها إعلان أبوجا الذي اعتمده مؤتمر القمة الأول</w:t>
      </w:r>
      <w:r w:rsidRPr="007D7AD9">
        <w:rPr>
          <w:rFonts w:hint="cs"/>
          <w:rtl/>
        </w:rPr>
        <w:t xml:space="preserve"> المشترك بين</w:t>
      </w:r>
      <w:r w:rsidRPr="007D7AD9">
        <w:rPr>
          <w:rtl/>
        </w:rPr>
        <w:t xml:space="preserve"> أفريقيا وأمريكا الجنوبية في عام 2006</w:t>
      </w:r>
      <w:r w:rsidRPr="007D7AD9">
        <w:rPr>
          <w:rFonts w:hint="cs"/>
          <w:rtl/>
        </w:rPr>
        <w:t xml:space="preserve">؛ </w:t>
      </w:r>
      <w:r w:rsidRPr="007D7AD9">
        <w:rPr>
          <w:rtl/>
        </w:rPr>
        <w:t xml:space="preserve">ووثيقة </w:t>
      </w:r>
      <w:r w:rsidR="002773B8">
        <w:rPr>
          <w:rFonts w:hint="cs"/>
          <w:rtl/>
        </w:rPr>
        <w:t xml:space="preserve">شرم الشيخ </w:t>
      </w:r>
      <w:r w:rsidRPr="007D7AD9">
        <w:rPr>
          <w:rtl/>
        </w:rPr>
        <w:t xml:space="preserve">الختامية التي اعتمدها مؤتمر القمة الخامس عشر لرؤساء دول وحكومات حركة </w:t>
      </w:r>
      <w:r w:rsidRPr="007D7AD9">
        <w:rPr>
          <w:rFonts w:hint="cs"/>
          <w:rtl/>
        </w:rPr>
        <w:t xml:space="preserve">بلدان </w:t>
      </w:r>
      <w:r w:rsidRPr="007D7AD9">
        <w:rPr>
          <w:rtl/>
        </w:rPr>
        <w:t>عدم الانحياز في عام 2009</w:t>
      </w:r>
      <w:r w:rsidRPr="007D7AD9">
        <w:rPr>
          <w:rFonts w:hint="cs"/>
          <w:rtl/>
        </w:rPr>
        <w:t>؛</w:t>
      </w:r>
      <w:r w:rsidRPr="007D7AD9">
        <w:rPr>
          <w:rtl/>
        </w:rPr>
        <w:t xml:space="preserve"> وإعلان كولومبو الذي اعتمد</w:t>
      </w:r>
      <w:r w:rsidRPr="007D7AD9">
        <w:rPr>
          <w:rFonts w:hint="cs"/>
          <w:rtl/>
        </w:rPr>
        <w:t xml:space="preserve">ه </w:t>
      </w:r>
      <w:r w:rsidRPr="007D7AD9">
        <w:rPr>
          <w:rtl/>
        </w:rPr>
        <w:t>المؤتمر الرابع لجنوب آسيا المتعلق بخدمات الصرف الصحي في عام 2011</w:t>
      </w:r>
      <w:r w:rsidRPr="007D7AD9">
        <w:rPr>
          <w:rFonts w:hint="cs"/>
          <w:rtl/>
        </w:rPr>
        <w:t xml:space="preserve">؛ وإعلان شيانغ ماي الذي اعتمده مؤتمر القمة الثاني </w:t>
      </w:r>
      <w:r w:rsidRPr="002773B8">
        <w:rPr>
          <w:rFonts w:hint="cs"/>
          <w:spacing w:val="-4"/>
          <w:rtl/>
        </w:rPr>
        <w:t>لمنطقة آسيا والمحيط الهادئ المتعلق بالمياه في عام 2013؛ وإعلان بنما الذي اعتمده المؤتمر الثالث لأمريكا اللاتينية ومنطقة البحر الكاريبي المتعلق بخدمات الصرف الصحي في عام</w:t>
      </w:r>
      <w:r w:rsidRPr="007D7AD9">
        <w:rPr>
          <w:rFonts w:hint="cs"/>
          <w:rtl/>
        </w:rPr>
        <w:t xml:space="preserve"> 2013، </w:t>
      </w:r>
    </w:p>
    <w:p w:rsidR="001908A2" w:rsidRPr="0055475B" w:rsidRDefault="001908A2" w:rsidP="00ED7E16">
      <w:pPr>
        <w:pStyle w:val="SingleTxtGA"/>
        <w:rPr>
          <w:rFonts w:hint="cs"/>
          <w:rtl/>
        </w:rPr>
      </w:pPr>
      <w:r w:rsidRPr="0055475B">
        <w:rPr>
          <w:rFonts w:hint="cs"/>
          <w:rtl/>
        </w:rPr>
        <w:tab/>
      </w:r>
      <w:r w:rsidRPr="0055475B">
        <w:rPr>
          <w:rFonts w:hint="cs"/>
          <w:i/>
          <w:iCs/>
          <w:rtl/>
        </w:rPr>
        <w:t>وإذ يشير</w:t>
      </w:r>
      <w:r w:rsidRPr="0055475B">
        <w:rPr>
          <w:rFonts w:hint="cs"/>
          <w:rtl/>
        </w:rPr>
        <w:t xml:space="preserve"> على وجه الخصوص إلى الفقرة 14 من قرار مجلس حقوق الإنسان 21/2 التي شجع فيها المجلس المقررة الخاصة المعنية بحق الإنسان في الحصول على مياه الشرب المأمونة وخدمات الصرف الصحي </w:t>
      </w:r>
      <w:r w:rsidRPr="0055475B">
        <w:rPr>
          <w:rtl/>
        </w:rPr>
        <w:t xml:space="preserve">على مواصلة </w:t>
      </w:r>
      <w:r w:rsidRPr="0055475B">
        <w:rPr>
          <w:rFonts w:hint="cs"/>
          <w:rtl/>
        </w:rPr>
        <w:t>الإسهام في ا</w:t>
      </w:r>
      <w:r w:rsidRPr="0055475B">
        <w:rPr>
          <w:rtl/>
        </w:rPr>
        <w:t>لمناقشات المتعلقة بخطة الأمم المتحدة للتنمية لما بعد عام 2015</w:t>
      </w:r>
      <w:r w:rsidRPr="0055475B">
        <w:rPr>
          <w:rFonts w:hint="cs"/>
          <w:rtl/>
        </w:rPr>
        <w:t>،</w:t>
      </w:r>
    </w:p>
    <w:p w:rsidR="001908A2" w:rsidRPr="00630C4E" w:rsidRDefault="001908A2" w:rsidP="00D66AFB">
      <w:pPr>
        <w:pStyle w:val="SingleTxtGA"/>
        <w:rPr>
          <w:rFonts w:hint="cs"/>
          <w:rtl/>
        </w:rPr>
      </w:pPr>
      <w:r w:rsidRPr="00630C4E">
        <w:rPr>
          <w:rFonts w:hint="cs"/>
          <w:i/>
          <w:iCs/>
          <w:rtl/>
        </w:rPr>
        <w:tab/>
      </w:r>
      <w:r w:rsidRPr="00630C4E">
        <w:rPr>
          <w:i/>
          <w:iCs/>
          <w:rtl/>
        </w:rPr>
        <w:t>وإذ يساوره بالغ القلق</w:t>
      </w:r>
      <w:r w:rsidRPr="00630C4E">
        <w:rPr>
          <w:rtl/>
        </w:rPr>
        <w:t xml:space="preserve"> لأن </w:t>
      </w:r>
      <w:r w:rsidRPr="00630C4E">
        <w:rPr>
          <w:rFonts w:hint="cs"/>
          <w:rtl/>
        </w:rPr>
        <w:t xml:space="preserve">حوالي 768 </w:t>
      </w:r>
      <w:r w:rsidRPr="00630C4E">
        <w:rPr>
          <w:rtl/>
        </w:rPr>
        <w:t xml:space="preserve">مليون شخص </w:t>
      </w:r>
      <w:r w:rsidRPr="00630C4E">
        <w:rPr>
          <w:rFonts w:hint="cs"/>
          <w:rtl/>
        </w:rPr>
        <w:t xml:space="preserve">لا يمكنهم حتى الآن الوصول إلى </w:t>
      </w:r>
      <w:r w:rsidRPr="00630C4E">
        <w:rPr>
          <w:rtl/>
        </w:rPr>
        <w:t>مصادر المياه المحسَّنة</w:t>
      </w:r>
      <w:r w:rsidRPr="00630C4E">
        <w:rPr>
          <w:rFonts w:hint="cs"/>
          <w:rtl/>
        </w:rPr>
        <w:t xml:space="preserve">، </w:t>
      </w:r>
      <w:r w:rsidRPr="00630C4E">
        <w:rPr>
          <w:rtl/>
        </w:rPr>
        <w:t xml:space="preserve">وأن أكثر من </w:t>
      </w:r>
      <w:r w:rsidRPr="00630C4E">
        <w:rPr>
          <w:rFonts w:hint="cs"/>
          <w:rtl/>
        </w:rPr>
        <w:t>2.5</w:t>
      </w:r>
      <w:r w:rsidRPr="00630C4E">
        <w:rPr>
          <w:rtl/>
        </w:rPr>
        <w:t xml:space="preserve"> مليار شخص لا يمكنهم </w:t>
      </w:r>
      <w:r w:rsidRPr="00630C4E">
        <w:rPr>
          <w:rFonts w:hint="cs"/>
          <w:rtl/>
        </w:rPr>
        <w:t xml:space="preserve">الحصول على </w:t>
      </w:r>
      <w:r w:rsidRPr="00630C4E">
        <w:rPr>
          <w:rtl/>
        </w:rPr>
        <w:t>خدمات الصرف الصحي المحسَّنة</w:t>
      </w:r>
      <w:r w:rsidRPr="00630C4E">
        <w:rPr>
          <w:rFonts w:hint="cs"/>
          <w:rtl/>
        </w:rPr>
        <w:t xml:space="preserve"> حسب تعريف </w:t>
      </w:r>
      <w:r w:rsidRPr="00630C4E">
        <w:rPr>
          <w:rtl/>
        </w:rPr>
        <w:t xml:space="preserve">منظمة الصحة العالمية ومنظمة الأمم المتحدة للطفولة في </w:t>
      </w:r>
      <w:r w:rsidRPr="00630C4E">
        <w:rPr>
          <w:rFonts w:hint="cs"/>
          <w:rtl/>
        </w:rPr>
        <w:t>تحديث عام 2013 ل</w:t>
      </w:r>
      <w:r w:rsidRPr="00630C4E">
        <w:rPr>
          <w:rtl/>
        </w:rPr>
        <w:t>تقرير برنامج الرصد المشترك، وإذ</w:t>
      </w:r>
      <w:r w:rsidRPr="00630C4E">
        <w:rPr>
          <w:rFonts w:hint="cs"/>
          <w:rtl/>
        </w:rPr>
        <w:t xml:space="preserve"> </w:t>
      </w:r>
      <w:r w:rsidRPr="00630C4E">
        <w:rPr>
          <w:rtl/>
        </w:rPr>
        <w:t xml:space="preserve">يساوره القلق </w:t>
      </w:r>
      <w:r w:rsidRPr="00630C4E">
        <w:rPr>
          <w:rFonts w:hint="cs"/>
          <w:rtl/>
        </w:rPr>
        <w:t xml:space="preserve">من أن </w:t>
      </w:r>
      <w:r w:rsidRPr="00630C4E">
        <w:rPr>
          <w:rtl/>
        </w:rPr>
        <w:t>هذه الأرقام لا</w:t>
      </w:r>
      <w:r>
        <w:rPr>
          <w:rFonts w:hint="cs"/>
          <w:rtl/>
        </w:rPr>
        <w:t> </w:t>
      </w:r>
      <w:r w:rsidRPr="00630C4E">
        <w:rPr>
          <w:rtl/>
        </w:rPr>
        <w:t xml:space="preserve">تعكس </w:t>
      </w:r>
      <w:r w:rsidRPr="00630C4E">
        <w:rPr>
          <w:rFonts w:hint="cs"/>
          <w:rtl/>
        </w:rPr>
        <w:t>بشكل كامل</w:t>
      </w:r>
      <w:r w:rsidRPr="00630C4E">
        <w:rPr>
          <w:rtl/>
        </w:rPr>
        <w:t xml:space="preserve"> </w:t>
      </w:r>
      <w:r w:rsidRPr="00630C4E">
        <w:rPr>
          <w:rFonts w:hint="cs"/>
          <w:rtl/>
        </w:rPr>
        <w:t xml:space="preserve">أبعاد </w:t>
      </w:r>
      <w:r w:rsidRPr="00630C4E">
        <w:rPr>
          <w:rtl/>
        </w:rPr>
        <w:t>سلامة المياه</w:t>
      </w:r>
      <w:r w:rsidRPr="00630C4E">
        <w:rPr>
          <w:rFonts w:hint="cs"/>
          <w:rtl/>
        </w:rPr>
        <w:t>،</w:t>
      </w:r>
      <w:r w:rsidRPr="00630C4E">
        <w:rPr>
          <w:rtl/>
        </w:rPr>
        <w:t xml:space="preserve"> و</w:t>
      </w:r>
      <w:r w:rsidRPr="00630C4E">
        <w:rPr>
          <w:rFonts w:hint="cs"/>
          <w:rtl/>
        </w:rPr>
        <w:t xml:space="preserve">القدرة على تحمل تكاليف الخدمات، والمعالجة المأمونة للفضلات ومياه الصرف الصحي، وكذلك أبعاد </w:t>
      </w:r>
      <w:r w:rsidRPr="00630C4E">
        <w:rPr>
          <w:rtl/>
        </w:rPr>
        <w:t>المساواة وعدم التمييز</w:t>
      </w:r>
      <w:r w:rsidRPr="00630C4E">
        <w:rPr>
          <w:rFonts w:hint="cs"/>
          <w:rtl/>
        </w:rPr>
        <w:t>،</w:t>
      </w:r>
      <w:r w:rsidRPr="00630C4E">
        <w:rPr>
          <w:rtl/>
        </w:rPr>
        <w:t xml:space="preserve"> ومن ثم </w:t>
      </w:r>
      <w:r w:rsidR="00ED7E16">
        <w:rPr>
          <w:rFonts w:hint="cs"/>
          <w:rtl/>
        </w:rPr>
        <w:t xml:space="preserve">فإنها تقلّل </w:t>
      </w:r>
      <w:r w:rsidRPr="00630C4E">
        <w:rPr>
          <w:rFonts w:hint="cs"/>
          <w:rtl/>
        </w:rPr>
        <w:t xml:space="preserve">تقدير </w:t>
      </w:r>
      <w:r w:rsidRPr="00630C4E">
        <w:rPr>
          <w:rtl/>
        </w:rPr>
        <w:t>أعداد أولئك الذين لا</w:t>
      </w:r>
      <w:r w:rsidRPr="00630C4E">
        <w:rPr>
          <w:rFonts w:hint="cs"/>
          <w:rtl/>
        </w:rPr>
        <w:t xml:space="preserve"> </w:t>
      </w:r>
      <w:r w:rsidRPr="00630C4E">
        <w:rPr>
          <w:rtl/>
        </w:rPr>
        <w:t xml:space="preserve">يمكنهم </w:t>
      </w:r>
      <w:r w:rsidRPr="00630C4E">
        <w:rPr>
          <w:rFonts w:hint="cs"/>
          <w:rtl/>
        </w:rPr>
        <w:t xml:space="preserve">الحصول على </w:t>
      </w:r>
      <w:r w:rsidRPr="00630C4E">
        <w:rPr>
          <w:rtl/>
        </w:rPr>
        <w:t xml:space="preserve">مياه الشرب المأمونة وخدمات الصرف الصحي، وإذ </w:t>
      </w:r>
      <w:r w:rsidRPr="00630C4E">
        <w:rPr>
          <w:rFonts w:hint="cs"/>
          <w:rtl/>
        </w:rPr>
        <w:t xml:space="preserve">يثير جزعه </w:t>
      </w:r>
      <w:r w:rsidRPr="00630C4E">
        <w:rPr>
          <w:rtl/>
        </w:rPr>
        <w:t>أن نحو</w:t>
      </w:r>
      <w:r w:rsidRPr="00630C4E">
        <w:rPr>
          <w:rFonts w:hint="cs"/>
          <w:rtl/>
        </w:rPr>
        <w:t xml:space="preserve"> </w:t>
      </w:r>
      <w:r w:rsidRPr="00630C4E">
        <w:rPr>
          <w:rtl/>
        </w:rPr>
        <w:t>1.5 مليون طفل دون سن الخامسة يموتون و443 مليون يوم من الأيام الدراسية تذهب سُدى كل عام نتيجة للأمراض المتصلة بالمياه والصرف الصحي</w:t>
      </w:r>
      <w:r w:rsidRPr="00630C4E">
        <w:rPr>
          <w:rFonts w:hint="cs"/>
          <w:rtl/>
        </w:rPr>
        <w:t>،</w:t>
      </w:r>
    </w:p>
    <w:p w:rsidR="001908A2" w:rsidRPr="0055475B" w:rsidRDefault="001908A2" w:rsidP="00C5073B">
      <w:pPr>
        <w:pStyle w:val="SingleTxtGA"/>
        <w:rPr>
          <w:rFonts w:hint="cs"/>
          <w:rtl/>
        </w:rPr>
      </w:pPr>
      <w:r w:rsidRPr="0055475B">
        <w:rPr>
          <w:rFonts w:hint="cs"/>
          <w:rtl/>
        </w:rPr>
        <w:tab/>
      </w:r>
      <w:r w:rsidRPr="0055475B">
        <w:rPr>
          <w:rFonts w:hint="cs"/>
          <w:i/>
          <w:iCs/>
          <w:rtl/>
        </w:rPr>
        <w:t>وإذ يؤكد مجدد</w:t>
      </w:r>
      <w:r>
        <w:rPr>
          <w:rFonts w:hint="cs"/>
          <w:i/>
          <w:iCs/>
          <w:rtl/>
        </w:rPr>
        <w:t xml:space="preserve">اً </w:t>
      </w:r>
      <w:r w:rsidRPr="0055475B">
        <w:rPr>
          <w:rFonts w:hint="cs"/>
          <w:rtl/>
        </w:rPr>
        <w:t>أهمية البرامج والسياسات الوطنية في ضمان الإعمال التدريجي لحق الإنسان في الحصول على مياه الشرب المأمونة وخدمات الصرف الصحي،</w:t>
      </w:r>
    </w:p>
    <w:p w:rsidR="001908A2" w:rsidRPr="0055475B" w:rsidRDefault="001908A2" w:rsidP="00623760">
      <w:pPr>
        <w:pStyle w:val="SingleTxtGA"/>
        <w:rPr>
          <w:rFonts w:hint="cs"/>
          <w:rtl/>
        </w:rPr>
      </w:pPr>
      <w:r w:rsidRPr="0055475B">
        <w:rPr>
          <w:rFonts w:hint="cs"/>
          <w:rtl/>
        </w:rPr>
        <w:tab/>
      </w:r>
      <w:r w:rsidRPr="0055475B">
        <w:rPr>
          <w:rFonts w:hint="cs"/>
          <w:i/>
          <w:iCs/>
          <w:rtl/>
        </w:rPr>
        <w:t>وإذ يؤكد</w:t>
      </w:r>
      <w:r w:rsidRPr="0055475B">
        <w:rPr>
          <w:rFonts w:hint="cs"/>
          <w:rtl/>
        </w:rPr>
        <w:t xml:space="preserve"> أهمية التعاون التقني الإقليمي والدولي، حسب الاقتضاء، كوسيلة لتعزيز الإعمال التدريجي لحق الإنسان في الحصول على مياه الشرب المأمونة وخدمات الصرف الصحي، من دون أي مساس بالمسائل المتعلقة </w:t>
      </w:r>
      <w:r w:rsidR="00C5073B">
        <w:rPr>
          <w:rFonts w:hint="cs"/>
          <w:rtl/>
        </w:rPr>
        <w:t xml:space="preserve">بقانون المياه الدولي، بما في ذلك قانون </w:t>
      </w:r>
      <w:r w:rsidRPr="0055475B">
        <w:rPr>
          <w:rFonts w:hint="cs"/>
          <w:rtl/>
        </w:rPr>
        <w:t xml:space="preserve">المجاري المائية الدولية، </w:t>
      </w:r>
    </w:p>
    <w:p w:rsidR="001908A2" w:rsidRPr="0055475B" w:rsidRDefault="001908A2" w:rsidP="00623760">
      <w:pPr>
        <w:pStyle w:val="SingleTxtGA"/>
        <w:rPr>
          <w:rFonts w:hint="cs"/>
          <w:rtl/>
        </w:rPr>
      </w:pPr>
      <w:r w:rsidRPr="0055475B">
        <w:rPr>
          <w:rFonts w:hint="cs"/>
          <w:rtl/>
        </w:rPr>
        <w:tab/>
      </w:r>
      <w:r w:rsidRPr="0055475B">
        <w:rPr>
          <w:rFonts w:hint="cs"/>
          <w:i/>
          <w:iCs/>
          <w:rtl/>
        </w:rPr>
        <w:t>وإذ يسلم</w:t>
      </w:r>
      <w:r w:rsidRPr="0055475B">
        <w:rPr>
          <w:rFonts w:hint="cs"/>
          <w:rtl/>
        </w:rPr>
        <w:t xml:space="preserve"> بأن حق الإنسان في الحصول على مياه الشرب المأمونة وخدمات الصرف الصحي يكفل للجميع، دون تمييز، إمكانية الحصول على قدر كاف ومأمون ومقبول وممكن ماديا</w:t>
      </w:r>
      <w:r>
        <w:rPr>
          <w:rFonts w:hint="cs"/>
          <w:rtl/>
        </w:rPr>
        <w:t>ً</w:t>
      </w:r>
      <w:r w:rsidRPr="0055475B">
        <w:rPr>
          <w:rFonts w:hint="cs"/>
          <w:rtl/>
        </w:rPr>
        <w:t xml:space="preserve"> وميسور التكلفة من المياه للاستعمال الشخصي والمنزلي، وإمكانية الحصول المادي ميسور التكلفة، في كل ميادين الحياة، على خدمات الصرف الصحي الآمنة والصحية والمأمونة والمقبولة والتي توفر الخصوصية وتضمن الكرامة، </w:t>
      </w:r>
    </w:p>
    <w:p w:rsidR="001908A2" w:rsidRPr="0047602E" w:rsidRDefault="001908A2" w:rsidP="001406CD">
      <w:pPr>
        <w:pStyle w:val="SingleTxtGA"/>
        <w:rPr>
          <w:rFonts w:hint="cs"/>
          <w:rtl/>
        </w:rPr>
      </w:pPr>
      <w:r w:rsidRPr="0047602E">
        <w:rPr>
          <w:rFonts w:hint="cs"/>
          <w:rtl/>
        </w:rPr>
        <w:tab/>
      </w:r>
      <w:r w:rsidRPr="0047602E">
        <w:rPr>
          <w:rFonts w:hint="cs"/>
          <w:i/>
          <w:iCs/>
          <w:rtl/>
        </w:rPr>
        <w:t>وإذ يشير</w:t>
      </w:r>
      <w:r w:rsidRPr="0047602E">
        <w:rPr>
          <w:rFonts w:hint="cs"/>
          <w:rtl/>
        </w:rPr>
        <w:t xml:space="preserve"> إلى قراري مجلس حقوق الإنسان 5/1 </w:t>
      </w:r>
      <w:r w:rsidR="00623760">
        <w:rPr>
          <w:rFonts w:hint="cs"/>
          <w:rtl/>
        </w:rPr>
        <w:t xml:space="preserve">بشأن بناء مؤسسات المجلس، و5/2 بشأن قواعد سلوك المكلفين بولايات في إطار الإجراءات الخاصة للمجلس، المؤرخين </w:t>
      </w:r>
      <w:r w:rsidR="00A82253">
        <w:rPr>
          <w:rFonts w:hint="cs"/>
          <w:rtl/>
        </w:rPr>
        <w:t xml:space="preserve">18 حزيران/يونيه 2007، وإذ يؤكد أن على المكلف بولاية أن </w:t>
      </w:r>
      <w:r w:rsidR="001406CD">
        <w:rPr>
          <w:rFonts w:hint="cs"/>
          <w:rtl/>
        </w:rPr>
        <w:t>يؤدي واجباته طبقاً لهذين القرار</w:t>
      </w:r>
      <w:r w:rsidR="00A82253">
        <w:rPr>
          <w:rFonts w:hint="cs"/>
          <w:rtl/>
        </w:rPr>
        <w:t>ين ومرفقاتهما</w:t>
      </w:r>
      <w:r w:rsidRPr="0047602E">
        <w:rPr>
          <w:rFonts w:hint="cs"/>
          <w:rtl/>
        </w:rPr>
        <w:t>،</w:t>
      </w:r>
      <w:r w:rsidR="001406CD">
        <w:rPr>
          <w:rFonts w:hint="cs"/>
          <w:rtl/>
        </w:rPr>
        <w:t xml:space="preserve"> </w:t>
      </w:r>
    </w:p>
    <w:p w:rsidR="001908A2" w:rsidRPr="0055475B" w:rsidRDefault="001908A2" w:rsidP="001406CD">
      <w:pPr>
        <w:pStyle w:val="SingleTxtGA"/>
        <w:rPr>
          <w:rFonts w:hint="cs"/>
          <w:rtl/>
        </w:rPr>
      </w:pPr>
      <w:r w:rsidRPr="0055475B">
        <w:rPr>
          <w:rFonts w:hint="cs"/>
          <w:rtl/>
        </w:rPr>
        <w:tab/>
        <w:t>1-</w:t>
      </w:r>
      <w:r>
        <w:rPr>
          <w:rFonts w:hint="cs"/>
          <w:rtl/>
        </w:rPr>
        <w:tab/>
      </w:r>
      <w:r w:rsidRPr="0055475B">
        <w:rPr>
          <w:rFonts w:hint="cs"/>
          <w:i/>
          <w:iCs/>
          <w:rtl/>
        </w:rPr>
        <w:t>يرحب</w:t>
      </w:r>
      <w:r w:rsidRPr="0055475B">
        <w:rPr>
          <w:rFonts w:hint="cs"/>
          <w:rtl/>
        </w:rPr>
        <w:t xml:space="preserve"> </w:t>
      </w:r>
      <w:r w:rsidRPr="0055475B">
        <w:rPr>
          <w:rtl/>
        </w:rPr>
        <w:t>باعتراف الجمعية العامة ومجلس حقوق الإنسان بحق الإنسان في الحصول على مياه الشرب المأمونة وخدمات الصرف الصحي، وبتأكيد المجلس مجدد</w:t>
      </w:r>
      <w:r>
        <w:rPr>
          <w:rtl/>
        </w:rPr>
        <w:t xml:space="preserve">اً </w:t>
      </w:r>
      <w:r w:rsidRPr="0055475B">
        <w:rPr>
          <w:rFonts w:hint="cs"/>
          <w:rtl/>
        </w:rPr>
        <w:t xml:space="preserve">على </w:t>
      </w:r>
      <w:r w:rsidRPr="0055475B">
        <w:rPr>
          <w:rtl/>
        </w:rPr>
        <w:t>أن حق الإنسان في الحصول على مياه الشرب المأمونة وخدمات الصرف الصحي مستمد من الحق في مستوى معيشي لائق ويرتبط ارتباط</w:t>
      </w:r>
      <w:r>
        <w:rPr>
          <w:rtl/>
        </w:rPr>
        <w:t xml:space="preserve">اً </w:t>
      </w:r>
      <w:r w:rsidRPr="0055475B">
        <w:rPr>
          <w:rtl/>
        </w:rPr>
        <w:t>وثيق</w:t>
      </w:r>
      <w:r>
        <w:rPr>
          <w:rtl/>
        </w:rPr>
        <w:t xml:space="preserve">اً </w:t>
      </w:r>
      <w:r w:rsidRPr="0055475B">
        <w:rPr>
          <w:rtl/>
        </w:rPr>
        <w:t>بالحق في</w:t>
      </w:r>
      <w:r w:rsidRPr="0055475B">
        <w:rPr>
          <w:rFonts w:hint="cs"/>
          <w:rtl/>
        </w:rPr>
        <w:t xml:space="preserve"> التمتع</w:t>
      </w:r>
      <w:r w:rsidRPr="0055475B">
        <w:rPr>
          <w:rtl/>
        </w:rPr>
        <w:t xml:space="preserve"> </w:t>
      </w:r>
      <w:r w:rsidRPr="0055475B">
        <w:rPr>
          <w:rFonts w:hint="cs"/>
          <w:rtl/>
        </w:rPr>
        <w:t>ب</w:t>
      </w:r>
      <w:r w:rsidRPr="0055475B">
        <w:rPr>
          <w:rtl/>
        </w:rPr>
        <w:t xml:space="preserve">أعلى مستوى </w:t>
      </w:r>
      <w:r w:rsidRPr="0055475B">
        <w:rPr>
          <w:rFonts w:hint="cs"/>
          <w:rtl/>
        </w:rPr>
        <w:t xml:space="preserve">ممكن </w:t>
      </w:r>
      <w:r w:rsidRPr="0055475B">
        <w:rPr>
          <w:rtl/>
        </w:rPr>
        <w:t xml:space="preserve">من الصحة البدنية </w:t>
      </w:r>
      <w:r w:rsidRPr="0055475B">
        <w:rPr>
          <w:rFonts w:hint="cs"/>
          <w:rtl/>
        </w:rPr>
        <w:t>والعقلية</w:t>
      </w:r>
      <w:r w:rsidRPr="0055475B">
        <w:rPr>
          <w:rtl/>
        </w:rPr>
        <w:t xml:space="preserve">، </w:t>
      </w:r>
      <w:r w:rsidRPr="0055475B">
        <w:rPr>
          <w:rFonts w:hint="cs"/>
          <w:rtl/>
        </w:rPr>
        <w:t>وكذلك ب</w:t>
      </w:r>
      <w:r w:rsidRPr="0055475B">
        <w:rPr>
          <w:rtl/>
        </w:rPr>
        <w:t>الحق في الحياة وفي الكرامة الإنسانية؛</w:t>
      </w:r>
    </w:p>
    <w:p w:rsidR="001908A2" w:rsidRPr="0055475B" w:rsidRDefault="001908A2" w:rsidP="001406CD">
      <w:pPr>
        <w:pStyle w:val="SingleTxtGA"/>
        <w:rPr>
          <w:rFonts w:hint="cs"/>
          <w:rtl/>
        </w:rPr>
      </w:pPr>
      <w:r w:rsidRPr="0055475B">
        <w:rPr>
          <w:rFonts w:hint="cs"/>
          <w:rtl/>
        </w:rPr>
        <w:tab/>
        <w:t>2-</w:t>
      </w:r>
      <w:r>
        <w:rPr>
          <w:rFonts w:hint="cs"/>
          <w:rtl/>
        </w:rPr>
        <w:tab/>
      </w:r>
      <w:r w:rsidRPr="0055475B">
        <w:rPr>
          <w:i/>
          <w:iCs/>
          <w:rtl/>
        </w:rPr>
        <w:t>يرحب أيض</w:t>
      </w:r>
      <w:r>
        <w:rPr>
          <w:i/>
          <w:iCs/>
          <w:rtl/>
        </w:rPr>
        <w:t xml:space="preserve">اً </w:t>
      </w:r>
      <w:r w:rsidRPr="0055475B">
        <w:rPr>
          <w:rFonts w:hint="cs"/>
          <w:rtl/>
        </w:rPr>
        <w:t xml:space="preserve">بتعهدات </w:t>
      </w:r>
      <w:r w:rsidRPr="0055475B">
        <w:rPr>
          <w:rtl/>
        </w:rPr>
        <w:t xml:space="preserve">الدول </w:t>
      </w:r>
      <w:r w:rsidRPr="0055475B">
        <w:rPr>
          <w:rFonts w:hint="cs"/>
          <w:rtl/>
        </w:rPr>
        <w:t>المتعلقة</w:t>
      </w:r>
      <w:r w:rsidRPr="0055475B">
        <w:rPr>
          <w:rtl/>
        </w:rPr>
        <w:t xml:space="preserve"> بحق الإنسان في الحصول على مياه الشرب المأمونة وخدمات الصرف الصحي،</w:t>
      </w:r>
      <w:r w:rsidR="001406CD">
        <w:rPr>
          <w:rFonts w:hint="cs"/>
          <w:rtl/>
        </w:rPr>
        <w:t xml:space="preserve"> وهي التعهدات</w:t>
      </w:r>
      <w:r w:rsidRPr="0055475B">
        <w:rPr>
          <w:rtl/>
        </w:rPr>
        <w:t xml:space="preserve"> التي أخذتها </w:t>
      </w:r>
      <w:r w:rsidR="001406CD">
        <w:rPr>
          <w:rFonts w:hint="cs"/>
          <w:rtl/>
        </w:rPr>
        <w:t xml:space="preserve">الدول </w:t>
      </w:r>
      <w:r w:rsidRPr="0055475B">
        <w:rPr>
          <w:rtl/>
        </w:rPr>
        <w:t xml:space="preserve">على عاتقها </w:t>
      </w:r>
      <w:r w:rsidRPr="0055475B">
        <w:rPr>
          <w:rFonts w:hint="cs"/>
          <w:rtl/>
        </w:rPr>
        <w:t xml:space="preserve">في </w:t>
      </w:r>
      <w:r w:rsidRPr="0055475B">
        <w:rPr>
          <w:rtl/>
        </w:rPr>
        <w:t>مؤتمر الأمم المتحدة للتنمية المستدامة الذي عُقد في 22 حزيران/يونيه 2012</w:t>
      </w:r>
      <w:r w:rsidRPr="0055475B">
        <w:rPr>
          <w:rFonts w:hint="cs"/>
          <w:rtl/>
        </w:rPr>
        <w:t>؛</w:t>
      </w:r>
    </w:p>
    <w:p w:rsidR="001908A2" w:rsidRPr="0047602E" w:rsidRDefault="001908A2" w:rsidP="001406CD">
      <w:pPr>
        <w:pStyle w:val="SingleTxtGA"/>
        <w:rPr>
          <w:rFonts w:hint="cs"/>
          <w:rtl/>
        </w:rPr>
      </w:pPr>
      <w:r w:rsidRPr="0047602E">
        <w:rPr>
          <w:rFonts w:hint="cs"/>
          <w:rtl/>
        </w:rPr>
        <w:tab/>
        <w:t>3-</w:t>
      </w:r>
      <w:r w:rsidRPr="0047602E">
        <w:rPr>
          <w:rFonts w:hint="cs"/>
          <w:rtl/>
        </w:rPr>
        <w:tab/>
      </w:r>
      <w:r w:rsidRPr="0047602E">
        <w:rPr>
          <w:i/>
          <w:iCs/>
          <w:rtl/>
        </w:rPr>
        <w:t xml:space="preserve">يرحب </w:t>
      </w:r>
      <w:r w:rsidRPr="0047602E">
        <w:rPr>
          <w:rFonts w:hint="cs"/>
          <w:i/>
          <w:iCs/>
          <w:rtl/>
        </w:rPr>
        <w:t>ك</w:t>
      </w:r>
      <w:r w:rsidRPr="0047602E">
        <w:rPr>
          <w:i/>
          <w:iCs/>
          <w:rtl/>
        </w:rPr>
        <w:t>ذلك</w:t>
      </w:r>
      <w:r w:rsidRPr="0047602E">
        <w:rPr>
          <w:rtl/>
        </w:rPr>
        <w:t xml:space="preserve"> </w:t>
      </w:r>
      <w:r w:rsidRPr="0047602E">
        <w:rPr>
          <w:rFonts w:hint="cs"/>
          <w:rtl/>
        </w:rPr>
        <w:t xml:space="preserve">بما </w:t>
      </w:r>
      <w:r w:rsidRPr="0047602E">
        <w:rPr>
          <w:rtl/>
        </w:rPr>
        <w:t>ورد في تقرير برنامج الرصد المشترك لعام</w:t>
      </w:r>
      <w:r w:rsidRPr="0047602E">
        <w:rPr>
          <w:rFonts w:hint="cs"/>
          <w:rtl/>
        </w:rPr>
        <w:t xml:space="preserve"> 2012 من أن </w:t>
      </w:r>
      <w:r w:rsidRPr="0047602E">
        <w:rPr>
          <w:rtl/>
        </w:rPr>
        <w:t>غاية الأهداف الإنمائية للألفية</w:t>
      </w:r>
      <w:r w:rsidRPr="0047602E">
        <w:rPr>
          <w:rFonts w:hint="cs"/>
          <w:rtl/>
        </w:rPr>
        <w:t>،</w:t>
      </w:r>
      <w:r w:rsidRPr="0047602E">
        <w:rPr>
          <w:rtl/>
        </w:rPr>
        <w:t xml:space="preserve"> المتصلة بخفض عدد الأشخاص الذين لا</w:t>
      </w:r>
      <w:r w:rsidRPr="0047602E">
        <w:rPr>
          <w:rFonts w:hint="cs"/>
          <w:rtl/>
        </w:rPr>
        <w:t xml:space="preserve"> </w:t>
      </w:r>
      <w:r w:rsidRPr="0047602E">
        <w:rPr>
          <w:rtl/>
        </w:rPr>
        <w:t>يمكنهم الوصول إلى مصدر مياه محسن بنسبة 50 في المائة</w:t>
      </w:r>
      <w:r w:rsidRPr="0047602E">
        <w:rPr>
          <w:rFonts w:hint="cs"/>
          <w:rtl/>
        </w:rPr>
        <w:t>،</w:t>
      </w:r>
      <w:r w:rsidRPr="0047602E">
        <w:rPr>
          <w:rtl/>
        </w:rPr>
        <w:t xml:space="preserve"> قد تحققت قبل موعد</w:t>
      </w:r>
      <w:r w:rsidR="001406CD">
        <w:rPr>
          <w:rFonts w:hint="cs"/>
          <w:rtl/>
        </w:rPr>
        <w:t xml:space="preserve"> عام</w:t>
      </w:r>
      <w:r w:rsidRPr="0047602E">
        <w:rPr>
          <w:rtl/>
        </w:rPr>
        <w:t xml:space="preserve"> 2015 النهائي بخمسة أعوام، ويشدد على </w:t>
      </w:r>
      <w:r w:rsidR="001406CD">
        <w:rPr>
          <w:rFonts w:hint="cs"/>
          <w:rtl/>
        </w:rPr>
        <w:t xml:space="preserve">أنه لا يزال هناك الكثير مما </w:t>
      </w:r>
      <w:r w:rsidRPr="0047602E">
        <w:rPr>
          <w:rtl/>
        </w:rPr>
        <w:t>يجب إنجازه بشأن قضايا السلامة والإنصاف والمساواة وعدم التمييز</w:t>
      </w:r>
      <w:r w:rsidRPr="0047602E">
        <w:rPr>
          <w:rFonts w:hint="cs"/>
          <w:rtl/>
        </w:rPr>
        <w:t>؛</w:t>
      </w:r>
    </w:p>
    <w:p w:rsidR="001908A2" w:rsidRPr="0055475B" w:rsidRDefault="001908A2" w:rsidP="001406CD">
      <w:pPr>
        <w:pStyle w:val="SingleTxtGA"/>
        <w:rPr>
          <w:rFonts w:hint="cs"/>
          <w:rtl/>
        </w:rPr>
      </w:pPr>
      <w:r w:rsidRPr="0055475B">
        <w:rPr>
          <w:rFonts w:hint="cs"/>
          <w:rtl/>
        </w:rPr>
        <w:tab/>
        <w:t>4-</w:t>
      </w:r>
      <w:r>
        <w:rPr>
          <w:rFonts w:hint="cs"/>
          <w:rtl/>
        </w:rPr>
        <w:tab/>
      </w:r>
      <w:r w:rsidRPr="0055475B">
        <w:rPr>
          <w:rFonts w:hint="cs"/>
          <w:i/>
          <w:iCs/>
          <w:rtl/>
        </w:rPr>
        <w:t>يعرب</w:t>
      </w:r>
      <w:r w:rsidRPr="0055475B">
        <w:rPr>
          <w:rFonts w:hint="cs"/>
          <w:rtl/>
        </w:rPr>
        <w:t xml:space="preserve"> </w:t>
      </w:r>
      <w:r w:rsidRPr="000201A5">
        <w:rPr>
          <w:rFonts w:hint="cs"/>
          <w:i/>
          <w:iCs/>
          <w:rtl/>
        </w:rPr>
        <w:t xml:space="preserve">عن </w:t>
      </w:r>
      <w:r w:rsidR="001406CD">
        <w:rPr>
          <w:rFonts w:hint="cs"/>
          <w:i/>
          <w:iCs/>
          <w:rtl/>
        </w:rPr>
        <w:t xml:space="preserve">أسفه </w:t>
      </w:r>
      <w:r w:rsidRPr="0055475B">
        <w:rPr>
          <w:rFonts w:hint="cs"/>
          <w:rtl/>
        </w:rPr>
        <w:t>لأنه وفق</w:t>
      </w:r>
      <w:r>
        <w:rPr>
          <w:rFonts w:hint="cs"/>
          <w:rtl/>
        </w:rPr>
        <w:t xml:space="preserve">اً </w:t>
      </w:r>
      <w:r w:rsidRPr="0055475B">
        <w:rPr>
          <w:rFonts w:hint="cs"/>
          <w:rtl/>
        </w:rPr>
        <w:t>لما ورد في تحديث عام 2013 ل</w:t>
      </w:r>
      <w:r w:rsidRPr="0055475B">
        <w:rPr>
          <w:rtl/>
        </w:rPr>
        <w:t>تقرير برنامج الرصد المشترك</w:t>
      </w:r>
      <w:r w:rsidRPr="0055475B">
        <w:rPr>
          <w:rFonts w:hint="cs"/>
          <w:rtl/>
        </w:rPr>
        <w:t xml:space="preserve">، فإن </w:t>
      </w:r>
      <w:r w:rsidRPr="0055475B">
        <w:rPr>
          <w:rtl/>
        </w:rPr>
        <w:t>غاية الأهداف الإنمائية للألفية</w:t>
      </w:r>
      <w:r w:rsidRPr="0055475B">
        <w:rPr>
          <w:rFonts w:hint="cs"/>
          <w:rtl/>
        </w:rPr>
        <w:t>،</w:t>
      </w:r>
      <w:r w:rsidRPr="0055475B">
        <w:rPr>
          <w:rtl/>
        </w:rPr>
        <w:t xml:space="preserve"> المتصلة</w:t>
      </w:r>
      <w:r w:rsidRPr="0055475B">
        <w:rPr>
          <w:rFonts w:hint="cs"/>
          <w:rtl/>
        </w:rPr>
        <w:t xml:space="preserve"> بخدمات الصرف الصحي، لا</w:t>
      </w:r>
      <w:r>
        <w:rPr>
          <w:rFonts w:hint="eastAsia"/>
          <w:rtl/>
        </w:rPr>
        <w:t> </w:t>
      </w:r>
      <w:r w:rsidRPr="0055475B">
        <w:rPr>
          <w:rFonts w:hint="cs"/>
          <w:rtl/>
        </w:rPr>
        <w:t>تزال واحدة من أكثر البنود الخارجة عن المسار في خطة الأمم المتحدة للتنمية، ويدعو جميع الدول الأعضاء إلى مواصلة دعم الجهود العالمية الرامية إلى تحقيق أهداف الحملة الدعوية المعنونة "</w:t>
      </w:r>
      <w:r w:rsidRPr="0055475B">
        <w:rPr>
          <w:rtl/>
        </w:rPr>
        <w:t>مرافق صحية مستدامة: حملة السنوات الخمس حتى عام 2015</w:t>
      </w:r>
      <w:r w:rsidRPr="0055475B">
        <w:rPr>
          <w:rFonts w:hint="cs"/>
          <w:rtl/>
        </w:rPr>
        <w:t>"؛</w:t>
      </w:r>
    </w:p>
    <w:p w:rsidR="001908A2" w:rsidRPr="008D3CBF" w:rsidRDefault="001908A2" w:rsidP="001406CD">
      <w:pPr>
        <w:pStyle w:val="SingleTxtGA"/>
        <w:rPr>
          <w:rFonts w:hint="cs"/>
          <w:spacing w:val="-4"/>
          <w:rtl/>
        </w:rPr>
      </w:pPr>
      <w:r w:rsidRPr="008D3CBF">
        <w:rPr>
          <w:rFonts w:hint="cs"/>
          <w:spacing w:val="-4"/>
          <w:rtl/>
        </w:rPr>
        <w:tab/>
        <w:t>5-</w:t>
      </w:r>
      <w:r w:rsidRPr="008D3CBF">
        <w:rPr>
          <w:rFonts w:hint="cs"/>
          <w:spacing w:val="-4"/>
          <w:rtl/>
        </w:rPr>
        <w:tab/>
      </w:r>
      <w:r w:rsidRPr="008D3CBF">
        <w:rPr>
          <w:rFonts w:hint="cs"/>
          <w:i/>
          <w:iCs/>
          <w:spacing w:val="-4"/>
          <w:rtl/>
        </w:rPr>
        <w:t>يشجع</w:t>
      </w:r>
      <w:r w:rsidRPr="008D3CBF">
        <w:rPr>
          <w:rFonts w:hint="cs"/>
          <w:spacing w:val="-4"/>
          <w:rtl/>
        </w:rPr>
        <w:t xml:space="preserve"> الدول الأعضاء على تكثيف الشراكات العالمية لأغراض التنمية كوسيلة لتحقيق </w:t>
      </w:r>
      <w:r w:rsidR="001406CD">
        <w:rPr>
          <w:rFonts w:hint="cs"/>
          <w:spacing w:val="-4"/>
          <w:rtl/>
        </w:rPr>
        <w:t xml:space="preserve">ودعم </w:t>
      </w:r>
      <w:r w:rsidRPr="008D3CBF">
        <w:rPr>
          <w:rFonts w:hint="cs"/>
          <w:spacing w:val="-4"/>
          <w:rtl/>
        </w:rPr>
        <w:t>غايات الأهداف الإنمائية للألفية، المتعلقة بالمياه وخدمات الصرف الصحي؛</w:t>
      </w:r>
    </w:p>
    <w:p w:rsidR="001908A2" w:rsidRPr="0055475B" w:rsidRDefault="001908A2" w:rsidP="001908A2">
      <w:pPr>
        <w:pStyle w:val="SingleTxtGA"/>
        <w:rPr>
          <w:rFonts w:hint="cs"/>
          <w:rtl/>
        </w:rPr>
      </w:pPr>
      <w:r w:rsidRPr="0055475B">
        <w:rPr>
          <w:rFonts w:hint="cs"/>
          <w:rtl/>
        </w:rPr>
        <w:tab/>
        <w:t>6-</w:t>
      </w:r>
      <w:r>
        <w:rPr>
          <w:rFonts w:hint="cs"/>
          <w:rtl/>
        </w:rPr>
        <w:tab/>
      </w:r>
      <w:r w:rsidRPr="0055475B">
        <w:rPr>
          <w:i/>
          <w:iCs/>
          <w:rtl/>
        </w:rPr>
        <w:t>يرحب</w:t>
      </w:r>
      <w:r w:rsidRPr="0055475B">
        <w:rPr>
          <w:rtl/>
        </w:rPr>
        <w:t xml:space="preserve"> بعمل المقررة الخاصة المعنية بحق الإنسان في الحصول على مياه الشرب المأمونة وخدمات الصرف الصحي، ومشاوراتها الشاملة والشفافة والجامِعة مع الجهات الفاعِلة المختصة والمعنية من جميع المناطق لغرض إعداد تقاريرها المواضيعية واضطلاعها بالبعثات القطرية</w:t>
      </w:r>
      <w:r w:rsidRPr="0055475B">
        <w:rPr>
          <w:rFonts w:hint="cs"/>
          <w:rtl/>
        </w:rPr>
        <w:t>، ويحيط علم</w:t>
      </w:r>
      <w:r>
        <w:rPr>
          <w:rFonts w:hint="cs"/>
          <w:rtl/>
        </w:rPr>
        <w:t xml:space="preserve">اً </w:t>
      </w:r>
      <w:r w:rsidRPr="0055475B">
        <w:rPr>
          <w:rFonts w:hint="cs"/>
          <w:rtl/>
        </w:rPr>
        <w:t>مع الاهتمام بالإعلان عن وضع دليل لإعمال حق الإنسان في الحصول على مياه الشرب المأمونة وخدمات الصرف الصحي؛</w:t>
      </w:r>
    </w:p>
    <w:p w:rsidR="001908A2" w:rsidRPr="0055475B" w:rsidRDefault="001908A2" w:rsidP="000B7199">
      <w:pPr>
        <w:pStyle w:val="SingleTxtGA"/>
        <w:rPr>
          <w:rFonts w:hint="cs"/>
          <w:rtl/>
        </w:rPr>
      </w:pPr>
      <w:r w:rsidRPr="0055475B">
        <w:rPr>
          <w:rFonts w:hint="cs"/>
          <w:rtl/>
        </w:rPr>
        <w:tab/>
        <w:t>7-</w:t>
      </w:r>
      <w:r>
        <w:rPr>
          <w:rFonts w:hint="cs"/>
          <w:rtl/>
        </w:rPr>
        <w:tab/>
      </w:r>
      <w:r w:rsidRPr="0055475B">
        <w:rPr>
          <w:rFonts w:hint="cs"/>
          <w:i/>
          <w:iCs/>
          <w:rtl/>
        </w:rPr>
        <w:t>يرحب</w:t>
      </w:r>
      <w:r w:rsidRPr="0055475B">
        <w:rPr>
          <w:rFonts w:hint="cs"/>
          <w:rtl/>
        </w:rPr>
        <w:t xml:space="preserve"> </w:t>
      </w:r>
      <w:r w:rsidRPr="0055475B">
        <w:rPr>
          <w:rFonts w:hint="cs"/>
          <w:i/>
          <w:iCs/>
          <w:rtl/>
        </w:rPr>
        <w:t>أيض</w:t>
      </w:r>
      <w:r>
        <w:rPr>
          <w:rFonts w:hint="cs"/>
          <w:i/>
          <w:iCs/>
          <w:rtl/>
        </w:rPr>
        <w:t xml:space="preserve">اً </w:t>
      </w:r>
      <w:r w:rsidRPr="0055475B">
        <w:rPr>
          <w:rFonts w:hint="cs"/>
          <w:rtl/>
        </w:rPr>
        <w:t xml:space="preserve">بالتقرير السنوي الذي قدمته المقررة الخاصة إلى الجمعية العامة عن </w:t>
      </w:r>
      <w:r w:rsidRPr="0055475B">
        <w:rPr>
          <w:rtl/>
        </w:rPr>
        <w:t>دمج عدم التمييز والمساواة في جدول الأعمال الإنمائي لما بعد</w:t>
      </w:r>
      <w:r w:rsidRPr="0055475B">
        <w:rPr>
          <w:rFonts w:hint="cs"/>
          <w:rtl/>
        </w:rPr>
        <w:t xml:space="preserve"> عام</w:t>
      </w:r>
      <w:r w:rsidRPr="0055475B">
        <w:rPr>
          <w:rtl/>
        </w:rPr>
        <w:t xml:space="preserve"> 2015 للمياه والمرافق الصحية والصحة</w:t>
      </w:r>
      <w:r w:rsidRPr="0055475B">
        <w:rPr>
          <w:rFonts w:hint="cs"/>
          <w:vertAlign w:val="superscript"/>
          <w:rtl/>
        </w:rPr>
        <w:t>(</w:t>
      </w:r>
      <w:r w:rsidRPr="0055475B">
        <w:rPr>
          <w:vertAlign w:val="superscript"/>
          <w:rtl/>
        </w:rPr>
        <w:footnoteReference w:id="2"/>
      </w:r>
      <w:r w:rsidRPr="0055475B">
        <w:rPr>
          <w:rFonts w:hint="cs"/>
          <w:vertAlign w:val="superscript"/>
          <w:rtl/>
        </w:rPr>
        <w:t>)</w:t>
      </w:r>
      <w:r w:rsidRPr="0055475B">
        <w:rPr>
          <w:rFonts w:hint="cs"/>
          <w:rtl/>
        </w:rPr>
        <w:t>، ويحيط علم</w:t>
      </w:r>
      <w:r>
        <w:rPr>
          <w:rFonts w:hint="cs"/>
          <w:rtl/>
        </w:rPr>
        <w:t xml:space="preserve">اً </w:t>
      </w:r>
      <w:r w:rsidRPr="0055475B">
        <w:rPr>
          <w:rFonts w:hint="cs"/>
          <w:rtl/>
        </w:rPr>
        <w:t>مع التقدير بمقترحها لتضمين خطة ما بعد عام 2015 مسألة الحد من أوجه التفاوت والقضاء عليها تدريجيا</w:t>
      </w:r>
      <w:r>
        <w:rPr>
          <w:rFonts w:hint="cs"/>
          <w:rtl/>
        </w:rPr>
        <w:t>ً</w:t>
      </w:r>
      <w:r w:rsidRPr="0055475B">
        <w:rPr>
          <w:rFonts w:hint="cs"/>
          <w:rtl/>
        </w:rPr>
        <w:t xml:space="preserve">، ويشجع على إجراء المزيد من المناقشات بشأن كيفية </w:t>
      </w:r>
      <w:r w:rsidR="000B7199">
        <w:rPr>
          <w:rFonts w:hint="cs"/>
          <w:rtl/>
        </w:rPr>
        <w:t xml:space="preserve">إدماج </w:t>
      </w:r>
      <w:r w:rsidRPr="0055475B">
        <w:rPr>
          <w:rFonts w:hint="cs"/>
          <w:rtl/>
        </w:rPr>
        <w:t>تلك المسائل في سياق وضع خطة ما بعد عام 2015؛</w:t>
      </w:r>
    </w:p>
    <w:p w:rsidR="001908A2" w:rsidRPr="0055475B" w:rsidRDefault="001908A2" w:rsidP="00F20A41">
      <w:pPr>
        <w:pStyle w:val="SingleTxtGA"/>
        <w:rPr>
          <w:rFonts w:hint="cs"/>
          <w:rtl/>
        </w:rPr>
      </w:pPr>
      <w:r w:rsidRPr="0055475B">
        <w:rPr>
          <w:rFonts w:hint="cs"/>
          <w:rtl/>
        </w:rPr>
        <w:tab/>
        <w:t>8-</w:t>
      </w:r>
      <w:r>
        <w:rPr>
          <w:rFonts w:hint="cs"/>
          <w:rtl/>
        </w:rPr>
        <w:tab/>
      </w:r>
      <w:r w:rsidRPr="0055475B">
        <w:rPr>
          <w:rFonts w:hint="cs"/>
          <w:i/>
          <w:iCs/>
          <w:rtl/>
        </w:rPr>
        <w:t>يحيط علم</w:t>
      </w:r>
      <w:r>
        <w:rPr>
          <w:rFonts w:hint="cs"/>
          <w:i/>
          <w:iCs/>
          <w:rtl/>
        </w:rPr>
        <w:t xml:space="preserve">اً </w:t>
      </w:r>
      <w:r w:rsidRPr="0055475B">
        <w:rPr>
          <w:rFonts w:hint="cs"/>
          <w:rtl/>
        </w:rPr>
        <w:t xml:space="preserve">بالتوصية الواردة في تقرير </w:t>
      </w:r>
      <w:r w:rsidRPr="0055475B">
        <w:rPr>
          <w:rtl/>
        </w:rPr>
        <w:t>فريق الشخصيات البارزة الرفيع المستوى المعني بخطة التنمية لما بعد عام 2015</w:t>
      </w:r>
      <w:r w:rsidRPr="0055475B">
        <w:rPr>
          <w:rFonts w:hint="cs"/>
          <w:vertAlign w:val="superscript"/>
          <w:rtl/>
        </w:rPr>
        <w:t>(</w:t>
      </w:r>
      <w:r w:rsidRPr="0055475B">
        <w:rPr>
          <w:vertAlign w:val="superscript"/>
          <w:rtl/>
        </w:rPr>
        <w:footnoteReference w:id="3"/>
      </w:r>
      <w:r w:rsidRPr="0055475B">
        <w:rPr>
          <w:rFonts w:hint="cs"/>
          <w:vertAlign w:val="superscript"/>
          <w:rtl/>
        </w:rPr>
        <w:t>)</w:t>
      </w:r>
      <w:r w:rsidRPr="0055475B">
        <w:rPr>
          <w:rFonts w:hint="cs"/>
          <w:rtl/>
        </w:rPr>
        <w:t xml:space="preserve"> والمكلف من الأمين العام، حيث وردت قضيتا المياه </w:t>
      </w:r>
      <w:r w:rsidR="000B7199">
        <w:rPr>
          <w:rFonts w:hint="cs"/>
          <w:rtl/>
        </w:rPr>
        <w:t xml:space="preserve">وخدمات </w:t>
      </w:r>
      <w:r w:rsidRPr="0055475B">
        <w:rPr>
          <w:rFonts w:hint="cs"/>
          <w:rtl/>
        </w:rPr>
        <w:t>الصرف الصحي من بين الأهداف الإرشادية في خطة التنمية لما بعد عام</w:t>
      </w:r>
      <w:r>
        <w:rPr>
          <w:rFonts w:hint="eastAsia"/>
          <w:rtl/>
        </w:rPr>
        <w:t> </w:t>
      </w:r>
      <w:r w:rsidRPr="0055475B">
        <w:rPr>
          <w:rFonts w:hint="cs"/>
          <w:rtl/>
        </w:rPr>
        <w:t>2015، ويحيط علم</w:t>
      </w:r>
      <w:r>
        <w:rPr>
          <w:rFonts w:hint="cs"/>
          <w:rtl/>
        </w:rPr>
        <w:t xml:space="preserve">اً </w:t>
      </w:r>
      <w:r w:rsidRPr="0055475B">
        <w:rPr>
          <w:rFonts w:hint="cs"/>
          <w:rtl/>
        </w:rPr>
        <w:t>أيض</w:t>
      </w:r>
      <w:r>
        <w:rPr>
          <w:rFonts w:hint="cs"/>
          <w:rtl/>
        </w:rPr>
        <w:t xml:space="preserve">اً </w:t>
      </w:r>
      <w:r w:rsidRPr="0055475B">
        <w:rPr>
          <w:rFonts w:hint="cs"/>
          <w:rtl/>
        </w:rPr>
        <w:t>بتقرير الأمين العام المعنون "</w:t>
      </w:r>
      <w:r w:rsidRPr="0055475B">
        <w:rPr>
          <w:rtl/>
        </w:rPr>
        <w:t>حياة كريمة للجميع: التعجيل بالتقدم نحو تحقيق الأهداف الإنمائية للألفية والنهوض بخطة الأمم المتحدة للتنمية لما بعد عام</w:t>
      </w:r>
      <w:r>
        <w:rPr>
          <w:rFonts w:hint="cs"/>
          <w:rtl/>
        </w:rPr>
        <w:t> </w:t>
      </w:r>
      <w:r w:rsidRPr="0055475B">
        <w:rPr>
          <w:rtl/>
        </w:rPr>
        <w:t>2015</w:t>
      </w:r>
      <w:r w:rsidRPr="0055475B">
        <w:rPr>
          <w:rFonts w:hint="cs"/>
          <w:rtl/>
        </w:rPr>
        <w:t>"</w:t>
      </w:r>
      <w:r w:rsidR="00F20A41" w:rsidRPr="0055475B">
        <w:rPr>
          <w:rFonts w:hint="cs"/>
          <w:vertAlign w:val="superscript"/>
          <w:rtl/>
        </w:rPr>
        <w:t>(</w:t>
      </w:r>
      <w:r w:rsidR="00F20A41" w:rsidRPr="0055475B">
        <w:rPr>
          <w:vertAlign w:val="superscript"/>
          <w:rtl/>
        </w:rPr>
        <w:footnoteReference w:id="4"/>
      </w:r>
      <w:r w:rsidR="00F20A41" w:rsidRPr="0055475B">
        <w:rPr>
          <w:rFonts w:hint="cs"/>
          <w:vertAlign w:val="superscript"/>
          <w:rtl/>
        </w:rPr>
        <w:t>)</w:t>
      </w:r>
      <w:r w:rsidRPr="0055475B">
        <w:rPr>
          <w:rFonts w:hint="cs"/>
          <w:rtl/>
        </w:rPr>
        <w:t>، الذي سلم فيه الأمين العام بحق الإنسان في الحصول على مياه الشرب المأمونة وخدمات الصرف الصحي باعتبارها من أسس الحياة الكريمة؛</w:t>
      </w:r>
    </w:p>
    <w:p w:rsidR="001908A2" w:rsidRPr="0055475B" w:rsidRDefault="001908A2" w:rsidP="001908A2">
      <w:pPr>
        <w:pStyle w:val="SingleTxtGA"/>
        <w:rPr>
          <w:rFonts w:hint="cs"/>
          <w:rtl/>
        </w:rPr>
      </w:pPr>
      <w:r w:rsidRPr="0055475B">
        <w:rPr>
          <w:rFonts w:hint="cs"/>
          <w:rtl/>
        </w:rPr>
        <w:tab/>
        <w:t>9-</w:t>
      </w:r>
      <w:r>
        <w:rPr>
          <w:rFonts w:hint="cs"/>
          <w:rtl/>
        </w:rPr>
        <w:tab/>
      </w:r>
      <w:r w:rsidRPr="0055475B">
        <w:rPr>
          <w:rFonts w:hint="cs"/>
          <w:i/>
          <w:iCs/>
          <w:rtl/>
        </w:rPr>
        <w:t>يحيط علم</w:t>
      </w:r>
      <w:r>
        <w:rPr>
          <w:rFonts w:hint="cs"/>
          <w:i/>
          <w:iCs/>
          <w:rtl/>
        </w:rPr>
        <w:t xml:space="preserve">اً </w:t>
      </w:r>
      <w:r w:rsidRPr="0055475B">
        <w:rPr>
          <w:rFonts w:hint="cs"/>
          <w:i/>
          <w:iCs/>
          <w:rtl/>
        </w:rPr>
        <w:t>أيض</w:t>
      </w:r>
      <w:r>
        <w:rPr>
          <w:rFonts w:hint="cs"/>
          <w:i/>
          <w:iCs/>
          <w:rtl/>
        </w:rPr>
        <w:t xml:space="preserve">اً </w:t>
      </w:r>
      <w:r w:rsidRPr="0055475B">
        <w:rPr>
          <w:rFonts w:hint="cs"/>
          <w:rtl/>
        </w:rPr>
        <w:t>بالمناقشة المتعلقة بقضايا المياه، ولا سيما المياه وخدمات الصرف الصحي، التي أجريت في الدورة الثالثة ل</w:t>
      </w:r>
      <w:r w:rsidRPr="0055475B">
        <w:rPr>
          <w:rtl/>
        </w:rPr>
        <w:t xml:space="preserve">لفريق العامل </w:t>
      </w:r>
      <w:r>
        <w:rPr>
          <w:rFonts w:hint="cs"/>
          <w:rtl/>
        </w:rPr>
        <w:t>ال</w:t>
      </w:r>
      <w:r w:rsidRPr="0055475B">
        <w:rPr>
          <w:rtl/>
        </w:rPr>
        <w:t>مفتوح العضوية المعني بأهداف التنمية المستدامة</w:t>
      </w:r>
      <w:r w:rsidRPr="0055475B">
        <w:rPr>
          <w:rFonts w:hint="cs"/>
          <w:rtl/>
        </w:rPr>
        <w:t>، المعقودة في الفترة من 22 إلى 24 أيار/مايو 2013؛</w:t>
      </w:r>
    </w:p>
    <w:p w:rsidR="001908A2" w:rsidRPr="00492F7E" w:rsidRDefault="001908A2" w:rsidP="001908A2">
      <w:pPr>
        <w:pStyle w:val="SingleTxtGA"/>
        <w:rPr>
          <w:rFonts w:hint="cs"/>
          <w:spacing w:val="-2"/>
          <w:rtl/>
        </w:rPr>
      </w:pPr>
      <w:r w:rsidRPr="00492F7E">
        <w:rPr>
          <w:rFonts w:hint="cs"/>
          <w:spacing w:val="-2"/>
          <w:rtl/>
        </w:rPr>
        <w:tab/>
        <w:t>10-</w:t>
      </w:r>
      <w:r w:rsidRPr="00492F7E">
        <w:rPr>
          <w:rFonts w:hint="cs"/>
          <w:spacing w:val="-2"/>
          <w:rtl/>
        </w:rPr>
        <w:tab/>
      </w:r>
      <w:r w:rsidRPr="00492F7E">
        <w:rPr>
          <w:rFonts w:hint="cs"/>
          <w:i/>
          <w:iCs/>
          <w:spacing w:val="-2"/>
          <w:rtl/>
        </w:rPr>
        <w:t>يدعو</w:t>
      </w:r>
      <w:r w:rsidRPr="00492F7E">
        <w:rPr>
          <w:rFonts w:hint="cs"/>
          <w:spacing w:val="-2"/>
          <w:rtl/>
        </w:rPr>
        <w:t xml:space="preserve"> الدول إلى إدراج حق الإنسان في الحصول على مياه الشرب المأمونة وخدمات الصرف الصحي ومبادئ المساواة وعدم التمييز في خطة التنمية لما بعد عام 2015؛</w:t>
      </w:r>
    </w:p>
    <w:p w:rsidR="001908A2" w:rsidRPr="0055475B" w:rsidRDefault="001908A2" w:rsidP="001908A2">
      <w:pPr>
        <w:pStyle w:val="SingleTxtGA"/>
        <w:rPr>
          <w:rFonts w:hint="cs"/>
          <w:rtl/>
        </w:rPr>
      </w:pPr>
      <w:r w:rsidRPr="0055475B">
        <w:rPr>
          <w:rFonts w:hint="cs"/>
          <w:rtl/>
        </w:rPr>
        <w:tab/>
        <w:t>11-</w:t>
      </w:r>
      <w:r>
        <w:rPr>
          <w:rFonts w:hint="cs"/>
          <w:rtl/>
        </w:rPr>
        <w:tab/>
      </w:r>
      <w:r w:rsidRPr="0055475B">
        <w:rPr>
          <w:rFonts w:hint="cs"/>
          <w:i/>
          <w:iCs/>
          <w:rtl/>
        </w:rPr>
        <w:t>يرحب</w:t>
      </w:r>
      <w:r w:rsidRPr="0055475B">
        <w:rPr>
          <w:rFonts w:hint="cs"/>
          <w:rtl/>
        </w:rPr>
        <w:t xml:space="preserve"> بالتقرير السنوي الذي قدمته المقررة الخاصة إلى مجلس حقوق الإنسان بشأن الاستدامة وعدم التراجع في إعمال حق الإنسان في الحصول على مياه الشرب المأمونة وخدمات الصرف الصحي</w:t>
      </w:r>
      <w:r w:rsidRPr="0055475B">
        <w:rPr>
          <w:rFonts w:hint="cs"/>
          <w:vertAlign w:val="superscript"/>
          <w:rtl/>
        </w:rPr>
        <w:t>(</w:t>
      </w:r>
      <w:r w:rsidRPr="0055475B">
        <w:rPr>
          <w:vertAlign w:val="superscript"/>
          <w:rtl/>
        </w:rPr>
        <w:footnoteReference w:id="5"/>
      </w:r>
      <w:r w:rsidRPr="0055475B">
        <w:rPr>
          <w:rFonts w:hint="cs"/>
          <w:vertAlign w:val="superscript"/>
          <w:rtl/>
        </w:rPr>
        <w:t>)</w:t>
      </w:r>
      <w:r w:rsidRPr="0055475B">
        <w:rPr>
          <w:rFonts w:hint="cs"/>
          <w:rtl/>
        </w:rPr>
        <w:t>، ويحيط علم</w:t>
      </w:r>
      <w:r>
        <w:rPr>
          <w:rFonts w:hint="cs"/>
          <w:rtl/>
        </w:rPr>
        <w:t xml:space="preserve">اً </w:t>
      </w:r>
      <w:r w:rsidRPr="0055475B">
        <w:rPr>
          <w:rFonts w:hint="cs"/>
          <w:rtl/>
        </w:rPr>
        <w:t>بأهميته الممكنة لخطة التنمية لما بعد عام</w:t>
      </w:r>
      <w:r>
        <w:rPr>
          <w:rFonts w:hint="eastAsia"/>
          <w:rtl/>
        </w:rPr>
        <w:t> </w:t>
      </w:r>
      <w:r w:rsidRPr="0055475B">
        <w:rPr>
          <w:rFonts w:hint="cs"/>
          <w:rtl/>
        </w:rPr>
        <w:t>2015؛</w:t>
      </w:r>
    </w:p>
    <w:p w:rsidR="001908A2" w:rsidRPr="0055475B" w:rsidRDefault="001908A2" w:rsidP="001908A2">
      <w:pPr>
        <w:pStyle w:val="SingleTxtGA"/>
        <w:rPr>
          <w:rFonts w:hint="cs"/>
          <w:rtl/>
        </w:rPr>
      </w:pPr>
      <w:r w:rsidRPr="0055475B">
        <w:rPr>
          <w:rFonts w:hint="cs"/>
          <w:rtl/>
        </w:rPr>
        <w:tab/>
        <w:t>12-</w:t>
      </w:r>
      <w:r>
        <w:rPr>
          <w:rFonts w:hint="cs"/>
          <w:rtl/>
        </w:rPr>
        <w:tab/>
      </w:r>
      <w:r w:rsidRPr="0055475B">
        <w:rPr>
          <w:rFonts w:hint="cs"/>
          <w:i/>
          <w:iCs/>
          <w:rtl/>
        </w:rPr>
        <w:t xml:space="preserve">يشير </w:t>
      </w:r>
      <w:r w:rsidRPr="00E141E1">
        <w:rPr>
          <w:rFonts w:hint="cs"/>
          <w:rtl/>
        </w:rPr>
        <w:t>إلى</w:t>
      </w:r>
      <w:r w:rsidRPr="0055475B">
        <w:rPr>
          <w:rFonts w:hint="cs"/>
          <w:rtl/>
        </w:rPr>
        <w:t xml:space="preserve"> أن مياه الشرب المأمونة وخدمات الصرف الصحي يجب أن تتاح تدريجي</w:t>
      </w:r>
      <w:r>
        <w:rPr>
          <w:rFonts w:hint="cs"/>
          <w:rtl/>
        </w:rPr>
        <w:t xml:space="preserve">اً </w:t>
      </w:r>
      <w:r w:rsidRPr="0055475B">
        <w:rPr>
          <w:rFonts w:hint="cs"/>
          <w:rtl/>
        </w:rPr>
        <w:t>للأجيال الحالية والمقبلة من دون تمييز، وأن توفير الخدمات اليوم ينبغي أن يضمن القدرة المستقبلية على إعمال حق الإنسان في الحصول على مياه الشرب المأمونة وخدمات الصرف الصحي؛</w:t>
      </w:r>
    </w:p>
    <w:p w:rsidR="001908A2" w:rsidRPr="0055475B" w:rsidRDefault="001908A2" w:rsidP="001908A2">
      <w:pPr>
        <w:pStyle w:val="SingleTxtGA"/>
        <w:keepNext/>
        <w:keepLines/>
        <w:rPr>
          <w:rFonts w:hint="cs"/>
          <w:rtl/>
        </w:rPr>
      </w:pPr>
      <w:r w:rsidRPr="0055475B">
        <w:rPr>
          <w:rFonts w:hint="cs"/>
          <w:rtl/>
        </w:rPr>
        <w:tab/>
        <w:t>13-</w:t>
      </w:r>
      <w:r>
        <w:rPr>
          <w:rFonts w:hint="cs"/>
          <w:rtl/>
        </w:rPr>
        <w:tab/>
      </w:r>
      <w:r w:rsidRPr="0055475B">
        <w:rPr>
          <w:rFonts w:hint="cs"/>
          <w:i/>
          <w:iCs/>
          <w:rtl/>
        </w:rPr>
        <w:t>يدعو</w:t>
      </w:r>
      <w:r w:rsidRPr="0055475B">
        <w:rPr>
          <w:rFonts w:hint="cs"/>
          <w:rtl/>
        </w:rPr>
        <w:t xml:space="preserve"> الدول إلى ما يلي:</w:t>
      </w:r>
    </w:p>
    <w:p w:rsidR="001908A2" w:rsidRPr="0055475B" w:rsidRDefault="001908A2" w:rsidP="001908A2">
      <w:pPr>
        <w:pStyle w:val="SingleTxtGA"/>
        <w:rPr>
          <w:rFonts w:hint="cs"/>
          <w:rtl/>
        </w:rPr>
      </w:pPr>
      <w:r w:rsidRPr="0055475B">
        <w:rPr>
          <w:rFonts w:hint="cs"/>
          <w:rtl/>
        </w:rPr>
        <w:tab/>
        <w:t>(أ)</w:t>
      </w:r>
      <w:r>
        <w:rPr>
          <w:rFonts w:hint="cs"/>
          <w:rtl/>
        </w:rPr>
        <w:tab/>
      </w:r>
      <w:r w:rsidRPr="0055475B">
        <w:rPr>
          <w:rFonts w:hint="cs"/>
          <w:rtl/>
        </w:rPr>
        <w:t>إدراج مبدأ الاستدامة في التدابير المتخذة لإعمال حق الإنسان في الحصول على مياه الشرب المأمونة وخدمات الصرف الصحي، خلال أوقات الاستقرار الاقتصادي وأوقات الأزمات الاقتصادية والمالية على السواء؛</w:t>
      </w:r>
    </w:p>
    <w:p w:rsidR="001908A2" w:rsidRPr="0055475B" w:rsidRDefault="001908A2" w:rsidP="009C4A72">
      <w:pPr>
        <w:pStyle w:val="SingleTxtGA"/>
        <w:rPr>
          <w:rFonts w:hint="cs"/>
          <w:rtl/>
        </w:rPr>
      </w:pPr>
      <w:r w:rsidRPr="0055475B">
        <w:rPr>
          <w:rFonts w:hint="cs"/>
          <w:rtl/>
        </w:rPr>
        <w:tab/>
        <w:t>(ب)</w:t>
      </w:r>
      <w:r>
        <w:rPr>
          <w:rFonts w:hint="cs"/>
          <w:rtl/>
        </w:rPr>
        <w:tab/>
      </w:r>
      <w:r w:rsidR="002413F5">
        <w:rPr>
          <w:rFonts w:hint="cs"/>
          <w:rtl/>
        </w:rPr>
        <w:t>إعطاء الأولوية على النحو المناسب ل</w:t>
      </w:r>
      <w:r w:rsidR="009C4A72">
        <w:rPr>
          <w:rFonts w:hint="cs"/>
          <w:rtl/>
        </w:rPr>
        <w:t>توفير التمويل</w:t>
      </w:r>
      <w:r w:rsidRPr="0055475B">
        <w:rPr>
          <w:rFonts w:hint="cs"/>
          <w:rtl/>
        </w:rPr>
        <w:t>، لأغراض الصيانة والتشغيل من أجل ضمان الاستدامة ومنع التراجع في توفير الخدمات، ومن أجل كفالة القيام على نحو ملائم بالتنظيم والرصد المستقلين لقطاعي المياه والصرف الصحي، وكذلك آليات المساءلة لمواجهة الممارسات التي تقوض الإعمال التدريجي لحق الإنسان في الحصول على مياه الشرب المأمونة وخدمات الصرف الصحي؛</w:t>
      </w:r>
    </w:p>
    <w:p w:rsidR="001908A2" w:rsidRPr="0055475B" w:rsidRDefault="001908A2" w:rsidP="006F63EE">
      <w:pPr>
        <w:pStyle w:val="SingleTxtGA"/>
        <w:rPr>
          <w:rFonts w:hint="cs"/>
          <w:rtl/>
        </w:rPr>
      </w:pPr>
      <w:r w:rsidRPr="0055475B">
        <w:rPr>
          <w:rFonts w:hint="cs"/>
          <w:rtl/>
        </w:rPr>
        <w:tab/>
        <w:t>(ج)</w:t>
      </w:r>
      <w:r>
        <w:rPr>
          <w:rFonts w:hint="cs"/>
          <w:rtl/>
        </w:rPr>
        <w:tab/>
      </w:r>
      <w:r w:rsidRPr="0055475B">
        <w:rPr>
          <w:rFonts w:hint="cs"/>
          <w:rtl/>
        </w:rPr>
        <w:t xml:space="preserve">الاضطلاع بتخطيط شامل يستهدف تحقيق إمكانية الحصول المستدامة للجميع، بما يشمل حالات مشاركة القطاع الخاص والجهات المانحة والمنظمات غير الحكومية في توفير الخدمات؛ </w:t>
      </w:r>
    </w:p>
    <w:p w:rsidR="009C4A72" w:rsidRPr="009C4A72" w:rsidRDefault="009C4A72" w:rsidP="009C4A72">
      <w:pPr>
        <w:pStyle w:val="SingleTxtGA"/>
        <w:rPr>
          <w:rFonts w:hint="cs"/>
          <w:rtl/>
        </w:rPr>
      </w:pPr>
      <w:r>
        <w:rPr>
          <w:rFonts w:hint="cs"/>
          <w:rtl/>
        </w:rPr>
        <w:tab/>
        <w:t>14-</w:t>
      </w:r>
      <w:r>
        <w:rPr>
          <w:rFonts w:hint="cs"/>
          <w:rtl/>
        </w:rPr>
        <w:tab/>
      </w:r>
      <w:r>
        <w:rPr>
          <w:rFonts w:hint="cs"/>
          <w:i/>
          <w:iCs/>
          <w:rtl/>
        </w:rPr>
        <w:t>يؤكد مجدداً</w:t>
      </w:r>
      <w:r>
        <w:rPr>
          <w:rFonts w:hint="cs"/>
          <w:rtl/>
        </w:rPr>
        <w:t xml:space="preserve"> أن الدول هي المسؤولة في المقام الأول عن ضمان الإعمال التام لجميع حقوق الإنسان وأن عليها أن تتخذ خطوات، على الصعيد الوطني ومن خلال المساعدة والتعاون الدوليين، خصوصاً في المجالين الاقتصادي والتقني، إلى أقصى حد تسمح به مواردها المتاحة، من أجل التوصل تدريجياً إلى الإعمال التام للحق في الحصول على مياه الشرب المأمونة، وخدمات الصرف الصحي وذلك بجميع الوسائل المناسبة، بما فيها بصفة خاصة اعتماد تدابير تشريعية لتنفيذ التزاماتها المتصلة بحقوق الإنسان؛</w:t>
      </w:r>
    </w:p>
    <w:p w:rsidR="001908A2" w:rsidRPr="0055475B" w:rsidRDefault="001908A2" w:rsidP="009C4A72">
      <w:pPr>
        <w:pStyle w:val="SingleTxtGA"/>
        <w:rPr>
          <w:rFonts w:hint="cs"/>
          <w:rtl/>
        </w:rPr>
      </w:pPr>
      <w:r w:rsidRPr="0055475B">
        <w:rPr>
          <w:rFonts w:hint="cs"/>
          <w:rtl/>
        </w:rPr>
        <w:tab/>
      </w:r>
      <w:r w:rsidR="009C4A72">
        <w:rPr>
          <w:rFonts w:hint="cs"/>
          <w:rtl/>
        </w:rPr>
        <w:t>15</w:t>
      </w:r>
      <w:r w:rsidRPr="0055475B">
        <w:rPr>
          <w:rFonts w:hint="cs"/>
          <w:rtl/>
        </w:rPr>
        <w:t>-</w:t>
      </w:r>
      <w:r>
        <w:rPr>
          <w:rFonts w:hint="cs"/>
          <w:rtl/>
        </w:rPr>
        <w:tab/>
      </w:r>
      <w:r w:rsidRPr="0055475B">
        <w:rPr>
          <w:i/>
          <w:iCs/>
          <w:rtl/>
        </w:rPr>
        <w:t>يشدِّد</w:t>
      </w:r>
      <w:r w:rsidRPr="0055475B">
        <w:rPr>
          <w:rtl/>
        </w:rPr>
        <w:t xml:space="preserve"> على </w:t>
      </w:r>
      <w:r w:rsidRPr="0055475B">
        <w:rPr>
          <w:rFonts w:hint="cs"/>
          <w:rtl/>
        </w:rPr>
        <w:t>الدور الهام ل</w:t>
      </w:r>
      <w:r w:rsidRPr="0055475B">
        <w:rPr>
          <w:rtl/>
        </w:rPr>
        <w:t xml:space="preserve">لتعاون الدولي والمساعدة التقنية </w:t>
      </w:r>
      <w:r w:rsidRPr="0055475B">
        <w:rPr>
          <w:rFonts w:hint="cs"/>
          <w:rtl/>
        </w:rPr>
        <w:t xml:space="preserve">من جانب </w:t>
      </w:r>
      <w:r w:rsidRPr="0055475B">
        <w:rPr>
          <w:rtl/>
        </w:rPr>
        <w:t>الدول والوكالات المتخصصة التابعة لمنظومة الأمم المتحدة والشركاء الدولي</w:t>
      </w:r>
      <w:r w:rsidRPr="0055475B">
        <w:rPr>
          <w:rFonts w:hint="cs"/>
          <w:rtl/>
        </w:rPr>
        <w:t>ي</w:t>
      </w:r>
      <w:r w:rsidRPr="0055475B">
        <w:rPr>
          <w:rtl/>
        </w:rPr>
        <w:t>ن والإنمائي</w:t>
      </w:r>
      <w:r w:rsidRPr="0055475B">
        <w:rPr>
          <w:rFonts w:hint="cs"/>
          <w:rtl/>
        </w:rPr>
        <w:t>ي</w:t>
      </w:r>
      <w:r w:rsidRPr="0055475B">
        <w:rPr>
          <w:rtl/>
        </w:rPr>
        <w:t>ن وكذلك الوكالات المانحة، لا سيما فيما يتصل بإنجاز الأهداف الإنمائية للألفية ذات الصلة في الوقت المناسب، ويحث الشركاء الإنمائيين على اعتماد نهج قائم على حقوق الإنسان عند تصميم البرامج الإنمائية وتنفيذها دعم</w:t>
      </w:r>
      <w:r>
        <w:rPr>
          <w:rtl/>
        </w:rPr>
        <w:t xml:space="preserve">اً </w:t>
      </w:r>
      <w:r w:rsidRPr="0055475B">
        <w:rPr>
          <w:rtl/>
        </w:rPr>
        <w:t>للمبادرات وخطط العمل الوطنية المتصلة بالحق في الحصول على مياه الشرب المأمونة وخدمات الصرف الصحي؛</w:t>
      </w:r>
    </w:p>
    <w:p w:rsidR="001908A2" w:rsidRPr="0055475B" w:rsidRDefault="001908A2" w:rsidP="007F6169">
      <w:pPr>
        <w:pStyle w:val="SingleTxtGA"/>
        <w:rPr>
          <w:rFonts w:hint="cs"/>
          <w:rtl/>
        </w:rPr>
      </w:pPr>
      <w:r w:rsidRPr="0055475B">
        <w:rPr>
          <w:rFonts w:hint="cs"/>
          <w:rtl/>
        </w:rPr>
        <w:tab/>
      </w:r>
      <w:r w:rsidR="007F6169">
        <w:rPr>
          <w:rFonts w:hint="cs"/>
          <w:rtl/>
        </w:rPr>
        <w:t>16</w:t>
      </w:r>
      <w:r w:rsidRPr="0055475B">
        <w:rPr>
          <w:rFonts w:hint="cs"/>
          <w:rtl/>
        </w:rPr>
        <w:t>-</w:t>
      </w:r>
      <w:r>
        <w:rPr>
          <w:rFonts w:hint="cs"/>
          <w:rtl/>
        </w:rPr>
        <w:tab/>
      </w:r>
      <w:r w:rsidRPr="0055475B">
        <w:rPr>
          <w:rFonts w:hint="cs"/>
          <w:i/>
          <w:iCs/>
          <w:rtl/>
        </w:rPr>
        <w:t>يقرر</w:t>
      </w:r>
      <w:r w:rsidRPr="0055475B">
        <w:rPr>
          <w:rFonts w:hint="cs"/>
          <w:rtl/>
        </w:rPr>
        <w:t xml:space="preserve"> أن يمدد، لفترة ثلاث سنوات، ولاية المقررة الخاصة المعنية بحق الإنسان في الحصول على مياه الشرب المأمونة وخدمات الصرف الصحي على النحو المبين في قراري مجلس حقوق الإنسان 7/22 و16/2؛</w:t>
      </w:r>
    </w:p>
    <w:p w:rsidR="001908A2" w:rsidRPr="0055475B" w:rsidRDefault="001908A2" w:rsidP="007F6169">
      <w:pPr>
        <w:pStyle w:val="SingleTxtGA"/>
        <w:rPr>
          <w:rFonts w:hint="cs"/>
          <w:rtl/>
        </w:rPr>
      </w:pPr>
      <w:r w:rsidRPr="0055475B">
        <w:rPr>
          <w:rFonts w:hint="cs"/>
          <w:rtl/>
        </w:rPr>
        <w:tab/>
      </w:r>
      <w:r w:rsidR="007F6169">
        <w:rPr>
          <w:rFonts w:hint="cs"/>
          <w:rtl/>
        </w:rPr>
        <w:t>17</w:t>
      </w:r>
      <w:r w:rsidRPr="0055475B">
        <w:rPr>
          <w:rFonts w:hint="cs"/>
          <w:rtl/>
        </w:rPr>
        <w:t>-</w:t>
      </w:r>
      <w:r>
        <w:rPr>
          <w:rFonts w:hint="cs"/>
          <w:rtl/>
        </w:rPr>
        <w:tab/>
      </w:r>
      <w:r w:rsidRPr="007D7AD9">
        <w:rPr>
          <w:rFonts w:hint="cs"/>
          <w:i/>
          <w:iCs/>
          <w:rtl/>
        </w:rPr>
        <w:t>يشجع</w:t>
      </w:r>
      <w:r w:rsidRPr="0055475B">
        <w:rPr>
          <w:rFonts w:hint="cs"/>
          <w:rtl/>
        </w:rPr>
        <w:t xml:space="preserve"> المقررة الخاصة على مواصلة الإسهام في المناقشات المتعلقة بخطة الأمم المتحدة للتنمية لما بعد عام 2015، مع إيلاء </w:t>
      </w:r>
      <w:r w:rsidR="007F6169">
        <w:rPr>
          <w:rFonts w:hint="cs"/>
          <w:rtl/>
        </w:rPr>
        <w:t>اعتبار خاص</w:t>
      </w:r>
      <w:r w:rsidRPr="0055475B">
        <w:rPr>
          <w:rFonts w:hint="cs"/>
          <w:rtl/>
        </w:rPr>
        <w:t xml:space="preserve"> لإدراج مسألة القضاء على أوجه التفاوت وللإعمال الكامل لحق الإنسان في الحصول على مياه الشرب المأمونة وخدمات الصرف الصحي واستدامة هذا الحق؛</w:t>
      </w:r>
    </w:p>
    <w:p w:rsidR="001908A2" w:rsidRPr="0055475B" w:rsidRDefault="001908A2" w:rsidP="00BF754B">
      <w:pPr>
        <w:pStyle w:val="SingleTxtGA"/>
        <w:rPr>
          <w:rFonts w:hint="cs"/>
          <w:rtl/>
        </w:rPr>
      </w:pPr>
      <w:r w:rsidRPr="0055475B">
        <w:rPr>
          <w:rFonts w:hint="cs"/>
          <w:rtl/>
        </w:rPr>
        <w:tab/>
      </w:r>
      <w:r w:rsidR="00BF754B">
        <w:rPr>
          <w:rFonts w:hint="cs"/>
          <w:rtl/>
        </w:rPr>
        <w:t>18</w:t>
      </w:r>
      <w:r w:rsidRPr="0055475B">
        <w:rPr>
          <w:rFonts w:hint="cs"/>
          <w:rtl/>
        </w:rPr>
        <w:t>-</w:t>
      </w:r>
      <w:r>
        <w:rPr>
          <w:rFonts w:hint="cs"/>
          <w:rtl/>
        </w:rPr>
        <w:tab/>
      </w:r>
      <w:r w:rsidRPr="0055475B">
        <w:rPr>
          <w:i/>
          <w:iCs/>
          <w:rtl/>
        </w:rPr>
        <w:t>يطلب</w:t>
      </w:r>
      <w:r w:rsidRPr="0055475B">
        <w:rPr>
          <w:rtl/>
        </w:rPr>
        <w:t xml:space="preserve"> إلى المقررة الخاصة أن تواصل تقديم تقرير سنوي إلى مجلس حقوق الإنسان وأن تقدم تقرير</w:t>
      </w:r>
      <w:r>
        <w:rPr>
          <w:rtl/>
        </w:rPr>
        <w:t xml:space="preserve">اً </w:t>
      </w:r>
      <w:r w:rsidRPr="0055475B">
        <w:rPr>
          <w:rtl/>
        </w:rPr>
        <w:t>سنوي</w:t>
      </w:r>
      <w:r>
        <w:rPr>
          <w:rtl/>
        </w:rPr>
        <w:t xml:space="preserve">اً </w:t>
      </w:r>
      <w:r w:rsidRPr="0055475B">
        <w:rPr>
          <w:rtl/>
        </w:rPr>
        <w:t>إلى الجمعية العامة</w:t>
      </w:r>
      <w:r w:rsidRPr="0055475B">
        <w:rPr>
          <w:rFonts w:hint="cs"/>
          <w:rtl/>
        </w:rPr>
        <w:t>؛</w:t>
      </w:r>
    </w:p>
    <w:p w:rsidR="001908A2" w:rsidRPr="0055475B" w:rsidRDefault="001908A2" w:rsidP="00BF754B">
      <w:pPr>
        <w:pStyle w:val="SingleTxtGA"/>
        <w:rPr>
          <w:rFonts w:hint="cs"/>
          <w:rtl/>
        </w:rPr>
      </w:pPr>
      <w:r w:rsidRPr="0055475B">
        <w:rPr>
          <w:rFonts w:hint="cs"/>
          <w:rtl/>
        </w:rPr>
        <w:tab/>
      </w:r>
      <w:r w:rsidR="00BF754B">
        <w:rPr>
          <w:rFonts w:hint="cs"/>
          <w:rtl/>
        </w:rPr>
        <w:t>19</w:t>
      </w:r>
      <w:r w:rsidRPr="0055475B">
        <w:rPr>
          <w:rFonts w:hint="cs"/>
          <w:rtl/>
        </w:rPr>
        <w:t>-</w:t>
      </w:r>
      <w:r>
        <w:rPr>
          <w:rFonts w:hint="cs"/>
          <w:rtl/>
        </w:rPr>
        <w:tab/>
      </w:r>
      <w:r w:rsidRPr="0055475B">
        <w:rPr>
          <w:i/>
          <w:iCs/>
          <w:rtl/>
        </w:rPr>
        <w:t>يشجع</w:t>
      </w:r>
      <w:r w:rsidRPr="0055475B">
        <w:rPr>
          <w:rtl/>
        </w:rPr>
        <w:t xml:space="preserve"> المقررة الخاصة على تيسير تقديم المساعدة التقنية في مجال </w:t>
      </w:r>
      <w:r w:rsidRPr="0055475B">
        <w:rPr>
          <w:rFonts w:hint="cs"/>
          <w:rtl/>
        </w:rPr>
        <w:t>إعمال</w:t>
      </w:r>
      <w:r w:rsidRPr="0055475B">
        <w:rPr>
          <w:rtl/>
        </w:rPr>
        <w:t xml:space="preserve"> حق الإنسان في الحصول على مياه الشرب المأمونة وخدمات الصرف الصحي، بوسائل منها </w:t>
      </w:r>
      <w:r w:rsidRPr="0055475B">
        <w:rPr>
          <w:rFonts w:hint="cs"/>
          <w:rtl/>
        </w:rPr>
        <w:t xml:space="preserve">المشاركة مع </w:t>
      </w:r>
      <w:r w:rsidRPr="0055475B">
        <w:rPr>
          <w:rtl/>
        </w:rPr>
        <w:t>أصحاب المصلحة المعنيين</w:t>
      </w:r>
      <w:r w:rsidRPr="0055475B">
        <w:rPr>
          <w:rFonts w:hint="cs"/>
          <w:rtl/>
        </w:rPr>
        <w:t>؛</w:t>
      </w:r>
    </w:p>
    <w:p w:rsidR="001908A2" w:rsidRPr="0055475B" w:rsidRDefault="001908A2" w:rsidP="00BF754B">
      <w:pPr>
        <w:pStyle w:val="SingleTxtGA"/>
        <w:rPr>
          <w:rFonts w:hint="cs"/>
          <w:rtl/>
        </w:rPr>
      </w:pPr>
      <w:r w:rsidRPr="0055475B">
        <w:rPr>
          <w:rFonts w:hint="cs"/>
          <w:rtl/>
        </w:rPr>
        <w:tab/>
      </w:r>
      <w:r w:rsidR="00BF754B">
        <w:rPr>
          <w:rFonts w:hint="cs"/>
          <w:rtl/>
        </w:rPr>
        <w:t>20</w:t>
      </w:r>
      <w:r w:rsidRPr="0055475B">
        <w:rPr>
          <w:rFonts w:hint="cs"/>
          <w:rtl/>
        </w:rPr>
        <w:t>-</w:t>
      </w:r>
      <w:r>
        <w:rPr>
          <w:rFonts w:hint="cs"/>
          <w:rtl/>
        </w:rPr>
        <w:tab/>
      </w:r>
      <w:r w:rsidRPr="00564D55">
        <w:rPr>
          <w:rFonts w:hint="cs"/>
          <w:i/>
          <w:iCs/>
          <w:rtl/>
        </w:rPr>
        <w:t>يشجع</w:t>
      </w:r>
      <w:r w:rsidRPr="0055475B">
        <w:rPr>
          <w:rFonts w:hint="cs"/>
          <w:rtl/>
        </w:rPr>
        <w:t xml:space="preserve"> جميع الحكومات على مواصلة </w:t>
      </w:r>
      <w:r w:rsidRPr="0055475B">
        <w:rPr>
          <w:rtl/>
        </w:rPr>
        <w:t>الرد إيجاب</w:t>
      </w:r>
      <w:r>
        <w:rPr>
          <w:rtl/>
        </w:rPr>
        <w:t xml:space="preserve">اً </w:t>
      </w:r>
      <w:r w:rsidRPr="0055475B">
        <w:rPr>
          <w:rtl/>
        </w:rPr>
        <w:t>على الطلبات التي تقدمها المقررة الخاصة للقيام بزيارات والحصول على معلومات، وعلى متابعة تنفيذ توصيات المكلف</w:t>
      </w:r>
      <w:r w:rsidR="00BF754B">
        <w:rPr>
          <w:rFonts w:hint="cs"/>
          <w:rtl/>
        </w:rPr>
        <w:t>ة</w:t>
      </w:r>
      <w:r w:rsidRPr="0055475B">
        <w:rPr>
          <w:rtl/>
        </w:rPr>
        <w:t xml:space="preserve"> بالولاية بفعالية</w:t>
      </w:r>
      <w:r w:rsidRPr="0055475B">
        <w:rPr>
          <w:rFonts w:hint="cs"/>
          <w:rtl/>
        </w:rPr>
        <w:t>،</w:t>
      </w:r>
      <w:r w:rsidRPr="0055475B">
        <w:rPr>
          <w:rtl/>
        </w:rPr>
        <w:t xml:space="preserve"> وإتاحة المعلومات المتعلقة بالتدابير المتخذة في هذا الصدد؛</w:t>
      </w:r>
    </w:p>
    <w:p w:rsidR="001908A2" w:rsidRPr="0055475B" w:rsidRDefault="001908A2" w:rsidP="00BF754B">
      <w:pPr>
        <w:pStyle w:val="SingleTxtGA"/>
        <w:rPr>
          <w:rFonts w:hint="cs"/>
          <w:rtl/>
        </w:rPr>
      </w:pPr>
      <w:r w:rsidRPr="0055475B">
        <w:rPr>
          <w:rFonts w:hint="cs"/>
          <w:rtl/>
        </w:rPr>
        <w:tab/>
      </w:r>
      <w:r w:rsidR="00BF754B">
        <w:rPr>
          <w:rFonts w:hint="cs"/>
          <w:rtl/>
        </w:rPr>
        <w:t>21</w:t>
      </w:r>
      <w:r w:rsidRPr="0055475B">
        <w:rPr>
          <w:rFonts w:hint="cs"/>
          <w:rtl/>
        </w:rPr>
        <w:t>-</w:t>
      </w:r>
      <w:r>
        <w:rPr>
          <w:rFonts w:hint="cs"/>
          <w:rtl/>
        </w:rPr>
        <w:tab/>
      </w:r>
      <w:r w:rsidRPr="0055475B">
        <w:rPr>
          <w:i/>
          <w:iCs/>
          <w:rtl/>
        </w:rPr>
        <w:t>يطلب</w:t>
      </w:r>
      <w:r w:rsidRPr="0055475B">
        <w:rPr>
          <w:rtl/>
        </w:rPr>
        <w:t xml:space="preserve"> إلى الأمين العام ومفوضة الأمم المتحدة السامية لحقوق الإنسان ت</w:t>
      </w:r>
      <w:r w:rsidRPr="0055475B">
        <w:rPr>
          <w:rFonts w:hint="cs"/>
          <w:rtl/>
        </w:rPr>
        <w:t xml:space="preserve">قديم </w:t>
      </w:r>
      <w:r w:rsidRPr="0055475B">
        <w:rPr>
          <w:rtl/>
        </w:rPr>
        <w:t xml:space="preserve">جميع الموارد والمساعدات اللازمة للمقررة الخاصة </w:t>
      </w:r>
      <w:r w:rsidRPr="0055475B">
        <w:rPr>
          <w:rFonts w:hint="cs"/>
          <w:rtl/>
        </w:rPr>
        <w:t xml:space="preserve">لتمكينها من </w:t>
      </w:r>
      <w:r w:rsidRPr="0055475B">
        <w:rPr>
          <w:rtl/>
        </w:rPr>
        <w:t>إنجاز ولايتها بفعالية؛</w:t>
      </w:r>
    </w:p>
    <w:p w:rsidR="001908A2" w:rsidRDefault="001908A2" w:rsidP="00BF754B">
      <w:pPr>
        <w:pStyle w:val="SingleTxtGA"/>
        <w:rPr>
          <w:rFonts w:hint="cs"/>
          <w:b/>
          <w:bCs/>
          <w:rtl/>
        </w:rPr>
      </w:pPr>
      <w:r w:rsidRPr="0055475B">
        <w:rPr>
          <w:rFonts w:hint="cs"/>
          <w:rtl/>
        </w:rPr>
        <w:tab/>
      </w:r>
      <w:r w:rsidR="00BF754B">
        <w:rPr>
          <w:rFonts w:hint="cs"/>
          <w:rtl/>
        </w:rPr>
        <w:t>22</w:t>
      </w:r>
      <w:r w:rsidRPr="0055475B">
        <w:rPr>
          <w:rFonts w:hint="cs"/>
          <w:rtl/>
        </w:rPr>
        <w:t>-</w:t>
      </w:r>
      <w:r>
        <w:rPr>
          <w:rFonts w:hint="cs"/>
          <w:rtl/>
        </w:rPr>
        <w:tab/>
      </w:r>
      <w:r w:rsidRPr="0055475B">
        <w:rPr>
          <w:i/>
          <w:iCs/>
          <w:rtl/>
        </w:rPr>
        <w:t>يقرر</w:t>
      </w:r>
      <w:r w:rsidRPr="0055475B">
        <w:rPr>
          <w:rtl/>
        </w:rPr>
        <w:t xml:space="preserve"> أن يواصل النظر في هذه المسألة في إطار البند نفسه من جدول الأعمال </w:t>
      </w:r>
      <w:r w:rsidRPr="0055475B">
        <w:rPr>
          <w:rFonts w:hint="cs"/>
          <w:rtl/>
        </w:rPr>
        <w:t>و</w:t>
      </w:r>
      <w:r w:rsidRPr="0055475B">
        <w:rPr>
          <w:rtl/>
        </w:rPr>
        <w:t>وفق</w:t>
      </w:r>
      <w:r>
        <w:rPr>
          <w:rtl/>
        </w:rPr>
        <w:t xml:space="preserve">اً </w:t>
      </w:r>
      <w:r w:rsidRPr="0055475B">
        <w:rPr>
          <w:rtl/>
        </w:rPr>
        <w:t>لبرنامج عمله.</w:t>
      </w:r>
    </w:p>
    <w:p w:rsidR="00BF754B" w:rsidRPr="00473483" w:rsidRDefault="00BF754B" w:rsidP="00473483">
      <w:pPr>
        <w:pStyle w:val="SingleTxtGA"/>
        <w:bidi w:val="0"/>
        <w:spacing w:after="0"/>
        <w:rPr>
          <w:rFonts w:hint="cs"/>
          <w:i/>
          <w:iCs/>
          <w:rtl/>
        </w:rPr>
      </w:pPr>
      <w:r w:rsidRPr="00473483">
        <w:rPr>
          <w:rFonts w:hint="cs"/>
          <w:i/>
          <w:iCs/>
          <w:rtl/>
        </w:rPr>
        <w:t>الجلسة 35</w:t>
      </w:r>
    </w:p>
    <w:p w:rsidR="00BF754B" w:rsidRPr="00473483" w:rsidRDefault="00BF754B" w:rsidP="00473483">
      <w:pPr>
        <w:pStyle w:val="SingleTxtGA"/>
        <w:bidi w:val="0"/>
        <w:rPr>
          <w:rFonts w:hint="cs"/>
          <w:i/>
          <w:iCs/>
          <w:rtl/>
        </w:rPr>
      </w:pPr>
      <w:r w:rsidRPr="00473483">
        <w:rPr>
          <w:rFonts w:hint="cs"/>
          <w:i/>
          <w:iCs/>
          <w:rtl/>
        </w:rPr>
        <w:t>27 أيلول/سبتمبر 2013</w:t>
      </w:r>
    </w:p>
    <w:p w:rsidR="00BF754B" w:rsidRPr="0055475B" w:rsidRDefault="00BF754B" w:rsidP="00473483">
      <w:pPr>
        <w:pStyle w:val="SingleTxtGA"/>
        <w:rPr>
          <w:rFonts w:hint="cs"/>
          <w:rtl/>
        </w:rPr>
      </w:pPr>
      <w:r>
        <w:rPr>
          <w:rFonts w:hint="cs"/>
          <w:rtl/>
        </w:rPr>
        <w:t>[اعتُمد بدون تصويت.]</w:t>
      </w:r>
    </w:p>
    <w:p w:rsidR="001908A2" w:rsidRPr="001908A2" w:rsidRDefault="001908A2" w:rsidP="001908A2">
      <w:pPr>
        <w:spacing w:before="120"/>
        <w:jc w:val="center"/>
        <w:rPr>
          <w:rFonts w:hint="cs"/>
          <w:u w:val="single"/>
          <w:rtl/>
        </w:rPr>
      </w:pPr>
      <w:r>
        <w:rPr>
          <w:u w:val="single"/>
          <w:rtl/>
        </w:rPr>
        <w:tab/>
      </w:r>
      <w:r>
        <w:rPr>
          <w:u w:val="single"/>
          <w:rtl/>
        </w:rPr>
        <w:tab/>
      </w:r>
      <w:r>
        <w:rPr>
          <w:u w:val="single"/>
          <w:rtl/>
        </w:rPr>
        <w:tab/>
      </w:r>
    </w:p>
    <w:sectPr w:rsidR="001908A2" w:rsidRPr="001908A2" w:rsidSect="001908A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EC" w:rsidRPr="00FE6865" w:rsidRDefault="00096BEC" w:rsidP="00FE6865">
      <w:pPr>
        <w:pStyle w:val="Footer"/>
      </w:pPr>
    </w:p>
  </w:endnote>
  <w:endnote w:type="continuationSeparator" w:id="0">
    <w:p w:rsidR="00096BEC" w:rsidRDefault="00096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EC" w:rsidRPr="001908A2" w:rsidRDefault="00096BEC" w:rsidP="001908A2">
    <w:pPr>
      <w:pStyle w:val="Footer"/>
      <w:tabs>
        <w:tab w:val="right" w:pos="9598"/>
      </w:tabs>
    </w:pPr>
    <w:r>
      <w:t>GE.13-17922</w:t>
    </w:r>
    <w:r>
      <w:tab/>
    </w:r>
    <w:r w:rsidRPr="001908A2">
      <w:rPr>
        <w:b/>
        <w:sz w:val="18"/>
      </w:rPr>
      <w:fldChar w:fldCharType="begin"/>
    </w:r>
    <w:r w:rsidRPr="001908A2">
      <w:rPr>
        <w:b/>
        <w:sz w:val="18"/>
      </w:rPr>
      <w:instrText xml:space="preserve"> PAGE  \* MERGEFORMAT </w:instrText>
    </w:r>
    <w:r w:rsidRPr="001908A2">
      <w:rPr>
        <w:b/>
        <w:sz w:val="18"/>
      </w:rPr>
      <w:fldChar w:fldCharType="separate"/>
    </w:r>
    <w:r>
      <w:rPr>
        <w:b/>
        <w:noProof/>
        <w:sz w:val="18"/>
      </w:rPr>
      <w:t>2</w:t>
    </w:r>
    <w:r w:rsidRPr="001908A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EC" w:rsidRPr="001908A2" w:rsidRDefault="00096BEC" w:rsidP="001908A2">
    <w:pPr>
      <w:pStyle w:val="Footer"/>
      <w:tabs>
        <w:tab w:val="right" w:pos="9598"/>
      </w:tabs>
      <w:rPr>
        <w:b/>
        <w:sz w:val="18"/>
      </w:rPr>
    </w:pPr>
    <w:r w:rsidRPr="001908A2">
      <w:rPr>
        <w:b/>
        <w:sz w:val="18"/>
      </w:rPr>
      <w:fldChar w:fldCharType="begin"/>
    </w:r>
    <w:r w:rsidRPr="001908A2">
      <w:rPr>
        <w:b/>
        <w:sz w:val="18"/>
      </w:rPr>
      <w:instrText xml:space="preserve"> PAGE  \* MERGEFORMAT </w:instrText>
    </w:r>
    <w:r w:rsidRPr="001908A2">
      <w:rPr>
        <w:b/>
        <w:sz w:val="18"/>
      </w:rPr>
      <w:fldChar w:fldCharType="separate"/>
    </w:r>
    <w:r>
      <w:rPr>
        <w:b/>
        <w:noProof/>
        <w:sz w:val="18"/>
      </w:rPr>
      <w:t>3</w:t>
    </w:r>
    <w:r w:rsidRPr="001908A2">
      <w:rPr>
        <w:b/>
        <w:sz w:val="18"/>
      </w:rPr>
      <w:fldChar w:fldCharType="end"/>
    </w:r>
    <w:r>
      <w:rPr>
        <w:b/>
        <w:sz w:val="18"/>
      </w:rPr>
      <w:tab/>
    </w:r>
    <w:r>
      <w:t>GE.13-17922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EC" w:rsidRDefault="00096BEC" w:rsidP="00965A29">
    <w:pPr>
      <w:pStyle w:val="Footer"/>
      <w:jc w:val="right"/>
    </w:pPr>
    <w:r>
      <w:rPr>
        <w:sz w:val="20"/>
      </w:rPr>
      <w:t>(A)   GE.13-17922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1.7pt;margin-top:740.55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231013    241013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EC" w:rsidRDefault="00096BEC" w:rsidP="009A0C39">
      <w:pPr>
        <w:spacing w:after="80" w:line="200" w:lineRule="atLeast"/>
        <w:ind w:left="680"/>
      </w:pPr>
      <w:r w:rsidRPr="00C10C26">
        <w:rPr>
          <w:sz w:val="16"/>
          <w:rtl/>
        </w:rPr>
        <w:t>__________</w:t>
      </w:r>
    </w:p>
  </w:footnote>
  <w:footnote w:type="continuationSeparator" w:id="0">
    <w:p w:rsidR="00096BEC" w:rsidRDefault="00096BEC" w:rsidP="00444AA6">
      <w:pPr>
        <w:pStyle w:val="Footer"/>
        <w:bidi/>
        <w:spacing w:after="80" w:line="200" w:lineRule="exact"/>
        <w:ind w:left="680"/>
      </w:pPr>
      <w:r>
        <w:rPr>
          <w:rFonts w:hint="cs"/>
          <w:rtl/>
        </w:rPr>
        <w:t>__________</w:t>
      </w:r>
    </w:p>
  </w:footnote>
  <w:footnote w:id="1">
    <w:p w:rsidR="00096BEC" w:rsidRPr="001908A2" w:rsidRDefault="00096BEC" w:rsidP="001908A2">
      <w:pPr>
        <w:pStyle w:val="footnoteText0"/>
        <w:rPr>
          <w:rFonts w:hint="cs"/>
          <w:rtl/>
          <w:lang w:val="fr-CH"/>
        </w:rPr>
      </w:pPr>
      <w:r>
        <w:rPr>
          <w:rtl/>
        </w:rPr>
        <w:tab/>
      </w:r>
      <w:r w:rsidRPr="001908A2">
        <w:rPr>
          <w:rStyle w:val="FootnoteReference"/>
          <w:sz w:val="20"/>
          <w:vertAlign w:val="baseline"/>
          <w:rtl/>
        </w:rPr>
        <w:t>*</w:t>
      </w:r>
      <w:r>
        <w:rPr>
          <w:rtl/>
        </w:rPr>
        <w:tab/>
      </w:r>
      <w:r>
        <w:rPr>
          <w:rFonts w:hint="cs"/>
          <w:rtl/>
        </w:rPr>
        <w:t>سترد القرارات والمقررات التي اعتمدها مجلس حقوق الإنسان في تقرير المجلس عن أعمال دورته الرابعة والعشرين (</w:t>
      </w:r>
      <w:r>
        <w:rPr>
          <w:lang w:val="fr-CH"/>
        </w:rPr>
        <w:t>A/HRC/24/2</w:t>
      </w:r>
      <w:r>
        <w:rPr>
          <w:rFonts w:hint="cs"/>
          <w:rtl/>
          <w:lang w:val="fr-CH"/>
        </w:rPr>
        <w:t>)، الجزء الأول.</w:t>
      </w:r>
    </w:p>
  </w:footnote>
  <w:footnote w:id="2">
    <w:p w:rsidR="00096BEC" w:rsidRPr="0065472D" w:rsidRDefault="00096BEC" w:rsidP="001908A2">
      <w:pPr>
        <w:pStyle w:val="FootnoteText"/>
        <w:numPr>
          <w:ilvl w:val="0"/>
          <w:numId w:val="37"/>
        </w:numPr>
        <w:tabs>
          <w:tab w:val="clear" w:pos="1292"/>
          <w:tab w:val="right" w:pos="1253"/>
        </w:tabs>
        <w:spacing w:after="60" w:line="260" w:lineRule="exact"/>
        <w:ind w:left="1248" w:right="1247"/>
        <w:rPr>
          <w:rFonts w:hint="cs"/>
          <w:sz w:val="18"/>
          <w:szCs w:val="26"/>
          <w:rtl/>
        </w:rPr>
      </w:pPr>
      <w:r w:rsidRPr="0065472D">
        <w:rPr>
          <w:sz w:val="18"/>
          <w:szCs w:val="26"/>
        </w:rPr>
        <w:t>A/67/270</w:t>
      </w:r>
      <w:r w:rsidRPr="0065472D">
        <w:rPr>
          <w:rFonts w:hint="cs"/>
          <w:sz w:val="18"/>
          <w:szCs w:val="26"/>
          <w:rtl/>
        </w:rPr>
        <w:t>.</w:t>
      </w:r>
    </w:p>
  </w:footnote>
  <w:footnote w:id="3">
    <w:p w:rsidR="00096BEC" w:rsidRPr="0065472D" w:rsidRDefault="00096BEC" w:rsidP="001908A2">
      <w:pPr>
        <w:pStyle w:val="FootnoteText"/>
        <w:numPr>
          <w:ilvl w:val="0"/>
          <w:numId w:val="37"/>
        </w:numPr>
        <w:tabs>
          <w:tab w:val="clear" w:pos="1292"/>
          <w:tab w:val="right" w:pos="1253"/>
        </w:tabs>
        <w:spacing w:after="60" w:line="300" w:lineRule="exact"/>
        <w:ind w:left="1247" w:right="1247"/>
        <w:rPr>
          <w:rFonts w:hint="cs"/>
          <w:sz w:val="18"/>
          <w:szCs w:val="26"/>
          <w:rtl/>
        </w:rPr>
      </w:pPr>
      <w:r w:rsidRPr="00F20A41">
        <w:rPr>
          <w:rFonts w:hint="cs"/>
          <w:i/>
          <w:iCs/>
          <w:sz w:val="18"/>
          <w:szCs w:val="26"/>
          <w:rtl/>
        </w:rPr>
        <w:t>"</w:t>
      </w:r>
      <w:r w:rsidRPr="00F20A41">
        <w:rPr>
          <w:i/>
          <w:iCs/>
          <w:sz w:val="18"/>
          <w:szCs w:val="26"/>
          <w:rtl/>
        </w:rPr>
        <w:t xml:space="preserve">شراكة عالمية جديدة: </w:t>
      </w:r>
      <w:r w:rsidRPr="00F20A41">
        <w:rPr>
          <w:rFonts w:hint="cs"/>
          <w:i/>
          <w:iCs/>
          <w:sz w:val="18"/>
          <w:szCs w:val="26"/>
          <w:rtl/>
        </w:rPr>
        <w:t>اجتثاث</w:t>
      </w:r>
      <w:r w:rsidRPr="00F20A41">
        <w:rPr>
          <w:i/>
          <w:iCs/>
          <w:sz w:val="18"/>
          <w:szCs w:val="26"/>
          <w:rtl/>
        </w:rPr>
        <w:t xml:space="preserve"> الفقر وتحويل الاقتصاد</w:t>
      </w:r>
      <w:r w:rsidRPr="00F20A41">
        <w:rPr>
          <w:rFonts w:hint="cs"/>
          <w:i/>
          <w:iCs/>
          <w:sz w:val="18"/>
          <w:szCs w:val="26"/>
          <w:rtl/>
        </w:rPr>
        <w:t>ي</w:t>
      </w:r>
      <w:r w:rsidRPr="00F20A41">
        <w:rPr>
          <w:i/>
          <w:iCs/>
          <w:sz w:val="18"/>
          <w:szCs w:val="26"/>
          <w:rtl/>
        </w:rPr>
        <w:t xml:space="preserve">ات </w:t>
      </w:r>
      <w:r w:rsidRPr="00F20A41">
        <w:rPr>
          <w:rFonts w:hint="cs"/>
          <w:i/>
          <w:iCs/>
          <w:sz w:val="18"/>
          <w:szCs w:val="26"/>
          <w:rtl/>
        </w:rPr>
        <w:t xml:space="preserve">من خلال </w:t>
      </w:r>
      <w:r w:rsidRPr="00F20A41">
        <w:rPr>
          <w:i/>
          <w:iCs/>
          <w:sz w:val="18"/>
          <w:szCs w:val="26"/>
          <w:rtl/>
        </w:rPr>
        <w:t>التنمية المستدامة</w:t>
      </w:r>
      <w:r w:rsidRPr="00F20A41">
        <w:rPr>
          <w:rFonts w:hint="cs"/>
          <w:i/>
          <w:iCs/>
          <w:sz w:val="18"/>
          <w:szCs w:val="26"/>
          <w:rtl/>
        </w:rPr>
        <w:t xml:space="preserve">" </w:t>
      </w:r>
      <w:r>
        <w:rPr>
          <w:rFonts w:hint="cs"/>
          <w:sz w:val="18"/>
          <w:szCs w:val="26"/>
          <w:rtl/>
        </w:rPr>
        <w:t>(الأمم المتحدة، نيويورك، 2013).</w:t>
      </w:r>
    </w:p>
  </w:footnote>
  <w:footnote w:id="4">
    <w:p w:rsidR="00096BEC" w:rsidRPr="0065472D" w:rsidRDefault="00096BEC" w:rsidP="00F20A41">
      <w:pPr>
        <w:pStyle w:val="FootnoteText"/>
        <w:numPr>
          <w:ilvl w:val="0"/>
          <w:numId w:val="37"/>
        </w:numPr>
        <w:tabs>
          <w:tab w:val="clear" w:pos="1292"/>
          <w:tab w:val="right" w:pos="1253"/>
        </w:tabs>
        <w:spacing w:after="60" w:line="300" w:lineRule="exact"/>
        <w:ind w:left="1247" w:right="1247"/>
        <w:rPr>
          <w:rFonts w:hint="cs"/>
          <w:sz w:val="18"/>
          <w:szCs w:val="26"/>
          <w:rtl/>
        </w:rPr>
      </w:pPr>
      <w:r w:rsidRPr="0065472D">
        <w:rPr>
          <w:sz w:val="18"/>
          <w:szCs w:val="26"/>
        </w:rPr>
        <w:t>A/68/202</w:t>
      </w:r>
      <w:r w:rsidRPr="0065472D">
        <w:rPr>
          <w:rFonts w:hint="cs"/>
          <w:sz w:val="18"/>
          <w:szCs w:val="26"/>
          <w:rtl/>
        </w:rPr>
        <w:t>، الفقرة 11</w:t>
      </w:r>
      <w:r>
        <w:rPr>
          <w:rFonts w:hint="cs"/>
          <w:sz w:val="18"/>
          <w:szCs w:val="26"/>
          <w:rtl/>
        </w:rPr>
        <w:t>.</w:t>
      </w:r>
    </w:p>
  </w:footnote>
  <w:footnote w:id="5">
    <w:p w:rsidR="00096BEC" w:rsidRPr="00263504" w:rsidRDefault="00096BEC" w:rsidP="001908A2">
      <w:pPr>
        <w:pStyle w:val="FootnoteText"/>
        <w:numPr>
          <w:ilvl w:val="0"/>
          <w:numId w:val="37"/>
        </w:numPr>
        <w:tabs>
          <w:tab w:val="clear" w:pos="1292"/>
          <w:tab w:val="right" w:pos="1253"/>
        </w:tabs>
        <w:spacing w:after="60" w:line="260" w:lineRule="exact"/>
        <w:ind w:left="1248" w:right="1247"/>
        <w:rPr>
          <w:rFonts w:hint="cs"/>
          <w:rtl/>
        </w:rPr>
      </w:pPr>
      <w:r w:rsidRPr="0065472D">
        <w:rPr>
          <w:sz w:val="18"/>
          <w:szCs w:val="26"/>
        </w:rPr>
        <w:t>A/HRC/24/44</w:t>
      </w:r>
      <w:r w:rsidRPr="0065472D">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EC" w:rsidRPr="001908A2" w:rsidRDefault="00096BEC" w:rsidP="001908A2">
    <w:pPr>
      <w:pStyle w:val="Header"/>
      <w:jc w:val="right"/>
    </w:pPr>
    <w:r w:rsidRPr="001908A2">
      <w:t>A/HRC/RES/24/18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EC" w:rsidRPr="001908A2" w:rsidRDefault="00096BEC" w:rsidP="001908A2">
    <w:pPr>
      <w:pStyle w:val="Header"/>
      <w:jc w:val="left"/>
    </w:pPr>
    <w:r w:rsidRPr="001908A2">
      <w:t>A/HRC/RES/24/18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7A9"/>
    <w:rsid w:val="00011218"/>
    <w:rsid w:val="000357A9"/>
    <w:rsid w:val="00040E25"/>
    <w:rsid w:val="00042149"/>
    <w:rsid w:val="000648EA"/>
    <w:rsid w:val="000957C8"/>
    <w:rsid w:val="00096BEC"/>
    <w:rsid w:val="000B52F2"/>
    <w:rsid w:val="000B7199"/>
    <w:rsid w:val="000D0EAE"/>
    <w:rsid w:val="000D5380"/>
    <w:rsid w:val="000D6654"/>
    <w:rsid w:val="000F0264"/>
    <w:rsid w:val="000F2EBF"/>
    <w:rsid w:val="000F5FF6"/>
    <w:rsid w:val="00113FA5"/>
    <w:rsid w:val="001406CD"/>
    <w:rsid w:val="001455A0"/>
    <w:rsid w:val="001602A3"/>
    <w:rsid w:val="001908A2"/>
    <w:rsid w:val="001A5161"/>
    <w:rsid w:val="001A60BD"/>
    <w:rsid w:val="0023736D"/>
    <w:rsid w:val="002413F5"/>
    <w:rsid w:val="00257225"/>
    <w:rsid w:val="00275860"/>
    <w:rsid w:val="002773B8"/>
    <w:rsid w:val="002A394F"/>
    <w:rsid w:val="00310160"/>
    <w:rsid w:val="00341A8C"/>
    <w:rsid w:val="003519E6"/>
    <w:rsid w:val="003A6ED2"/>
    <w:rsid w:val="003B4356"/>
    <w:rsid w:val="003F08A8"/>
    <w:rsid w:val="004250E3"/>
    <w:rsid w:val="00444AA6"/>
    <w:rsid w:val="00472A81"/>
    <w:rsid w:val="00473483"/>
    <w:rsid w:val="004B2C92"/>
    <w:rsid w:val="004D6A3A"/>
    <w:rsid w:val="004F4AD7"/>
    <w:rsid w:val="005449D8"/>
    <w:rsid w:val="00557CD3"/>
    <w:rsid w:val="00571432"/>
    <w:rsid w:val="005732A2"/>
    <w:rsid w:val="005762A5"/>
    <w:rsid w:val="00590BA3"/>
    <w:rsid w:val="005A1A9A"/>
    <w:rsid w:val="005B7AE0"/>
    <w:rsid w:val="005F146F"/>
    <w:rsid w:val="005F71B6"/>
    <w:rsid w:val="00623760"/>
    <w:rsid w:val="00660FD4"/>
    <w:rsid w:val="006A4425"/>
    <w:rsid w:val="006B4669"/>
    <w:rsid w:val="006C3F70"/>
    <w:rsid w:val="006C768B"/>
    <w:rsid w:val="006E3473"/>
    <w:rsid w:val="006F63EE"/>
    <w:rsid w:val="006F6BF8"/>
    <w:rsid w:val="00707BDF"/>
    <w:rsid w:val="00710727"/>
    <w:rsid w:val="00715F45"/>
    <w:rsid w:val="00731B84"/>
    <w:rsid w:val="00734AE7"/>
    <w:rsid w:val="00786B69"/>
    <w:rsid w:val="007B599E"/>
    <w:rsid w:val="007E197F"/>
    <w:rsid w:val="007F6169"/>
    <w:rsid w:val="007F68C4"/>
    <w:rsid w:val="008153DE"/>
    <w:rsid w:val="00852A10"/>
    <w:rsid w:val="00862634"/>
    <w:rsid w:val="00866C59"/>
    <w:rsid w:val="00877306"/>
    <w:rsid w:val="00887B5C"/>
    <w:rsid w:val="008A6242"/>
    <w:rsid w:val="008B4BC6"/>
    <w:rsid w:val="00901E57"/>
    <w:rsid w:val="00935F0E"/>
    <w:rsid w:val="0095208F"/>
    <w:rsid w:val="00965A29"/>
    <w:rsid w:val="00977B3F"/>
    <w:rsid w:val="009814AE"/>
    <w:rsid w:val="00983870"/>
    <w:rsid w:val="00994B89"/>
    <w:rsid w:val="00996BBE"/>
    <w:rsid w:val="009A0C39"/>
    <w:rsid w:val="009C4A72"/>
    <w:rsid w:val="009D1DD5"/>
    <w:rsid w:val="00A11DDA"/>
    <w:rsid w:val="00A26157"/>
    <w:rsid w:val="00A265C3"/>
    <w:rsid w:val="00A43F9A"/>
    <w:rsid w:val="00A543D4"/>
    <w:rsid w:val="00A82253"/>
    <w:rsid w:val="00AB597B"/>
    <w:rsid w:val="00AD0014"/>
    <w:rsid w:val="00AD4CF2"/>
    <w:rsid w:val="00AF0BBA"/>
    <w:rsid w:val="00B30468"/>
    <w:rsid w:val="00B60E70"/>
    <w:rsid w:val="00B639B9"/>
    <w:rsid w:val="00BB2C41"/>
    <w:rsid w:val="00BC55C8"/>
    <w:rsid w:val="00BC5C10"/>
    <w:rsid w:val="00BE2964"/>
    <w:rsid w:val="00BF754B"/>
    <w:rsid w:val="00C24FBD"/>
    <w:rsid w:val="00C473BA"/>
    <w:rsid w:val="00C5073B"/>
    <w:rsid w:val="00C611ED"/>
    <w:rsid w:val="00C6490A"/>
    <w:rsid w:val="00C64FE1"/>
    <w:rsid w:val="00C66164"/>
    <w:rsid w:val="00C8345E"/>
    <w:rsid w:val="00CA4C17"/>
    <w:rsid w:val="00CA5F7C"/>
    <w:rsid w:val="00CE7C87"/>
    <w:rsid w:val="00D06637"/>
    <w:rsid w:val="00D51067"/>
    <w:rsid w:val="00D66AFB"/>
    <w:rsid w:val="00D75657"/>
    <w:rsid w:val="00D960AD"/>
    <w:rsid w:val="00DA0E0E"/>
    <w:rsid w:val="00DB0C39"/>
    <w:rsid w:val="00DB7679"/>
    <w:rsid w:val="00DE3904"/>
    <w:rsid w:val="00DF1702"/>
    <w:rsid w:val="00DF4DD8"/>
    <w:rsid w:val="00DF668E"/>
    <w:rsid w:val="00E05DE3"/>
    <w:rsid w:val="00E14D2B"/>
    <w:rsid w:val="00E20DBA"/>
    <w:rsid w:val="00E660D6"/>
    <w:rsid w:val="00E771AB"/>
    <w:rsid w:val="00EA796F"/>
    <w:rsid w:val="00EB077B"/>
    <w:rsid w:val="00EC50B9"/>
    <w:rsid w:val="00ED26A0"/>
    <w:rsid w:val="00ED7E16"/>
    <w:rsid w:val="00F04473"/>
    <w:rsid w:val="00F1727A"/>
    <w:rsid w:val="00F20A41"/>
    <w:rsid w:val="00F33A31"/>
    <w:rsid w:val="00F34764"/>
    <w:rsid w:val="00F54E3C"/>
    <w:rsid w:val="00F7092D"/>
    <w:rsid w:val="00F874BD"/>
    <w:rsid w:val="00FA6DD0"/>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7</Pages>
  <Words>1897</Words>
  <Characters>10816</Characters>
  <Application>Microsoft Office Outlook</Application>
  <DocSecurity>4</DocSecurity>
  <Lines>90</Lines>
  <Paragraphs>25</Paragraphs>
  <ScaleCrop>false</ScaleCrop>
  <HeadingPairs>
    <vt:vector size="2" baseType="variant">
      <vt:variant>
        <vt:lpstr>العنوان</vt:lpstr>
      </vt:variant>
      <vt:variant>
        <vt:i4>1</vt:i4>
      </vt:variant>
    </vt:vector>
  </HeadingPairs>
  <TitlesOfParts>
    <vt:vector size="1" baseType="lpstr">
      <vt:lpstr>A/HRC/RES/24/18</vt:lpstr>
    </vt:vector>
  </TitlesOfParts>
  <Company>CSD</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A/HRC/RES/24/18</dc:title>
  <dc:subject>El haj</dc:subject>
  <dc:creator>RIZ</dc:creator>
  <cp:keywords/>
  <dc:description/>
  <cp:lastModifiedBy>RIZ</cp:lastModifiedBy>
  <cp:revision>2</cp:revision>
  <cp:lastPrinted>2013-10-23T13:09:00Z</cp:lastPrinted>
  <dcterms:created xsi:type="dcterms:W3CDTF">2013-10-24T09:14:00Z</dcterms:created>
  <dcterms:modified xsi:type="dcterms:W3CDTF">2013-10-24T09:14:00Z</dcterms:modified>
</cp:coreProperties>
</file>