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946B05" w:rsidP="00946B05">
            <w:pPr>
              <w:bidi w:val="0"/>
              <w:spacing w:after="20"/>
              <w:jc w:val="left"/>
              <w:rPr>
                <w:szCs w:val="20"/>
              </w:rPr>
            </w:pPr>
            <w:r w:rsidRPr="00946B05">
              <w:rPr>
                <w:sz w:val="40"/>
                <w:szCs w:val="20"/>
              </w:rPr>
              <w:t>A</w:t>
            </w:r>
            <w:r>
              <w:rPr>
                <w:szCs w:val="20"/>
              </w:rPr>
              <w:t>/HRC/RES/26/25</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946B05" w:rsidRDefault="00946B05" w:rsidP="00946B05">
            <w:pPr>
              <w:bidi w:val="0"/>
              <w:spacing w:before="240"/>
              <w:jc w:val="left"/>
            </w:pPr>
            <w:r>
              <w:t>Distr.: General</w:t>
            </w:r>
          </w:p>
          <w:p w:rsidR="00946B05" w:rsidRDefault="00946B05" w:rsidP="00946B05">
            <w:pPr>
              <w:bidi w:val="0"/>
              <w:jc w:val="left"/>
            </w:pPr>
            <w:r>
              <w:t>16 July 2014</w:t>
            </w:r>
          </w:p>
          <w:p w:rsidR="00946B05" w:rsidRDefault="00946B05" w:rsidP="00946B05">
            <w:pPr>
              <w:bidi w:val="0"/>
              <w:jc w:val="left"/>
            </w:pPr>
            <w:r>
              <w:t>Arabic</w:t>
            </w:r>
          </w:p>
          <w:p w:rsidR="00257225" w:rsidRPr="008B4BC6" w:rsidRDefault="00946B05" w:rsidP="00946B05">
            <w:pPr>
              <w:bidi w:val="0"/>
              <w:jc w:val="left"/>
            </w:pPr>
            <w:r>
              <w:t>Original: English</w:t>
            </w:r>
          </w:p>
        </w:tc>
      </w:tr>
    </w:tbl>
    <w:p w:rsidR="00946B05" w:rsidRPr="001C26B3" w:rsidRDefault="00946B05" w:rsidP="00946B05">
      <w:pPr>
        <w:pStyle w:val="SingleTxtGA"/>
        <w:spacing w:before="120" w:after="0"/>
        <w:ind w:left="0" w:right="0"/>
        <w:rPr>
          <w:rFonts w:hint="cs"/>
          <w:b/>
          <w:bCs/>
          <w:sz w:val="26"/>
          <w:szCs w:val="36"/>
          <w:rtl/>
        </w:rPr>
      </w:pPr>
      <w:r w:rsidRPr="001C26B3">
        <w:rPr>
          <w:b/>
          <w:bCs/>
          <w:sz w:val="26"/>
          <w:szCs w:val="36"/>
          <w:rtl/>
        </w:rPr>
        <w:t>مجلس حقوق الإنسان</w:t>
      </w:r>
    </w:p>
    <w:p w:rsidR="00946B05" w:rsidRPr="00492783" w:rsidRDefault="00946B05" w:rsidP="00946B05">
      <w:pPr>
        <w:pStyle w:val="SingleTxtGA"/>
        <w:spacing w:after="0"/>
        <w:ind w:left="0" w:right="0"/>
        <w:rPr>
          <w:b/>
          <w:bCs/>
          <w:rtl/>
        </w:rPr>
      </w:pPr>
      <w:r w:rsidRPr="00492783">
        <w:rPr>
          <w:b/>
          <w:bCs/>
          <w:rtl/>
        </w:rPr>
        <w:t xml:space="preserve">الدورة </w:t>
      </w:r>
      <w:r w:rsidRPr="00492783">
        <w:rPr>
          <w:rFonts w:hint="cs"/>
          <w:b/>
          <w:bCs/>
          <w:rtl/>
        </w:rPr>
        <w:t>السادسة</w:t>
      </w:r>
      <w:r w:rsidRPr="00492783">
        <w:rPr>
          <w:b/>
          <w:bCs/>
          <w:rtl/>
        </w:rPr>
        <w:t xml:space="preserve"> والعشرون</w:t>
      </w:r>
    </w:p>
    <w:p w:rsidR="00946B05" w:rsidRPr="00492783" w:rsidRDefault="00946B05" w:rsidP="00946B05">
      <w:pPr>
        <w:pStyle w:val="SingleTxtGA"/>
        <w:spacing w:after="0"/>
        <w:ind w:left="0" w:right="0"/>
        <w:rPr>
          <w:rtl/>
        </w:rPr>
      </w:pPr>
      <w:r w:rsidRPr="00492783">
        <w:rPr>
          <w:rtl/>
        </w:rPr>
        <w:t>البند 4 من جدول الأعمال</w:t>
      </w:r>
    </w:p>
    <w:p w:rsidR="00946B05" w:rsidRPr="001C26B3" w:rsidRDefault="00946B05" w:rsidP="00946B05">
      <w:pPr>
        <w:pStyle w:val="SingleTxtGA"/>
        <w:spacing w:after="0"/>
        <w:ind w:left="0" w:right="0"/>
        <w:rPr>
          <w:b/>
          <w:bCs/>
          <w:rtl/>
        </w:rPr>
      </w:pPr>
      <w:r w:rsidRPr="001C26B3">
        <w:rPr>
          <w:b/>
          <w:bCs/>
          <w:rtl/>
        </w:rPr>
        <w:t>حالات حقوق الإنسان التي تتطلب اهتمام المجلس بها</w:t>
      </w:r>
    </w:p>
    <w:p w:rsidR="00946B05" w:rsidRPr="001C26B3" w:rsidRDefault="00946B05" w:rsidP="00946B05">
      <w:pPr>
        <w:pStyle w:val="HChGA"/>
        <w:rPr>
          <w:rFonts w:hint="cs"/>
          <w:rtl/>
        </w:rPr>
      </w:pPr>
      <w:r>
        <w:rPr>
          <w:rFonts w:hint="cs"/>
          <w:kern w:val="16"/>
          <w:rtl/>
        </w:rPr>
        <w:tab/>
      </w:r>
      <w:r>
        <w:rPr>
          <w:rFonts w:hint="cs"/>
          <w:kern w:val="16"/>
          <w:rtl/>
        </w:rPr>
        <w:tab/>
      </w:r>
      <w:r w:rsidRPr="001C26B3">
        <w:rPr>
          <w:rFonts w:hint="cs"/>
          <w:kern w:val="16"/>
          <w:rtl/>
        </w:rPr>
        <w:t xml:space="preserve">قرار </w:t>
      </w:r>
      <w:r>
        <w:rPr>
          <w:rFonts w:hint="cs"/>
          <w:kern w:val="16"/>
          <w:rtl/>
        </w:rPr>
        <w:t>اعتمده مجلس حقوق الإنسان</w:t>
      </w:r>
    </w:p>
    <w:p w:rsidR="00946B05" w:rsidRDefault="00946B05" w:rsidP="00946B05">
      <w:pPr>
        <w:pStyle w:val="HChGA"/>
        <w:rPr>
          <w:rtl/>
        </w:rPr>
      </w:pPr>
      <w:r>
        <w:rPr>
          <w:rtl/>
        </w:rPr>
        <w:tab/>
      </w:r>
      <w:r w:rsidRPr="004D5D31">
        <w:rPr>
          <w:rtl/>
        </w:rPr>
        <w:tab/>
        <w:t>2</w:t>
      </w:r>
      <w:r w:rsidRPr="004D5D31">
        <w:rPr>
          <w:rFonts w:hint="cs"/>
          <w:rtl/>
        </w:rPr>
        <w:t>6</w:t>
      </w:r>
      <w:r w:rsidRPr="004D5D31">
        <w:rPr>
          <w:rtl/>
        </w:rPr>
        <w:t>/</w:t>
      </w:r>
      <w:r>
        <w:rPr>
          <w:rFonts w:hint="cs"/>
          <w:rtl/>
        </w:rPr>
        <w:t>25</w:t>
      </w:r>
      <w:r>
        <w:rPr>
          <w:rFonts w:hint="cs"/>
          <w:rtl/>
        </w:rPr>
        <w:br/>
      </w:r>
      <w:r w:rsidRPr="004D5D31">
        <w:rPr>
          <w:rtl/>
        </w:rPr>
        <w:t>حالة حقوق الإنسان في بيلاروس</w:t>
      </w:r>
    </w:p>
    <w:p w:rsidR="00946B05" w:rsidRPr="001C26B3" w:rsidRDefault="00946B05" w:rsidP="00946B05">
      <w:pPr>
        <w:pStyle w:val="SingleTxtGA"/>
        <w:rPr>
          <w:i/>
          <w:iCs/>
          <w:rtl/>
        </w:rPr>
      </w:pPr>
      <w:r w:rsidRPr="001C26B3">
        <w:rPr>
          <w:i/>
          <w:iCs/>
          <w:rtl/>
        </w:rPr>
        <w:tab/>
        <w:t>إن مجلس حقوق الإنسان،</w:t>
      </w:r>
    </w:p>
    <w:p w:rsidR="00946B05" w:rsidRDefault="00946B05" w:rsidP="00946B05">
      <w:pPr>
        <w:pStyle w:val="SingleTxtGA"/>
        <w:rPr>
          <w:rFonts w:hint="cs"/>
          <w:rtl/>
        </w:rPr>
      </w:pPr>
      <w:r>
        <w:rPr>
          <w:rtl/>
        </w:rPr>
        <w:tab/>
      </w:r>
      <w:r w:rsidRPr="00606DE3">
        <w:rPr>
          <w:i/>
          <w:iCs/>
          <w:rtl/>
        </w:rPr>
        <w:t xml:space="preserve">إذ </w:t>
      </w:r>
      <w:r w:rsidRPr="00606DE3">
        <w:rPr>
          <w:rFonts w:hint="cs"/>
          <w:i/>
          <w:iCs/>
          <w:rtl/>
        </w:rPr>
        <w:t>ي</w:t>
      </w:r>
      <w:r w:rsidRPr="00606DE3">
        <w:rPr>
          <w:i/>
          <w:iCs/>
          <w:rtl/>
        </w:rPr>
        <w:t>سترشد</w:t>
      </w:r>
      <w:r>
        <w:rPr>
          <w:rtl/>
        </w:rPr>
        <w:t xml:space="preserve"> بمقاصد ميثاق الأمم المتحدة</w:t>
      </w:r>
      <w:r w:rsidRPr="001D042D">
        <w:rPr>
          <w:rtl/>
        </w:rPr>
        <w:t xml:space="preserve"> </w:t>
      </w:r>
      <w:r>
        <w:rPr>
          <w:rtl/>
        </w:rPr>
        <w:t>ومبادئ</w:t>
      </w:r>
      <w:r>
        <w:rPr>
          <w:rFonts w:hint="cs"/>
          <w:rtl/>
        </w:rPr>
        <w:t>ه</w:t>
      </w:r>
      <w:r>
        <w:rPr>
          <w:rtl/>
        </w:rPr>
        <w:t>، و</w:t>
      </w:r>
      <w:r>
        <w:rPr>
          <w:rFonts w:hint="cs"/>
          <w:rtl/>
        </w:rPr>
        <w:t>ب</w:t>
      </w:r>
      <w:r>
        <w:rPr>
          <w:rtl/>
        </w:rPr>
        <w:t xml:space="preserve">أحكام الإعلان العالمي لحقوق الإنسان، والعهدين الدوليين الخاصين بحقوق الإنسان وغير ذلك من صكوك حقوق الإنسان </w:t>
      </w:r>
      <w:r>
        <w:rPr>
          <w:rFonts w:hint="cs"/>
          <w:rtl/>
        </w:rPr>
        <w:t>المنطبقة</w:t>
      </w:r>
      <w:r>
        <w:rPr>
          <w:rtl/>
        </w:rPr>
        <w:t>،</w:t>
      </w:r>
    </w:p>
    <w:p w:rsidR="00946B05" w:rsidRDefault="00946B05" w:rsidP="00946B05">
      <w:pPr>
        <w:pStyle w:val="SingleTxtGA"/>
        <w:rPr>
          <w:rtl/>
        </w:rPr>
      </w:pPr>
      <w:r w:rsidRPr="00C658FE">
        <w:rPr>
          <w:rtl/>
        </w:rPr>
        <w:tab/>
      </w:r>
      <w:r w:rsidRPr="00C658FE">
        <w:rPr>
          <w:i/>
          <w:iCs/>
          <w:rtl/>
        </w:rPr>
        <w:t>وإذ يشير</w:t>
      </w:r>
      <w:r w:rsidRPr="00C658FE">
        <w:rPr>
          <w:rtl/>
        </w:rPr>
        <w:t xml:space="preserve"> إلى جميع القرارات التي اعتمدتها لجنة حقوق الإنسان والجمعية العامة ومجلس حقوق الإنسان بشأن حالة حقوق الإنسان في بيلاروس،</w:t>
      </w:r>
      <w:r>
        <w:rPr>
          <w:rtl/>
        </w:rPr>
        <w:t xml:space="preserve"> بما </w:t>
      </w:r>
      <w:r>
        <w:rPr>
          <w:rFonts w:hint="cs"/>
          <w:rtl/>
        </w:rPr>
        <w:t>في ذلك</w:t>
      </w:r>
      <w:r w:rsidRPr="00C658FE">
        <w:rPr>
          <w:rtl/>
        </w:rPr>
        <w:t xml:space="preserve"> قرارا المجلس</w:t>
      </w:r>
      <w:r>
        <w:rPr>
          <w:rFonts w:hint="eastAsia"/>
          <w:rtl/>
        </w:rPr>
        <w:t> </w:t>
      </w:r>
      <w:r>
        <w:rPr>
          <w:rFonts w:hint="cs"/>
          <w:rtl/>
        </w:rPr>
        <w:t>20/13 المؤرخ 5 تموز/يوليه 2012</w:t>
      </w:r>
      <w:r w:rsidRPr="00C658FE">
        <w:rPr>
          <w:rtl/>
        </w:rPr>
        <w:t xml:space="preserve"> </w:t>
      </w:r>
      <w:r w:rsidRPr="00F13C12">
        <w:rPr>
          <w:spacing w:val="-4"/>
          <w:rtl/>
        </w:rPr>
        <w:t>و2</w:t>
      </w:r>
      <w:r>
        <w:rPr>
          <w:rFonts w:hint="cs"/>
          <w:spacing w:val="-4"/>
          <w:rtl/>
        </w:rPr>
        <w:t>3</w:t>
      </w:r>
      <w:r w:rsidRPr="00F13C12">
        <w:rPr>
          <w:spacing w:val="-4"/>
          <w:rtl/>
        </w:rPr>
        <w:t>/1</w:t>
      </w:r>
      <w:r>
        <w:rPr>
          <w:rFonts w:hint="cs"/>
          <w:spacing w:val="-4"/>
          <w:rtl/>
        </w:rPr>
        <w:t>5</w:t>
      </w:r>
      <w:r w:rsidRPr="00F13C12">
        <w:rPr>
          <w:spacing w:val="-4"/>
          <w:rtl/>
        </w:rPr>
        <w:t xml:space="preserve"> المؤرخ </w:t>
      </w:r>
      <w:r>
        <w:rPr>
          <w:rFonts w:hint="cs"/>
          <w:spacing w:val="-4"/>
          <w:rtl/>
        </w:rPr>
        <w:t>13 حزيران/يونيه 2013</w:t>
      </w:r>
      <w:r w:rsidRPr="00F13C12">
        <w:rPr>
          <w:spacing w:val="-4"/>
          <w:rtl/>
        </w:rPr>
        <w:t>،</w:t>
      </w:r>
      <w:r>
        <w:rPr>
          <w:spacing w:val="-4"/>
          <w:rtl/>
        </w:rPr>
        <w:t xml:space="preserve"> وإذ </w:t>
      </w:r>
      <w:r w:rsidRPr="00F13C12">
        <w:rPr>
          <w:spacing w:val="-4"/>
          <w:rtl/>
        </w:rPr>
        <w:t xml:space="preserve">يعرب عن استيائه </w:t>
      </w:r>
      <w:r>
        <w:rPr>
          <w:rFonts w:hint="cs"/>
          <w:spacing w:val="-4"/>
          <w:rtl/>
        </w:rPr>
        <w:t>إزاء</w:t>
      </w:r>
      <w:r w:rsidRPr="00F13C12">
        <w:rPr>
          <w:spacing w:val="-4"/>
          <w:rtl/>
        </w:rPr>
        <w:t xml:space="preserve"> عدم كفاية استجابة حكومة بيلاروس للطلبات التي قدمها المجلس في هذين</w:t>
      </w:r>
      <w:r>
        <w:rPr>
          <w:rtl/>
        </w:rPr>
        <w:t xml:space="preserve"> القرارين</w:t>
      </w:r>
      <w:r>
        <w:rPr>
          <w:rFonts w:hint="cs"/>
          <w:rtl/>
        </w:rPr>
        <w:t xml:space="preserve"> وإزاء عدم تعاونها في هذا الصدد</w:t>
      </w:r>
      <w:r>
        <w:rPr>
          <w:rtl/>
        </w:rPr>
        <w:t>، بما </w:t>
      </w:r>
      <w:r>
        <w:rPr>
          <w:rFonts w:hint="cs"/>
          <w:rtl/>
        </w:rPr>
        <w:t>في ذلك </w:t>
      </w:r>
      <w:r>
        <w:rPr>
          <w:rtl/>
        </w:rPr>
        <w:t>رفض دخول المقرر الخاص المعني بحالة حقوق الإنسان في بيلاروس إلى البلد</w:t>
      </w:r>
      <w:r>
        <w:rPr>
          <w:rFonts w:hint="cs"/>
          <w:rtl/>
        </w:rPr>
        <w:t xml:space="preserve"> هو </w:t>
      </w:r>
      <w:r>
        <w:rPr>
          <w:rtl/>
        </w:rPr>
        <w:t>وغيره من المكلفين بولايات في إطار الإجراءات الخاصة</w:t>
      </w:r>
      <w:r w:rsidR="00627FC1">
        <w:rPr>
          <w:rFonts w:hint="cs"/>
          <w:rtl/>
        </w:rPr>
        <w:t xml:space="preserve"> التابعة للمجلس</w:t>
      </w:r>
      <w:r>
        <w:rPr>
          <w:rtl/>
        </w:rPr>
        <w:t xml:space="preserve">، </w:t>
      </w:r>
    </w:p>
    <w:p w:rsidR="00946B05" w:rsidRDefault="00946B05" w:rsidP="00627FC1">
      <w:pPr>
        <w:pStyle w:val="SingleTxtGA"/>
        <w:rPr>
          <w:rFonts w:hint="cs"/>
          <w:rtl/>
        </w:rPr>
      </w:pPr>
      <w:r>
        <w:rPr>
          <w:rtl/>
        </w:rPr>
        <w:tab/>
      </w:r>
      <w:r w:rsidRPr="00F13C12">
        <w:rPr>
          <w:rFonts w:cs="Times New Roman" w:hint="cs"/>
          <w:i/>
          <w:iCs/>
          <w:rtl/>
        </w:rPr>
        <w:t>‫</w:t>
      </w:r>
      <w:r w:rsidRPr="00F13C12">
        <w:rPr>
          <w:rFonts w:hint="cs"/>
          <w:i/>
          <w:iCs/>
          <w:rtl/>
        </w:rPr>
        <w:t>وإذ يشير</w:t>
      </w:r>
      <w:r w:rsidR="00627FC1">
        <w:rPr>
          <w:rFonts w:hint="cs"/>
          <w:i/>
          <w:iCs/>
          <w:rtl/>
        </w:rPr>
        <w:t xml:space="preserve"> أيضاً</w:t>
      </w:r>
      <w:r>
        <w:rPr>
          <w:rFonts w:hint="cs"/>
          <w:rtl/>
        </w:rPr>
        <w:t xml:space="preserve"> إلى قراري مجلس حقوق الإنسان 5/1 و5/2 المؤرخين 18 حزيران/ يونيه</w:t>
      </w:r>
      <w:r>
        <w:rPr>
          <w:rFonts w:hint="eastAsia"/>
          <w:rtl/>
        </w:rPr>
        <w:t> </w:t>
      </w:r>
      <w:r>
        <w:rPr>
          <w:rFonts w:hint="cs"/>
          <w:rtl/>
        </w:rPr>
        <w:t>2007،</w:t>
      </w:r>
      <w:r>
        <w:rPr>
          <w:rFonts w:cs="Times New Roman" w:hint="cs"/>
          <w:rtl/>
        </w:rPr>
        <w:t>‬</w:t>
      </w:r>
    </w:p>
    <w:p w:rsidR="00946B05" w:rsidRDefault="00946B05" w:rsidP="00946B05">
      <w:pPr>
        <w:pStyle w:val="SingleTxtGA"/>
        <w:rPr>
          <w:rtl/>
        </w:rPr>
      </w:pPr>
      <w:r>
        <w:rPr>
          <w:rtl/>
        </w:rPr>
        <w:tab/>
        <w:t>1-</w:t>
      </w:r>
      <w:r>
        <w:rPr>
          <w:rtl/>
        </w:rPr>
        <w:tab/>
      </w:r>
      <w:r w:rsidRPr="00606DE3">
        <w:rPr>
          <w:i/>
          <w:iCs/>
          <w:rtl/>
        </w:rPr>
        <w:t>يرحب</w:t>
      </w:r>
      <w:r>
        <w:rPr>
          <w:rtl/>
        </w:rPr>
        <w:t xml:space="preserve"> بتقرير</w:t>
      </w:r>
      <w:r>
        <w:rPr>
          <w:rFonts w:hint="cs"/>
          <w:rtl/>
        </w:rPr>
        <w:t>ي</w:t>
      </w:r>
      <w:r>
        <w:rPr>
          <w:rtl/>
        </w:rPr>
        <w:t xml:space="preserve"> المقرر الخاص المعني بحالة حقوق الإنسان في بيلاروس</w:t>
      </w:r>
      <w:r>
        <w:rPr>
          <w:vertAlign w:val="superscript"/>
          <w:rtl/>
        </w:rPr>
        <w:t>(</w:t>
      </w:r>
      <w:r>
        <w:rPr>
          <w:rStyle w:val="FootnoteReference"/>
          <w:rtl/>
        </w:rPr>
        <w:footnoteReference w:id="1"/>
      </w:r>
      <w:r>
        <w:rPr>
          <w:vertAlign w:val="superscript"/>
          <w:rtl/>
        </w:rPr>
        <w:t>)</w:t>
      </w:r>
      <w:r>
        <w:rPr>
          <w:rtl/>
        </w:rPr>
        <w:t>؛</w:t>
      </w:r>
    </w:p>
    <w:p w:rsidR="00946B05" w:rsidRDefault="00946B05" w:rsidP="00627FC1">
      <w:pPr>
        <w:pStyle w:val="SingleTxtGA"/>
        <w:rPr>
          <w:rtl/>
        </w:rPr>
      </w:pPr>
      <w:r>
        <w:rPr>
          <w:rtl/>
        </w:rPr>
        <w:tab/>
        <w:t>2-</w:t>
      </w:r>
      <w:r>
        <w:rPr>
          <w:rtl/>
        </w:rPr>
        <w:tab/>
      </w:r>
      <w:r w:rsidRPr="00606DE3">
        <w:rPr>
          <w:i/>
          <w:iCs/>
          <w:rtl/>
        </w:rPr>
        <w:t>يعرب</w:t>
      </w:r>
      <w:r>
        <w:rPr>
          <w:rtl/>
        </w:rPr>
        <w:t xml:space="preserve"> </w:t>
      </w:r>
      <w:r w:rsidRPr="00976AFA">
        <w:rPr>
          <w:i/>
          <w:iCs/>
          <w:rtl/>
        </w:rPr>
        <w:t>عن بالغ قلقه</w:t>
      </w:r>
      <w:r>
        <w:rPr>
          <w:rtl/>
        </w:rPr>
        <w:t xml:space="preserve"> إزاء </w:t>
      </w:r>
      <w:r>
        <w:rPr>
          <w:rFonts w:hint="cs"/>
          <w:rtl/>
        </w:rPr>
        <w:t>ال</w:t>
      </w:r>
      <w:r>
        <w:rPr>
          <w:rtl/>
        </w:rPr>
        <w:t xml:space="preserve">انتهاكات </w:t>
      </w:r>
      <w:r>
        <w:rPr>
          <w:rFonts w:hint="cs"/>
          <w:rtl/>
        </w:rPr>
        <w:t>المستمرة ل</w:t>
      </w:r>
      <w:r>
        <w:rPr>
          <w:rtl/>
        </w:rPr>
        <w:t xml:space="preserve">حقوق الإنسان في بيلاروس، وهي انتهاكات </w:t>
      </w:r>
      <w:r>
        <w:rPr>
          <w:rFonts w:hint="cs"/>
          <w:rtl/>
        </w:rPr>
        <w:t>نُظُمية</w:t>
      </w:r>
      <w:r>
        <w:rPr>
          <w:rtl/>
        </w:rPr>
        <w:t xml:space="preserve"> </w:t>
      </w:r>
      <w:r>
        <w:rPr>
          <w:rFonts w:hint="cs"/>
          <w:rtl/>
        </w:rPr>
        <w:t>ومنهجية</w:t>
      </w:r>
      <w:r>
        <w:rPr>
          <w:rtl/>
        </w:rPr>
        <w:t xml:space="preserve">، وكذلك إزاء اللجوء إلى التعذيب وسوء المعاملة </w:t>
      </w:r>
      <w:r>
        <w:rPr>
          <w:rFonts w:hint="cs"/>
          <w:rtl/>
        </w:rPr>
        <w:t xml:space="preserve">في أثناء </w:t>
      </w:r>
      <w:r>
        <w:rPr>
          <w:rtl/>
        </w:rPr>
        <w:t xml:space="preserve">الاحتجاز، وعدم </w:t>
      </w:r>
      <w:r>
        <w:rPr>
          <w:rFonts w:hint="cs"/>
          <w:rtl/>
        </w:rPr>
        <w:t>تصدي</w:t>
      </w:r>
      <w:r>
        <w:rPr>
          <w:rtl/>
        </w:rPr>
        <w:t xml:space="preserve"> الحكومة لحالات الاختفاء القسري للمعارضين السياسيين، وإفلات مرتكبي انتهاكات حقوق الإنسان من العقاب، وانتهاكات حقوق العمال التي تصل إلى حد العمل القسري، </w:t>
      </w:r>
      <w:r>
        <w:rPr>
          <w:rFonts w:hint="cs"/>
          <w:rtl/>
        </w:rPr>
        <w:t>والثغرات</w:t>
      </w:r>
      <w:r>
        <w:rPr>
          <w:rtl/>
        </w:rPr>
        <w:t xml:space="preserve"> الكبيرة في تشريعات مكافحة التمييز، </w:t>
      </w:r>
      <w:r>
        <w:rPr>
          <w:rFonts w:hint="cs"/>
          <w:rtl/>
        </w:rPr>
        <w:t xml:space="preserve">وممارسة الضغوط على محامي الدفاع، </w:t>
      </w:r>
      <w:r>
        <w:rPr>
          <w:rtl/>
        </w:rPr>
        <w:t xml:space="preserve">وعدم مشاركة أحزاب المعارضة السياسية في البرلمان، </w:t>
      </w:r>
      <w:r>
        <w:rPr>
          <w:rFonts w:hint="cs"/>
          <w:rtl/>
        </w:rPr>
        <w:t>ويحث الحكومة على إجراء إصلاح انتخابي بما</w:t>
      </w:r>
      <w:r>
        <w:rPr>
          <w:rtl/>
        </w:rPr>
        <w:t> </w:t>
      </w:r>
      <w:r>
        <w:rPr>
          <w:rFonts w:hint="cs"/>
          <w:rtl/>
        </w:rPr>
        <w:t>يت</w:t>
      </w:r>
      <w:r w:rsidR="00627FC1">
        <w:rPr>
          <w:rFonts w:hint="cs"/>
          <w:rtl/>
        </w:rPr>
        <w:t>وافق</w:t>
      </w:r>
      <w:r>
        <w:rPr>
          <w:rFonts w:hint="cs"/>
          <w:rtl/>
        </w:rPr>
        <w:t xml:space="preserve"> مع التوصيات المقدمة من المقرر الخاص بغية ضمان أن تكون الانتخابات في بيلاروس على جميع المستويات متفقة مع القواعد والمعايير التي حددتها منظمة الأمن والتعاون في أوروبا، ويدعو سلطات بيلاروس إلى أن تتعاون بالكامل تحقيقاً لهذه الغاية مع آليات الأمم المتحدة ذات الصلة ومع مكتب المؤسسات الديمقراطية وحقوق الإنسان التابع للمنظمة المذكورة</w:t>
      </w:r>
      <w:r>
        <w:rPr>
          <w:rtl/>
        </w:rPr>
        <w:t>؛</w:t>
      </w:r>
    </w:p>
    <w:p w:rsidR="00946B05" w:rsidRPr="00B07BF5" w:rsidRDefault="00946B05" w:rsidP="00946B05">
      <w:pPr>
        <w:pStyle w:val="SingleTxtGA"/>
        <w:rPr>
          <w:spacing w:val="-4"/>
          <w:rtl/>
        </w:rPr>
      </w:pPr>
      <w:r w:rsidRPr="00B07BF5">
        <w:rPr>
          <w:spacing w:val="-4"/>
          <w:rtl/>
        </w:rPr>
        <w:tab/>
        <w:t>3-</w:t>
      </w:r>
      <w:r w:rsidRPr="00B07BF5">
        <w:rPr>
          <w:spacing w:val="-4"/>
          <w:rtl/>
        </w:rPr>
        <w:tab/>
      </w:r>
      <w:r w:rsidRPr="00B07BF5">
        <w:rPr>
          <w:rFonts w:hint="cs"/>
          <w:i/>
          <w:iCs/>
          <w:spacing w:val="-4"/>
          <w:rtl/>
        </w:rPr>
        <w:t>يهيب</w:t>
      </w:r>
      <w:r w:rsidRPr="00B07BF5">
        <w:rPr>
          <w:spacing w:val="-4"/>
          <w:rtl/>
        </w:rPr>
        <w:t xml:space="preserve"> </w:t>
      </w:r>
      <w:r w:rsidRPr="00B07BF5">
        <w:rPr>
          <w:rFonts w:hint="cs"/>
          <w:spacing w:val="-4"/>
          <w:rtl/>
        </w:rPr>
        <w:t>ب</w:t>
      </w:r>
      <w:r w:rsidRPr="00B07BF5">
        <w:rPr>
          <w:spacing w:val="-4"/>
          <w:rtl/>
        </w:rPr>
        <w:t xml:space="preserve">حكومة بيلاروس </w:t>
      </w:r>
      <w:r w:rsidRPr="00B07BF5">
        <w:rPr>
          <w:rFonts w:hint="cs"/>
          <w:spacing w:val="-4"/>
          <w:rtl/>
        </w:rPr>
        <w:t>أن تجري</w:t>
      </w:r>
      <w:r w:rsidRPr="00B07BF5">
        <w:rPr>
          <w:spacing w:val="-4"/>
          <w:rtl/>
        </w:rPr>
        <w:t xml:space="preserve"> مراجعة شاملة للتشريعات والسياسات والاستراتيجيات والممارسات ذات الصلة من أجل ضمان تحديد الأحكام تحديدا</w:t>
      </w:r>
      <w:r w:rsidRPr="00B07BF5">
        <w:rPr>
          <w:rFonts w:hint="cs"/>
          <w:spacing w:val="-4"/>
          <w:rtl/>
        </w:rPr>
        <w:t>ً</w:t>
      </w:r>
      <w:r w:rsidRPr="00B07BF5">
        <w:rPr>
          <w:spacing w:val="-4"/>
          <w:rtl/>
        </w:rPr>
        <w:t xml:space="preserve"> واضحا</w:t>
      </w:r>
      <w:r w:rsidRPr="00B07BF5">
        <w:rPr>
          <w:rFonts w:hint="cs"/>
          <w:spacing w:val="-4"/>
          <w:rtl/>
        </w:rPr>
        <w:t>ً</w:t>
      </w:r>
      <w:r w:rsidRPr="00B07BF5">
        <w:rPr>
          <w:spacing w:val="-4"/>
          <w:rtl/>
        </w:rPr>
        <w:t xml:space="preserve">، </w:t>
      </w:r>
      <w:r w:rsidRPr="00B07BF5">
        <w:rPr>
          <w:rFonts w:hint="cs"/>
          <w:spacing w:val="-4"/>
          <w:rtl/>
        </w:rPr>
        <w:t>و</w:t>
      </w:r>
      <w:r w:rsidR="00627FC1">
        <w:rPr>
          <w:rFonts w:hint="cs"/>
          <w:spacing w:val="-4"/>
          <w:rtl/>
        </w:rPr>
        <w:t xml:space="preserve">ضمان </w:t>
      </w:r>
      <w:r w:rsidRPr="00B07BF5">
        <w:rPr>
          <w:rFonts w:hint="cs"/>
          <w:spacing w:val="-4"/>
          <w:rtl/>
        </w:rPr>
        <w:t>اتساقها مع</w:t>
      </w:r>
      <w:r w:rsidRPr="00B07BF5">
        <w:rPr>
          <w:spacing w:val="-4"/>
          <w:rtl/>
        </w:rPr>
        <w:t xml:space="preserve"> القانون الدولي لحقوق الإنسان و</w:t>
      </w:r>
      <w:r w:rsidRPr="00B07BF5">
        <w:rPr>
          <w:rFonts w:hint="cs"/>
          <w:spacing w:val="-4"/>
          <w:rtl/>
        </w:rPr>
        <w:t xml:space="preserve">مع </w:t>
      </w:r>
      <w:r w:rsidRPr="00B07BF5">
        <w:rPr>
          <w:spacing w:val="-4"/>
          <w:rtl/>
        </w:rPr>
        <w:t>التزاماتها</w:t>
      </w:r>
      <w:r w:rsidRPr="00B07BF5">
        <w:rPr>
          <w:rFonts w:hint="cs"/>
          <w:spacing w:val="-4"/>
          <w:rtl/>
        </w:rPr>
        <w:t xml:space="preserve"> وتع</w:t>
      </w:r>
      <w:r>
        <w:rPr>
          <w:rFonts w:hint="cs"/>
          <w:spacing w:val="-4"/>
          <w:rtl/>
        </w:rPr>
        <w:t>ه</w:t>
      </w:r>
      <w:r w:rsidRPr="00B07BF5">
        <w:rPr>
          <w:rFonts w:hint="cs"/>
          <w:spacing w:val="-4"/>
          <w:rtl/>
        </w:rPr>
        <w:t>داتها</w:t>
      </w:r>
      <w:r w:rsidRPr="00B07BF5">
        <w:rPr>
          <w:spacing w:val="-4"/>
          <w:rtl/>
        </w:rPr>
        <w:t xml:space="preserve"> في مجال حقوق الإنسان، وعدم استخدامها لمنع ممارسة أي حق من حقوق الإنسان أو تقييده دون موجب، بما في ذلك </w:t>
      </w:r>
      <w:r w:rsidRPr="00B07BF5">
        <w:rPr>
          <w:rFonts w:hint="cs"/>
          <w:spacing w:val="-4"/>
          <w:rtl/>
        </w:rPr>
        <w:t>منع أو</w:t>
      </w:r>
      <w:r w:rsidRPr="00B07BF5">
        <w:rPr>
          <w:spacing w:val="-4"/>
          <w:rtl/>
        </w:rPr>
        <w:t> </w:t>
      </w:r>
      <w:r w:rsidRPr="00B07BF5">
        <w:rPr>
          <w:rFonts w:hint="cs"/>
          <w:spacing w:val="-4"/>
          <w:rtl/>
        </w:rPr>
        <w:t>تقييد الحق في حرية الرأي والتعبير</w:t>
      </w:r>
      <w:r w:rsidR="00627FC1">
        <w:rPr>
          <w:rFonts w:hint="cs"/>
          <w:spacing w:val="-4"/>
          <w:rtl/>
        </w:rPr>
        <w:t>،</w:t>
      </w:r>
      <w:r w:rsidRPr="00B07BF5">
        <w:rPr>
          <w:rFonts w:hint="cs"/>
          <w:spacing w:val="-4"/>
          <w:rtl/>
        </w:rPr>
        <w:t xml:space="preserve"> </w:t>
      </w:r>
      <w:r w:rsidRPr="00B07BF5">
        <w:rPr>
          <w:spacing w:val="-4"/>
          <w:rtl/>
        </w:rPr>
        <w:t>و</w:t>
      </w:r>
      <w:r w:rsidRPr="00B07BF5">
        <w:rPr>
          <w:rFonts w:hint="cs"/>
          <w:spacing w:val="-4"/>
          <w:rtl/>
        </w:rPr>
        <w:t xml:space="preserve">الحق في </w:t>
      </w:r>
      <w:r w:rsidRPr="00B07BF5">
        <w:rPr>
          <w:spacing w:val="-4"/>
          <w:rtl/>
        </w:rPr>
        <w:t>التجمع السلمي</w:t>
      </w:r>
      <w:r w:rsidR="00627FC1">
        <w:rPr>
          <w:rFonts w:hint="cs"/>
          <w:spacing w:val="-4"/>
          <w:rtl/>
        </w:rPr>
        <w:t>،</w:t>
      </w:r>
      <w:r w:rsidRPr="00B07BF5">
        <w:rPr>
          <w:rFonts w:hint="cs"/>
          <w:spacing w:val="-4"/>
          <w:rtl/>
        </w:rPr>
        <w:t xml:space="preserve"> والحق في</w:t>
      </w:r>
      <w:r w:rsidRPr="00B07BF5">
        <w:rPr>
          <w:spacing w:val="-4"/>
          <w:rtl/>
        </w:rPr>
        <w:t xml:space="preserve"> تكوين الجمعيات</w:t>
      </w:r>
      <w:r w:rsidRPr="00B07BF5">
        <w:rPr>
          <w:rFonts w:hint="cs"/>
          <w:spacing w:val="-4"/>
          <w:rtl/>
        </w:rPr>
        <w:t>، بما</w:t>
      </w:r>
      <w:r w:rsidRPr="00B07BF5">
        <w:rPr>
          <w:spacing w:val="-4"/>
          <w:rtl/>
        </w:rPr>
        <w:t> </w:t>
      </w:r>
      <w:r w:rsidRPr="00B07BF5">
        <w:rPr>
          <w:rFonts w:hint="cs"/>
          <w:spacing w:val="-4"/>
          <w:rtl/>
        </w:rPr>
        <w:t xml:space="preserve">في ذلك الحق في تشكيل </w:t>
      </w:r>
      <w:r w:rsidR="00627FC1">
        <w:rPr>
          <w:rFonts w:hint="cs"/>
          <w:spacing w:val="-4"/>
          <w:rtl/>
        </w:rPr>
        <w:t>ال</w:t>
      </w:r>
      <w:r w:rsidRPr="00B07BF5">
        <w:rPr>
          <w:rFonts w:hint="cs"/>
          <w:spacing w:val="-4"/>
          <w:rtl/>
        </w:rPr>
        <w:t>نقابات والانضمام إليها، فضلاً عن الحق في</w:t>
      </w:r>
      <w:r w:rsidRPr="00B07BF5">
        <w:rPr>
          <w:spacing w:val="-4"/>
          <w:rtl/>
        </w:rPr>
        <w:t xml:space="preserve"> حرية الإعلام؛</w:t>
      </w:r>
    </w:p>
    <w:p w:rsidR="00946B05" w:rsidRPr="00F13C12" w:rsidRDefault="00946B05" w:rsidP="00946B05">
      <w:pPr>
        <w:pStyle w:val="SingleTxtGA"/>
        <w:rPr>
          <w:rFonts w:hint="cs"/>
          <w:rtl/>
        </w:rPr>
      </w:pPr>
      <w:r w:rsidRPr="00F13C12">
        <w:rPr>
          <w:rtl/>
        </w:rPr>
        <w:tab/>
        <w:t>4-</w:t>
      </w:r>
      <w:r w:rsidRPr="00F13C12">
        <w:rPr>
          <w:rtl/>
        </w:rPr>
        <w:tab/>
      </w:r>
      <w:r>
        <w:rPr>
          <w:rFonts w:hint="cs"/>
          <w:i/>
          <w:iCs/>
          <w:rtl/>
        </w:rPr>
        <w:t>يحيط علماً</w:t>
      </w:r>
      <w:r w:rsidRPr="00F13C12">
        <w:rPr>
          <w:rtl/>
        </w:rPr>
        <w:t xml:space="preserve"> </w:t>
      </w:r>
      <w:r>
        <w:rPr>
          <w:rFonts w:hint="cs"/>
          <w:rtl/>
        </w:rPr>
        <w:t xml:space="preserve">باستمرار اهتمام </w:t>
      </w:r>
      <w:r w:rsidRPr="00F13C12">
        <w:rPr>
          <w:rtl/>
        </w:rPr>
        <w:t>المقرر الخاص ب</w:t>
      </w:r>
      <w:r>
        <w:rPr>
          <w:rFonts w:hint="cs"/>
          <w:rtl/>
        </w:rPr>
        <w:t xml:space="preserve">مسألة </w:t>
      </w:r>
      <w:r w:rsidRPr="00F13C12">
        <w:rPr>
          <w:rtl/>
        </w:rPr>
        <w:t xml:space="preserve">عقوبة الإعدام في بيلاروس، </w:t>
      </w:r>
      <w:r>
        <w:rPr>
          <w:rFonts w:hint="cs"/>
          <w:rtl/>
        </w:rPr>
        <w:t>ويشجّع</w:t>
      </w:r>
      <w:r w:rsidRPr="00F13C12">
        <w:rPr>
          <w:rtl/>
        </w:rPr>
        <w:t xml:space="preserve"> الفريق العامل البرلماني المعني بعقوبة الإعدام</w:t>
      </w:r>
      <w:r>
        <w:rPr>
          <w:rFonts w:hint="cs"/>
          <w:rtl/>
        </w:rPr>
        <w:t xml:space="preserve"> على التعجيل بأعماله</w:t>
      </w:r>
      <w:r w:rsidRPr="00F13C12">
        <w:rPr>
          <w:rtl/>
        </w:rPr>
        <w:t>؛</w:t>
      </w:r>
    </w:p>
    <w:p w:rsidR="00946B05" w:rsidRPr="002D332E" w:rsidRDefault="00946B05" w:rsidP="00946B05">
      <w:pPr>
        <w:pStyle w:val="SingleTxtGA"/>
        <w:rPr>
          <w:rtl/>
        </w:rPr>
      </w:pPr>
      <w:r w:rsidRPr="002D332E">
        <w:rPr>
          <w:rtl/>
        </w:rPr>
        <w:tab/>
        <w:t>5-</w:t>
      </w:r>
      <w:r w:rsidRPr="002D332E">
        <w:rPr>
          <w:rtl/>
        </w:rPr>
        <w:tab/>
      </w:r>
      <w:r>
        <w:rPr>
          <w:rFonts w:hint="cs"/>
          <w:i/>
          <w:iCs/>
          <w:rtl/>
        </w:rPr>
        <w:t xml:space="preserve">يحث </w:t>
      </w:r>
      <w:r w:rsidRPr="002D332E">
        <w:rPr>
          <w:rtl/>
        </w:rPr>
        <w:t xml:space="preserve">حكومة بيلاروس </w:t>
      </w:r>
      <w:r>
        <w:rPr>
          <w:rFonts w:hint="cs"/>
          <w:rtl/>
        </w:rPr>
        <w:t xml:space="preserve">على </w:t>
      </w:r>
      <w:r w:rsidRPr="002D332E">
        <w:rPr>
          <w:rtl/>
        </w:rPr>
        <w:t>أن تجري إصلاحا</w:t>
      </w:r>
      <w:r w:rsidRPr="002D332E">
        <w:rPr>
          <w:rFonts w:hint="cs"/>
          <w:rtl/>
        </w:rPr>
        <w:t>ً</w:t>
      </w:r>
      <w:r w:rsidRPr="002D332E">
        <w:rPr>
          <w:rtl/>
        </w:rPr>
        <w:t xml:space="preserve"> شاملا</w:t>
      </w:r>
      <w:r w:rsidRPr="002D332E">
        <w:rPr>
          <w:rFonts w:hint="cs"/>
          <w:rtl/>
        </w:rPr>
        <w:t>ً</w:t>
      </w:r>
      <w:r w:rsidRPr="002D332E">
        <w:rPr>
          <w:rtl/>
        </w:rPr>
        <w:t xml:space="preserve"> لقطاع القضاء ونقابات المحامين من أجل ضمان استقلال ونزاهة السلطة القضائية</w:t>
      </w:r>
      <w:r>
        <w:rPr>
          <w:rFonts w:hint="cs"/>
          <w:rtl/>
        </w:rPr>
        <w:t xml:space="preserve"> بشكل كامل</w:t>
      </w:r>
      <w:r w:rsidRPr="002D332E">
        <w:rPr>
          <w:rtl/>
        </w:rPr>
        <w:t>، و</w:t>
      </w:r>
      <w:r>
        <w:rPr>
          <w:rFonts w:hint="cs"/>
          <w:rtl/>
        </w:rPr>
        <w:t xml:space="preserve">ضمان </w:t>
      </w:r>
      <w:r w:rsidRPr="002D332E">
        <w:rPr>
          <w:rtl/>
        </w:rPr>
        <w:t>قرينة البراءة، و</w:t>
      </w:r>
      <w:r>
        <w:rPr>
          <w:rFonts w:hint="cs"/>
          <w:rtl/>
        </w:rPr>
        <w:t xml:space="preserve">الحق في </w:t>
      </w:r>
      <w:r w:rsidRPr="002D332E">
        <w:rPr>
          <w:rtl/>
        </w:rPr>
        <w:t xml:space="preserve">محاكمة عادلة، والحق في مراجعة فعالة للأحكام والإدانات </w:t>
      </w:r>
      <w:r>
        <w:rPr>
          <w:rFonts w:hint="cs"/>
          <w:rtl/>
        </w:rPr>
        <w:t xml:space="preserve">الصادرة </w:t>
      </w:r>
      <w:r w:rsidRPr="002D332E">
        <w:rPr>
          <w:rFonts w:hint="cs"/>
          <w:rtl/>
        </w:rPr>
        <w:t>تجريها</w:t>
      </w:r>
      <w:r w:rsidRPr="002D332E">
        <w:rPr>
          <w:rtl/>
        </w:rPr>
        <w:t xml:space="preserve"> محكمة أعلى منشأة </w:t>
      </w:r>
      <w:r w:rsidRPr="002D332E">
        <w:rPr>
          <w:rFonts w:hint="cs"/>
          <w:rtl/>
        </w:rPr>
        <w:t>بموجب القانون</w:t>
      </w:r>
      <w:r w:rsidRPr="002D332E">
        <w:rPr>
          <w:rtl/>
        </w:rPr>
        <w:t>، و</w:t>
      </w:r>
      <w:r>
        <w:rPr>
          <w:rFonts w:hint="cs"/>
          <w:rtl/>
        </w:rPr>
        <w:t xml:space="preserve">الحق </w:t>
      </w:r>
      <w:r w:rsidRPr="002D332E">
        <w:rPr>
          <w:rtl/>
        </w:rPr>
        <w:t>في حرية اختيار التمثيل القانوني في جميع مراحل الدعاوى، وتوافر معلومات عن تنفيذ جميع الأحكام</w:t>
      </w:r>
      <w:r>
        <w:rPr>
          <w:rFonts w:hint="cs"/>
          <w:rtl/>
        </w:rPr>
        <w:t xml:space="preserve"> الصادرة، بينما يحيط علماً بالمحاولات التي بّذلت مؤخراً لإصلاح القضاء</w:t>
      </w:r>
      <w:r w:rsidRPr="002D332E">
        <w:rPr>
          <w:rtl/>
        </w:rPr>
        <w:t>؛</w:t>
      </w:r>
    </w:p>
    <w:p w:rsidR="00946B05" w:rsidRPr="00F13C12" w:rsidRDefault="00946B05" w:rsidP="00627FC1">
      <w:pPr>
        <w:pStyle w:val="SingleTxtGA"/>
        <w:rPr>
          <w:spacing w:val="-2"/>
          <w:rtl/>
        </w:rPr>
      </w:pPr>
      <w:r>
        <w:rPr>
          <w:rtl/>
        </w:rPr>
        <w:tab/>
        <w:t>6-</w:t>
      </w:r>
      <w:r>
        <w:rPr>
          <w:rtl/>
        </w:rPr>
        <w:tab/>
      </w:r>
      <w:r w:rsidRPr="00606DE3">
        <w:rPr>
          <w:i/>
          <w:iCs/>
          <w:rtl/>
        </w:rPr>
        <w:t>يحث</w:t>
      </w:r>
      <w:r>
        <w:rPr>
          <w:rtl/>
        </w:rPr>
        <w:t xml:space="preserve"> </w:t>
      </w:r>
      <w:r w:rsidRPr="00976AFA">
        <w:rPr>
          <w:i/>
          <w:iCs/>
          <w:rtl/>
        </w:rPr>
        <w:t>بقوة</w:t>
      </w:r>
      <w:r>
        <w:rPr>
          <w:rtl/>
        </w:rPr>
        <w:t xml:space="preserve"> حكومة بيلاروس على الإفراج الفوري وغير </w:t>
      </w:r>
      <w:r>
        <w:rPr>
          <w:rFonts w:hint="cs"/>
          <w:rtl/>
        </w:rPr>
        <w:t xml:space="preserve">المشروط </w:t>
      </w:r>
      <w:r>
        <w:rPr>
          <w:rtl/>
        </w:rPr>
        <w:t xml:space="preserve">عن جميع السجناء السياسيين </w:t>
      </w:r>
      <w:r>
        <w:rPr>
          <w:rFonts w:hint="cs"/>
          <w:rtl/>
        </w:rPr>
        <w:t xml:space="preserve">وعلى </w:t>
      </w:r>
      <w:r w:rsidR="00627FC1">
        <w:rPr>
          <w:rFonts w:hint="cs"/>
          <w:rtl/>
        </w:rPr>
        <w:t xml:space="preserve">رد الاعتبار </w:t>
      </w:r>
      <w:r>
        <w:rPr>
          <w:rFonts w:hint="cs"/>
          <w:rtl/>
        </w:rPr>
        <w:t>لهم</w:t>
      </w:r>
      <w:r>
        <w:rPr>
          <w:rtl/>
        </w:rPr>
        <w:t>،</w:t>
      </w:r>
      <w:r>
        <w:rPr>
          <w:rFonts w:hint="cs"/>
          <w:rtl/>
        </w:rPr>
        <w:t xml:space="preserve"> مع ترحيبه في الوقت نفسه بالإفراج مؤخراً عن مدافع بارز عن حقوق الإنسان، ويحث الحكومة بقوة أيضاً على ضمان إعادة الحقوق المدنية والسياسية في الحال وبصورة كاملة لأولئك الذين جرى الإفراج عنهم، </w:t>
      </w:r>
      <w:r>
        <w:rPr>
          <w:rtl/>
        </w:rPr>
        <w:t xml:space="preserve">وإجراء تحقيقات شاملة وشفافة وذات مصداقية في </w:t>
      </w:r>
      <w:r>
        <w:rPr>
          <w:rFonts w:hint="cs"/>
          <w:rtl/>
        </w:rPr>
        <w:t>التقارير ال</w:t>
      </w:r>
      <w:r w:rsidR="00627FC1">
        <w:rPr>
          <w:rFonts w:hint="cs"/>
          <w:rtl/>
        </w:rPr>
        <w:t>تي تتحدث عن</w:t>
      </w:r>
      <w:r>
        <w:rPr>
          <w:rFonts w:hint="cs"/>
          <w:rtl/>
        </w:rPr>
        <w:t xml:space="preserve"> وقوع </w:t>
      </w:r>
      <w:r>
        <w:rPr>
          <w:rtl/>
        </w:rPr>
        <w:t xml:space="preserve">حالات تعذيب </w:t>
      </w:r>
      <w:r w:rsidRPr="00F13C12">
        <w:rPr>
          <w:spacing w:val="-2"/>
          <w:rtl/>
        </w:rPr>
        <w:t>وإساءة معاملة على أيدي الموظفين المكلفين بإنفاذ القانون</w:t>
      </w:r>
      <w:r>
        <w:rPr>
          <w:rFonts w:hint="cs"/>
          <w:spacing w:val="-2"/>
          <w:rtl/>
        </w:rPr>
        <w:t xml:space="preserve"> ومقاضاة من يُدَّعى ارتكابهم لهذه الأفعال ومعاقبة من تثبت إدانته منهم</w:t>
      </w:r>
      <w:r w:rsidRPr="00F13C12">
        <w:rPr>
          <w:spacing w:val="-2"/>
          <w:rtl/>
        </w:rPr>
        <w:t>، ووضع حد فوري ل</w:t>
      </w:r>
      <w:r>
        <w:rPr>
          <w:rFonts w:hint="cs"/>
          <w:spacing w:val="-2"/>
          <w:rtl/>
        </w:rPr>
        <w:t>حالات إلقاء القبض على ا</w:t>
      </w:r>
      <w:r w:rsidRPr="00F13C12">
        <w:rPr>
          <w:spacing w:val="-2"/>
          <w:rtl/>
        </w:rPr>
        <w:t>لمدافعين عن حقوق الإنسان</w:t>
      </w:r>
      <w:r>
        <w:rPr>
          <w:rFonts w:hint="cs"/>
          <w:spacing w:val="-2"/>
          <w:rtl/>
        </w:rPr>
        <w:t xml:space="preserve"> </w:t>
      </w:r>
      <w:r w:rsidRPr="00F13C12">
        <w:rPr>
          <w:spacing w:val="-2"/>
          <w:rtl/>
        </w:rPr>
        <w:t>والمعارضين السياسيين</w:t>
      </w:r>
      <w:r>
        <w:rPr>
          <w:rFonts w:hint="cs"/>
          <w:spacing w:val="-2"/>
          <w:rtl/>
        </w:rPr>
        <w:t xml:space="preserve"> والصحفيين</w:t>
      </w:r>
      <w:r w:rsidRPr="00F13C12">
        <w:rPr>
          <w:spacing w:val="-2"/>
          <w:rtl/>
        </w:rPr>
        <w:t xml:space="preserve"> </w:t>
      </w:r>
      <w:r>
        <w:rPr>
          <w:rFonts w:hint="cs"/>
          <w:spacing w:val="-2"/>
          <w:rtl/>
        </w:rPr>
        <w:t xml:space="preserve">واحتجازهم بشكل تعسفي ومضايقتهم، ووضع حد فوري </w:t>
      </w:r>
      <w:r w:rsidRPr="00F13C12">
        <w:rPr>
          <w:spacing w:val="-2"/>
          <w:rtl/>
        </w:rPr>
        <w:t>لحظر السفر التعسفي و</w:t>
      </w:r>
      <w:r>
        <w:rPr>
          <w:rFonts w:hint="cs"/>
          <w:spacing w:val="-2"/>
          <w:rtl/>
        </w:rPr>
        <w:t>ل</w:t>
      </w:r>
      <w:r w:rsidRPr="00F13C12">
        <w:rPr>
          <w:spacing w:val="-2"/>
          <w:rtl/>
        </w:rPr>
        <w:t>غير</w:t>
      </w:r>
      <w:r>
        <w:rPr>
          <w:rFonts w:hint="cs"/>
          <w:spacing w:val="-2"/>
          <w:rtl/>
        </w:rPr>
        <w:t xml:space="preserve"> ذلك</w:t>
      </w:r>
      <w:r w:rsidRPr="00F13C12">
        <w:rPr>
          <w:spacing w:val="-2"/>
          <w:rtl/>
        </w:rPr>
        <w:t xml:space="preserve"> من السياسات </w:t>
      </w:r>
      <w:r>
        <w:rPr>
          <w:rFonts w:hint="cs"/>
          <w:spacing w:val="-2"/>
          <w:rtl/>
        </w:rPr>
        <w:t>الهادفة</w:t>
      </w:r>
      <w:r w:rsidRPr="00F13C12">
        <w:rPr>
          <w:spacing w:val="-2"/>
          <w:rtl/>
        </w:rPr>
        <w:t xml:space="preserve"> إلى </w:t>
      </w:r>
      <w:r>
        <w:rPr>
          <w:rFonts w:hint="cs"/>
          <w:spacing w:val="-2"/>
          <w:rtl/>
        </w:rPr>
        <w:t>ترهيب</w:t>
      </w:r>
      <w:r w:rsidRPr="00F13C12">
        <w:rPr>
          <w:spacing w:val="-2"/>
          <w:rtl/>
        </w:rPr>
        <w:t xml:space="preserve"> ممثلي المعارضة السياسية ووسائط الإعلام والمدافعين عن حقوق الإنسان و</w:t>
      </w:r>
      <w:r>
        <w:rPr>
          <w:rFonts w:hint="cs"/>
          <w:spacing w:val="-2"/>
          <w:rtl/>
        </w:rPr>
        <w:t xml:space="preserve">منظمات </w:t>
      </w:r>
      <w:r w:rsidRPr="00F13C12">
        <w:rPr>
          <w:spacing w:val="-2"/>
          <w:rtl/>
        </w:rPr>
        <w:t>المجتمع المدني؛</w:t>
      </w:r>
    </w:p>
    <w:p w:rsidR="00946B05" w:rsidRDefault="00946B05" w:rsidP="00946B05">
      <w:pPr>
        <w:pStyle w:val="SingleTxtGA"/>
        <w:rPr>
          <w:rtl/>
        </w:rPr>
      </w:pPr>
      <w:r>
        <w:rPr>
          <w:rtl/>
        </w:rPr>
        <w:tab/>
        <w:t>7-</w:t>
      </w:r>
      <w:r>
        <w:rPr>
          <w:rtl/>
        </w:rPr>
        <w:tab/>
      </w:r>
      <w:r w:rsidRPr="00606DE3">
        <w:rPr>
          <w:i/>
          <w:iCs/>
          <w:rtl/>
        </w:rPr>
        <w:t>يشجع</w:t>
      </w:r>
      <w:r>
        <w:rPr>
          <w:rtl/>
        </w:rPr>
        <w:t xml:space="preserve"> </w:t>
      </w:r>
      <w:r w:rsidRPr="00A44085">
        <w:rPr>
          <w:rFonts w:hint="cs"/>
          <w:i/>
          <w:iCs/>
          <w:rtl/>
        </w:rPr>
        <w:t>بقوة</w:t>
      </w:r>
      <w:r>
        <w:rPr>
          <w:rFonts w:hint="cs"/>
          <w:rtl/>
        </w:rPr>
        <w:t xml:space="preserve"> </w:t>
      </w:r>
      <w:r>
        <w:rPr>
          <w:rtl/>
        </w:rPr>
        <w:t>حكومة بيلاروس على إنشاء مؤسسة وطنية لحقوق الإنسان وفقا</w:t>
      </w:r>
      <w:r>
        <w:rPr>
          <w:rFonts w:hint="cs"/>
          <w:rtl/>
        </w:rPr>
        <w:t>ً</w:t>
      </w:r>
      <w:r>
        <w:rPr>
          <w:rtl/>
        </w:rPr>
        <w:t xml:space="preserve"> لمبادئ باريس، وعلى تعزيز التقدم المحرز نحو تحقيق الأهداف الإنمائية للألفية؛</w:t>
      </w:r>
    </w:p>
    <w:p w:rsidR="00946B05" w:rsidRPr="001C26B3" w:rsidRDefault="00946B05" w:rsidP="00946B05">
      <w:pPr>
        <w:pStyle w:val="SingleTxtGA"/>
        <w:rPr>
          <w:spacing w:val="-2"/>
          <w:rtl/>
        </w:rPr>
      </w:pPr>
      <w:r w:rsidRPr="001C26B3">
        <w:rPr>
          <w:spacing w:val="-2"/>
          <w:rtl/>
        </w:rPr>
        <w:tab/>
        <w:t>8-</w:t>
      </w:r>
      <w:r w:rsidRPr="001C26B3">
        <w:rPr>
          <w:spacing w:val="-2"/>
          <w:rtl/>
        </w:rPr>
        <w:tab/>
      </w:r>
      <w:r w:rsidRPr="001C26B3">
        <w:rPr>
          <w:i/>
          <w:iCs/>
          <w:spacing w:val="-2"/>
          <w:rtl/>
        </w:rPr>
        <w:t>يقرر</w:t>
      </w:r>
      <w:r w:rsidRPr="001C26B3">
        <w:rPr>
          <w:spacing w:val="-2"/>
          <w:rtl/>
        </w:rPr>
        <w:t xml:space="preserve"> تمديد ولاية المقرر الخاص المعني بحالة حقوق الإنسان في بيلاروس</w:t>
      </w:r>
      <w:r w:rsidRPr="001C26B3">
        <w:rPr>
          <w:rFonts w:hint="cs"/>
          <w:spacing w:val="-2"/>
          <w:rtl/>
        </w:rPr>
        <w:t xml:space="preserve"> لمدة</w:t>
      </w:r>
      <w:r w:rsidRPr="001C26B3">
        <w:rPr>
          <w:spacing w:val="-2"/>
          <w:rtl/>
        </w:rPr>
        <w:t xml:space="preserve"> سنة واحدة، ويطلب إلى المقرر الخاص أن يقدم تقريراً عن حالة حقوق الإنسان في بيلاروس إلى مجلس حقوق الإنسان في دورته </w:t>
      </w:r>
      <w:r w:rsidRPr="001C26B3">
        <w:rPr>
          <w:rFonts w:hint="cs"/>
          <w:spacing w:val="-2"/>
          <w:rtl/>
        </w:rPr>
        <w:t>التاسعة</w:t>
      </w:r>
      <w:r w:rsidRPr="001C26B3">
        <w:rPr>
          <w:spacing w:val="-2"/>
          <w:rtl/>
        </w:rPr>
        <w:t xml:space="preserve"> والعشرين، وإلى الجمعية العامة في دورتها </w:t>
      </w:r>
      <w:r w:rsidRPr="001C26B3">
        <w:rPr>
          <w:rFonts w:hint="cs"/>
          <w:spacing w:val="-2"/>
          <w:rtl/>
        </w:rPr>
        <w:t>السبعين</w:t>
      </w:r>
      <w:r w:rsidRPr="001C26B3">
        <w:rPr>
          <w:spacing w:val="-2"/>
          <w:rtl/>
        </w:rPr>
        <w:t>؛</w:t>
      </w:r>
    </w:p>
    <w:p w:rsidR="00946B05" w:rsidRDefault="00946B05" w:rsidP="00627FC1">
      <w:pPr>
        <w:pStyle w:val="SingleTxtGA"/>
        <w:rPr>
          <w:rFonts w:hint="cs"/>
          <w:rtl/>
        </w:rPr>
      </w:pPr>
      <w:r>
        <w:rPr>
          <w:rtl/>
        </w:rPr>
        <w:tab/>
        <w:t>9-</w:t>
      </w:r>
      <w:r>
        <w:rPr>
          <w:rtl/>
        </w:rPr>
        <w:tab/>
      </w:r>
      <w:r w:rsidRPr="00606DE3">
        <w:rPr>
          <w:i/>
          <w:iCs/>
          <w:rtl/>
        </w:rPr>
        <w:t>يحث</w:t>
      </w:r>
      <w:r>
        <w:rPr>
          <w:rtl/>
        </w:rPr>
        <w:t xml:space="preserve"> حكومة بيلاروس على أن تتعاون مع المقرر الخاص</w:t>
      </w:r>
      <w:r w:rsidRPr="00BD499D">
        <w:rPr>
          <w:rtl/>
        </w:rPr>
        <w:t xml:space="preserve"> </w:t>
      </w:r>
      <w:r>
        <w:rPr>
          <w:rtl/>
        </w:rPr>
        <w:t xml:space="preserve">تعاوناً كاملاً، بما في ذلك السماح له بزيارة البلد </w:t>
      </w:r>
      <w:r>
        <w:rPr>
          <w:rFonts w:hint="cs"/>
          <w:rtl/>
        </w:rPr>
        <w:t>وتزويده ب</w:t>
      </w:r>
      <w:r>
        <w:rPr>
          <w:rtl/>
        </w:rPr>
        <w:t xml:space="preserve">المعلومات الضرورية </w:t>
      </w:r>
      <w:r>
        <w:rPr>
          <w:rFonts w:hint="cs"/>
          <w:rtl/>
        </w:rPr>
        <w:t xml:space="preserve">لتيسير </w:t>
      </w:r>
      <w:r w:rsidR="00627FC1">
        <w:rPr>
          <w:rFonts w:hint="cs"/>
          <w:rtl/>
        </w:rPr>
        <w:t>اضطلاعه</w:t>
      </w:r>
      <w:r>
        <w:rPr>
          <w:rFonts w:hint="cs"/>
          <w:rtl/>
        </w:rPr>
        <w:t xml:space="preserve"> ب</w:t>
      </w:r>
      <w:r w:rsidR="00627FC1">
        <w:rPr>
          <w:rFonts w:hint="cs"/>
          <w:rtl/>
        </w:rPr>
        <w:t xml:space="preserve">مهام </w:t>
      </w:r>
      <w:r>
        <w:rPr>
          <w:rFonts w:hint="cs"/>
          <w:rtl/>
        </w:rPr>
        <w:t>ولايته</w:t>
      </w:r>
      <w:r w:rsidR="00335280">
        <w:rPr>
          <w:rtl/>
        </w:rPr>
        <w:t>؛</w:t>
      </w:r>
    </w:p>
    <w:p w:rsidR="00946B05" w:rsidRPr="0021442C" w:rsidRDefault="00946B05" w:rsidP="0021442C">
      <w:pPr>
        <w:pStyle w:val="SingleTxtGA"/>
        <w:rPr>
          <w:rFonts w:hint="cs"/>
          <w:rtl/>
        </w:rPr>
      </w:pPr>
      <w:r>
        <w:rPr>
          <w:rtl/>
        </w:rPr>
        <w:tab/>
        <w:t>10-</w:t>
      </w:r>
      <w:r>
        <w:rPr>
          <w:rtl/>
        </w:rPr>
        <w:tab/>
      </w:r>
      <w:r w:rsidRPr="00606DE3">
        <w:rPr>
          <w:i/>
          <w:iCs/>
          <w:rtl/>
        </w:rPr>
        <w:t>يطلب</w:t>
      </w:r>
      <w:r>
        <w:rPr>
          <w:rtl/>
        </w:rPr>
        <w:t xml:space="preserve"> إلى مفوضية الأمم المتحدة السامية لحقوق الإنسان أن تقدم </w:t>
      </w:r>
      <w:r>
        <w:rPr>
          <w:rFonts w:hint="cs"/>
          <w:rtl/>
        </w:rPr>
        <w:t>إلى ا</w:t>
      </w:r>
      <w:r>
        <w:rPr>
          <w:rtl/>
        </w:rPr>
        <w:t xml:space="preserve">لمقرر الخاص المساعدة والموارد اللازمة </w:t>
      </w:r>
      <w:r>
        <w:rPr>
          <w:rFonts w:hint="cs"/>
          <w:rtl/>
        </w:rPr>
        <w:t>لتمكينه من</w:t>
      </w:r>
      <w:r>
        <w:rPr>
          <w:rtl/>
        </w:rPr>
        <w:t xml:space="preserve"> ال</w:t>
      </w:r>
      <w:r w:rsidR="00627FC1">
        <w:rPr>
          <w:rFonts w:hint="cs"/>
          <w:rtl/>
        </w:rPr>
        <w:t>اضطلاع بمهام</w:t>
      </w:r>
      <w:r>
        <w:rPr>
          <w:rtl/>
        </w:rPr>
        <w:t xml:space="preserve"> </w:t>
      </w:r>
      <w:r>
        <w:rPr>
          <w:rFonts w:hint="cs"/>
          <w:rtl/>
        </w:rPr>
        <w:t>ولايته</w:t>
      </w:r>
      <w:r>
        <w:rPr>
          <w:rtl/>
        </w:rPr>
        <w:t>.</w:t>
      </w:r>
    </w:p>
    <w:p w:rsidR="00ED57DA" w:rsidRDefault="00ED57DA" w:rsidP="0021442C">
      <w:pPr>
        <w:pStyle w:val="SingleTxtGA"/>
        <w:jc w:val="right"/>
        <w:rPr>
          <w:rFonts w:hint="cs"/>
          <w:i/>
          <w:iCs/>
          <w:rtl/>
        </w:rPr>
      </w:pPr>
      <w:r w:rsidRPr="00595EEE">
        <w:rPr>
          <w:rFonts w:hint="cs"/>
          <w:i/>
          <w:iCs/>
          <w:rtl/>
        </w:rPr>
        <w:t xml:space="preserve">الجلسة </w:t>
      </w:r>
      <w:r w:rsidR="0021442C">
        <w:rPr>
          <w:rFonts w:hint="cs"/>
          <w:i/>
          <w:iCs/>
          <w:rtl/>
        </w:rPr>
        <w:t>39</w:t>
      </w:r>
      <w:r>
        <w:rPr>
          <w:rFonts w:hint="cs"/>
          <w:i/>
          <w:iCs/>
          <w:rtl/>
        </w:rPr>
        <w:br/>
        <w:t xml:space="preserve">27 </w:t>
      </w:r>
      <w:r w:rsidRPr="00BE404C">
        <w:rPr>
          <w:rFonts w:hint="cs"/>
          <w:i/>
          <w:iCs/>
          <w:sz w:val="30"/>
          <w:rtl/>
        </w:rPr>
        <w:t xml:space="preserve">حزيران/يونيه </w:t>
      </w:r>
      <w:r w:rsidRPr="00595EEE">
        <w:rPr>
          <w:rFonts w:hint="cs"/>
          <w:i/>
          <w:iCs/>
          <w:rtl/>
        </w:rPr>
        <w:t>201</w:t>
      </w:r>
      <w:r>
        <w:rPr>
          <w:rFonts w:hint="cs"/>
          <w:i/>
          <w:iCs/>
          <w:rtl/>
        </w:rPr>
        <w:t>4</w:t>
      </w:r>
    </w:p>
    <w:p w:rsidR="00ED57DA" w:rsidRDefault="00ED57DA" w:rsidP="0021442C">
      <w:pPr>
        <w:pStyle w:val="SingleTxtGA"/>
        <w:rPr>
          <w:rFonts w:hint="cs"/>
          <w:rtl/>
        </w:rPr>
      </w:pPr>
      <w:r>
        <w:rPr>
          <w:rFonts w:hint="cs"/>
          <w:rtl/>
        </w:rPr>
        <w:t xml:space="preserve">[اعتمد بتصويت مُسجَّل، بأغلبية </w:t>
      </w:r>
      <w:r w:rsidR="0021442C">
        <w:rPr>
          <w:rFonts w:hint="cs"/>
          <w:rtl/>
        </w:rPr>
        <w:t>24</w:t>
      </w:r>
      <w:r>
        <w:rPr>
          <w:rFonts w:hint="cs"/>
          <w:rtl/>
        </w:rPr>
        <w:t xml:space="preserve"> صوتاً مقابل </w:t>
      </w:r>
      <w:r w:rsidR="0021442C">
        <w:rPr>
          <w:rFonts w:hint="cs"/>
          <w:rtl/>
        </w:rPr>
        <w:t>7</w:t>
      </w:r>
      <w:r>
        <w:rPr>
          <w:rFonts w:hint="cs"/>
          <w:rtl/>
        </w:rPr>
        <w:t xml:space="preserve"> أصوات، مع امتناع </w:t>
      </w:r>
      <w:r w:rsidR="0021442C">
        <w:rPr>
          <w:rFonts w:hint="cs"/>
          <w:rtl/>
        </w:rPr>
        <w:t>16</w:t>
      </w:r>
      <w:r>
        <w:rPr>
          <w:rFonts w:hint="cs"/>
          <w:rtl/>
        </w:rPr>
        <w:t xml:space="preserve"> عضواً عن التصويت. وكانت نتيجة التصويت كما يلي:</w:t>
      </w:r>
    </w:p>
    <w:p w:rsidR="00ED57DA" w:rsidRDefault="00ED57DA" w:rsidP="00ED57DA">
      <w:pPr>
        <w:pStyle w:val="SingleTxtGA"/>
        <w:ind w:left="1928"/>
        <w:rPr>
          <w:rFonts w:hint="cs"/>
          <w:i/>
          <w:iCs/>
          <w:rtl/>
        </w:rPr>
      </w:pPr>
      <w:r w:rsidRPr="00595EEE">
        <w:rPr>
          <w:rFonts w:hint="cs"/>
          <w:i/>
          <w:iCs/>
          <w:rtl/>
        </w:rPr>
        <w:t>المؤيدون:</w:t>
      </w:r>
    </w:p>
    <w:p w:rsidR="00ED57DA" w:rsidRPr="00595EEE" w:rsidRDefault="00ED57DA" w:rsidP="00ED57DA">
      <w:pPr>
        <w:pStyle w:val="SingleTxtGA"/>
        <w:ind w:left="2608"/>
        <w:rPr>
          <w:rFonts w:hint="cs"/>
          <w:rtl/>
        </w:rPr>
      </w:pPr>
      <w:r w:rsidRPr="00ED57DA">
        <w:rPr>
          <w:rFonts w:hint="cs"/>
          <w:rtl/>
        </w:rPr>
        <w:t>الأرجنتين، إستونيا، ألمانيا، أيرلندا، إيطاليا، البرازيل، بنن، بوتسوانا، بيرو، الجبل الأسود، الجمهورية التشيكية، جمهورية كوريا، جمهورية مقدونيا اليوغوسلافية سابقاً، رومانيا، سيراليون، شيلي، غابون، فرنسا، كوستاريكا، ملديف، المملكة المتحدة لبريطانيا العظمى وأيرلندا لشمالية، النمسا، الولايات المتحدة الأمريكية</w:t>
      </w:r>
      <w:r w:rsidR="0021442C">
        <w:rPr>
          <w:rFonts w:hint="cs"/>
          <w:rtl/>
        </w:rPr>
        <w:t>، اليابان</w:t>
      </w:r>
    </w:p>
    <w:p w:rsidR="00ED57DA" w:rsidRDefault="00ED57DA" w:rsidP="00F3330A">
      <w:pPr>
        <w:pStyle w:val="SingleTxtGA"/>
        <w:keepNext/>
        <w:ind w:left="1928"/>
        <w:rPr>
          <w:rFonts w:hint="cs"/>
          <w:i/>
          <w:iCs/>
          <w:rtl/>
        </w:rPr>
      </w:pPr>
      <w:r w:rsidRPr="00595EEE">
        <w:rPr>
          <w:rFonts w:hint="cs"/>
          <w:i/>
          <w:iCs/>
          <w:rtl/>
        </w:rPr>
        <w:t>المعارضون:</w:t>
      </w:r>
    </w:p>
    <w:p w:rsidR="00ED57DA" w:rsidRPr="00595EEE" w:rsidRDefault="00ED57DA" w:rsidP="00ED57DA">
      <w:pPr>
        <w:pStyle w:val="SingleTxtGA"/>
        <w:ind w:left="2608"/>
        <w:rPr>
          <w:rFonts w:hint="cs"/>
          <w:rtl/>
        </w:rPr>
      </w:pPr>
      <w:r>
        <w:rPr>
          <w:rFonts w:hint="cs"/>
          <w:rtl/>
        </w:rPr>
        <w:t>الاتحاد الروسي، الصين، فنزويلا (جمهورية - البوليفارية)، فييت نام، كازاخستان، كوبا، الهند</w:t>
      </w:r>
    </w:p>
    <w:p w:rsidR="00ED57DA" w:rsidRDefault="00ED57DA" w:rsidP="00ED57DA">
      <w:pPr>
        <w:pStyle w:val="SingleTxtGA"/>
        <w:keepNext/>
        <w:ind w:left="1928"/>
        <w:rPr>
          <w:rFonts w:hint="cs"/>
          <w:i/>
          <w:iCs/>
          <w:rtl/>
        </w:rPr>
      </w:pPr>
      <w:r w:rsidRPr="00595EEE">
        <w:rPr>
          <w:rFonts w:hint="cs"/>
          <w:i/>
          <w:iCs/>
          <w:rtl/>
        </w:rPr>
        <w:t>الممتنعون</w:t>
      </w:r>
      <w:r>
        <w:rPr>
          <w:rFonts w:hint="cs"/>
          <w:i/>
          <w:iCs/>
          <w:rtl/>
        </w:rPr>
        <w:t xml:space="preserve"> عن التصويت</w:t>
      </w:r>
      <w:r w:rsidRPr="00595EEE">
        <w:rPr>
          <w:rFonts w:hint="cs"/>
          <w:i/>
          <w:iCs/>
          <w:rtl/>
        </w:rPr>
        <w:t>:</w:t>
      </w:r>
    </w:p>
    <w:p w:rsidR="00ED57DA" w:rsidRPr="007C7A98" w:rsidRDefault="00ED57DA" w:rsidP="00DD0196">
      <w:pPr>
        <w:pStyle w:val="SingleTxtGA"/>
        <w:ind w:left="2608"/>
        <w:rPr>
          <w:rFonts w:hint="cs"/>
          <w:spacing w:val="-2"/>
          <w:rtl/>
        </w:rPr>
      </w:pPr>
      <w:r w:rsidRPr="007C7A98">
        <w:rPr>
          <w:rFonts w:hint="cs"/>
          <w:spacing w:val="-2"/>
          <w:rtl/>
        </w:rPr>
        <w:t xml:space="preserve">إثيوبيا، الإمارات العربية المتحدة، إندونيسيا، باكستان، بوركينا فاسو، الجزائر، جنوب أفريقيا، </w:t>
      </w:r>
      <w:r w:rsidR="00DD0196">
        <w:rPr>
          <w:rFonts w:hint="cs"/>
          <w:spacing w:val="-2"/>
          <w:rtl/>
        </w:rPr>
        <w:t xml:space="preserve">الفلبين، كوت ديفوار، </w:t>
      </w:r>
      <w:r w:rsidRPr="007C7A98">
        <w:rPr>
          <w:rFonts w:hint="cs"/>
          <w:spacing w:val="-2"/>
          <w:rtl/>
        </w:rPr>
        <w:t>الكونغو، الكويت، كينيا،</w:t>
      </w:r>
      <w:r w:rsidR="00DD0196">
        <w:rPr>
          <w:rFonts w:hint="cs"/>
          <w:spacing w:val="-2"/>
          <w:rtl/>
        </w:rPr>
        <w:t xml:space="preserve"> المغرب، المكسيك، </w:t>
      </w:r>
      <w:r w:rsidRPr="007C7A98">
        <w:rPr>
          <w:rFonts w:hint="cs"/>
          <w:spacing w:val="-2"/>
          <w:rtl/>
        </w:rPr>
        <w:t>المملكة ال</w:t>
      </w:r>
      <w:r w:rsidR="00DD0196">
        <w:rPr>
          <w:rFonts w:hint="cs"/>
          <w:spacing w:val="-2"/>
          <w:rtl/>
        </w:rPr>
        <w:t>عربية السعودية، ناميبيا</w:t>
      </w:r>
      <w:r>
        <w:rPr>
          <w:rFonts w:hint="cs"/>
          <w:spacing w:val="-2"/>
          <w:rtl/>
        </w:rPr>
        <w:t>.</w:t>
      </w:r>
      <w:r w:rsidRPr="007C7A98">
        <w:rPr>
          <w:rFonts w:hint="cs"/>
          <w:spacing w:val="-2"/>
          <w:rtl/>
        </w:rPr>
        <w:t>]</w:t>
      </w:r>
    </w:p>
    <w:p w:rsidR="00946B05" w:rsidRPr="001C26B3" w:rsidRDefault="00946B05" w:rsidP="00946B05">
      <w:pPr>
        <w:spacing w:before="120"/>
        <w:jc w:val="center"/>
        <w:rPr>
          <w:rFonts w:hint="cs"/>
          <w:u w:val="single"/>
          <w:rtl/>
        </w:rPr>
      </w:pPr>
      <w:r>
        <w:rPr>
          <w:u w:val="single"/>
          <w:rtl/>
        </w:rPr>
        <w:tab/>
      </w:r>
      <w:r>
        <w:rPr>
          <w:u w:val="single"/>
          <w:rtl/>
        </w:rPr>
        <w:tab/>
      </w:r>
      <w:r>
        <w:rPr>
          <w:u w:val="single"/>
          <w:rtl/>
        </w:rPr>
        <w:tab/>
      </w:r>
    </w:p>
    <w:sectPr w:rsidR="00946B05" w:rsidRPr="001C26B3" w:rsidSect="00946B05">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C43" w:rsidRPr="00FE6865" w:rsidRDefault="00A14C43" w:rsidP="00FE6865">
      <w:pPr>
        <w:pStyle w:val="Footer"/>
      </w:pPr>
    </w:p>
  </w:endnote>
  <w:endnote w:type="continuationSeparator" w:id="0">
    <w:p w:rsidR="00A14C43" w:rsidRDefault="00A14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43" w:rsidRPr="00946B05" w:rsidRDefault="00A14C43" w:rsidP="00946B05">
    <w:pPr>
      <w:pStyle w:val="Footer"/>
      <w:tabs>
        <w:tab w:val="right" w:pos="9598"/>
      </w:tabs>
    </w:pPr>
    <w:r>
      <w:t>GE.14-08664</w:t>
    </w:r>
    <w:r>
      <w:tab/>
    </w:r>
    <w:r w:rsidRPr="00946B05">
      <w:rPr>
        <w:b/>
        <w:sz w:val="18"/>
      </w:rPr>
      <w:fldChar w:fldCharType="begin"/>
    </w:r>
    <w:r w:rsidRPr="00946B05">
      <w:rPr>
        <w:b/>
        <w:sz w:val="18"/>
      </w:rPr>
      <w:instrText xml:space="preserve"> PAGE  \* MERGEFORMAT </w:instrText>
    </w:r>
    <w:r w:rsidRPr="00946B05">
      <w:rPr>
        <w:b/>
        <w:sz w:val="18"/>
      </w:rPr>
      <w:fldChar w:fldCharType="separate"/>
    </w:r>
    <w:r>
      <w:rPr>
        <w:b/>
        <w:noProof/>
        <w:sz w:val="18"/>
      </w:rPr>
      <w:t>4</w:t>
    </w:r>
    <w:r w:rsidRPr="00946B05">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43" w:rsidRPr="00946B05" w:rsidRDefault="00A14C43" w:rsidP="00946B05">
    <w:pPr>
      <w:pStyle w:val="Footer"/>
      <w:tabs>
        <w:tab w:val="right" w:pos="9598"/>
      </w:tabs>
      <w:rPr>
        <w:b/>
        <w:sz w:val="18"/>
      </w:rPr>
    </w:pPr>
    <w:r w:rsidRPr="00946B05">
      <w:rPr>
        <w:b/>
        <w:sz w:val="18"/>
      </w:rPr>
      <w:fldChar w:fldCharType="begin"/>
    </w:r>
    <w:r w:rsidRPr="00946B05">
      <w:rPr>
        <w:b/>
        <w:sz w:val="18"/>
      </w:rPr>
      <w:instrText xml:space="preserve"> PAGE  \* MERGEFORMAT </w:instrText>
    </w:r>
    <w:r w:rsidRPr="00946B05">
      <w:rPr>
        <w:b/>
        <w:sz w:val="18"/>
      </w:rPr>
      <w:fldChar w:fldCharType="separate"/>
    </w:r>
    <w:r>
      <w:rPr>
        <w:b/>
        <w:noProof/>
        <w:sz w:val="18"/>
      </w:rPr>
      <w:t>3</w:t>
    </w:r>
    <w:r w:rsidRPr="00946B05">
      <w:rPr>
        <w:b/>
        <w:sz w:val="18"/>
      </w:rPr>
      <w:fldChar w:fldCharType="end"/>
    </w:r>
    <w:r>
      <w:rPr>
        <w:b/>
        <w:sz w:val="18"/>
      </w:rPr>
      <w:tab/>
    </w:r>
    <w:r>
      <w:t>GE.14-08664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43" w:rsidRDefault="00A14C43" w:rsidP="00946B05">
    <w:pPr>
      <w:pStyle w:val="Footer"/>
      <w:jc w:val="right"/>
      <w:rPr>
        <w:rFonts w:hint="cs"/>
      </w:rPr>
    </w:pPr>
    <w:r>
      <w:rPr>
        <w:sz w:val="20"/>
      </w:rPr>
      <w:t>(A)   GE.14-08664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080914    140914</w:t>
    </w:r>
    <w:r>
      <w:br/>
    </w:r>
    <w:r w:rsidRPr="004D7D05">
      <w:rPr>
        <w:rFonts w:ascii="C39T30Lfz" w:hAnsi="C39T30Lfz"/>
        <w:sz w:val="56"/>
      </w:rPr>
      <w:t></w:t>
    </w:r>
    <w:r w:rsidRPr="004D7D05">
      <w:rPr>
        <w:rFonts w:ascii="C39T30Lfz" w:hAnsi="C39T30Lfz"/>
        <w:sz w:val="56"/>
      </w:rPr>
      <w:t></w:t>
    </w:r>
    <w:r w:rsidRPr="004D7D05">
      <w:rPr>
        <w:rFonts w:ascii="C39T30Lfz" w:hAnsi="C39T30Lfz"/>
        <w:sz w:val="56"/>
      </w:rPr>
      <w:t></w:t>
    </w:r>
    <w:r w:rsidRPr="004D7D05">
      <w:rPr>
        <w:rFonts w:ascii="C39T30Lfz" w:hAnsi="C39T30Lfz"/>
        <w:sz w:val="56"/>
      </w:rPr>
      <w:t></w:t>
    </w:r>
    <w:r w:rsidRPr="004D7D05">
      <w:rPr>
        <w:rFonts w:ascii="C39T30Lfz" w:hAnsi="C39T30Lfz"/>
        <w:sz w:val="56"/>
      </w:rPr>
      <w:t></w:t>
    </w:r>
    <w:r w:rsidRPr="004D7D05">
      <w:rPr>
        <w:rFonts w:ascii="C39T30Lfz" w:hAnsi="C39T30Lfz"/>
        <w:sz w:val="56"/>
      </w:rPr>
      <w:t></w:t>
    </w:r>
    <w:r w:rsidRPr="004D7D05">
      <w:rPr>
        <w:rFonts w:ascii="C39T30Lfz" w:hAnsi="C39T30Lfz"/>
        <w:sz w:val="56"/>
      </w:rPr>
      <w:t></w:t>
    </w:r>
    <w:r w:rsidRPr="004D7D05">
      <w:rPr>
        <w:rFonts w:ascii="C39T30Lfz" w:hAnsi="C39T30Lfz"/>
        <w:sz w:val="56"/>
      </w:rPr>
      <w:t></w:t>
    </w:r>
    <w:r w:rsidRPr="004D7D05">
      <w:rPr>
        <w:rFonts w:ascii="C39T30Lfz" w:hAnsi="C39T30Lfz"/>
        <w:sz w:val="56"/>
      </w:rPr>
      <w:t></w:t>
    </w:r>
    <w:r>
      <w:rPr>
        <w:noProof/>
        <w:lang w:val="en-US"/>
      </w:rPr>
      <w:pict>
        <v:shape id="_x0000_s2051" type="#_x0000_t75" style="position:absolute;left:0;text-align:left;margin-left:.05pt;margin-top:0;width:50.25pt;height:50.25pt;z-index:2;mso-position-horizontal-relative:text;mso-position-vertical-relative:text" o:allowincell="f">
          <v:imagedata r:id="rId2" o:title="25&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C43" w:rsidRDefault="00A14C43" w:rsidP="009A0C39">
      <w:pPr>
        <w:spacing w:after="80" w:line="200" w:lineRule="atLeast"/>
        <w:ind w:left="680"/>
      </w:pPr>
      <w:r w:rsidRPr="00C10C26">
        <w:rPr>
          <w:sz w:val="16"/>
          <w:rtl/>
        </w:rPr>
        <w:t>__________</w:t>
      </w:r>
    </w:p>
  </w:footnote>
  <w:footnote w:type="continuationSeparator" w:id="0">
    <w:p w:rsidR="00A14C43" w:rsidRDefault="00A14C43" w:rsidP="00444AA6">
      <w:pPr>
        <w:pStyle w:val="Footer"/>
        <w:bidi/>
        <w:spacing w:after="80" w:line="200" w:lineRule="exact"/>
        <w:ind w:left="680"/>
      </w:pPr>
      <w:r>
        <w:rPr>
          <w:rFonts w:hint="cs"/>
          <w:rtl/>
        </w:rPr>
        <w:t>__________</w:t>
      </w:r>
    </w:p>
  </w:footnote>
  <w:footnote w:id="1">
    <w:p w:rsidR="00A14C43" w:rsidRPr="001F2952" w:rsidRDefault="00A14C43" w:rsidP="00946B05">
      <w:pPr>
        <w:pStyle w:val="FootnoteText"/>
        <w:numPr>
          <w:ilvl w:val="0"/>
          <w:numId w:val="40"/>
        </w:numPr>
        <w:tabs>
          <w:tab w:val="clear" w:pos="1292"/>
          <w:tab w:val="left" w:pos="1253"/>
        </w:tabs>
        <w:spacing w:after="60" w:line="300" w:lineRule="exact"/>
        <w:ind w:left="1247" w:right="1247"/>
        <w:rPr>
          <w:rFonts w:hint="cs"/>
          <w:sz w:val="18"/>
          <w:szCs w:val="26"/>
        </w:rPr>
      </w:pPr>
      <w:r w:rsidRPr="001F2952">
        <w:rPr>
          <w:rFonts w:hint="cs"/>
          <w:sz w:val="18"/>
          <w:szCs w:val="26"/>
          <w:rtl/>
        </w:rPr>
        <w:t xml:space="preserve">الوثيقتان </w:t>
      </w:r>
      <w:r w:rsidRPr="001F2952">
        <w:rPr>
          <w:sz w:val="18"/>
          <w:szCs w:val="26"/>
        </w:rPr>
        <w:t xml:space="preserve"> A/HRC/26/44</w:t>
      </w:r>
      <w:r w:rsidRPr="001F2952">
        <w:rPr>
          <w:rFonts w:hint="cs"/>
          <w:sz w:val="18"/>
          <w:szCs w:val="26"/>
          <w:rtl/>
        </w:rPr>
        <w:t>و</w:t>
      </w:r>
      <w:r w:rsidRPr="001F2952">
        <w:rPr>
          <w:sz w:val="18"/>
          <w:szCs w:val="26"/>
        </w:rPr>
        <w:t>A/68/276</w:t>
      </w:r>
      <w:r w:rsidRPr="001F2952">
        <w:rPr>
          <w:rFonts w:hint="cs"/>
          <w:sz w:val="18"/>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43" w:rsidRPr="00946B05" w:rsidRDefault="00A14C43" w:rsidP="00946B05">
    <w:pPr>
      <w:pStyle w:val="Header"/>
      <w:jc w:val="right"/>
    </w:pPr>
    <w:r w:rsidRPr="00946B05">
      <w:t>A/HRC/RES/26/25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43" w:rsidRPr="00946B05" w:rsidRDefault="00A14C43" w:rsidP="00946B05">
    <w:pPr>
      <w:pStyle w:val="Header"/>
      <w:jc w:val="left"/>
    </w:pPr>
    <w:r w:rsidRPr="00946B05">
      <w:t>A/HRC/RES/26/25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660EB3"/>
    <w:multiLevelType w:val="hybridMultilevel"/>
    <w:tmpl w:val="EA38E2E6"/>
    <w:lvl w:ilvl="0" w:tplc="1884FB46">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4"/>
  </w:num>
  <w:num w:numId="28">
    <w:abstractNumId w:val="2"/>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ar-SA" w:vendorID="4" w:dllVersion="512" w:checkStyle="0"/>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3059"/>
    <w:rsid w:val="00040E25"/>
    <w:rsid w:val="00042149"/>
    <w:rsid w:val="000648EA"/>
    <w:rsid w:val="000957C8"/>
    <w:rsid w:val="000B52F2"/>
    <w:rsid w:val="000D0EAE"/>
    <w:rsid w:val="000D5380"/>
    <w:rsid w:val="000D6654"/>
    <w:rsid w:val="000F0264"/>
    <w:rsid w:val="000F2EBF"/>
    <w:rsid w:val="000F5FF6"/>
    <w:rsid w:val="00113FA5"/>
    <w:rsid w:val="001455A0"/>
    <w:rsid w:val="001602A3"/>
    <w:rsid w:val="00181E87"/>
    <w:rsid w:val="001A5161"/>
    <w:rsid w:val="001A60BD"/>
    <w:rsid w:val="0021442C"/>
    <w:rsid w:val="0023736D"/>
    <w:rsid w:val="00257225"/>
    <w:rsid w:val="00275860"/>
    <w:rsid w:val="00310160"/>
    <w:rsid w:val="00335280"/>
    <w:rsid w:val="00341A8C"/>
    <w:rsid w:val="003519E6"/>
    <w:rsid w:val="003B4356"/>
    <w:rsid w:val="003D5D43"/>
    <w:rsid w:val="003F08A8"/>
    <w:rsid w:val="004250E3"/>
    <w:rsid w:val="00444AA6"/>
    <w:rsid w:val="00472A81"/>
    <w:rsid w:val="004B2C92"/>
    <w:rsid w:val="004D6A3A"/>
    <w:rsid w:val="004D7D05"/>
    <w:rsid w:val="004F4AD7"/>
    <w:rsid w:val="004F748D"/>
    <w:rsid w:val="0053307C"/>
    <w:rsid w:val="005449D8"/>
    <w:rsid w:val="00557CD3"/>
    <w:rsid w:val="00571432"/>
    <w:rsid w:val="005732A2"/>
    <w:rsid w:val="005762A5"/>
    <w:rsid w:val="00590BA3"/>
    <w:rsid w:val="005A1A9A"/>
    <w:rsid w:val="005B7AE0"/>
    <w:rsid w:val="005F146F"/>
    <w:rsid w:val="005F71B6"/>
    <w:rsid w:val="00627FC1"/>
    <w:rsid w:val="00660FD4"/>
    <w:rsid w:val="006A4425"/>
    <w:rsid w:val="006B4669"/>
    <w:rsid w:val="006C768B"/>
    <w:rsid w:val="006E3473"/>
    <w:rsid w:val="006F6BF8"/>
    <w:rsid w:val="00707BDF"/>
    <w:rsid w:val="00710727"/>
    <w:rsid w:val="00710DA1"/>
    <w:rsid w:val="00715F45"/>
    <w:rsid w:val="00731B84"/>
    <w:rsid w:val="00734AE7"/>
    <w:rsid w:val="00786B69"/>
    <w:rsid w:val="007B599E"/>
    <w:rsid w:val="007E197F"/>
    <w:rsid w:val="007F68C4"/>
    <w:rsid w:val="008153DE"/>
    <w:rsid w:val="00852A10"/>
    <w:rsid w:val="00862634"/>
    <w:rsid w:val="00866C59"/>
    <w:rsid w:val="00877306"/>
    <w:rsid w:val="00887B5C"/>
    <w:rsid w:val="008A2F81"/>
    <w:rsid w:val="008A3059"/>
    <w:rsid w:val="008A6242"/>
    <w:rsid w:val="008B4BC6"/>
    <w:rsid w:val="00901E57"/>
    <w:rsid w:val="00935F0E"/>
    <w:rsid w:val="00946B05"/>
    <w:rsid w:val="0095208F"/>
    <w:rsid w:val="00977B3F"/>
    <w:rsid w:val="009814AE"/>
    <w:rsid w:val="00983870"/>
    <w:rsid w:val="009858CC"/>
    <w:rsid w:val="00994B89"/>
    <w:rsid w:val="00996BBE"/>
    <w:rsid w:val="009A0C39"/>
    <w:rsid w:val="009A2FAB"/>
    <w:rsid w:val="009A6AE1"/>
    <w:rsid w:val="009D1DD5"/>
    <w:rsid w:val="00A11DDA"/>
    <w:rsid w:val="00A14C43"/>
    <w:rsid w:val="00A26157"/>
    <w:rsid w:val="00A265C3"/>
    <w:rsid w:val="00A43F9A"/>
    <w:rsid w:val="00A543D4"/>
    <w:rsid w:val="00AD0014"/>
    <w:rsid w:val="00AD4CF2"/>
    <w:rsid w:val="00AF0BBA"/>
    <w:rsid w:val="00B11960"/>
    <w:rsid w:val="00B30468"/>
    <w:rsid w:val="00B54239"/>
    <w:rsid w:val="00B60E70"/>
    <w:rsid w:val="00B639B9"/>
    <w:rsid w:val="00BB2C41"/>
    <w:rsid w:val="00BC55C8"/>
    <w:rsid w:val="00BC5C10"/>
    <w:rsid w:val="00BE2964"/>
    <w:rsid w:val="00C24FBD"/>
    <w:rsid w:val="00C473BA"/>
    <w:rsid w:val="00C611ED"/>
    <w:rsid w:val="00C6490A"/>
    <w:rsid w:val="00C64FE1"/>
    <w:rsid w:val="00C66164"/>
    <w:rsid w:val="00C811AF"/>
    <w:rsid w:val="00C8345E"/>
    <w:rsid w:val="00CA4C17"/>
    <w:rsid w:val="00CA5F7C"/>
    <w:rsid w:val="00CE7C87"/>
    <w:rsid w:val="00D06637"/>
    <w:rsid w:val="00D51067"/>
    <w:rsid w:val="00D75657"/>
    <w:rsid w:val="00D960AD"/>
    <w:rsid w:val="00DA0E0E"/>
    <w:rsid w:val="00DB0C39"/>
    <w:rsid w:val="00DB7679"/>
    <w:rsid w:val="00DD0196"/>
    <w:rsid w:val="00DE3904"/>
    <w:rsid w:val="00DF1702"/>
    <w:rsid w:val="00DF3B1C"/>
    <w:rsid w:val="00DF4DD8"/>
    <w:rsid w:val="00DF668E"/>
    <w:rsid w:val="00E05DE3"/>
    <w:rsid w:val="00E14D2B"/>
    <w:rsid w:val="00E20DBA"/>
    <w:rsid w:val="00E660D6"/>
    <w:rsid w:val="00E771AB"/>
    <w:rsid w:val="00EA796F"/>
    <w:rsid w:val="00EB077B"/>
    <w:rsid w:val="00EC50B9"/>
    <w:rsid w:val="00ED26A0"/>
    <w:rsid w:val="00ED57DA"/>
    <w:rsid w:val="00F04473"/>
    <w:rsid w:val="00F1727A"/>
    <w:rsid w:val="00F3330A"/>
    <w:rsid w:val="00F34764"/>
    <w:rsid w:val="00F54E3C"/>
    <w:rsid w:val="00F874BD"/>
    <w:rsid w:val="00FA6DD0"/>
    <w:rsid w:val="00FC2EF4"/>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4</Pages>
  <Words>793</Words>
  <Characters>4521</Characters>
  <Application>Microsoft Office Outlook</Application>
  <DocSecurity>4</DocSecurity>
  <Lines>37</Lines>
  <Paragraphs>10</Paragraphs>
  <ScaleCrop>false</ScaleCrop>
  <HeadingPairs>
    <vt:vector size="2" baseType="variant">
      <vt:variant>
        <vt:lpstr>العنوان</vt:lpstr>
      </vt:variant>
      <vt:variant>
        <vt:i4>1</vt:i4>
      </vt:variant>
    </vt:vector>
  </HeadingPairs>
  <TitlesOfParts>
    <vt:vector size="1" baseType="lpstr">
      <vt:lpstr>A/HRC/RES/26/25</vt:lpstr>
    </vt:vector>
  </TitlesOfParts>
  <Company>CSD</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A/HRC/RES/26/25</dc:title>
  <dc:subject>Mr A. El-Haj</dc:subject>
  <dc:creator>Jamila</dc:creator>
  <cp:keywords/>
  <dc:description/>
  <cp:lastModifiedBy>TPS</cp:lastModifiedBy>
  <cp:revision>2</cp:revision>
  <cp:lastPrinted>2014-09-14T10:52:00Z</cp:lastPrinted>
  <dcterms:created xsi:type="dcterms:W3CDTF">2014-09-14T13:08:00Z</dcterms:created>
  <dcterms:modified xsi:type="dcterms:W3CDTF">2014-09-14T13:08:00Z</dcterms:modified>
</cp:coreProperties>
</file>