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982"/>
        <w:gridCol w:w="1861"/>
        <w:gridCol w:w="4522"/>
      </w:tblGrid>
      <w:tr w:rsidR="00AD0014" w:rsidRPr="00DB7679" w:rsidTr="00A11DDA">
        <w:trPr>
          <w:trHeight w:hRule="exact" w:val="851"/>
        </w:trPr>
        <w:tc>
          <w:tcPr>
            <w:tcW w:w="1274" w:type="dxa"/>
            <w:tcBorders>
              <w:bottom w:val="single" w:sz="4" w:space="0" w:color="auto"/>
            </w:tcBorders>
          </w:tcPr>
          <w:p w:rsidR="00AD0014" w:rsidRPr="00983870"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D52311" w:rsidP="00D52311">
            <w:pPr>
              <w:bidi w:val="0"/>
              <w:spacing w:after="20"/>
              <w:jc w:val="left"/>
              <w:rPr>
                <w:szCs w:val="20"/>
              </w:rPr>
            </w:pPr>
            <w:r w:rsidRPr="00D52311">
              <w:rPr>
                <w:sz w:val="40"/>
                <w:szCs w:val="20"/>
              </w:rPr>
              <w:t>A</w:t>
            </w:r>
            <w:r>
              <w:rPr>
                <w:szCs w:val="20"/>
              </w:rPr>
              <w:t>/HRC/RES/25/17</w:t>
            </w:r>
          </w:p>
        </w:tc>
      </w:tr>
      <w:tr w:rsidR="00257225" w:rsidRPr="00DB7679" w:rsidTr="007B599E">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3843" w:type="dxa"/>
            <w:gridSpan w:val="2"/>
            <w:tcBorders>
              <w:top w:val="single" w:sz="4" w:space="0" w:color="auto"/>
              <w:bottom w:val="single" w:sz="12" w:space="0" w:color="auto"/>
            </w:tcBorders>
          </w:tcPr>
          <w:p w:rsidR="00257225" w:rsidRPr="00DB7679" w:rsidRDefault="00257225" w:rsidP="00BC55C8">
            <w:pPr>
              <w:spacing w:before="120" w:line="640" w:lineRule="exact"/>
              <w:rPr>
                <w:rFonts w:hint="cs"/>
                <w:b/>
                <w:bCs/>
                <w:szCs w:val="60"/>
              </w:rPr>
            </w:pPr>
            <w:r w:rsidRPr="00DB7679">
              <w:rPr>
                <w:rFonts w:hint="cs"/>
                <w:b/>
                <w:bCs/>
                <w:szCs w:val="60"/>
                <w:rtl/>
              </w:rPr>
              <w:t>الجمعية العامة</w:t>
            </w:r>
          </w:p>
        </w:tc>
        <w:tc>
          <w:tcPr>
            <w:tcW w:w="4522" w:type="dxa"/>
            <w:tcBorders>
              <w:top w:val="single" w:sz="4" w:space="0" w:color="auto"/>
              <w:bottom w:val="single" w:sz="12" w:space="0" w:color="auto"/>
            </w:tcBorders>
          </w:tcPr>
          <w:p w:rsidR="00D52311" w:rsidRDefault="00D52311" w:rsidP="00D52311">
            <w:pPr>
              <w:bidi w:val="0"/>
              <w:spacing w:before="240"/>
              <w:jc w:val="left"/>
            </w:pPr>
            <w:r>
              <w:t>Distr.: General</w:t>
            </w:r>
          </w:p>
          <w:p w:rsidR="00D52311" w:rsidRDefault="00D52311" w:rsidP="00D52311">
            <w:pPr>
              <w:bidi w:val="0"/>
              <w:jc w:val="left"/>
            </w:pPr>
            <w:r>
              <w:t>14 April 2014</w:t>
            </w:r>
          </w:p>
          <w:p w:rsidR="00D52311" w:rsidRDefault="00D52311" w:rsidP="00D52311">
            <w:pPr>
              <w:bidi w:val="0"/>
              <w:jc w:val="left"/>
            </w:pPr>
            <w:r>
              <w:t>Arabic</w:t>
            </w:r>
          </w:p>
          <w:p w:rsidR="00257225" w:rsidRPr="008B4BC6" w:rsidRDefault="00D52311" w:rsidP="00D52311">
            <w:pPr>
              <w:bidi w:val="0"/>
              <w:jc w:val="left"/>
            </w:pPr>
            <w:r>
              <w:t>Original: English</w:t>
            </w:r>
          </w:p>
        </w:tc>
      </w:tr>
    </w:tbl>
    <w:p w:rsidR="00D52311" w:rsidRPr="008E456C" w:rsidRDefault="00D52311" w:rsidP="00D52311">
      <w:pPr>
        <w:spacing w:before="120" w:line="380" w:lineRule="exact"/>
        <w:rPr>
          <w:rFonts w:hint="cs"/>
          <w:b/>
          <w:bCs/>
          <w:sz w:val="26"/>
          <w:szCs w:val="36"/>
          <w:rtl/>
          <w:lang w:val="fr-CH"/>
        </w:rPr>
      </w:pPr>
      <w:r w:rsidRPr="008E456C">
        <w:rPr>
          <w:rFonts w:hint="cs"/>
          <w:b/>
          <w:bCs/>
          <w:sz w:val="26"/>
          <w:szCs w:val="36"/>
          <w:rtl/>
          <w:lang w:val="fr-CH"/>
        </w:rPr>
        <w:t>مجلس حقوق الإنسان</w:t>
      </w:r>
    </w:p>
    <w:p w:rsidR="00D52311" w:rsidRPr="00FA33B1" w:rsidRDefault="00D52311" w:rsidP="00D52311">
      <w:pPr>
        <w:spacing w:line="380" w:lineRule="exact"/>
        <w:rPr>
          <w:b/>
          <w:bCs/>
        </w:rPr>
      </w:pPr>
      <w:r>
        <w:rPr>
          <w:rFonts w:hint="cs"/>
          <w:b/>
          <w:bCs/>
          <w:rtl/>
          <w:lang w:val="fr-CH"/>
        </w:rPr>
        <w:t>الدورة الخامسة والعشرون</w:t>
      </w:r>
    </w:p>
    <w:p w:rsidR="00D52311" w:rsidRPr="008E456C" w:rsidRDefault="00D52311" w:rsidP="00D52311">
      <w:pPr>
        <w:spacing w:line="380" w:lineRule="exact"/>
        <w:rPr>
          <w:rFonts w:hint="cs"/>
          <w:rtl/>
          <w:lang w:val="fr-CH"/>
        </w:rPr>
      </w:pPr>
      <w:r w:rsidRPr="008E456C">
        <w:rPr>
          <w:rFonts w:hint="cs"/>
          <w:rtl/>
          <w:lang w:val="fr-CH"/>
        </w:rPr>
        <w:t>البند 3 من جدول الأعمال</w:t>
      </w:r>
    </w:p>
    <w:p w:rsidR="00D52311" w:rsidRDefault="00D52311" w:rsidP="00D52311">
      <w:pPr>
        <w:spacing w:after="240" w:line="380" w:lineRule="exact"/>
        <w:ind w:right="4298"/>
        <w:rPr>
          <w:rFonts w:hint="cs"/>
          <w:b/>
          <w:bCs/>
          <w:rtl/>
          <w:lang w:val="fr-CH"/>
        </w:rPr>
      </w:pPr>
      <w:r>
        <w:rPr>
          <w:rFonts w:hint="cs"/>
          <w:b/>
          <w:bCs/>
          <w:rtl/>
          <w:lang w:val="fr-CH"/>
        </w:rPr>
        <w:t xml:space="preserve">تعزيز وحماية جميع حقوق الإنسان، المدنية والسياسية والاقتصادية والاجتماعية والثقافية، بما في ذلك الحق في التنمية </w:t>
      </w:r>
    </w:p>
    <w:p w:rsidR="00D52311" w:rsidRDefault="00D52311" w:rsidP="00D52311">
      <w:pPr>
        <w:pStyle w:val="HChGA"/>
        <w:rPr>
          <w:rFonts w:hint="cs"/>
          <w:rtl/>
          <w:lang w:val="fr-CH"/>
        </w:rPr>
      </w:pPr>
      <w:r>
        <w:rPr>
          <w:rFonts w:hint="cs"/>
          <w:rtl/>
        </w:rPr>
        <w:tab/>
      </w:r>
      <w:r>
        <w:rPr>
          <w:rFonts w:hint="cs"/>
          <w:rtl/>
        </w:rPr>
        <w:tab/>
        <w:t xml:space="preserve">قرار اعتمده مجلس حقوق الإنسان </w:t>
      </w:r>
    </w:p>
    <w:p w:rsidR="00D52311" w:rsidRDefault="00D52311" w:rsidP="00EC4868">
      <w:pPr>
        <w:pStyle w:val="HChGA"/>
        <w:rPr>
          <w:rFonts w:hint="cs"/>
          <w:rtl/>
          <w:lang w:val="fr-CH"/>
        </w:rPr>
      </w:pPr>
      <w:r>
        <w:rPr>
          <w:rFonts w:hint="cs"/>
          <w:rtl/>
          <w:lang w:val="fr-CH"/>
        </w:rPr>
        <w:tab/>
      </w:r>
      <w:r>
        <w:rPr>
          <w:rFonts w:hint="cs"/>
          <w:rtl/>
          <w:lang w:val="fr-CH"/>
        </w:rPr>
        <w:tab/>
        <w:t>25/1</w:t>
      </w:r>
      <w:r w:rsidR="00EC4868">
        <w:rPr>
          <w:rFonts w:hint="cs"/>
          <w:rtl/>
          <w:lang w:val="fr-CH"/>
        </w:rPr>
        <w:t>7</w:t>
      </w:r>
      <w:r>
        <w:rPr>
          <w:rtl/>
          <w:lang w:val="fr-CH"/>
        </w:rPr>
        <w:br/>
      </w:r>
      <w:r>
        <w:rPr>
          <w:rFonts w:hint="cs"/>
          <w:rtl/>
          <w:lang w:val="fr-CH"/>
        </w:rPr>
        <w:t>السكن اللائق كعنصر من عناصر الحق في مستوى معيشي مناسب</w:t>
      </w:r>
    </w:p>
    <w:p w:rsidR="00D52311" w:rsidRPr="00F5267A" w:rsidRDefault="00D52311" w:rsidP="00D52311">
      <w:pPr>
        <w:pStyle w:val="SingleTxtGA"/>
        <w:rPr>
          <w:rFonts w:hint="cs"/>
          <w:i/>
          <w:iCs/>
          <w:rtl/>
          <w:lang w:val="fr-CH"/>
        </w:rPr>
      </w:pPr>
      <w:r w:rsidRPr="00F5267A">
        <w:rPr>
          <w:rFonts w:hint="cs"/>
          <w:i/>
          <w:iCs/>
          <w:rtl/>
          <w:lang w:val="fr-CH"/>
        </w:rPr>
        <w:tab/>
        <w:t xml:space="preserve">إن مجلس حقوق الإنسان، </w:t>
      </w:r>
    </w:p>
    <w:p w:rsidR="00D52311" w:rsidRPr="008E456C" w:rsidRDefault="00D52311" w:rsidP="00160F9E">
      <w:pPr>
        <w:pStyle w:val="SingleTxtGA"/>
        <w:rPr>
          <w:rFonts w:hint="cs"/>
          <w:spacing w:val="-2"/>
          <w:rtl/>
          <w:lang w:val="fr-CH"/>
        </w:rPr>
      </w:pPr>
      <w:r w:rsidRPr="008E456C">
        <w:rPr>
          <w:rFonts w:hint="cs"/>
          <w:spacing w:val="-2"/>
          <w:rtl/>
          <w:lang w:val="fr-CH"/>
        </w:rPr>
        <w:tab/>
      </w:r>
      <w:r w:rsidRPr="008E456C">
        <w:rPr>
          <w:rFonts w:hint="cs"/>
          <w:i/>
          <w:iCs/>
          <w:spacing w:val="-2"/>
          <w:rtl/>
          <w:lang w:val="fr-CH"/>
        </w:rPr>
        <w:t>إذ يؤكد من جديد</w:t>
      </w:r>
      <w:r w:rsidRPr="008E456C">
        <w:rPr>
          <w:rFonts w:hint="cs"/>
          <w:spacing w:val="-2"/>
          <w:rtl/>
          <w:lang w:val="fr-CH"/>
        </w:rPr>
        <w:t xml:space="preserve"> أن صكوك القانون الدولي لحقوق الإنسان، بما في ذلك الإعلان العالمي لحقوق الإنسان والعهد الدولي الخاص بالحقوق الاقتصادية والاجتماعية والثقافية، تستتبع واجبات والتزامات على الدول الأطراف فيما يتعلق </w:t>
      </w:r>
      <w:r>
        <w:rPr>
          <w:rFonts w:hint="cs"/>
          <w:spacing w:val="-2"/>
          <w:rtl/>
          <w:lang w:val="fr-CH"/>
        </w:rPr>
        <w:t xml:space="preserve">بتوفير إمكانية </w:t>
      </w:r>
      <w:r w:rsidRPr="008E456C">
        <w:rPr>
          <w:rFonts w:hint="cs"/>
          <w:spacing w:val="-2"/>
          <w:rtl/>
          <w:lang w:val="fr-CH"/>
        </w:rPr>
        <w:t xml:space="preserve">الحصول على سكن لائق، </w:t>
      </w:r>
    </w:p>
    <w:p w:rsidR="00D52311" w:rsidRDefault="00D52311" w:rsidP="00D52311">
      <w:pPr>
        <w:pStyle w:val="SingleTxtGA"/>
        <w:spacing w:after="100" w:line="378" w:lineRule="exact"/>
        <w:rPr>
          <w:rFonts w:hint="cs"/>
          <w:i/>
          <w:iCs/>
          <w:rtl/>
          <w:lang/>
        </w:rPr>
      </w:pPr>
      <w:r>
        <w:rPr>
          <w:i/>
          <w:iCs/>
          <w:rtl/>
        </w:rPr>
        <w:tab/>
      </w:r>
      <w:r w:rsidRPr="00561988">
        <w:rPr>
          <w:rFonts w:hint="cs"/>
          <w:i/>
          <w:iCs/>
          <w:rtl/>
        </w:rPr>
        <w:t xml:space="preserve">وإذ يشير </w:t>
      </w:r>
      <w:r w:rsidRPr="00561988">
        <w:rPr>
          <w:rFonts w:hint="cs"/>
          <w:rtl/>
        </w:rPr>
        <w:t xml:space="preserve">إلى جميع القرارات السابقة التي اعتمدتها لجنة حقوق الإنسان بشأن مسألة </w:t>
      </w:r>
      <w:r>
        <w:rPr>
          <w:rFonts w:hint="cs"/>
          <w:rtl/>
          <w:lang/>
        </w:rPr>
        <w:t>الحقوق المتساوية ل</w:t>
      </w:r>
      <w:r w:rsidRPr="00561988">
        <w:rPr>
          <w:rFonts w:hint="cs"/>
          <w:rtl/>
          <w:lang/>
        </w:rPr>
        <w:t xml:space="preserve">لمرأة في ملكية الأرض وإمكانية حيازتها والتحكم فيها </w:t>
      </w:r>
      <w:r>
        <w:rPr>
          <w:rFonts w:hint="cs"/>
          <w:rtl/>
          <w:lang/>
        </w:rPr>
        <w:t xml:space="preserve">وحقوقها المتساوية في </w:t>
      </w:r>
      <w:r w:rsidRPr="00561988">
        <w:rPr>
          <w:rFonts w:hint="cs"/>
          <w:rtl/>
          <w:lang/>
        </w:rPr>
        <w:t>التملك والسكن اللائق، بما في ذلك القرار 2005/25 المؤرخ 15 نيسان/أبريل 2005،</w:t>
      </w:r>
    </w:p>
    <w:p w:rsidR="00D52311" w:rsidRDefault="00D52311" w:rsidP="00160F9E">
      <w:pPr>
        <w:pStyle w:val="SingleTxtGA"/>
        <w:spacing w:after="100" w:line="378" w:lineRule="exact"/>
        <w:rPr>
          <w:rFonts w:hint="cs"/>
          <w:rtl/>
        </w:rPr>
      </w:pPr>
      <w:r>
        <w:rPr>
          <w:i/>
          <w:iCs/>
          <w:rtl/>
        </w:rPr>
        <w:tab/>
      </w:r>
      <w:r w:rsidRPr="00D516BB">
        <w:rPr>
          <w:rFonts w:hint="cs"/>
          <w:i/>
          <w:iCs/>
          <w:rtl/>
        </w:rPr>
        <w:t xml:space="preserve">وإذ </w:t>
      </w:r>
      <w:r w:rsidRPr="00D516BB">
        <w:rPr>
          <w:rFonts w:hint="cs"/>
          <w:i/>
          <w:iCs/>
          <w:rtl/>
          <w:lang/>
        </w:rPr>
        <w:t>يشير</w:t>
      </w:r>
      <w:r>
        <w:rPr>
          <w:rFonts w:hint="cs"/>
          <w:i/>
          <w:iCs/>
          <w:rtl/>
          <w:lang/>
        </w:rPr>
        <w:t xml:space="preserve"> أيضاً</w:t>
      </w:r>
      <w:r w:rsidRPr="00D516BB">
        <w:rPr>
          <w:rFonts w:hint="cs"/>
          <w:i/>
          <w:iCs/>
          <w:rtl/>
          <w:lang/>
        </w:rPr>
        <w:t xml:space="preserve"> </w:t>
      </w:r>
      <w:r w:rsidRPr="008D1435">
        <w:rPr>
          <w:rFonts w:hint="cs"/>
          <w:rtl/>
          <w:lang/>
        </w:rPr>
        <w:t>إلى</w:t>
      </w:r>
      <w:r>
        <w:rPr>
          <w:rFonts w:hint="cs"/>
          <w:rtl/>
          <w:lang/>
        </w:rPr>
        <w:t xml:space="preserve"> قراره 5/1 المتعلق ببناء مؤسسات مجلس حقوق الإنسان وقراره</w:t>
      </w:r>
      <w:r>
        <w:rPr>
          <w:rFonts w:hint="eastAsia"/>
          <w:rtl/>
          <w:lang/>
        </w:rPr>
        <w:t> </w:t>
      </w:r>
      <w:r>
        <w:rPr>
          <w:rFonts w:hint="cs"/>
          <w:rtl/>
          <w:lang/>
        </w:rPr>
        <w:t xml:space="preserve">5/2 المتعلق بمدونة قواعد السلوك لأصحاب الولايات في إطار الإجراءات الخاصة للمجلس، المؤرخين 18 حزيران/يونيه 2007، وإذ يشدد </w:t>
      </w:r>
      <w:r w:rsidR="00160F9E">
        <w:rPr>
          <w:rFonts w:hint="cs"/>
          <w:rtl/>
          <w:lang/>
        </w:rPr>
        <w:t xml:space="preserve">على أنه يجب على صاحب الولاية أن </w:t>
      </w:r>
      <w:r>
        <w:rPr>
          <w:rFonts w:hint="cs"/>
          <w:rtl/>
          <w:lang/>
        </w:rPr>
        <w:t>يؤدي مهامه وفقاً لهذين القرارين ومرفقاتهما</w:t>
      </w:r>
      <w:r>
        <w:rPr>
          <w:rFonts w:hint="cs"/>
          <w:rtl/>
        </w:rPr>
        <w:t>،</w:t>
      </w:r>
    </w:p>
    <w:p w:rsidR="00D52311" w:rsidRDefault="00D52311" w:rsidP="00160F9E">
      <w:pPr>
        <w:pStyle w:val="SingleTxtGA"/>
        <w:spacing w:after="100" w:line="378" w:lineRule="exact"/>
        <w:rPr>
          <w:rFonts w:hint="cs"/>
          <w:rtl/>
        </w:rPr>
      </w:pPr>
      <w:r>
        <w:rPr>
          <w:i/>
          <w:iCs/>
          <w:rtl/>
          <w:lang/>
        </w:rPr>
        <w:tab/>
      </w:r>
      <w:r>
        <w:rPr>
          <w:rFonts w:hint="cs"/>
          <w:i/>
          <w:iCs/>
          <w:rtl/>
          <w:lang/>
        </w:rPr>
        <w:t>و</w:t>
      </w:r>
      <w:r w:rsidRPr="00561988">
        <w:rPr>
          <w:rFonts w:hint="cs"/>
          <w:i/>
          <w:iCs/>
          <w:rtl/>
          <w:lang/>
        </w:rPr>
        <w:t xml:space="preserve">إذ </w:t>
      </w:r>
      <w:r w:rsidR="00160F9E">
        <w:rPr>
          <w:rFonts w:hint="cs"/>
          <w:i/>
          <w:iCs/>
          <w:rtl/>
          <w:lang/>
        </w:rPr>
        <w:t xml:space="preserve">يشير كذلك </w:t>
      </w:r>
      <w:r w:rsidR="00160F9E" w:rsidRPr="00160F9E">
        <w:rPr>
          <w:rFonts w:hint="cs"/>
          <w:rtl/>
          <w:lang/>
        </w:rPr>
        <w:t>إلى</w:t>
      </w:r>
      <w:r w:rsidRPr="00561988">
        <w:rPr>
          <w:rFonts w:hint="cs"/>
          <w:rtl/>
          <w:lang/>
        </w:rPr>
        <w:t xml:space="preserve"> جميع قراراته السابقة</w:t>
      </w:r>
      <w:r>
        <w:rPr>
          <w:rFonts w:hint="cs"/>
          <w:rtl/>
          <w:lang/>
        </w:rPr>
        <w:t>،</w:t>
      </w:r>
      <w:r w:rsidRPr="00561988">
        <w:rPr>
          <w:rFonts w:hint="cs"/>
          <w:rtl/>
          <w:lang/>
        </w:rPr>
        <w:t xml:space="preserve"> </w:t>
      </w:r>
      <w:r>
        <w:rPr>
          <w:rFonts w:hint="cs"/>
          <w:rtl/>
          <w:lang/>
        </w:rPr>
        <w:t xml:space="preserve">فضلاً عن </w:t>
      </w:r>
      <w:r w:rsidRPr="00561988">
        <w:rPr>
          <w:rFonts w:hint="cs"/>
          <w:rtl/>
          <w:lang/>
        </w:rPr>
        <w:t xml:space="preserve">القرارات التي اعتمدتها لجنة حقوق الإنسان بشأن مسألة السكن اللائق كعنصر من عناصر الحق في مستوى معيشي مناسب، </w:t>
      </w:r>
      <w:r w:rsidR="00160F9E">
        <w:rPr>
          <w:rFonts w:hint="cs"/>
          <w:rtl/>
          <w:lang/>
        </w:rPr>
        <w:t xml:space="preserve">بما في ذلك قراره </w:t>
      </w:r>
      <w:r w:rsidRPr="00561988">
        <w:rPr>
          <w:rFonts w:hint="cs"/>
          <w:rtl/>
          <w:lang/>
        </w:rPr>
        <w:t>1</w:t>
      </w:r>
      <w:r>
        <w:rPr>
          <w:rFonts w:hint="cs"/>
          <w:rtl/>
          <w:lang/>
        </w:rPr>
        <w:t>9</w:t>
      </w:r>
      <w:r w:rsidRPr="00561988">
        <w:rPr>
          <w:rFonts w:hint="cs"/>
          <w:rtl/>
          <w:lang/>
        </w:rPr>
        <w:t>/</w:t>
      </w:r>
      <w:r>
        <w:rPr>
          <w:rFonts w:hint="cs"/>
          <w:rtl/>
          <w:lang/>
        </w:rPr>
        <w:t>4</w:t>
      </w:r>
      <w:r w:rsidRPr="00561988">
        <w:rPr>
          <w:rFonts w:hint="cs"/>
          <w:rtl/>
          <w:lang/>
        </w:rPr>
        <w:t xml:space="preserve"> المؤرخ </w:t>
      </w:r>
      <w:r>
        <w:rPr>
          <w:rFonts w:hint="cs"/>
          <w:rtl/>
          <w:lang/>
        </w:rPr>
        <w:t>22 آذار</w:t>
      </w:r>
      <w:r w:rsidRPr="00561988">
        <w:rPr>
          <w:rFonts w:hint="cs"/>
          <w:rtl/>
          <w:lang/>
        </w:rPr>
        <w:t>/</w:t>
      </w:r>
      <w:r>
        <w:rPr>
          <w:rFonts w:hint="cs"/>
          <w:rtl/>
          <w:lang/>
        </w:rPr>
        <w:t>مارس</w:t>
      </w:r>
      <w:r w:rsidRPr="00561988">
        <w:rPr>
          <w:rFonts w:hint="cs"/>
          <w:rtl/>
          <w:lang/>
        </w:rPr>
        <w:t xml:space="preserve"> 201</w:t>
      </w:r>
      <w:r>
        <w:rPr>
          <w:rFonts w:hint="cs"/>
          <w:rtl/>
          <w:lang/>
        </w:rPr>
        <w:t>2</w:t>
      </w:r>
      <w:r w:rsidRPr="00561988">
        <w:rPr>
          <w:rFonts w:hint="cs"/>
          <w:rtl/>
          <w:lang/>
        </w:rPr>
        <w:t>،</w:t>
      </w:r>
      <w:r>
        <w:rPr>
          <w:rFonts w:hint="cs"/>
          <w:rtl/>
        </w:rPr>
        <w:t xml:space="preserve"> </w:t>
      </w:r>
    </w:p>
    <w:p w:rsidR="00D52311" w:rsidRPr="00E81619" w:rsidRDefault="00D52311" w:rsidP="00160F9E">
      <w:pPr>
        <w:pStyle w:val="SingleTxtGA"/>
        <w:spacing w:after="100" w:line="378" w:lineRule="exact"/>
        <w:rPr>
          <w:rFonts w:hint="cs"/>
          <w:spacing w:val="-4"/>
          <w:rtl/>
        </w:rPr>
      </w:pPr>
      <w:r w:rsidRPr="00E81619">
        <w:rPr>
          <w:i/>
          <w:iCs/>
          <w:spacing w:val="-4"/>
          <w:rtl/>
          <w:lang/>
        </w:rPr>
        <w:tab/>
      </w:r>
      <w:r w:rsidRPr="00E81619">
        <w:rPr>
          <w:rFonts w:hint="cs"/>
          <w:i/>
          <w:iCs/>
          <w:spacing w:val="-4"/>
          <w:rtl/>
          <w:lang/>
        </w:rPr>
        <w:t xml:space="preserve">وإذ يؤكد من جديد </w:t>
      </w:r>
      <w:r w:rsidRPr="00E81619">
        <w:rPr>
          <w:rFonts w:hint="cs"/>
          <w:spacing w:val="-4"/>
          <w:rtl/>
          <w:lang/>
        </w:rPr>
        <w:t xml:space="preserve">المبادئ والالتزامات المتعلقة بالسكن اللائق المكرسة في الأحكام ذات الصلة الواردة في الإعلانات والبرامج التي اعتمدتها المؤتمرات الرئيسية ومؤتمرات القمة التي عقدتها الأمم المتحدة والدورات الاستثنائية للجمعية العامة واجتماعات المتابعة المتعلقة </w:t>
      </w:r>
      <w:proofErr w:type="spellStart"/>
      <w:r w:rsidRPr="00E81619">
        <w:rPr>
          <w:rFonts w:hint="cs"/>
          <w:spacing w:val="-4"/>
          <w:rtl/>
          <w:lang/>
        </w:rPr>
        <w:t>بها</w:t>
      </w:r>
      <w:proofErr w:type="spellEnd"/>
      <w:r w:rsidRPr="00E81619">
        <w:rPr>
          <w:rFonts w:hint="cs"/>
          <w:spacing w:val="-4"/>
          <w:rtl/>
          <w:lang/>
        </w:rPr>
        <w:t>، ومن بينها إعلان اسطنبول المتعلق بالمستوطنات البشرية وجدول أعمال الموئل</w:t>
      </w:r>
      <w:r w:rsidRPr="00E81619">
        <w:rPr>
          <w:spacing w:val="-4"/>
          <w:vertAlign w:val="superscript"/>
          <w:rtl/>
          <w:lang/>
        </w:rPr>
        <w:t>(</w:t>
      </w:r>
      <w:r w:rsidRPr="00E81619">
        <w:rPr>
          <w:rStyle w:val="FootnoteReference"/>
          <w:spacing w:val="-4"/>
          <w:rtl/>
          <w:lang/>
        </w:rPr>
        <w:footnoteReference w:id="1"/>
      </w:r>
      <w:r w:rsidRPr="00E81619">
        <w:rPr>
          <w:spacing w:val="-4"/>
          <w:vertAlign w:val="superscript"/>
          <w:rtl/>
          <w:lang/>
        </w:rPr>
        <w:t>)</w:t>
      </w:r>
      <w:r w:rsidRPr="00E81619">
        <w:rPr>
          <w:rFonts w:hint="cs"/>
          <w:spacing w:val="-4"/>
          <w:rtl/>
          <w:lang/>
        </w:rPr>
        <w:t xml:space="preserve"> والإعلان المتعلق بالمدن والمستوطنات البشرية الأخرى في الألفية الجديدة الذي اعتمدته الجمعية العامة في دورتها الاستثنائية الخامسة والعشرين وأرفقته بقرارها </w:t>
      </w:r>
      <w:proofErr w:type="spellStart"/>
      <w:r w:rsidRPr="00E81619">
        <w:rPr>
          <w:rFonts w:hint="cs"/>
          <w:spacing w:val="-4"/>
          <w:rtl/>
          <w:lang/>
        </w:rPr>
        <w:t>دإ</w:t>
      </w:r>
      <w:proofErr w:type="spellEnd"/>
      <w:r w:rsidRPr="00E81619">
        <w:rPr>
          <w:rFonts w:hint="cs"/>
          <w:spacing w:val="-4"/>
          <w:rtl/>
          <w:lang/>
        </w:rPr>
        <w:t>-25/2 المؤرخ 9 حزيران/يونيه 2001،</w:t>
      </w:r>
    </w:p>
    <w:p w:rsidR="00D52311" w:rsidRPr="00561988" w:rsidRDefault="00D52311" w:rsidP="00D52311">
      <w:pPr>
        <w:pStyle w:val="SingleTxtGA"/>
        <w:spacing w:after="100" w:line="378" w:lineRule="exact"/>
        <w:rPr>
          <w:rFonts w:hint="cs"/>
          <w:rtl/>
          <w:lang/>
        </w:rPr>
      </w:pPr>
      <w:r>
        <w:rPr>
          <w:i/>
          <w:iCs/>
          <w:rtl/>
          <w:lang/>
        </w:rPr>
        <w:tab/>
      </w:r>
      <w:r w:rsidRPr="00561988">
        <w:rPr>
          <w:rFonts w:hint="cs"/>
          <w:i/>
          <w:iCs/>
          <w:rtl/>
          <w:lang/>
        </w:rPr>
        <w:t xml:space="preserve">وإذ يلاحظ </w:t>
      </w:r>
      <w:r>
        <w:rPr>
          <w:rFonts w:hint="cs"/>
          <w:rtl/>
          <w:lang/>
        </w:rPr>
        <w:t xml:space="preserve">الأعمال التي </w:t>
      </w:r>
      <w:r w:rsidRPr="00561988">
        <w:rPr>
          <w:rFonts w:hint="cs"/>
          <w:rtl/>
          <w:lang/>
        </w:rPr>
        <w:t xml:space="preserve">تضطلع </w:t>
      </w:r>
      <w:proofErr w:type="spellStart"/>
      <w:r w:rsidRPr="00561988">
        <w:rPr>
          <w:rFonts w:hint="cs"/>
          <w:rtl/>
          <w:lang/>
        </w:rPr>
        <w:t>به</w:t>
      </w:r>
      <w:r>
        <w:rPr>
          <w:rFonts w:hint="cs"/>
          <w:rtl/>
          <w:lang/>
        </w:rPr>
        <w:t>ا</w:t>
      </w:r>
      <w:proofErr w:type="spellEnd"/>
      <w:r w:rsidRPr="00561988">
        <w:rPr>
          <w:rFonts w:hint="cs"/>
          <w:rtl/>
          <w:lang/>
        </w:rPr>
        <w:t xml:space="preserve"> هيئات معاهدات الأمم المتحدة من أجل تعزيز الحقوق المتصلة بالسكن اللائق، </w:t>
      </w:r>
      <w:r>
        <w:rPr>
          <w:rFonts w:hint="cs"/>
          <w:rtl/>
          <w:lang/>
        </w:rPr>
        <w:t>و</w:t>
      </w:r>
      <w:r w:rsidRPr="00561988">
        <w:rPr>
          <w:rFonts w:hint="cs"/>
          <w:rtl/>
          <w:lang/>
        </w:rPr>
        <w:t xml:space="preserve">لا </w:t>
      </w:r>
      <w:proofErr w:type="spellStart"/>
      <w:r w:rsidRPr="00561988">
        <w:rPr>
          <w:rFonts w:hint="cs"/>
          <w:rtl/>
          <w:lang/>
        </w:rPr>
        <w:t>سيما</w:t>
      </w:r>
      <w:proofErr w:type="spellEnd"/>
      <w:r w:rsidRPr="00561988">
        <w:rPr>
          <w:rFonts w:hint="cs"/>
          <w:rtl/>
          <w:lang/>
        </w:rPr>
        <w:t xml:space="preserve"> </w:t>
      </w:r>
      <w:r>
        <w:rPr>
          <w:rFonts w:hint="cs"/>
          <w:rtl/>
          <w:lang/>
        </w:rPr>
        <w:t xml:space="preserve">أعمال </w:t>
      </w:r>
      <w:r w:rsidRPr="00561988">
        <w:rPr>
          <w:rFonts w:hint="cs"/>
          <w:rtl/>
          <w:lang/>
        </w:rPr>
        <w:t xml:space="preserve">اللجنة المعنية بالحقوق الاقتصادية والاجتماعية والثقافية، بما في ذلك </w:t>
      </w:r>
      <w:r>
        <w:rPr>
          <w:rFonts w:hint="cs"/>
          <w:rtl/>
          <w:lang/>
        </w:rPr>
        <w:t xml:space="preserve">جميع </w:t>
      </w:r>
      <w:r w:rsidRPr="00561988">
        <w:rPr>
          <w:rFonts w:hint="cs"/>
          <w:rtl/>
          <w:lang/>
        </w:rPr>
        <w:t xml:space="preserve">تعليقاتها العامة </w:t>
      </w:r>
      <w:r>
        <w:rPr>
          <w:rFonts w:hint="cs"/>
          <w:rtl/>
          <w:lang/>
        </w:rPr>
        <w:t>ذات الصلة،</w:t>
      </w:r>
    </w:p>
    <w:p w:rsidR="00D52311" w:rsidRDefault="00D52311" w:rsidP="00D52311">
      <w:pPr>
        <w:pStyle w:val="SingleTxtGA"/>
        <w:spacing w:after="100" w:line="378" w:lineRule="exact"/>
        <w:rPr>
          <w:rFonts w:hint="cs"/>
          <w:rtl/>
          <w:lang w:val="fr-CH"/>
        </w:rPr>
      </w:pPr>
      <w:r>
        <w:rPr>
          <w:i/>
          <w:iCs/>
          <w:rtl/>
          <w:lang w:val="fr-CH"/>
        </w:rPr>
        <w:tab/>
      </w:r>
      <w:r w:rsidRPr="000B658F">
        <w:rPr>
          <w:rFonts w:hint="cs"/>
          <w:i/>
          <w:iCs/>
          <w:rtl/>
          <w:lang w:val="fr-CH"/>
        </w:rPr>
        <w:t>وإذ يشير</w:t>
      </w:r>
      <w:r>
        <w:rPr>
          <w:rFonts w:hint="cs"/>
          <w:rtl/>
          <w:lang w:val="fr-CH"/>
        </w:rPr>
        <w:t xml:space="preserve"> إلى </w:t>
      </w:r>
      <w:proofErr w:type="spellStart"/>
      <w:r>
        <w:rPr>
          <w:rFonts w:hint="cs"/>
          <w:rtl/>
          <w:lang w:val="fr-CH"/>
        </w:rPr>
        <w:t>الاستراتيجية</w:t>
      </w:r>
      <w:proofErr w:type="spellEnd"/>
      <w:r>
        <w:rPr>
          <w:rFonts w:hint="cs"/>
          <w:rtl/>
          <w:lang w:val="fr-CH"/>
        </w:rPr>
        <w:t xml:space="preserve"> العالمية للإسكان التي وضعها برنامج الأمم المتحدة للمستوطنات البشرية، والمبادئ المتعلقة برد المساكن والممتلكات إلى اللاجئين والمشردين</w:t>
      </w:r>
      <w:r>
        <w:rPr>
          <w:vertAlign w:val="superscript"/>
          <w:rtl/>
          <w:lang/>
        </w:rPr>
        <w:t>(</w:t>
      </w:r>
      <w:r>
        <w:rPr>
          <w:rStyle w:val="FootnoteReference"/>
          <w:rtl/>
          <w:lang/>
        </w:rPr>
        <w:footnoteReference w:id="2"/>
      </w:r>
      <w:r>
        <w:rPr>
          <w:vertAlign w:val="superscript"/>
          <w:rtl/>
          <w:lang/>
        </w:rPr>
        <w:t>)</w:t>
      </w:r>
      <w:r>
        <w:rPr>
          <w:rFonts w:hint="cs"/>
          <w:rtl/>
          <w:lang w:val="fr-CH"/>
        </w:rPr>
        <w:t xml:space="preserve">، والمبادئ التوجيهية الطوعية المتعلقة </w:t>
      </w:r>
      <w:proofErr w:type="spellStart"/>
      <w:r>
        <w:rPr>
          <w:rFonts w:hint="cs"/>
          <w:rtl/>
          <w:lang w:val="fr-CH"/>
        </w:rPr>
        <w:t>بالحوكمة</w:t>
      </w:r>
      <w:proofErr w:type="spellEnd"/>
      <w:r>
        <w:rPr>
          <w:rFonts w:hint="cs"/>
          <w:rtl/>
          <w:lang w:val="fr-CH"/>
        </w:rPr>
        <w:t xml:space="preserve"> </w:t>
      </w:r>
      <w:proofErr w:type="spellStart"/>
      <w:r>
        <w:rPr>
          <w:rFonts w:hint="cs"/>
          <w:rtl/>
          <w:lang w:val="fr-CH"/>
        </w:rPr>
        <w:t>المسؤولة</w:t>
      </w:r>
      <w:proofErr w:type="spellEnd"/>
      <w:r>
        <w:rPr>
          <w:rFonts w:hint="cs"/>
          <w:rtl/>
          <w:lang w:val="fr-CH"/>
        </w:rPr>
        <w:t xml:space="preserve"> لحيازة الأراضي ومصائد الأسماك والغابات في سياق الأمن الغذائي الوطني، </w:t>
      </w:r>
    </w:p>
    <w:p w:rsidR="00D52311" w:rsidRDefault="00D52311" w:rsidP="00D52311">
      <w:pPr>
        <w:pStyle w:val="SingleTxtGA"/>
        <w:spacing w:after="100" w:line="378" w:lineRule="exact"/>
        <w:rPr>
          <w:rFonts w:hint="cs"/>
          <w:rtl/>
          <w:lang w:val="fr-CH"/>
        </w:rPr>
      </w:pPr>
      <w:r>
        <w:rPr>
          <w:i/>
          <w:iCs/>
          <w:rtl/>
          <w:lang w:val="fr-CH"/>
        </w:rPr>
        <w:tab/>
      </w:r>
      <w:r w:rsidRPr="000B658F">
        <w:rPr>
          <w:rFonts w:hint="cs"/>
          <w:i/>
          <w:iCs/>
          <w:rtl/>
          <w:lang w:val="fr-CH"/>
        </w:rPr>
        <w:t>وإذ يساوره القلق</w:t>
      </w:r>
      <w:r>
        <w:rPr>
          <w:rFonts w:hint="cs"/>
          <w:rtl/>
          <w:lang w:val="fr-CH"/>
        </w:rPr>
        <w:t xml:space="preserve"> لأن أكثر من 860 مليون شخص لا يزالون يعيشون في مستوطنات حضرية فقيرة عشوائية ومحرومة من الخدمات، بعد أن كان عددهم 725 مليون شخص في عام 2000؛ ولأنه، رغم الجهود الكبيرة المبذولة لتحسين الأوضاع المعيشية لسكان المستوطنات الحضرية، لا يزال النمو الصافي في عدد من يعيشون في هذه المستوطنات يتجاوز أوجه التحسّن؛ ولأن الأشخاص الذين يعيشون في هذه الأوضاع معرضون على نحو خاص لجملة أمور منها المرض، والكوارث الطبيعية والكوارث التي هي من صنع الإنسان، والبطالة، وعدم التعليم، </w:t>
      </w:r>
    </w:p>
    <w:p w:rsidR="00D52311" w:rsidRDefault="00D52311" w:rsidP="00160F9E">
      <w:pPr>
        <w:pStyle w:val="SingleTxtGA"/>
        <w:rPr>
          <w:rFonts w:hint="cs"/>
          <w:rtl/>
          <w:lang w:val="fr-CH"/>
        </w:rPr>
      </w:pPr>
      <w:r>
        <w:rPr>
          <w:rFonts w:hint="cs"/>
          <w:rtl/>
          <w:lang w:val="fr-CH"/>
        </w:rPr>
        <w:tab/>
      </w:r>
      <w:r w:rsidRPr="000B658F">
        <w:rPr>
          <w:rFonts w:hint="cs"/>
          <w:i/>
          <w:iCs/>
          <w:rtl/>
          <w:lang w:val="fr-CH"/>
        </w:rPr>
        <w:t xml:space="preserve">وإذ يساوره </w:t>
      </w:r>
      <w:r>
        <w:rPr>
          <w:rFonts w:hint="cs"/>
          <w:i/>
          <w:iCs/>
          <w:rtl/>
          <w:lang w:val="fr-CH"/>
        </w:rPr>
        <w:t>ال</w:t>
      </w:r>
      <w:r w:rsidRPr="000B658F">
        <w:rPr>
          <w:rFonts w:hint="cs"/>
          <w:i/>
          <w:iCs/>
          <w:rtl/>
          <w:lang w:val="fr-CH"/>
        </w:rPr>
        <w:t xml:space="preserve">قلق </w:t>
      </w:r>
      <w:r>
        <w:rPr>
          <w:rFonts w:hint="cs"/>
          <w:i/>
          <w:iCs/>
          <w:rtl/>
          <w:lang w:val="fr-CH"/>
        </w:rPr>
        <w:t>ال</w:t>
      </w:r>
      <w:r w:rsidRPr="000B658F">
        <w:rPr>
          <w:rFonts w:hint="cs"/>
          <w:i/>
          <w:iCs/>
          <w:rtl/>
          <w:lang w:val="fr-CH"/>
        </w:rPr>
        <w:t>بالغ</w:t>
      </w:r>
      <w:r>
        <w:rPr>
          <w:rFonts w:hint="cs"/>
          <w:rtl/>
          <w:lang w:val="fr-CH"/>
        </w:rPr>
        <w:t xml:space="preserve"> لأن الملايين من ملاك المنازل قد تضرروا في السنوات الأخيرة من عمليات الحجز على الرهن العقاري، ولأن المعدلات المرتفعة لعمليات الحجز هذه قد تؤثر </w:t>
      </w:r>
      <w:r w:rsidR="00160F9E">
        <w:rPr>
          <w:rFonts w:hint="cs"/>
          <w:rtl/>
          <w:lang w:val="fr-CH"/>
        </w:rPr>
        <w:t>في</w:t>
      </w:r>
      <w:r>
        <w:rPr>
          <w:rFonts w:hint="cs"/>
          <w:rtl/>
          <w:lang w:val="fr-CH"/>
        </w:rPr>
        <w:t xml:space="preserve"> التمتع بالحق في السكن اللائق، وإذ يساوره القلق بقدر مماثل إزاء ما </w:t>
      </w:r>
      <w:proofErr w:type="spellStart"/>
      <w:r>
        <w:rPr>
          <w:rFonts w:hint="cs"/>
          <w:rtl/>
          <w:lang w:val="fr-CH"/>
        </w:rPr>
        <w:t>شهدته</w:t>
      </w:r>
      <w:proofErr w:type="spellEnd"/>
      <w:r>
        <w:rPr>
          <w:rFonts w:hint="cs"/>
          <w:rtl/>
          <w:lang w:val="fr-CH"/>
        </w:rPr>
        <w:t xml:space="preserve"> السنوات الأخيرة من زيادة في إيجارات المساكن الخاصة المؤجرة لفقراء الحضر دون وجود إطار متوازن لحماية المستأجرين والملاك، ولأن خيارات الاستئجار المتاحة لفقراء الحضر لا</w:t>
      </w:r>
      <w:r>
        <w:rPr>
          <w:rFonts w:hint="eastAsia"/>
          <w:rtl/>
          <w:lang w:val="fr-CH"/>
        </w:rPr>
        <w:t> </w:t>
      </w:r>
      <w:r>
        <w:rPr>
          <w:rFonts w:hint="cs"/>
          <w:rtl/>
          <w:lang w:val="fr-CH"/>
        </w:rPr>
        <w:t>تزال غير كافية وغير مناسبة،</w:t>
      </w:r>
    </w:p>
    <w:p w:rsidR="00D52311" w:rsidRDefault="00D52311" w:rsidP="00404BB8">
      <w:pPr>
        <w:pStyle w:val="SingleTxtGA"/>
        <w:rPr>
          <w:rFonts w:hint="cs"/>
          <w:rtl/>
          <w:lang w:val="fr-CH"/>
        </w:rPr>
      </w:pPr>
      <w:r>
        <w:rPr>
          <w:i/>
          <w:iCs/>
          <w:rtl/>
          <w:lang w:val="fr-CH"/>
        </w:rPr>
        <w:tab/>
      </w:r>
      <w:r w:rsidRPr="000B658F">
        <w:rPr>
          <w:rFonts w:hint="cs"/>
          <w:i/>
          <w:iCs/>
          <w:rtl/>
          <w:lang w:val="fr-CH"/>
        </w:rPr>
        <w:t xml:space="preserve">وإذ يساوره </w:t>
      </w:r>
      <w:r>
        <w:rPr>
          <w:rFonts w:hint="cs"/>
          <w:i/>
          <w:iCs/>
          <w:rtl/>
          <w:lang w:val="fr-CH"/>
        </w:rPr>
        <w:t>ال</w:t>
      </w:r>
      <w:r w:rsidRPr="000B658F">
        <w:rPr>
          <w:rFonts w:hint="cs"/>
          <w:i/>
          <w:iCs/>
          <w:rtl/>
          <w:lang w:val="fr-CH"/>
        </w:rPr>
        <w:t xml:space="preserve">قلق </w:t>
      </w:r>
      <w:r>
        <w:rPr>
          <w:rFonts w:hint="cs"/>
          <w:i/>
          <w:iCs/>
          <w:rtl/>
          <w:lang w:val="fr-CH"/>
        </w:rPr>
        <w:t>ال</w:t>
      </w:r>
      <w:r w:rsidRPr="000B658F">
        <w:rPr>
          <w:rFonts w:hint="cs"/>
          <w:i/>
          <w:iCs/>
          <w:rtl/>
          <w:lang w:val="fr-CH"/>
        </w:rPr>
        <w:t>بالغ أيضاً</w:t>
      </w:r>
      <w:r>
        <w:rPr>
          <w:rFonts w:hint="cs"/>
          <w:rtl/>
          <w:lang w:val="fr-CH"/>
        </w:rPr>
        <w:t xml:space="preserve"> لأن أي تدهور لحالة الإسكان العامة قد يؤثر بصورة غير متناسبة </w:t>
      </w:r>
      <w:r w:rsidR="00160F9E">
        <w:rPr>
          <w:rFonts w:hint="cs"/>
          <w:rtl/>
          <w:lang w:val="fr-CH"/>
        </w:rPr>
        <w:t>في</w:t>
      </w:r>
      <w:r>
        <w:rPr>
          <w:rFonts w:hint="cs"/>
          <w:rtl/>
          <w:lang w:val="fr-CH"/>
        </w:rPr>
        <w:t xml:space="preserve"> الأشخاص الذين يعيشون في أوضاع الفقر، والأشخاص ذوي الدخل المنخفض، والنساء، والأطفال، والأشخاص المنتمين إلى أقليات</w:t>
      </w:r>
      <w:r w:rsidR="00160F9E">
        <w:rPr>
          <w:rFonts w:hint="cs"/>
          <w:rtl/>
          <w:lang w:val="fr-CH"/>
        </w:rPr>
        <w:t xml:space="preserve"> قومية أو </w:t>
      </w:r>
      <w:proofErr w:type="spellStart"/>
      <w:r w:rsidR="00160F9E">
        <w:rPr>
          <w:rFonts w:hint="cs"/>
          <w:rtl/>
          <w:lang w:val="fr-CH"/>
        </w:rPr>
        <w:t>إثنية</w:t>
      </w:r>
      <w:proofErr w:type="spellEnd"/>
      <w:r w:rsidR="00160F9E">
        <w:rPr>
          <w:rFonts w:hint="cs"/>
          <w:rtl/>
          <w:lang w:val="fr-CH"/>
        </w:rPr>
        <w:t xml:space="preserve"> وإلى أقليات دينية ولغوية </w:t>
      </w:r>
      <w:r>
        <w:rPr>
          <w:rFonts w:hint="cs"/>
          <w:rtl/>
          <w:lang w:val="fr-CH"/>
        </w:rPr>
        <w:t>أو إلى الشعوب الأصلية، والمهاجرين، والمشردين داخلياً، والمستأجرين، والمسنين، والأشخاص ذوي الإعاقة، و</w:t>
      </w:r>
      <w:r w:rsidR="00404BB8">
        <w:rPr>
          <w:rFonts w:hint="cs"/>
          <w:rtl/>
          <w:lang w:val="fr-CH"/>
        </w:rPr>
        <w:t xml:space="preserve">غيرهم من </w:t>
      </w:r>
      <w:r>
        <w:rPr>
          <w:rFonts w:hint="cs"/>
          <w:rtl/>
          <w:lang w:val="fr-CH"/>
        </w:rPr>
        <w:t>الأشخاص المنتمين إلى فئات مهمّشة أو الأشخاص المنتمين إلى فئات ذات أوضاع هشة، ولأن انعدام أمن الحيازة في حد ذاته قد يؤدي إلى تمييز و</w:t>
      </w:r>
      <w:r w:rsidR="00160F9E">
        <w:rPr>
          <w:rFonts w:hint="cs"/>
          <w:rtl/>
          <w:lang w:val="fr-CH"/>
        </w:rPr>
        <w:t xml:space="preserve">إلى </w:t>
      </w:r>
      <w:r>
        <w:rPr>
          <w:rFonts w:hint="cs"/>
          <w:rtl/>
          <w:lang w:val="fr-CH"/>
        </w:rPr>
        <w:t>مزيد من الاستبعاد، ولا </w:t>
      </w:r>
      <w:proofErr w:type="spellStart"/>
      <w:r>
        <w:rPr>
          <w:rFonts w:hint="cs"/>
          <w:rtl/>
          <w:lang w:val="fr-CH"/>
        </w:rPr>
        <w:t>سيما</w:t>
      </w:r>
      <w:proofErr w:type="spellEnd"/>
      <w:r>
        <w:rPr>
          <w:rFonts w:hint="cs"/>
          <w:rtl/>
          <w:lang w:val="fr-CH"/>
        </w:rPr>
        <w:t xml:space="preserve"> الاستبعاد الاجتماعي والاقتصادي، </w:t>
      </w:r>
    </w:p>
    <w:p w:rsidR="00160F9E" w:rsidRPr="00160F9E" w:rsidRDefault="00160F9E" w:rsidP="00160F9E">
      <w:pPr>
        <w:pStyle w:val="SingleTxtGA"/>
        <w:rPr>
          <w:rFonts w:hint="cs"/>
          <w:rtl/>
          <w:lang w:val="fr-CH"/>
        </w:rPr>
      </w:pPr>
      <w:r>
        <w:rPr>
          <w:rFonts w:hint="cs"/>
          <w:rtl/>
          <w:lang w:val="fr-CH"/>
        </w:rPr>
        <w:tab/>
      </w:r>
      <w:r>
        <w:rPr>
          <w:rFonts w:hint="cs"/>
          <w:i/>
          <w:iCs/>
          <w:rtl/>
          <w:lang w:val="fr-CH"/>
        </w:rPr>
        <w:t>وإذ يؤكد من جديد</w:t>
      </w:r>
      <w:r>
        <w:rPr>
          <w:rFonts w:hint="cs"/>
          <w:rtl/>
          <w:lang w:val="fr-CH"/>
        </w:rPr>
        <w:t xml:space="preserve"> أن لكل إنسان الحق في الحصول على سكن لائق كعنصر في مستوى معيشي مناسب دون أي تمييز بسبب العرق أو اللون أو الجنس أو اللغة أو الدين أو الرأي السياسي أو غير السياسي، أو الأصل القومي أو الاجتماعي، أو الثروة، أو النسب، أو غير ذلك من الأسباب، </w:t>
      </w:r>
    </w:p>
    <w:p w:rsidR="00D52311" w:rsidRDefault="00D52311" w:rsidP="00160F9E">
      <w:pPr>
        <w:pStyle w:val="SingleTxtGA"/>
        <w:rPr>
          <w:rFonts w:hint="cs"/>
          <w:rtl/>
          <w:lang w:val="fr-CH"/>
        </w:rPr>
      </w:pPr>
      <w:r>
        <w:rPr>
          <w:rFonts w:hint="cs"/>
          <w:rtl/>
          <w:lang w:val="fr-CH"/>
        </w:rPr>
        <w:tab/>
      </w:r>
      <w:r w:rsidRPr="000B658F">
        <w:rPr>
          <w:rFonts w:hint="cs"/>
          <w:i/>
          <w:iCs/>
          <w:rtl/>
          <w:lang w:val="fr-CH"/>
        </w:rPr>
        <w:t>وإذ ي</w:t>
      </w:r>
      <w:r w:rsidR="00160F9E">
        <w:rPr>
          <w:rFonts w:hint="cs"/>
          <w:i/>
          <w:iCs/>
          <w:rtl/>
          <w:lang w:val="fr-CH"/>
        </w:rPr>
        <w:t xml:space="preserve">سلم </w:t>
      </w:r>
      <w:r w:rsidR="00160F9E">
        <w:rPr>
          <w:rFonts w:hint="cs"/>
          <w:rtl/>
          <w:lang w:val="fr-CH"/>
        </w:rPr>
        <w:t>ب</w:t>
      </w:r>
      <w:r>
        <w:rPr>
          <w:rFonts w:hint="cs"/>
          <w:rtl/>
          <w:lang w:val="fr-CH"/>
        </w:rPr>
        <w:t xml:space="preserve">أن أمن الحيازة يحسِّن من التمتع بالحق في السكن اللائق، وأنه عامل مهم في التمتع بكثير من الحقوق الأخرى الاقتصادية والاجتماعية والثقافية والمدنية والسياسية، وأن جميع الأشخاص ينبغي أن يتمتعوا بدرجة من أمن الحيازة تكفل لهم الحماية القانونية من الإخلاء </w:t>
      </w:r>
      <w:proofErr w:type="spellStart"/>
      <w:r>
        <w:rPr>
          <w:rFonts w:hint="cs"/>
          <w:rtl/>
          <w:lang w:val="fr-CH"/>
        </w:rPr>
        <w:t>القسري</w:t>
      </w:r>
      <w:proofErr w:type="spellEnd"/>
      <w:r>
        <w:rPr>
          <w:rFonts w:hint="cs"/>
          <w:rtl/>
          <w:lang w:val="fr-CH"/>
        </w:rPr>
        <w:t xml:space="preserve"> ومن المضايقة وغير ذلك من التهديدات، </w:t>
      </w:r>
    </w:p>
    <w:p w:rsidR="00D52311" w:rsidRDefault="00D52311" w:rsidP="00160F9E">
      <w:pPr>
        <w:pStyle w:val="SingleTxtGA"/>
        <w:rPr>
          <w:rFonts w:hint="cs"/>
          <w:rtl/>
          <w:lang w:val="fr-CH"/>
        </w:rPr>
      </w:pPr>
      <w:r>
        <w:rPr>
          <w:rFonts w:hint="cs"/>
          <w:rtl/>
          <w:lang w:val="fr-CH"/>
        </w:rPr>
        <w:tab/>
      </w:r>
      <w:r w:rsidRPr="000B658F">
        <w:rPr>
          <w:rFonts w:hint="cs"/>
          <w:i/>
          <w:iCs/>
          <w:rtl/>
          <w:lang w:val="fr-CH"/>
        </w:rPr>
        <w:t>وإذ ي</w:t>
      </w:r>
      <w:r w:rsidR="00160F9E">
        <w:rPr>
          <w:rFonts w:hint="cs"/>
          <w:i/>
          <w:iCs/>
          <w:rtl/>
          <w:lang w:val="fr-CH"/>
        </w:rPr>
        <w:t xml:space="preserve">سلم </w:t>
      </w:r>
      <w:r w:rsidRPr="000B658F">
        <w:rPr>
          <w:rFonts w:hint="cs"/>
          <w:i/>
          <w:iCs/>
          <w:rtl/>
          <w:lang w:val="fr-CH"/>
        </w:rPr>
        <w:t>أيضاً</w:t>
      </w:r>
      <w:r>
        <w:rPr>
          <w:rFonts w:hint="cs"/>
          <w:rtl/>
          <w:lang w:val="fr-CH"/>
        </w:rPr>
        <w:t xml:space="preserve"> </w:t>
      </w:r>
      <w:r w:rsidR="00404BB8">
        <w:rPr>
          <w:rFonts w:hint="cs"/>
          <w:rtl/>
          <w:lang w:val="fr-CH"/>
        </w:rPr>
        <w:t>ب</w:t>
      </w:r>
      <w:r>
        <w:rPr>
          <w:rFonts w:hint="cs"/>
          <w:rtl/>
          <w:lang w:val="fr-CH"/>
        </w:rPr>
        <w:t>الحاجة إلى تشجيع مجموعة متنوعة من أشكال الحيازة</w:t>
      </w:r>
      <w:r w:rsidR="00160F9E">
        <w:rPr>
          <w:rFonts w:hint="cs"/>
          <w:rtl/>
          <w:lang w:val="fr-CH"/>
        </w:rPr>
        <w:t xml:space="preserve"> وحمايتها وتدعيمها في إطار تعميم منظور ح</w:t>
      </w:r>
      <w:r>
        <w:rPr>
          <w:rFonts w:hint="cs"/>
          <w:rtl/>
          <w:lang w:val="fr-CH"/>
        </w:rPr>
        <w:t>قوق الإنسان، ولا </w:t>
      </w:r>
      <w:proofErr w:type="spellStart"/>
      <w:r>
        <w:rPr>
          <w:rFonts w:hint="cs"/>
          <w:rtl/>
          <w:lang w:val="fr-CH"/>
        </w:rPr>
        <w:t>سيما</w:t>
      </w:r>
      <w:proofErr w:type="spellEnd"/>
      <w:r>
        <w:rPr>
          <w:rFonts w:hint="cs"/>
          <w:rtl/>
          <w:lang w:val="fr-CH"/>
        </w:rPr>
        <w:t xml:space="preserve"> في </w:t>
      </w:r>
      <w:r w:rsidR="00160F9E">
        <w:rPr>
          <w:rFonts w:hint="cs"/>
          <w:rtl/>
          <w:lang w:val="fr-CH"/>
        </w:rPr>
        <w:t xml:space="preserve">مجال </w:t>
      </w:r>
      <w:r>
        <w:rPr>
          <w:rFonts w:hint="cs"/>
          <w:rtl/>
          <w:lang w:val="fr-CH"/>
        </w:rPr>
        <w:t xml:space="preserve">التنمية الحضرية، بما في ذلك في </w:t>
      </w:r>
      <w:r w:rsidR="00160F9E">
        <w:rPr>
          <w:rFonts w:hint="cs"/>
          <w:rtl/>
          <w:lang w:val="fr-CH"/>
        </w:rPr>
        <w:t xml:space="preserve">مجال تحسين </w:t>
      </w:r>
      <w:r>
        <w:rPr>
          <w:rFonts w:hint="cs"/>
          <w:rtl/>
          <w:lang w:val="fr-CH"/>
        </w:rPr>
        <w:t xml:space="preserve">المساكن والأحياء الفقيرة، والتخطيط الحضري، وسياسات إدارة الأراضي وتنظيم الأراضي، من أجل ضمان الإدماج الاجتماعي، بمشاركة كاملة من جميع الجهات المعنية صاحبة المصلحة، </w:t>
      </w:r>
    </w:p>
    <w:p w:rsidR="00D52311" w:rsidRDefault="00D52311" w:rsidP="00160F9E">
      <w:pPr>
        <w:pStyle w:val="SingleTxtGA"/>
        <w:rPr>
          <w:rFonts w:hint="cs"/>
          <w:rtl/>
          <w:lang w:val="fr-CH"/>
        </w:rPr>
      </w:pPr>
      <w:r>
        <w:rPr>
          <w:rFonts w:hint="cs"/>
          <w:rtl/>
          <w:lang w:val="fr-CH"/>
        </w:rPr>
        <w:tab/>
        <w:t>1-</w:t>
      </w:r>
      <w:r>
        <w:rPr>
          <w:rFonts w:hint="cs"/>
          <w:rtl/>
          <w:lang w:val="fr-CH"/>
        </w:rPr>
        <w:tab/>
      </w:r>
      <w:r w:rsidRPr="000B658F">
        <w:rPr>
          <w:rFonts w:hint="cs"/>
          <w:i/>
          <w:iCs/>
          <w:rtl/>
          <w:lang w:val="fr-CH"/>
        </w:rPr>
        <w:t>يرحب</w:t>
      </w:r>
      <w:r>
        <w:rPr>
          <w:rFonts w:hint="cs"/>
          <w:rtl/>
          <w:lang w:val="fr-CH"/>
        </w:rPr>
        <w:t xml:space="preserve"> بالعمل الذي تقوم </w:t>
      </w:r>
      <w:proofErr w:type="spellStart"/>
      <w:r>
        <w:rPr>
          <w:rFonts w:hint="cs"/>
          <w:rtl/>
          <w:lang w:val="fr-CH"/>
        </w:rPr>
        <w:t>به</w:t>
      </w:r>
      <w:proofErr w:type="spellEnd"/>
      <w:r>
        <w:rPr>
          <w:rFonts w:hint="cs"/>
          <w:rtl/>
          <w:lang w:val="fr-CH"/>
        </w:rPr>
        <w:t xml:space="preserve"> المقررة الخاصة المعنية بالسكن اللائق كعنصر من عناصر الحق في مستوى معيشي مناسب وبالحق في عدم التمييز في هذا السياق، بما في ذلك </w:t>
      </w:r>
      <w:r w:rsidR="00160F9E">
        <w:rPr>
          <w:rFonts w:hint="cs"/>
          <w:rtl/>
          <w:lang w:val="fr-CH"/>
        </w:rPr>
        <w:t xml:space="preserve">قيامها </w:t>
      </w:r>
      <w:r>
        <w:rPr>
          <w:rFonts w:hint="cs"/>
          <w:rtl/>
          <w:lang w:val="fr-CH"/>
        </w:rPr>
        <w:t xml:space="preserve">ببعثات قطرية؛ </w:t>
      </w:r>
    </w:p>
    <w:p w:rsidR="00D52311" w:rsidRDefault="00D52311" w:rsidP="00160F9E">
      <w:pPr>
        <w:pStyle w:val="SingleTxtGA"/>
        <w:rPr>
          <w:rFonts w:hint="cs"/>
          <w:rtl/>
          <w:lang w:val="fr-CH"/>
        </w:rPr>
      </w:pPr>
      <w:r>
        <w:rPr>
          <w:rFonts w:hint="cs"/>
          <w:rtl/>
          <w:lang w:val="fr-CH"/>
        </w:rPr>
        <w:tab/>
        <w:t>2-</w:t>
      </w:r>
      <w:r>
        <w:rPr>
          <w:rFonts w:hint="cs"/>
          <w:rtl/>
          <w:lang w:val="fr-CH"/>
        </w:rPr>
        <w:tab/>
      </w:r>
      <w:r w:rsidRPr="000B658F">
        <w:rPr>
          <w:rFonts w:hint="cs"/>
          <w:i/>
          <w:iCs/>
          <w:rtl/>
          <w:lang w:val="fr-CH"/>
        </w:rPr>
        <w:t>يحيط علماً مع التقدير</w:t>
      </w:r>
      <w:r>
        <w:rPr>
          <w:rFonts w:hint="cs"/>
          <w:rtl/>
          <w:lang w:val="fr-CH"/>
        </w:rPr>
        <w:t>، بشكل خاص، بتقرير المقررة الخاصة بشأن أمن الحيازة لفقراء الحضر</w:t>
      </w:r>
      <w:r>
        <w:rPr>
          <w:vertAlign w:val="superscript"/>
          <w:rtl/>
          <w:lang w:val="fr-CH"/>
        </w:rPr>
        <w:t>(</w:t>
      </w:r>
      <w:r>
        <w:rPr>
          <w:rStyle w:val="FootnoteReference"/>
          <w:rtl/>
          <w:lang w:val="fr-CH"/>
        </w:rPr>
        <w:footnoteReference w:id="3"/>
      </w:r>
      <w:r>
        <w:rPr>
          <w:vertAlign w:val="superscript"/>
          <w:rtl/>
          <w:lang w:val="fr-CH"/>
        </w:rPr>
        <w:t>)</w:t>
      </w:r>
      <w:r>
        <w:rPr>
          <w:rFonts w:hint="cs"/>
          <w:rtl/>
          <w:lang w:val="fr-CH"/>
        </w:rPr>
        <w:t xml:space="preserve">، وبالمبادئ التوجيهية المتعلقة بأمن الحيازة لفقراء الحضر على النحو </w:t>
      </w:r>
      <w:r w:rsidR="00160F9E">
        <w:rPr>
          <w:rFonts w:hint="cs"/>
          <w:rtl/>
          <w:lang w:val="fr-CH"/>
        </w:rPr>
        <w:t xml:space="preserve">الوارد </w:t>
      </w:r>
      <w:r>
        <w:rPr>
          <w:rFonts w:hint="cs"/>
          <w:rtl/>
          <w:lang w:val="fr-CH"/>
        </w:rPr>
        <w:t>في التقرير، ويشجع الدول على أخذ هذه المبادئ التوجيهية في الحسبان عند تخطيط وتنفيذ تدابير تهدف إلى تحسين أمن الحيازة لفقراء الحضر؛</w:t>
      </w:r>
    </w:p>
    <w:p w:rsidR="00160F9E" w:rsidRPr="00160F9E" w:rsidRDefault="00160F9E" w:rsidP="00160F9E">
      <w:pPr>
        <w:pStyle w:val="SingleTxtGA"/>
        <w:rPr>
          <w:rFonts w:hint="cs"/>
          <w:rtl/>
          <w:lang w:val="fr-CH"/>
        </w:rPr>
      </w:pPr>
      <w:r>
        <w:rPr>
          <w:rFonts w:hint="cs"/>
          <w:rtl/>
          <w:lang w:val="fr-CH"/>
        </w:rPr>
        <w:tab/>
        <w:t>3-</w:t>
      </w:r>
      <w:r>
        <w:rPr>
          <w:rFonts w:hint="cs"/>
          <w:rtl/>
          <w:lang w:val="fr-CH"/>
        </w:rPr>
        <w:tab/>
      </w:r>
      <w:r w:rsidRPr="00160F9E">
        <w:rPr>
          <w:rFonts w:hint="cs"/>
          <w:i/>
          <w:iCs/>
          <w:rtl/>
          <w:lang w:val="fr-CH"/>
        </w:rPr>
        <w:t xml:space="preserve">يؤكد من جديد </w:t>
      </w:r>
      <w:r>
        <w:rPr>
          <w:rFonts w:hint="cs"/>
          <w:rtl/>
          <w:lang w:val="fr-CH"/>
        </w:rPr>
        <w:t xml:space="preserve">أن الدول </w:t>
      </w:r>
      <w:proofErr w:type="spellStart"/>
      <w:r>
        <w:rPr>
          <w:rFonts w:hint="cs"/>
          <w:rtl/>
          <w:lang w:val="fr-CH"/>
        </w:rPr>
        <w:t>مسؤولة</w:t>
      </w:r>
      <w:proofErr w:type="spellEnd"/>
      <w:r>
        <w:rPr>
          <w:rFonts w:hint="cs"/>
          <w:rtl/>
          <w:lang w:val="fr-CH"/>
        </w:rPr>
        <w:t xml:space="preserve"> في المقام الأول عن ضمان الإعمال الكامل لجميع حقوق الإنسان والسعي لاتخاذ خطوات، منفردة وعن طريق المساعدة والتعاون الدوليين، وبخاصة على الصعيدين الاقتصادي والتقني، وبأقصى ما تسمح </w:t>
      </w:r>
      <w:proofErr w:type="spellStart"/>
      <w:r>
        <w:rPr>
          <w:rFonts w:hint="cs"/>
          <w:rtl/>
          <w:lang w:val="fr-CH"/>
        </w:rPr>
        <w:t>به</w:t>
      </w:r>
      <w:proofErr w:type="spellEnd"/>
      <w:r>
        <w:rPr>
          <w:rFonts w:hint="cs"/>
          <w:rtl/>
          <w:lang w:val="fr-CH"/>
        </w:rPr>
        <w:t xml:space="preserve"> مواردها المتاحة، كي تحقق تدريجياً الإعمال الكامل للحق في السكن كعنصر من عناصر الحق في مستوى معيشي مناسب بجميع الوسائل المناسبة، وخصوصاً اعتماد التدابير التشريعية؛ </w:t>
      </w:r>
    </w:p>
    <w:p w:rsidR="00D52311" w:rsidRDefault="00D52311" w:rsidP="00160F9E">
      <w:pPr>
        <w:pStyle w:val="SingleTxtGA"/>
        <w:rPr>
          <w:rFonts w:hint="cs"/>
          <w:rtl/>
          <w:lang w:val="fr-CH"/>
        </w:rPr>
      </w:pPr>
      <w:r>
        <w:rPr>
          <w:rFonts w:hint="cs"/>
          <w:rtl/>
          <w:lang w:val="fr-CH"/>
        </w:rPr>
        <w:tab/>
      </w:r>
      <w:r w:rsidR="00160F9E">
        <w:rPr>
          <w:rFonts w:hint="cs"/>
          <w:rtl/>
          <w:lang w:val="fr-CH"/>
        </w:rPr>
        <w:t>4-</w:t>
      </w:r>
      <w:r>
        <w:rPr>
          <w:rFonts w:hint="cs"/>
          <w:rtl/>
          <w:lang w:val="fr-CH"/>
        </w:rPr>
        <w:tab/>
      </w:r>
      <w:proofErr w:type="spellStart"/>
      <w:r w:rsidR="00160F9E">
        <w:rPr>
          <w:rFonts w:hint="cs"/>
          <w:i/>
          <w:iCs/>
          <w:rtl/>
          <w:lang w:val="fr-CH"/>
        </w:rPr>
        <w:t>يهيب</w:t>
      </w:r>
      <w:proofErr w:type="spellEnd"/>
      <w:r w:rsidR="00160F9E">
        <w:rPr>
          <w:rFonts w:hint="cs"/>
          <w:i/>
          <w:iCs/>
          <w:rtl/>
          <w:lang w:val="fr-CH"/>
        </w:rPr>
        <w:t xml:space="preserve"> </w:t>
      </w:r>
      <w:r w:rsidR="00160F9E">
        <w:rPr>
          <w:rFonts w:hint="cs"/>
          <w:rtl/>
          <w:lang w:val="fr-CH"/>
        </w:rPr>
        <w:t>ب</w:t>
      </w:r>
      <w:r>
        <w:rPr>
          <w:rFonts w:hint="cs"/>
          <w:rtl/>
          <w:lang w:val="fr-CH"/>
        </w:rPr>
        <w:t xml:space="preserve">الدول </w:t>
      </w:r>
      <w:r w:rsidR="00160F9E">
        <w:rPr>
          <w:rFonts w:hint="cs"/>
          <w:rtl/>
          <w:lang w:val="fr-CH"/>
        </w:rPr>
        <w:t xml:space="preserve">أن تولي </w:t>
      </w:r>
      <w:r>
        <w:rPr>
          <w:rFonts w:hint="cs"/>
          <w:rtl/>
          <w:lang w:val="fr-CH"/>
        </w:rPr>
        <w:t>الاعتبار الواجب، في سياق وضع خطة التنمية لما بعد عام</w:t>
      </w:r>
      <w:r>
        <w:rPr>
          <w:rFonts w:hint="eastAsia"/>
          <w:rtl/>
          <w:lang w:val="fr-CH"/>
        </w:rPr>
        <w:t> </w:t>
      </w:r>
      <w:r>
        <w:rPr>
          <w:rFonts w:hint="cs"/>
          <w:rtl/>
          <w:lang w:val="fr-CH"/>
        </w:rPr>
        <w:t xml:space="preserve">2015، لحق الإنسان في السكن اللائق كعنصر من عناصر الحق في مستوى معيشي مناسب، وللمسائل المتعلقة بإمكانية حصول الجميع على سكن لائق ومستدام؛ </w:t>
      </w:r>
    </w:p>
    <w:p w:rsidR="00D52311" w:rsidRDefault="00D52311" w:rsidP="00160F9E">
      <w:pPr>
        <w:pStyle w:val="SingleTxtGA"/>
        <w:rPr>
          <w:rFonts w:hint="cs"/>
          <w:rtl/>
        </w:rPr>
      </w:pPr>
      <w:r>
        <w:rPr>
          <w:rFonts w:hint="cs"/>
          <w:rtl/>
          <w:lang w:val="fr-CH"/>
        </w:rPr>
        <w:tab/>
      </w:r>
      <w:r w:rsidR="00160F9E">
        <w:rPr>
          <w:rFonts w:hint="cs"/>
          <w:rtl/>
          <w:lang w:val="fr-CH"/>
        </w:rPr>
        <w:t>5</w:t>
      </w:r>
      <w:r>
        <w:rPr>
          <w:rFonts w:hint="cs"/>
          <w:rtl/>
          <w:lang w:val="fr-CH"/>
        </w:rPr>
        <w:t>-</w:t>
      </w:r>
      <w:r>
        <w:rPr>
          <w:rFonts w:hint="cs"/>
          <w:rtl/>
          <w:lang w:val="fr-CH"/>
        </w:rPr>
        <w:tab/>
      </w:r>
      <w:r w:rsidRPr="000B658F">
        <w:rPr>
          <w:rFonts w:hint="cs"/>
          <w:i/>
          <w:iCs/>
          <w:rtl/>
        </w:rPr>
        <w:t>يقرر</w:t>
      </w:r>
      <w:r w:rsidRPr="007F20FB">
        <w:rPr>
          <w:rFonts w:hint="cs"/>
          <w:rtl/>
        </w:rPr>
        <w:t xml:space="preserve"> أن يمدد ثلاث سنوات ولاية المقرر</w:t>
      </w:r>
      <w:r>
        <w:rPr>
          <w:rFonts w:hint="cs"/>
          <w:rtl/>
        </w:rPr>
        <w:t>ة</w:t>
      </w:r>
      <w:r w:rsidRPr="007F20FB">
        <w:rPr>
          <w:rFonts w:hint="cs"/>
          <w:rtl/>
        </w:rPr>
        <w:t xml:space="preserve"> الخاص</w:t>
      </w:r>
      <w:r>
        <w:rPr>
          <w:rFonts w:hint="cs"/>
          <w:rtl/>
        </w:rPr>
        <w:t>ة</w:t>
      </w:r>
      <w:r w:rsidRPr="007F20FB">
        <w:rPr>
          <w:rFonts w:hint="cs"/>
          <w:rtl/>
        </w:rPr>
        <w:t xml:space="preserve"> المعني</w:t>
      </w:r>
      <w:r>
        <w:rPr>
          <w:rFonts w:hint="cs"/>
          <w:rtl/>
        </w:rPr>
        <w:t>ة</w:t>
      </w:r>
      <w:r w:rsidRPr="007F20FB">
        <w:rPr>
          <w:rFonts w:hint="cs"/>
          <w:rtl/>
        </w:rPr>
        <w:t xml:space="preserve"> بالسكن اللائق من</w:t>
      </w:r>
      <w:r w:rsidR="00160F9E">
        <w:rPr>
          <w:rFonts w:hint="eastAsia"/>
          <w:rtl/>
        </w:rPr>
        <w:t> </w:t>
      </w:r>
      <w:r>
        <w:rPr>
          <w:rFonts w:hint="cs"/>
          <w:rtl/>
          <w:lang w:val="fr-CH"/>
        </w:rPr>
        <w:t xml:space="preserve">كعنصر من عناصر الحق </w:t>
      </w:r>
      <w:r w:rsidRPr="007F20FB">
        <w:rPr>
          <w:rFonts w:hint="cs"/>
          <w:rtl/>
        </w:rPr>
        <w:t xml:space="preserve">في مستوى معيشي </w:t>
      </w:r>
      <w:r w:rsidRPr="002F0BEF">
        <w:rPr>
          <w:rFonts w:hint="cs"/>
          <w:rtl/>
          <w:lang/>
        </w:rPr>
        <w:t>مناسب</w:t>
      </w:r>
      <w:r w:rsidRPr="007F20FB">
        <w:rPr>
          <w:rFonts w:hint="cs"/>
          <w:rtl/>
        </w:rPr>
        <w:t xml:space="preserve"> وبالحق في عدم التمييز في هذا السياق،</w:t>
      </w:r>
      <w:r>
        <w:rPr>
          <w:rFonts w:hint="cs"/>
          <w:rtl/>
        </w:rPr>
        <w:t xml:space="preserve"> على النحو المنصوص عليه في قرار مجلس حقوق الإنسان 15/8 المؤرخ 30 أيلول/سبتمبر 2010؛</w:t>
      </w:r>
    </w:p>
    <w:p w:rsidR="00D52311" w:rsidRPr="000422CE" w:rsidRDefault="00D52311" w:rsidP="00782CFE">
      <w:pPr>
        <w:pStyle w:val="SingleTxtGA"/>
        <w:rPr>
          <w:rFonts w:hint="cs"/>
          <w:spacing w:val="4"/>
          <w:rtl/>
        </w:rPr>
      </w:pPr>
      <w:r>
        <w:rPr>
          <w:rtl/>
        </w:rPr>
        <w:tab/>
      </w:r>
      <w:r w:rsidR="00782CFE">
        <w:rPr>
          <w:rFonts w:hint="cs"/>
          <w:rtl/>
        </w:rPr>
        <w:t>6</w:t>
      </w:r>
      <w:r>
        <w:rPr>
          <w:rFonts w:hint="cs"/>
          <w:rtl/>
        </w:rPr>
        <w:t>-</w:t>
      </w:r>
      <w:r>
        <w:rPr>
          <w:rFonts w:hint="cs"/>
          <w:rtl/>
        </w:rPr>
        <w:tab/>
      </w:r>
      <w:r w:rsidRPr="007F20FB">
        <w:rPr>
          <w:rFonts w:hint="cs"/>
          <w:i/>
          <w:iCs/>
          <w:rtl/>
        </w:rPr>
        <w:t>يحيط علماً</w:t>
      </w:r>
      <w:r w:rsidRPr="007F20FB">
        <w:rPr>
          <w:rFonts w:hint="cs"/>
          <w:rtl/>
        </w:rPr>
        <w:t xml:space="preserve"> بالعمل </w:t>
      </w:r>
      <w:r w:rsidRPr="002F0BEF">
        <w:rPr>
          <w:rFonts w:hint="cs"/>
          <w:rtl/>
          <w:lang/>
        </w:rPr>
        <w:t>المنجز</w:t>
      </w:r>
      <w:r>
        <w:rPr>
          <w:rFonts w:hint="cs"/>
          <w:rtl/>
        </w:rPr>
        <w:t xml:space="preserve"> بشأن</w:t>
      </w:r>
      <w:r w:rsidRPr="007F20FB">
        <w:rPr>
          <w:rFonts w:hint="cs"/>
          <w:rtl/>
        </w:rPr>
        <w:t xml:space="preserve"> المبادئ الأساسية والمبادئ التوجيهية المتعلقة بعمليات الإخلاء والترحيل بدافع ا</w:t>
      </w:r>
      <w:r>
        <w:rPr>
          <w:rFonts w:hint="cs"/>
          <w:rtl/>
        </w:rPr>
        <w:t>لتنمية والحاجة إلى مواصلة العمل بشأنها</w:t>
      </w:r>
      <w:r w:rsidRPr="007F20FB">
        <w:rPr>
          <w:rFonts w:hint="cs"/>
          <w:rtl/>
        </w:rPr>
        <w:t>، ب</w:t>
      </w:r>
      <w:r w:rsidR="00782CFE">
        <w:rPr>
          <w:rFonts w:hint="cs"/>
          <w:rtl/>
        </w:rPr>
        <w:t xml:space="preserve">وسائل منها </w:t>
      </w:r>
      <w:r w:rsidRPr="007F20FB">
        <w:rPr>
          <w:rFonts w:hint="cs"/>
          <w:rtl/>
        </w:rPr>
        <w:t>التشاور مع الدول وغيرها من الجهات صاحبة المصلحة؛</w:t>
      </w:r>
    </w:p>
    <w:p w:rsidR="00D52311" w:rsidRDefault="00D52311" w:rsidP="00782CFE">
      <w:pPr>
        <w:pStyle w:val="SingleTxtGA"/>
        <w:rPr>
          <w:rFonts w:hint="cs"/>
          <w:spacing w:val="4"/>
          <w:rtl/>
        </w:rPr>
      </w:pPr>
      <w:r>
        <w:rPr>
          <w:rtl/>
          <w:lang w:val="fr-CH"/>
        </w:rPr>
        <w:tab/>
      </w:r>
      <w:r w:rsidR="00782CFE">
        <w:rPr>
          <w:rFonts w:hint="cs"/>
          <w:rtl/>
          <w:lang w:val="fr-CH"/>
        </w:rPr>
        <w:t>7</w:t>
      </w:r>
      <w:r>
        <w:rPr>
          <w:rFonts w:hint="cs"/>
          <w:rtl/>
          <w:lang w:val="fr-CH"/>
        </w:rPr>
        <w:t>-</w:t>
      </w:r>
      <w:r>
        <w:rPr>
          <w:rFonts w:hint="cs"/>
          <w:rtl/>
          <w:lang w:val="fr-CH"/>
        </w:rPr>
        <w:tab/>
      </w:r>
      <w:r w:rsidRPr="00DB48F4">
        <w:rPr>
          <w:rFonts w:hint="cs"/>
          <w:i/>
          <w:iCs/>
          <w:spacing w:val="4"/>
          <w:rtl/>
        </w:rPr>
        <w:t>يطلب</w:t>
      </w:r>
      <w:r>
        <w:rPr>
          <w:rFonts w:hint="cs"/>
          <w:rtl/>
          <w:lang/>
        </w:rPr>
        <w:t xml:space="preserve"> إلى الأمين العام وإلى مفوضة الأمم المتحدة السامية لحقوق الإنسان تقديم كل ما يلزم من مساعدة إلى المقررة الخاصة لتمكينها من </w:t>
      </w:r>
      <w:r w:rsidR="00782CFE">
        <w:rPr>
          <w:rFonts w:hint="cs"/>
          <w:rtl/>
          <w:lang/>
        </w:rPr>
        <w:t xml:space="preserve">إنجاز </w:t>
      </w:r>
      <w:r>
        <w:rPr>
          <w:rFonts w:hint="cs"/>
          <w:rtl/>
          <w:lang/>
        </w:rPr>
        <w:t>ولايتها بفعالية؛</w:t>
      </w:r>
    </w:p>
    <w:p w:rsidR="00D52311" w:rsidRPr="007F20FB" w:rsidRDefault="00D52311" w:rsidP="00782CFE">
      <w:pPr>
        <w:pStyle w:val="SingleTxtGA"/>
        <w:rPr>
          <w:rFonts w:hint="cs"/>
          <w:spacing w:val="4"/>
          <w:rtl/>
          <w:lang/>
        </w:rPr>
      </w:pPr>
      <w:r>
        <w:rPr>
          <w:rFonts w:hint="cs"/>
          <w:spacing w:val="4"/>
          <w:rtl/>
        </w:rPr>
        <w:tab/>
      </w:r>
      <w:r w:rsidR="00782CFE">
        <w:rPr>
          <w:rFonts w:hint="cs"/>
          <w:spacing w:val="4"/>
          <w:rtl/>
        </w:rPr>
        <w:t>8</w:t>
      </w:r>
      <w:r>
        <w:rPr>
          <w:rFonts w:hint="cs"/>
          <w:spacing w:val="4"/>
          <w:rtl/>
        </w:rPr>
        <w:t>-</w:t>
      </w:r>
      <w:r>
        <w:rPr>
          <w:rFonts w:hint="cs"/>
          <w:spacing w:val="4"/>
          <w:rtl/>
        </w:rPr>
        <w:tab/>
      </w:r>
      <w:r>
        <w:rPr>
          <w:rFonts w:hint="cs"/>
          <w:i/>
          <w:iCs/>
          <w:spacing w:val="4"/>
          <w:rtl/>
        </w:rPr>
        <w:t>ي</w:t>
      </w:r>
      <w:r w:rsidRPr="002F0BEF">
        <w:rPr>
          <w:rFonts w:hint="cs"/>
          <w:i/>
          <w:iCs/>
          <w:spacing w:val="4"/>
          <w:rtl/>
        </w:rPr>
        <w:t>لاحظ</w:t>
      </w:r>
      <w:r w:rsidRPr="002F0BEF">
        <w:rPr>
          <w:rFonts w:hint="cs"/>
          <w:i/>
          <w:iCs/>
          <w:rtl/>
          <w:lang/>
        </w:rPr>
        <w:t xml:space="preserve"> مع التقدير</w:t>
      </w:r>
      <w:r>
        <w:rPr>
          <w:rFonts w:hint="cs"/>
          <w:rtl/>
          <w:lang/>
        </w:rPr>
        <w:t xml:space="preserve"> التعاون الذي قدمته </w:t>
      </w:r>
      <w:r w:rsidR="00782CFE">
        <w:rPr>
          <w:rFonts w:hint="cs"/>
          <w:rtl/>
          <w:lang/>
        </w:rPr>
        <w:t xml:space="preserve">مختلف </w:t>
      </w:r>
      <w:r>
        <w:rPr>
          <w:rFonts w:hint="cs"/>
          <w:rtl/>
          <w:lang/>
        </w:rPr>
        <w:t xml:space="preserve">الجهات الفاعلة حتى الآن إلى المقررة الخاصة، </w:t>
      </w:r>
      <w:proofErr w:type="spellStart"/>
      <w:r>
        <w:rPr>
          <w:rFonts w:hint="cs"/>
          <w:rtl/>
          <w:lang/>
        </w:rPr>
        <w:t>و</w:t>
      </w:r>
      <w:r w:rsidR="00782CFE">
        <w:rPr>
          <w:rFonts w:hint="cs"/>
          <w:rtl/>
          <w:lang/>
        </w:rPr>
        <w:t>يهيب</w:t>
      </w:r>
      <w:proofErr w:type="spellEnd"/>
      <w:r w:rsidR="00782CFE">
        <w:rPr>
          <w:rFonts w:hint="cs"/>
          <w:rtl/>
          <w:lang/>
        </w:rPr>
        <w:t xml:space="preserve"> بالدول: </w:t>
      </w:r>
    </w:p>
    <w:p w:rsidR="00D52311" w:rsidRDefault="00D52311" w:rsidP="00782CFE">
      <w:pPr>
        <w:pStyle w:val="SingleTxtGA"/>
        <w:rPr>
          <w:rFonts w:hint="cs"/>
          <w:spacing w:val="4"/>
          <w:rtl/>
        </w:rPr>
      </w:pPr>
      <w:r>
        <w:rPr>
          <w:rFonts w:hint="cs"/>
          <w:spacing w:val="4"/>
          <w:rtl/>
        </w:rPr>
        <w:tab/>
        <w:t>(أ)</w:t>
      </w:r>
      <w:r>
        <w:rPr>
          <w:rFonts w:hint="cs"/>
          <w:spacing w:val="4"/>
          <w:rtl/>
        </w:rPr>
        <w:tab/>
      </w:r>
      <w:r w:rsidR="00782CFE">
        <w:rPr>
          <w:rFonts w:hint="cs"/>
          <w:spacing w:val="4"/>
          <w:rtl/>
        </w:rPr>
        <w:t xml:space="preserve">أن تواصل </w:t>
      </w:r>
      <w:r>
        <w:rPr>
          <w:rFonts w:hint="cs"/>
          <w:rtl/>
          <w:lang/>
        </w:rPr>
        <w:t xml:space="preserve">التعاون مع المقررة الخاصة في </w:t>
      </w:r>
      <w:r w:rsidR="00782CFE">
        <w:rPr>
          <w:rFonts w:hint="cs"/>
          <w:rtl/>
          <w:lang/>
        </w:rPr>
        <w:t>إنجاز و</w:t>
      </w:r>
      <w:r>
        <w:rPr>
          <w:rFonts w:hint="cs"/>
          <w:rtl/>
          <w:lang/>
        </w:rPr>
        <w:t>لايتها و</w:t>
      </w:r>
      <w:r w:rsidR="00782CFE">
        <w:rPr>
          <w:rFonts w:hint="cs"/>
          <w:rtl/>
          <w:lang/>
        </w:rPr>
        <w:t xml:space="preserve">أن تستجيب </w:t>
      </w:r>
      <w:r>
        <w:rPr>
          <w:rFonts w:hint="cs"/>
          <w:rtl/>
          <w:lang/>
        </w:rPr>
        <w:t>لطلباتها المتعلقة بالحصول على معلومات والقيام بزيارات؛</w:t>
      </w:r>
    </w:p>
    <w:p w:rsidR="00D52311" w:rsidRDefault="00D52311" w:rsidP="00782CFE">
      <w:pPr>
        <w:pStyle w:val="SingleTxtGA"/>
        <w:rPr>
          <w:rFonts w:hint="cs"/>
          <w:spacing w:val="4"/>
          <w:rtl/>
        </w:rPr>
      </w:pPr>
      <w:r>
        <w:rPr>
          <w:rFonts w:hint="cs"/>
          <w:spacing w:val="4"/>
          <w:rtl/>
        </w:rPr>
        <w:tab/>
        <w:t>(ب)</w:t>
      </w:r>
      <w:r>
        <w:rPr>
          <w:rFonts w:hint="cs"/>
          <w:spacing w:val="4"/>
          <w:rtl/>
        </w:rPr>
        <w:tab/>
      </w:r>
      <w:r w:rsidR="00782CFE">
        <w:rPr>
          <w:rFonts w:hint="cs"/>
          <w:spacing w:val="4"/>
          <w:rtl/>
        </w:rPr>
        <w:t xml:space="preserve">أن تدخل </w:t>
      </w:r>
      <w:r>
        <w:rPr>
          <w:rFonts w:hint="cs"/>
          <w:rtl/>
          <w:lang/>
        </w:rPr>
        <w:t>في حوار بنَّاء مع المقررة الخاصة بشأن متابعة توصياتها وتنفيذها</w:t>
      </w:r>
      <w:r w:rsidRPr="007F20FB">
        <w:rPr>
          <w:rFonts w:hint="cs"/>
          <w:spacing w:val="4"/>
          <w:rtl/>
        </w:rPr>
        <w:t>؛</w:t>
      </w:r>
    </w:p>
    <w:p w:rsidR="00D52311" w:rsidRDefault="00D52311" w:rsidP="00782CFE">
      <w:pPr>
        <w:pStyle w:val="SingleTxtGA"/>
        <w:rPr>
          <w:rFonts w:hint="cs"/>
          <w:rtl/>
        </w:rPr>
      </w:pPr>
      <w:r>
        <w:rPr>
          <w:rFonts w:hint="cs"/>
          <w:rtl/>
        </w:rPr>
        <w:tab/>
      </w:r>
      <w:r w:rsidR="00782CFE">
        <w:rPr>
          <w:rFonts w:hint="cs"/>
          <w:rtl/>
        </w:rPr>
        <w:t>9</w:t>
      </w:r>
      <w:r>
        <w:rPr>
          <w:rFonts w:hint="cs"/>
          <w:rtl/>
        </w:rPr>
        <w:t>-</w:t>
      </w:r>
      <w:r>
        <w:rPr>
          <w:rFonts w:hint="cs"/>
          <w:rtl/>
        </w:rPr>
        <w:tab/>
      </w:r>
      <w:r w:rsidRPr="007F20FB">
        <w:rPr>
          <w:rFonts w:hint="cs"/>
          <w:i/>
          <w:iCs/>
          <w:rtl/>
        </w:rPr>
        <w:t>يقرر</w:t>
      </w:r>
      <w:r w:rsidRPr="007F20FB">
        <w:rPr>
          <w:rFonts w:hint="cs"/>
          <w:rtl/>
        </w:rPr>
        <w:t xml:space="preserve"> مواصلة النظر في هذه المسألة في إطار البند نفسه من جدول الأعمال.</w:t>
      </w:r>
    </w:p>
    <w:p w:rsidR="00782CFE" w:rsidRPr="00782CFE" w:rsidRDefault="00782CFE" w:rsidP="00782CFE">
      <w:pPr>
        <w:pStyle w:val="SingleTxtGA"/>
        <w:spacing w:after="0"/>
        <w:jc w:val="right"/>
        <w:rPr>
          <w:rFonts w:hint="cs"/>
          <w:i/>
          <w:iCs/>
          <w:rtl/>
        </w:rPr>
      </w:pPr>
      <w:r w:rsidRPr="00782CFE">
        <w:rPr>
          <w:rFonts w:hint="cs"/>
          <w:i/>
          <w:iCs/>
          <w:rtl/>
        </w:rPr>
        <w:t>الجلسة 55</w:t>
      </w:r>
    </w:p>
    <w:p w:rsidR="00782CFE" w:rsidRDefault="00782CFE" w:rsidP="00782CFE">
      <w:pPr>
        <w:pStyle w:val="SingleTxtGA"/>
        <w:jc w:val="right"/>
        <w:rPr>
          <w:rFonts w:hint="cs"/>
          <w:i/>
          <w:iCs/>
          <w:rtl/>
        </w:rPr>
      </w:pPr>
      <w:r w:rsidRPr="00782CFE">
        <w:rPr>
          <w:rFonts w:hint="cs"/>
          <w:i/>
          <w:iCs/>
          <w:rtl/>
        </w:rPr>
        <w:t xml:space="preserve">28 </w:t>
      </w:r>
      <w:r w:rsidRPr="00782CFE">
        <w:rPr>
          <w:rFonts w:hint="cs"/>
          <w:i/>
          <w:iCs/>
          <w:sz w:val="30"/>
          <w:rtl/>
        </w:rPr>
        <w:t xml:space="preserve">آذار/مارس </w:t>
      </w:r>
      <w:r w:rsidRPr="00782CFE">
        <w:rPr>
          <w:rFonts w:hint="cs"/>
          <w:i/>
          <w:iCs/>
          <w:rtl/>
        </w:rPr>
        <w:t>2014</w:t>
      </w:r>
    </w:p>
    <w:p w:rsidR="00782CFE" w:rsidRDefault="00FA197E" w:rsidP="00782CFE">
      <w:pPr>
        <w:pStyle w:val="SingleTxtGA"/>
        <w:rPr>
          <w:rFonts w:hint="cs"/>
          <w:rtl/>
          <w:lang w:val="fr-CH"/>
        </w:rPr>
      </w:pPr>
      <w:r>
        <w:rPr>
          <w:rFonts w:hint="cs"/>
          <w:rtl/>
        </w:rPr>
        <w:t xml:space="preserve">[اعتمد </w:t>
      </w:r>
      <w:r w:rsidR="00782CFE">
        <w:rPr>
          <w:rFonts w:hint="cs"/>
          <w:rtl/>
        </w:rPr>
        <w:t>دون تصويت.]</w:t>
      </w:r>
    </w:p>
    <w:p w:rsidR="00782CFE" w:rsidRDefault="00782CFE" w:rsidP="00782CFE">
      <w:pPr>
        <w:spacing w:before="120"/>
        <w:jc w:val="center"/>
        <w:rPr>
          <w:rFonts w:hint="cs"/>
          <w:u w:val="single"/>
          <w:rtl/>
          <w:lang w:val="fr-CH"/>
        </w:rPr>
      </w:pPr>
      <w:r>
        <w:rPr>
          <w:u w:val="single"/>
          <w:rtl/>
          <w:lang w:val="fr-CH"/>
        </w:rPr>
        <w:tab/>
      </w:r>
      <w:r>
        <w:rPr>
          <w:u w:val="single"/>
          <w:rtl/>
          <w:lang w:val="fr-CH"/>
        </w:rPr>
        <w:tab/>
      </w:r>
      <w:r>
        <w:rPr>
          <w:u w:val="single"/>
          <w:rtl/>
          <w:lang w:val="fr-CH"/>
        </w:rPr>
        <w:tab/>
      </w:r>
    </w:p>
    <w:p w:rsidR="00782CFE" w:rsidRDefault="00782CFE" w:rsidP="00782CFE">
      <w:pPr>
        <w:spacing w:before="120"/>
        <w:jc w:val="center"/>
        <w:rPr>
          <w:rFonts w:hint="cs"/>
          <w:u w:val="single"/>
          <w:rtl/>
          <w:lang w:val="fr-CH"/>
        </w:rPr>
      </w:pPr>
    </w:p>
    <w:p w:rsidR="00782CFE" w:rsidRPr="00782CFE" w:rsidRDefault="00782CFE" w:rsidP="00782CFE">
      <w:pPr>
        <w:spacing w:before="120"/>
        <w:jc w:val="center"/>
        <w:rPr>
          <w:rFonts w:hint="cs"/>
          <w:u w:val="single"/>
          <w:rtl/>
          <w:lang w:val="fr-CH"/>
        </w:rPr>
      </w:pPr>
    </w:p>
    <w:sectPr w:rsidR="00782CFE" w:rsidRPr="00782CFE" w:rsidSect="00D52311">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3B1" w:rsidRPr="00FE6865" w:rsidRDefault="00FA33B1" w:rsidP="00FE6865">
      <w:pPr>
        <w:pStyle w:val="Footer"/>
      </w:pPr>
    </w:p>
  </w:endnote>
  <w:endnote w:type="continuationSeparator" w:id="0">
    <w:p w:rsidR="00FA33B1" w:rsidRDefault="00FA33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B1" w:rsidRPr="00D52311" w:rsidRDefault="00FA33B1" w:rsidP="00D52311">
    <w:pPr>
      <w:pStyle w:val="Footer"/>
      <w:tabs>
        <w:tab w:val="right" w:pos="9598"/>
      </w:tabs>
    </w:pPr>
    <w:r>
      <w:t>GE.14-13531</w:t>
    </w:r>
    <w:r>
      <w:tab/>
    </w:r>
    <w:r w:rsidRPr="00D52311">
      <w:rPr>
        <w:b/>
        <w:sz w:val="18"/>
      </w:rPr>
      <w:fldChar w:fldCharType="begin"/>
    </w:r>
    <w:r w:rsidRPr="00D52311">
      <w:rPr>
        <w:b/>
        <w:sz w:val="18"/>
      </w:rPr>
      <w:instrText xml:space="preserve"> PAGE  \* MERGEFORMAT </w:instrText>
    </w:r>
    <w:r w:rsidRPr="00D52311">
      <w:rPr>
        <w:b/>
        <w:sz w:val="18"/>
      </w:rPr>
      <w:fldChar w:fldCharType="separate"/>
    </w:r>
    <w:r>
      <w:rPr>
        <w:b/>
        <w:noProof/>
        <w:sz w:val="18"/>
      </w:rPr>
      <w:t>2</w:t>
    </w:r>
    <w:r w:rsidRPr="00D52311">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B1" w:rsidRPr="00D52311" w:rsidRDefault="00FA33B1" w:rsidP="00D52311">
    <w:pPr>
      <w:pStyle w:val="Footer"/>
      <w:tabs>
        <w:tab w:val="right" w:pos="9598"/>
      </w:tabs>
      <w:rPr>
        <w:b/>
        <w:sz w:val="18"/>
      </w:rPr>
    </w:pPr>
    <w:r w:rsidRPr="00D52311">
      <w:rPr>
        <w:b/>
        <w:sz w:val="18"/>
      </w:rPr>
      <w:fldChar w:fldCharType="begin"/>
    </w:r>
    <w:r w:rsidRPr="00D52311">
      <w:rPr>
        <w:b/>
        <w:sz w:val="18"/>
      </w:rPr>
      <w:instrText xml:space="preserve"> PAGE  \* MERGEFORMAT </w:instrText>
    </w:r>
    <w:r w:rsidRPr="00D52311">
      <w:rPr>
        <w:b/>
        <w:sz w:val="18"/>
      </w:rPr>
      <w:fldChar w:fldCharType="separate"/>
    </w:r>
    <w:r>
      <w:rPr>
        <w:b/>
        <w:noProof/>
        <w:sz w:val="18"/>
      </w:rPr>
      <w:t>3</w:t>
    </w:r>
    <w:r w:rsidRPr="00D52311">
      <w:rPr>
        <w:b/>
        <w:sz w:val="18"/>
      </w:rPr>
      <w:fldChar w:fldCharType="end"/>
    </w:r>
    <w:r>
      <w:rPr>
        <w:b/>
        <w:sz w:val="18"/>
      </w:rPr>
      <w:tab/>
    </w:r>
    <w:r>
      <w:t>GE.14-13531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B1" w:rsidRDefault="00FA33B1" w:rsidP="00D52311">
    <w:pPr>
      <w:pStyle w:val="Footer"/>
      <w:jc w:val="right"/>
    </w:pPr>
    <w:r>
      <w:rPr>
        <w:sz w:val="20"/>
      </w:rPr>
      <w:t>(A)   GE.14-13531</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2;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270514    280514</w:t>
    </w:r>
    <w:r>
      <w:br/>
    </w:r>
    <w:r w:rsidRPr="00EC4868">
      <w:rPr>
        <w:rFonts w:ascii="C39T30Lfz" w:hAnsi="C39T30Lfz"/>
        <w:sz w:val="56"/>
      </w:rPr>
      <w:t></w:t>
    </w:r>
    <w:r w:rsidRPr="00EC4868">
      <w:rPr>
        <w:rFonts w:ascii="C39T30Lfz" w:hAnsi="C39T30Lfz"/>
        <w:sz w:val="56"/>
      </w:rPr>
      <w:t></w:t>
    </w:r>
    <w:r w:rsidRPr="00EC4868">
      <w:rPr>
        <w:rFonts w:ascii="C39T30Lfz" w:hAnsi="C39T30Lfz"/>
        <w:sz w:val="56"/>
      </w:rPr>
      <w:t></w:t>
    </w:r>
    <w:r w:rsidRPr="00EC4868">
      <w:rPr>
        <w:rFonts w:ascii="C39T30Lfz" w:hAnsi="C39T30Lfz"/>
        <w:sz w:val="56"/>
      </w:rPr>
      <w:t></w:t>
    </w:r>
    <w:r w:rsidRPr="00EC4868">
      <w:rPr>
        <w:rFonts w:ascii="C39T30Lfz" w:hAnsi="C39T30Lfz"/>
        <w:sz w:val="56"/>
      </w:rPr>
      <w:t></w:t>
    </w:r>
    <w:r w:rsidRPr="00EC4868">
      <w:rPr>
        <w:rFonts w:ascii="C39T30Lfz" w:hAnsi="C39T30Lfz"/>
        <w:sz w:val="56"/>
      </w:rPr>
      <w:t></w:t>
    </w:r>
    <w:r w:rsidRPr="00EC4868">
      <w:rPr>
        <w:rFonts w:ascii="C39T30Lfz" w:hAnsi="C39T30Lfz"/>
        <w:sz w:val="56"/>
      </w:rPr>
      <w:t></w:t>
    </w:r>
    <w:r w:rsidRPr="00EC4868">
      <w:rPr>
        <w:rFonts w:ascii="C39T30Lfz" w:hAnsi="C39T30Lfz"/>
        <w:sz w:val="56"/>
      </w:rPr>
      <w:t></w:t>
    </w:r>
    <w:r w:rsidRPr="00EC4868">
      <w:rPr>
        <w:rFonts w:ascii="C39T30Lfz" w:hAnsi="C39T30Lfz"/>
        <w:sz w:val="56"/>
      </w:rPr>
      <w:t></w:t>
    </w:r>
    <w:r>
      <w:rPr>
        <w:rFonts w:ascii="C39T30Lfz" w:hAnsi="C39T30Lfz"/>
        <w:sz w:val="56"/>
      </w:rPr>
      <w:tab/>
    </w:r>
    <w:r>
      <w:rPr>
        <w:noProof/>
        <w:lang w:val="en-US"/>
      </w:rPr>
      <w:pict>
        <v:shape id="_x0000_s2051" type="#_x0000_t75" style="position:absolute;left:0;text-align:left;margin-left:.05pt;margin-top:0;width:50.25pt;height:50.25pt;z-index:2;mso-position-horizontal-relative:text;mso-position-vertical-relative:text" o:allowincell="f">
          <v:imagedata r:id="rId2" o:title="17&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3B1" w:rsidRDefault="00FA33B1" w:rsidP="009A0C39">
      <w:pPr>
        <w:spacing w:after="80" w:line="200" w:lineRule="atLeast"/>
        <w:ind w:left="680"/>
      </w:pPr>
      <w:r w:rsidRPr="00C10C26">
        <w:rPr>
          <w:sz w:val="16"/>
          <w:rtl/>
        </w:rPr>
        <w:t>__________</w:t>
      </w:r>
    </w:p>
  </w:footnote>
  <w:footnote w:type="continuationSeparator" w:id="0">
    <w:p w:rsidR="00FA33B1" w:rsidRDefault="00FA33B1" w:rsidP="00444AA6">
      <w:pPr>
        <w:pStyle w:val="Footer"/>
        <w:bidi/>
        <w:spacing w:after="80" w:line="200" w:lineRule="exact"/>
        <w:ind w:left="680"/>
      </w:pPr>
      <w:r>
        <w:rPr>
          <w:rFonts w:hint="cs"/>
          <w:rtl/>
        </w:rPr>
        <w:t>__________</w:t>
      </w:r>
    </w:p>
  </w:footnote>
  <w:footnote w:id="1">
    <w:p w:rsidR="00FA33B1" w:rsidRPr="000A6FAC" w:rsidRDefault="00FA33B1" w:rsidP="00D52311">
      <w:pPr>
        <w:pStyle w:val="FootnoteText"/>
        <w:numPr>
          <w:ilvl w:val="0"/>
          <w:numId w:val="40"/>
        </w:numPr>
        <w:tabs>
          <w:tab w:val="clear" w:pos="1299"/>
          <w:tab w:val="left" w:pos="1253"/>
        </w:tabs>
        <w:spacing w:after="60" w:line="240" w:lineRule="exact"/>
        <w:ind w:left="1248" w:right="1247"/>
        <w:rPr>
          <w:rFonts w:hint="cs"/>
          <w:sz w:val="18"/>
          <w:szCs w:val="26"/>
        </w:rPr>
      </w:pPr>
      <w:r w:rsidRPr="000A6FAC">
        <w:rPr>
          <w:sz w:val="18"/>
          <w:szCs w:val="26"/>
        </w:rPr>
        <w:t>A/CONF.165/14</w:t>
      </w:r>
      <w:r w:rsidRPr="000A6FAC">
        <w:rPr>
          <w:rFonts w:hint="cs"/>
          <w:sz w:val="18"/>
          <w:szCs w:val="26"/>
          <w:rtl/>
        </w:rPr>
        <w:t>.</w:t>
      </w:r>
    </w:p>
  </w:footnote>
  <w:footnote w:id="2">
    <w:p w:rsidR="00FA33B1" w:rsidRPr="000A6FAC" w:rsidRDefault="00FA33B1" w:rsidP="00D52311">
      <w:pPr>
        <w:pStyle w:val="FootnoteText"/>
        <w:numPr>
          <w:ilvl w:val="0"/>
          <w:numId w:val="40"/>
        </w:numPr>
        <w:tabs>
          <w:tab w:val="clear" w:pos="1299"/>
          <w:tab w:val="left" w:pos="1253"/>
        </w:tabs>
        <w:spacing w:after="60" w:line="240" w:lineRule="exact"/>
        <w:ind w:left="1248" w:right="1247"/>
        <w:rPr>
          <w:rFonts w:hint="cs"/>
          <w:sz w:val="18"/>
          <w:szCs w:val="26"/>
        </w:rPr>
      </w:pPr>
      <w:r w:rsidRPr="000A6FAC">
        <w:rPr>
          <w:sz w:val="18"/>
          <w:szCs w:val="26"/>
        </w:rPr>
        <w:t>E/CN.4/Sub. 2/2005/17, annex</w:t>
      </w:r>
      <w:r w:rsidRPr="000A6FAC">
        <w:rPr>
          <w:rFonts w:hint="cs"/>
          <w:sz w:val="18"/>
          <w:szCs w:val="26"/>
          <w:rtl/>
        </w:rPr>
        <w:t>.</w:t>
      </w:r>
    </w:p>
  </w:footnote>
  <w:footnote w:id="3">
    <w:p w:rsidR="00FA33B1" w:rsidRPr="000A6FAC" w:rsidRDefault="00FA33B1" w:rsidP="00D52311">
      <w:pPr>
        <w:pStyle w:val="FootnoteText"/>
        <w:numPr>
          <w:ilvl w:val="0"/>
          <w:numId w:val="40"/>
        </w:numPr>
        <w:tabs>
          <w:tab w:val="clear" w:pos="1299"/>
          <w:tab w:val="left" w:pos="1253"/>
        </w:tabs>
        <w:spacing w:after="60" w:line="300" w:lineRule="exact"/>
        <w:ind w:left="1248" w:right="1247"/>
        <w:rPr>
          <w:rFonts w:hint="cs"/>
          <w:sz w:val="18"/>
          <w:szCs w:val="26"/>
        </w:rPr>
      </w:pPr>
      <w:r w:rsidRPr="000A6FAC">
        <w:rPr>
          <w:sz w:val="18"/>
          <w:szCs w:val="26"/>
        </w:rPr>
        <w:t>A/HRC/25/54</w:t>
      </w:r>
      <w:r w:rsidRPr="000A6FAC">
        <w:rPr>
          <w:rFonts w:hint="cs"/>
          <w:sz w:val="18"/>
          <w:szCs w:val="26"/>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B1" w:rsidRPr="00D52311" w:rsidRDefault="00FA33B1" w:rsidP="00D52311">
    <w:pPr>
      <w:pStyle w:val="Header"/>
      <w:jc w:val="right"/>
    </w:pPr>
    <w:r w:rsidRPr="00D52311">
      <w:t>A/HRC/RES/25/17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B1" w:rsidRPr="00D52311" w:rsidRDefault="00FA33B1" w:rsidP="00D52311">
    <w:pPr>
      <w:pStyle w:val="Header"/>
      <w:jc w:val="left"/>
    </w:pPr>
    <w:r w:rsidRPr="00D52311">
      <w:t>A/HRC/RES/25/17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9255AC0"/>
    <w:multiLevelType w:val="hybridMultilevel"/>
    <w:tmpl w:val="3012984A"/>
    <w:lvl w:ilvl="0" w:tplc="805A6872">
      <w:start w:val="1"/>
      <w:numFmt w:val="decimal"/>
      <w:lvlRestart w:val="0"/>
      <w:lvlText w:val="(%1)"/>
      <w:lvlJc w:val="right"/>
      <w:pPr>
        <w:tabs>
          <w:tab w:val="num" w:pos="1299"/>
        </w:tabs>
        <w:ind w:left="1299" w:hanging="227"/>
      </w:pPr>
      <w:rPr>
        <w:rFonts w:ascii="Traditional Arabic" w:hAnsi="Traditional Arabic" w:cs="Traditional Arabic" w:hint="default"/>
        <w:sz w:val="26"/>
        <w:szCs w:val="26"/>
      </w:rPr>
    </w:lvl>
    <w:lvl w:ilvl="1" w:tplc="E79AA576">
      <w:start w:val="1"/>
      <w:numFmt w:val="decimal"/>
      <w:lvlRestart w:val="0"/>
      <w:lvlText w:val="(%2)"/>
      <w:lvlJc w:val="right"/>
      <w:pPr>
        <w:tabs>
          <w:tab w:val="num" w:pos="1359"/>
        </w:tabs>
        <w:ind w:left="1359" w:hanging="227"/>
      </w:pPr>
      <w:rPr>
        <w:rFonts w:ascii="Times New Roman" w:hAnsi="Times New Roman" w:cs="Traditional Arabic" w:hint="default"/>
        <w:sz w:val="18"/>
        <w:szCs w:val="26"/>
      </w:rPr>
    </w:lvl>
    <w:lvl w:ilvl="2" w:tplc="0409001B" w:tentative="1">
      <w:start w:val="1"/>
      <w:numFmt w:val="lowerRoman"/>
      <w:lvlText w:val="%3."/>
      <w:lvlJc w:val="right"/>
      <w:pPr>
        <w:tabs>
          <w:tab w:val="num" w:pos="2212"/>
        </w:tabs>
        <w:ind w:left="2212" w:hanging="180"/>
      </w:pPr>
    </w:lvl>
    <w:lvl w:ilvl="3" w:tplc="0409000F" w:tentative="1">
      <w:start w:val="1"/>
      <w:numFmt w:val="decimal"/>
      <w:lvlText w:val="%4."/>
      <w:lvlJc w:val="left"/>
      <w:pPr>
        <w:tabs>
          <w:tab w:val="num" w:pos="2932"/>
        </w:tabs>
        <w:ind w:left="2932" w:hanging="360"/>
      </w:pPr>
    </w:lvl>
    <w:lvl w:ilvl="4" w:tplc="04090019" w:tentative="1">
      <w:start w:val="1"/>
      <w:numFmt w:val="lowerLetter"/>
      <w:lvlText w:val="%5."/>
      <w:lvlJc w:val="left"/>
      <w:pPr>
        <w:tabs>
          <w:tab w:val="num" w:pos="3652"/>
        </w:tabs>
        <w:ind w:left="3652" w:hanging="360"/>
      </w:pPr>
    </w:lvl>
    <w:lvl w:ilvl="5" w:tplc="0409001B" w:tentative="1">
      <w:start w:val="1"/>
      <w:numFmt w:val="lowerRoman"/>
      <w:lvlText w:val="%6."/>
      <w:lvlJc w:val="right"/>
      <w:pPr>
        <w:tabs>
          <w:tab w:val="num" w:pos="4372"/>
        </w:tabs>
        <w:ind w:left="4372" w:hanging="180"/>
      </w:pPr>
    </w:lvl>
    <w:lvl w:ilvl="6" w:tplc="0409000F" w:tentative="1">
      <w:start w:val="1"/>
      <w:numFmt w:val="decimal"/>
      <w:lvlText w:val="%7."/>
      <w:lvlJc w:val="left"/>
      <w:pPr>
        <w:tabs>
          <w:tab w:val="num" w:pos="5092"/>
        </w:tabs>
        <w:ind w:left="5092" w:hanging="360"/>
      </w:pPr>
    </w:lvl>
    <w:lvl w:ilvl="7" w:tplc="04090019" w:tentative="1">
      <w:start w:val="1"/>
      <w:numFmt w:val="lowerLetter"/>
      <w:lvlText w:val="%8."/>
      <w:lvlJc w:val="left"/>
      <w:pPr>
        <w:tabs>
          <w:tab w:val="num" w:pos="5812"/>
        </w:tabs>
        <w:ind w:left="5812" w:hanging="360"/>
      </w:pPr>
    </w:lvl>
    <w:lvl w:ilvl="8" w:tplc="0409001B" w:tentative="1">
      <w:start w:val="1"/>
      <w:numFmt w:val="lowerRoman"/>
      <w:lvlText w:val="%9."/>
      <w:lvlJc w:val="right"/>
      <w:pPr>
        <w:tabs>
          <w:tab w:val="num" w:pos="6532"/>
        </w:tabs>
        <w:ind w:left="6532" w:hanging="18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4"/>
  </w:num>
  <w:num w:numId="4">
    <w:abstractNumId w:val="12"/>
  </w:num>
  <w:num w:numId="5">
    <w:abstractNumId w:val="9"/>
  </w:num>
  <w:num w:numId="6">
    <w:abstractNumId w:val="21"/>
  </w:num>
  <w:num w:numId="7">
    <w:abstractNumId w:val="11"/>
  </w:num>
  <w:num w:numId="8">
    <w:abstractNumId w:val="10"/>
  </w:num>
  <w:num w:numId="9">
    <w:abstractNumId w:val="13"/>
  </w:num>
  <w:num w:numId="10">
    <w:abstractNumId w:val="20"/>
  </w:num>
  <w:num w:numId="11">
    <w:abstractNumId w:val="1"/>
  </w:num>
  <w:num w:numId="12">
    <w:abstractNumId w:val="14"/>
  </w:num>
  <w:num w:numId="13">
    <w:abstractNumId w:val="12"/>
  </w:num>
  <w:num w:numId="14">
    <w:abstractNumId w:val="9"/>
  </w:num>
  <w:num w:numId="15">
    <w:abstractNumId w:val="21"/>
  </w:num>
  <w:num w:numId="16">
    <w:abstractNumId w:val="1"/>
  </w:num>
  <w:num w:numId="17">
    <w:abstractNumId w:val="14"/>
  </w:num>
  <w:num w:numId="18">
    <w:abstractNumId w:val="12"/>
  </w:num>
  <w:num w:numId="19">
    <w:abstractNumId w:val="9"/>
  </w:num>
  <w:num w:numId="20">
    <w:abstractNumId w:val="21"/>
  </w:num>
  <w:num w:numId="21">
    <w:abstractNumId w:val="1"/>
  </w:num>
  <w:num w:numId="22">
    <w:abstractNumId w:val="14"/>
  </w:num>
  <w:num w:numId="23">
    <w:abstractNumId w:val="9"/>
  </w:num>
  <w:num w:numId="24">
    <w:abstractNumId w:val="21"/>
  </w:num>
  <w:num w:numId="25">
    <w:abstractNumId w:val="14"/>
  </w:num>
  <w:num w:numId="26">
    <w:abstractNumId w:val="1"/>
  </w:num>
  <w:num w:numId="27">
    <w:abstractNumId w:val="3"/>
  </w:num>
  <w:num w:numId="28">
    <w:abstractNumId w:val="2"/>
  </w:num>
  <w:num w:numId="29">
    <w:abstractNumId w:val="16"/>
  </w:num>
  <w:num w:numId="30">
    <w:abstractNumId w:val="4"/>
  </w:num>
  <w:num w:numId="31">
    <w:abstractNumId w:val="8"/>
  </w:num>
  <w:num w:numId="32">
    <w:abstractNumId w:val="15"/>
  </w:num>
  <w:num w:numId="33">
    <w:abstractNumId w:val="18"/>
  </w:num>
  <w:num w:numId="34">
    <w:abstractNumId w:val="22"/>
  </w:num>
  <w:num w:numId="35">
    <w:abstractNumId w:val="6"/>
  </w:num>
  <w:num w:numId="36">
    <w:abstractNumId w:val="17"/>
  </w:num>
  <w:num w:numId="37">
    <w:abstractNumId w:val="19"/>
  </w:num>
  <w:num w:numId="38">
    <w:abstractNumId w:val="0"/>
  </w:num>
  <w:num w:numId="39">
    <w:abstractNumId w:val="7"/>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ar-SA" w:vendorID="4" w:dllVersion="512" w:checkStyle="0"/>
  <w:proofState w:spelling="clean"/>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35BB"/>
    <w:rsid w:val="00040E25"/>
    <w:rsid w:val="00042149"/>
    <w:rsid w:val="000648EA"/>
    <w:rsid w:val="000957C8"/>
    <w:rsid w:val="000A6FAC"/>
    <w:rsid w:val="000B52F2"/>
    <w:rsid w:val="000D0EAE"/>
    <w:rsid w:val="000D5380"/>
    <w:rsid w:val="000D6654"/>
    <w:rsid w:val="000F0264"/>
    <w:rsid w:val="000F2EBF"/>
    <w:rsid w:val="000F5FF6"/>
    <w:rsid w:val="00113FA5"/>
    <w:rsid w:val="001455A0"/>
    <w:rsid w:val="001602A3"/>
    <w:rsid w:val="00160F9E"/>
    <w:rsid w:val="001A5161"/>
    <w:rsid w:val="001A60BD"/>
    <w:rsid w:val="0023736D"/>
    <w:rsid w:val="00257225"/>
    <w:rsid w:val="00275860"/>
    <w:rsid w:val="00310160"/>
    <w:rsid w:val="00341A8C"/>
    <w:rsid w:val="003519E6"/>
    <w:rsid w:val="003B4356"/>
    <w:rsid w:val="003D5D43"/>
    <w:rsid w:val="003E0D4E"/>
    <w:rsid w:val="003F08A8"/>
    <w:rsid w:val="00404BB8"/>
    <w:rsid w:val="004250E3"/>
    <w:rsid w:val="00444AA6"/>
    <w:rsid w:val="00472A81"/>
    <w:rsid w:val="004B2C92"/>
    <w:rsid w:val="004D6A3A"/>
    <w:rsid w:val="004F4AD7"/>
    <w:rsid w:val="005449D8"/>
    <w:rsid w:val="00557CD3"/>
    <w:rsid w:val="00571432"/>
    <w:rsid w:val="005732A2"/>
    <w:rsid w:val="005762A5"/>
    <w:rsid w:val="00590BA3"/>
    <w:rsid w:val="005A1A9A"/>
    <w:rsid w:val="005B7AE0"/>
    <w:rsid w:val="005F146F"/>
    <w:rsid w:val="005F71B6"/>
    <w:rsid w:val="00660FD4"/>
    <w:rsid w:val="006A4425"/>
    <w:rsid w:val="006B4669"/>
    <w:rsid w:val="006C768B"/>
    <w:rsid w:val="006E3473"/>
    <w:rsid w:val="006F6BF8"/>
    <w:rsid w:val="00707BDF"/>
    <w:rsid w:val="00710727"/>
    <w:rsid w:val="00710DA1"/>
    <w:rsid w:val="00715F45"/>
    <w:rsid w:val="00731B84"/>
    <w:rsid w:val="00734AE7"/>
    <w:rsid w:val="00736363"/>
    <w:rsid w:val="00782CFE"/>
    <w:rsid w:val="00786B69"/>
    <w:rsid w:val="007935BB"/>
    <w:rsid w:val="007A610D"/>
    <w:rsid w:val="007B599E"/>
    <w:rsid w:val="007E197F"/>
    <w:rsid w:val="007F68C4"/>
    <w:rsid w:val="008153DE"/>
    <w:rsid w:val="00852A10"/>
    <w:rsid w:val="00862634"/>
    <w:rsid w:val="00866C59"/>
    <w:rsid w:val="00877306"/>
    <w:rsid w:val="00887B5C"/>
    <w:rsid w:val="008A2F81"/>
    <w:rsid w:val="008A6242"/>
    <w:rsid w:val="008B4BC6"/>
    <w:rsid w:val="00901E57"/>
    <w:rsid w:val="00935F0E"/>
    <w:rsid w:val="0095208F"/>
    <w:rsid w:val="00977B3F"/>
    <w:rsid w:val="009814AE"/>
    <w:rsid w:val="00983870"/>
    <w:rsid w:val="009858CC"/>
    <w:rsid w:val="00994B89"/>
    <w:rsid w:val="00996BBE"/>
    <w:rsid w:val="009A0C39"/>
    <w:rsid w:val="009D1DD5"/>
    <w:rsid w:val="009E3729"/>
    <w:rsid w:val="00A11DDA"/>
    <w:rsid w:val="00A26157"/>
    <w:rsid w:val="00A265C3"/>
    <w:rsid w:val="00A43F9A"/>
    <w:rsid w:val="00A46747"/>
    <w:rsid w:val="00A543D4"/>
    <w:rsid w:val="00AD0014"/>
    <w:rsid w:val="00AD4CF2"/>
    <w:rsid w:val="00AF0BBA"/>
    <w:rsid w:val="00B30468"/>
    <w:rsid w:val="00B54239"/>
    <w:rsid w:val="00B60E70"/>
    <w:rsid w:val="00B639B9"/>
    <w:rsid w:val="00BB2C41"/>
    <w:rsid w:val="00BC55C8"/>
    <w:rsid w:val="00BC5C10"/>
    <w:rsid w:val="00BE2964"/>
    <w:rsid w:val="00C24FBD"/>
    <w:rsid w:val="00C25263"/>
    <w:rsid w:val="00C473BA"/>
    <w:rsid w:val="00C611ED"/>
    <w:rsid w:val="00C6490A"/>
    <w:rsid w:val="00C64FE1"/>
    <w:rsid w:val="00C66164"/>
    <w:rsid w:val="00C8345E"/>
    <w:rsid w:val="00CA4C17"/>
    <w:rsid w:val="00CA5F7C"/>
    <w:rsid w:val="00CE7C87"/>
    <w:rsid w:val="00D06637"/>
    <w:rsid w:val="00D51067"/>
    <w:rsid w:val="00D52311"/>
    <w:rsid w:val="00D75657"/>
    <w:rsid w:val="00D960AD"/>
    <w:rsid w:val="00DA0E0E"/>
    <w:rsid w:val="00DB0C39"/>
    <w:rsid w:val="00DB7679"/>
    <w:rsid w:val="00DE3904"/>
    <w:rsid w:val="00DF1702"/>
    <w:rsid w:val="00DF4DD8"/>
    <w:rsid w:val="00DF668E"/>
    <w:rsid w:val="00E05DE3"/>
    <w:rsid w:val="00E14D2B"/>
    <w:rsid w:val="00E20DBA"/>
    <w:rsid w:val="00E660D6"/>
    <w:rsid w:val="00E771AB"/>
    <w:rsid w:val="00EA796F"/>
    <w:rsid w:val="00EB077B"/>
    <w:rsid w:val="00EC4868"/>
    <w:rsid w:val="00EC50B9"/>
    <w:rsid w:val="00ED26A0"/>
    <w:rsid w:val="00F04473"/>
    <w:rsid w:val="00F1727A"/>
    <w:rsid w:val="00F34764"/>
    <w:rsid w:val="00F54E3C"/>
    <w:rsid w:val="00F874BD"/>
    <w:rsid w:val="00FA197E"/>
    <w:rsid w:val="00FA33B1"/>
    <w:rsid w:val="00FA6DD0"/>
    <w:rsid w:val="00FC2EF4"/>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CA4C17"/>
    <w:pPr>
      <w:keepNext/>
      <w:keepLines/>
      <w:tabs>
        <w:tab w:val="right" w:pos="1021"/>
      </w:tabs>
      <w:suppressAutoHyphens/>
      <w:spacing w:before="240" w:after="240" w:line="480" w:lineRule="exact"/>
      <w:ind w:left="1247" w:right="1247" w:hanging="1247"/>
    </w:pPr>
    <w:rPr>
      <w:b/>
      <w:bCs/>
      <w:sz w:val="34"/>
      <w:szCs w:val="44"/>
    </w:rPr>
  </w:style>
  <w:style w:type="paragraph" w:customStyle="1" w:styleId="HChGA">
    <w:name w:val="_ H _Ch_GA"/>
    <w:basedOn w:val="Normal"/>
    <w:next w:val="Normal"/>
    <w:rsid w:val="00983870"/>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983870"/>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character" w:customStyle="1" w:styleId="SingleTxtGAChar">
    <w:name w:val="_ Single Txt_GA Char"/>
    <w:basedOn w:val="DefaultParagraphFont"/>
    <w:link w:val="SingleTxtGA"/>
    <w:rsid w:val="00D52311"/>
    <w:rPr>
      <w:rFonts w:cs="Traditional Arabic"/>
      <w:szCs w:val="30"/>
      <w:lang w:val="en-US" w:eastAsia="en-US" w:bidi="ar-SA"/>
    </w:rPr>
  </w:style>
</w:styles>
</file>

<file path=word/webSettings.xml><?xml version="1.0" encoding="utf-8"?>
<w:webSettings xmlns:r="http://schemas.openxmlformats.org/officeDocument/2006/relationships" xmlns:w="http://schemas.openxmlformats.org/wordprocessingml/2006/main">
  <w:divs>
    <w:div w:id="895505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Template>
  <TotalTime>2</TotalTime>
  <Pages>4</Pages>
  <Words>1025</Words>
  <Characters>5845</Characters>
  <Application>Microsoft Office Outlook</Application>
  <DocSecurity>4</DocSecurity>
  <Lines>48</Lines>
  <Paragraphs>13</Paragraphs>
  <ScaleCrop>false</ScaleCrop>
  <HeadingPairs>
    <vt:vector size="2" baseType="variant">
      <vt:variant>
        <vt:lpstr>العنوان</vt:lpstr>
      </vt:variant>
      <vt:variant>
        <vt:i4>1</vt:i4>
      </vt:variant>
    </vt:vector>
  </HeadingPairs>
  <TitlesOfParts>
    <vt:vector size="1" baseType="lpstr">
      <vt:lpstr>A/HRC/RES/25/17</vt:lpstr>
    </vt:vector>
  </TitlesOfParts>
  <Company>CSD</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A/HRC/RES/25/17</dc:title>
  <dc:subject>FAHMY</dc:subject>
  <dc:creator>BUHNAM</dc:creator>
  <cp:keywords/>
  <dc:description/>
  <cp:lastModifiedBy>TPS</cp:lastModifiedBy>
  <cp:revision>2</cp:revision>
  <cp:lastPrinted>2014-05-27T12:41:00Z</cp:lastPrinted>
  <dcterms:created xsi:type="dcterms:W3CDTF">2014-05-28T13:18:00Z</dcterms:created>
  <dcterms:modified xsi:type="dcterms:W3CDTF">2014-05-28T13:18:00Z</dcterms:modified>
</cp:coreProperties>
</file>