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651190"/>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651190" w:rsidP="00651190">
            <w:pPr>
              <w:jc w:val="right"/>
            </w:pPr>
            <w:r w:rsidRPr="00651190">
              <w:rPr>
                <w:sz w:val="40"/>
              </w:rPr>
              <w:t>A</w:t>
            </w:r>
            <w:r>
              <w:t>/HRC/RES/37/2</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651190" w:rsidP="00E6618E">
            <w:pPr>
              <w:spacing w:before="240"/>
            </w:pPr>
            <w:r>
              <w:t>Distr. générale</w:t>
            </w:r>
          </w:p>
          <w:p w:rsidR="00651190" w:rsidRDefault="00651190" w:rsidP="00651190">
            <w:pPr>
              <w:spacing w:line="240" w:lineRule="exact"/>
            </w:pPr>
            <w:r>
              <w:t>9 avril 2018</w:t>
            </w:r>
          </w:p>
          <w:p w:rsidR="00651190" w:rsidRDefault="00651190" w:rsidP="00651190">
            <w:pPr>
              <w:spacing w:line="240" w:lineRule="exact"/>
            </w:pPr>
            <w:r>
              <w:t>Français</w:t>
            </w:r>
          </w:p>
          <w:p w:rsidR="00651190" w:rsidRPr="00DB58B5" w:rsidRDefault="00651190" w:rsidP="00651190">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651190" w:rsidRPr="00F344C7" w:rsidRDefault="00651190" w:rsidP="00651190">
      <w:pPr>
        <w:rPr>
          <w:b/>
        </w:rPr>
      </w:pPr>
      <w:r w:rsidRPr="00F344C7">
        <w:rPr>
          <w:b/>
          <w:lang w:val="fr-FR"/>
        </w:rPr>
        <w:t>Trente-septième session</w:t>
      </w:r>
    </w:p>
    <w:p w:rsidR="00651190" w:rsidRPr="00D81896" w:rsidRDefault="00651190" w:rsidP="00651190">
      <w:r w:rsidRPr="00D81896">
        <w:rPr>
          <w:lang w:val="fr-FR"/>
        </w:rPr>
        <w:t>26</w:t>
      </w:r>
      <w:r>
        <w:rPr>
          <w:lang w:val="fr-FR"/>
        </w:rPr>
        <w:t> </w:t>
      </w:r>
      <w:r w:rsidRPr="00D81896">
        <w:rPr>
          <w:lang w:val="fr-FR"/>
        </w:rPr>
        <w:t>février-23</w:t>
      </w:r>
      <w:r>
        <w:rPr>
          <w:lang w:val="fr-FR"/>
        </w:rPr>
        <w:t> </w:t>
      </w:r>
      <w:r w:rsidRPr="00D81896">
        <w:rPr>
          <w:lang w:val="fr-FR"/>
        </w:rPr>
        <w:t>mars 2018</w:t>
      </w:r>
    </w:p>
    <w:p w:rsidR="00651190" w:rsidRDefault="00651190" w:rsidP="00651190">
      <w:pPr>
        <w:rPr>
          <w:lang w:val="fr-FR"/>
        </w:rPr>
      </w:pPr>
      <w:r w:rsidRPr="00D81896">
        <w:rPr>
          <w:lang w:val="fr-FR"/>
        </w:rPr>
        <w:t>Point 3 de l</w:t>
      </w:r>
      <w:r>
        <w:rPr>
          <w:lang w:val="fr-FR"/>
        </w:rPr>
        <w:t>’</w:t>
      </w:r>
      <w:r w:rsidRPr="00D81896">
        <w:rPr>
          <w:lang w:val="fr-FR"/>
        </w:rPr>
        <w:t>ordre du jour</w:t>
      </w:r>
    </w:p>
    <w:p w:rsidR="00651190" w:rsidRPr="00F344C7" w:rsidRDefault="00651190" w:rsidP="00651190">
      <w:pPr>
        <w:pStyle w:val="HChG"/>
      </w:pPr>
      <w:r>
        <w:rPr>
          <w:lang w:val="fr-FR"/>
        </w:rPr>
        <w:tab/>
      </w:r>
      <w:r>
        <w:rPr>
          <w:lang w:val="fr-FR"/>
        </w:rPr>
        <w:tab/>
      </w:r>
      <w:r>
        <w:rPr>
          <w:lang w:val="fr-FR"/>
        </w:rPr>
        <w:t>R</w:t>
      </w:r>
      <w:r w:rsidRPr="00F344C7">
        <w:rPr>
          <w:lang w:val="fr-FR"/>
        </w:rPr>
        <w:t>ésolution</w:t>
      </w:r>
      <w:r>
        <w:rPr>
          <w:lang w:val="fr-FR"/>
        </w:rPr>
        <w:t xml:space="preserve"> adoptée par le Conseil des droits de l’homme </w:t>
      </w:r>
      <w:r>
        <w:rPr>
          <w:lang w:val="fr-FR"/>
        </w:rPr>
        <w:br/>
      </w:r>
      <w:r>
        <w:rPr>
          <w:lang w:val="fr-FR"/>
        </w:rPr>
        <w:t>le 22</w:t>
      </w:r>
      <w:r>
        <w:rPr>
          <w:lang w:val="fr-FR"/>
        </w:rPr>
        <w:t> </w:t>
      </w:r>
      <w:r>
        <w:rPr>
          <w:lang w:val="fr-FR"/>
        </w:rPr>
        <w:t>mars 2018</w:t>
      </w:r>
    </w:p>
    <w:p w:rsidR="00651190" w:rsidRPr="00F344C7" w:rsidRDefault="00651190" w:rsidP="00651190">
      <w:pPr>
        <w:pStyle w:val="H1G"/>
      </w:pPr>
      <w:r>
        <w:rPr>
          <w:lang w:val="fr-FR"/>
        </w:rPr>
        <w:tab/>
      </w:r>
      <w:r w:rsidRPr="00F344C7">
        <w:rPr>
          <w:lang w:val="fr-FR"/>
        </w:rPr>
        <w:t>37/</w:t>
      </w:r>
      <w:r>
        <w:rPr>
          <w:lang w:val="fr-FR"/>
        </w:rPr>
        <w:t>2</w:t>
      </w:r>
      <w:r>
        <w:rPr>
          <w:lang w:val="fr-FR"/>
        </w:rPr>
        <w:t>.</w:t>
      </w:r>
      <w:r w:rsidRPr="00F344C7">
        <w:rPr>
          <w:lang w:val="fr-FR"/>
        </w:rPr>
        <w:tab/>
        <w:t>Le droit à la vie privée à l’ère du numérique</w:t>
      </w:r>
      <w:r>
        <w:rPr>
          <w:lang w:val="fr-FR"/>
        </w:rPr>
        <w:t xml:space="preserve"> </w:t>
      </w:r>
    </w:p>
    <w:p w:rsidR="00651190" w:rsidRDefault="00651190" w:rsidP="00651190">
      <w:pPr>
        <w:pStyle w:val="SingleTxtG"/>
        <w:ind w:firstLine="567"/>
      </w:pPr>
      <w:r w:rsidRPr="00F344C7">
        <w:rPr>
          <w:i/>
          <w:iCs/>
          <w:lang w:val="fr-FR"/>
        </w:rPr>
        <w:t>Le Conseil des droits de l’homme</w:t>
      </w:r>
      <w:r w:rsidRPr="00F344C7">
        <w:rPr>
          <w:lang w:val="fr-FR"/>
        </w:rPr>
        <w:t>,</w:t>
      </w:r>
    </w:p>
    <w:p w:rsidR="00651190" w:rsidRDefault="00651190" w:rsidP="00651190">
      <w:pPr>
        <w:pStyle w:val="SingleTxtG"/>
        <w:ind w:firstLine="567"/>
      </w:pPr>
      <w:r w:rsidRPr="00F344C7">
        <w:rPr>
          <w:i/>
          <w:iCs/>
          <w:lang w:val="fr-FR"/>
        </w:rPr>
        <w:t>Guidé</w:t>
      </w:r>
      <w:r w:rsidRPr="00F344C7">
        <w:rPr>
          <w:lang w:val="fr-FR"/>
        </w:rPr>
        <w:t xml:space="preserve"> par les buts et principes consacrés p</w:t>
      </w:r>
      <w:r>
        <w:rPr>
          <w:lang w:val="fr-FR"/>
        </w:rPr>
        <w:t>ar la Charte des Nations Unies,</w:t>
      </w:r>
    </w:p>
    <w:p w:rsidR="00651190" w:rsidRDefault="00651190" w:rsidP="00651190">
      <w:pPr>
        <w:pStyle w:val="SingleTxtG"/>
        <w:ind w:firstLine="567"/>
      </w:pPr>
      <w:r w:rsidRPr="00F344C7">
        <w:rPr>
          <w:i/>
          <w:iCs/>
          <w:lang w:val="fr-FR"/>
        </w:rPr>
        <w:t>Réaffirmant</w:t>
      </w:r>
      <w:r w:rsidRPr="00F344C7">
        <w:rPr>
          <w:lang w:val="fr-FR"/>
        </w:rPr>
        <w:t xml:space="preserve"> les droits de l’homme et les libertés fondamentales inscrits dans la Déclaration universelle des droits de l’homme et dans les instruments internationaux relatifs aux droits de l’homme, notamment le Pacte international relatif aux droits civils et politiques, le Pacte international relatif aux droits économiques, sociaux et culturels, la </w:t>
      </w:r>
      <w:r w:rsidRPr="00F344C7">
        <w:t xml:space="preserve">Convention sur l’élimination de toutes les formes de discrimination à l’égard des femmes, </w:t>
      </w:r>
      <w:r w:rsidRPr="00F344C7">
        <w:rPr>
          <w:lang w:val="fr-FR"/>
        </w:rPr>
        <w:t xml:space="preserve">la Convention relative aux droits de l’enfant et la Convention relative aux droits des personnes handicapées, </w:t>
      </w:r>
    </w:p>
    <w:p w:rsidR="00651190" w:rsidRDefault="00651190" w:rsidP="00651190">
      <w:pPr>
        <w:pStyle w:val="SingleTxtG"/>
        <w:ind w:firstLine="567"/>
      </w:pPr>
      <w:r w:rsidRPr="00F344C7">
        <w:rPr>
          <w:i/>
          <w:iCs/>
          <w:lang w:val="fr-FR"/>
        </w:rPr>
        <w:t>Rappelant</w:t>
      </w:r>
      <w:r w:rsidRPr="00F344C7">
        <w:rPr>
          <w:lang w:val="fr-FR"/>
        </w:rPr>
        <w:t xml:space="preserve"> toutes les résolutions antérieures adoptées par l’Assemblée générale et le Conseil des droits de l’homme sur le droit à la vie privée à l’ère du numérique, </w:t>
      </w:r>
    </w:p>
    <w:p w:rsidR="00651190" w:rsidRDefault="00651190" w:rsidP="00651190">
      <w:pPr>
        <w:pStyle w:val="SingleTxtG"/>
        <w:ind w:firstLine="567"/>
      </w:pPr>
      <w:r w:rsidRPr="00F344C7">
        <w:rPr>
          <w:i/>
          <w:iCs/>
          <w:lang w:val="fr-FR"/>
        </w:rPr>
        <w:t>Rappelant également</w:t>
      </w:r>
      <w:r w:rsidRPr="00F344C7">
        <w:rPr>
          <w:lang w:val="fr-FR"/>
        </w:rPr>
        <w:t xml:space="preserve"> ses résolutions 5/1, relative à la mise en place des institutions du Conseil des droits de l’homme, et 5/2, relative au Code de conduite pour les titulaires de mandat au titre des procédures spéciales du Conseil, en date du 18 juin 2007, et soulignant que tous les titulaires de mandat doivent s’acquitter de leurs fonctions conformément à ces résolutions et à leurs annexes, </w:t>
      </w:r>
    </w:p>
    <w:p w:rsidR="00651190" w:rsidRDefault="00651190" w:rsidP="00651190">
      <w:pPr>
        <w:pStyle w:val="SingleTxtG"/>
        <w:ind w:firstLine="567"/>
      </w:pPr>
      <w:r w:rsidRPr="00F344C7">
        <w:rPr>
          <w:lang w:val="fr-FR"/>
        </w:rPr>
        <w:t>1.</w:t>
      </w:r>
      <w:r w:rsidRPr="00F344C7">
        <w:rPr>
          <w:lang w:val="fr-FR"/>
        </w:rPr>
        <w:tab/>
      </w:r>
      <w:r w:rsidRPr="00F344C7">
        <w:rPr>
          <w:i/>
          <w:iCs/>
          <w:lang w:val="fr-FR"/>
        </w:rPr>
        <w:t>Décide</w:t>
      </w:r>
      <w:r w:rsidRPr="00F344C7">
        <w:rPr>
          <w:lang w:val="fr-FR"/>
        </w:rPr>
        <w:t xml:space="preserve"> de prolonger le mandat du </w:t>
      </w:r>
      <w:r w:rsidRPr="00F344C7">
        <w:t>Rapporteur spécial sur le droit à la vie privée</w:t>
      </w:r>
      <w:r w:rsidRPr="00F344C7">
        <w:rPr>
          <w:lang w:val="fr-FR"/>
        </w:rPr>
        <w:t xml:space="preserve"> d’une durée de trois ans, dans les conditions prévues par le Conseil des droits de l’homme dans sa résolution 28/16, en date du 26 mars 2015</w:t>
      </w:r>
      <w:r>
        <w:rPr>
          <w:lang w:val="fr-FR"/>
        </w:rPr>
        <w:t> </w:t>
      </w:r>
      <w:r w:rsidRPr="00F344C7">
        <w:rPr>
          <w:lang w:val="fr-FR"/>
        </w:rPr>
        <w:t>;</w:t>
      </w:r>
    </w:p>
    <w:p w:rsidR="00651190" w:rsidRDefault="00651190" w:rsidP="00651190">
      <w:pPr>
        <w:pStyle w:val="SingleTxtG"/>
        <w:ind w:firstLine="567"/>
      </w:pPr>
      <w:r w:rsidRPr="00F344C7">
        <w:rPr>
          <w:lang w:val="fr-FR"/>
        </w:rPr>
        <w:t>2.</w:t>
      </w:r>
      <w:r w:rsidRPr="00F344C7">
        <w:rPr>
          <w:lang w:val="fr-FR"/>
        </w:rPr>
        <w:tab/>
      </w:r>
      <w:r w:rsidRPr="00F344C7">
        <w:rPr>
          <w:i/>
          <w:iCs/>
          <w:lang w:val="fr-FR"/>
        </w:rPr>
        <w:t>Demande</w:t>
      </w:r>
      <w:r w:rsidRPr="00F344C7">
        <w:rPr>
          <w:lang w:val="fr-FR"/>
        </w:rPr>
        <w:t xml:space="preserve"> à tous les États d’offrir une coopération sans réserve et de prêter leur concours au Rapporteur spécial lorsqu’il exerce ses fonctions, notamment en lui communiquant tous les renseignements qu’il réclame, en répondant rapidement à ses appels urgents et à ses autres communications, en donnant une suite favorable à ses demandes de visite dans le pays et en envisageant d’appliquer les recommandations formulées par le titulaire du mandat dans ses rapports</w:t>
      </w:r>
      <w:r>
        <w:rPr>
          <w:lang w:val="fr-FR"/>
        </w:rPr>
        <w:t> </w:t>
      </w:r>
      <w:r w:rsidRPr="00F344C7">
        <w:rPr>
          <w:lang w:val="fr-FR"/>
        </w:rPr>
        <w:t xml:space="preserve">; </w:t>
      </w:r>
    </w:p>
    <w:p w:rsidR="00651190" w:rsidRDefault="00651190" w:rsidP="00651190">
      <w:pPr>
        <w:pStyle w:val="SingleTxtG"/>
        <w:ind w:firstLine="567"/>
      </w:pPr>
      <w:r w:rsidRPr="00F344C7">
        <w:rPr>
          <w:lang w:val="fr-FR"/>
        </w:rPr>
        <w:t>3.</w:t>
      </w:r>
      <w:r w:rsidRPr="00F344C7">
        <w:rPr>
          <w:lang w:val="fr-FR"/>
        </w:rPr>
        <w:tab/>
      </w:r>
      <w:r w:rsidRPr="00F344C7">
        <w:rPr>
          <w:i/>
          <w:iCs/>
          <w:lang w:val="fr-FR"/>
        </w:rPr>
        <w:t>En</w:t>
      </w:r>
      <w:r w:rsidR="0062696E">
        <w:rPr>
          <w:i/>
          <w:iCs/>
          <w:lang w:val="fr-FR"/>
        </w:rPr>
        <w:t>g</w:t>
      </w:r>
      <w:r w:rsidRPr="00F344C7">
        <w:rPr>
          <w:i/>
          <w:iCs/>
          <w:lang w:val="fr-FR"/>
        </w:rPr>
        <w:t>age</w:t>
      </w:r>
      <w:r w:rsidRPr="00F344C7">
        <w:rPr>
          <w:lang w:val="fr-FR"/>
        </w:rPr>
        <w:t xml:space="preserve"> toutes les parties prenantes concernées, notamment l’ONU et les organismes, programmes et fonds des Nations Unies, les mécanismes régionaux compétents en matière de droits de l’homme, les institutions nationales des droits de l’homme, la société civile et le secteur privé, à coopérer pleinement avec le Rapporteur spécial pour lui permettre de s’acquitter de son mandat</w:t>
      </w:r>
      <w:r>
        <w:rPr>
          <w:lang w:val="fr-FR"/>
        </w:rPr>
        <w:t> </w:t>
      </w:r>
      <w:r w:rsidRPr="00F344C7">
        <w:rPr>
          <w:lang w:val="fr-FR"/>
        </w:rPr>
        <w:t xml:space="preserve">; </w:t>
      </w:r>
    </w:p>
    <w:p w:rsidR="00651190" w:rsidRDefault="00651190" w:rsidP="00651190">
      <w:pPr>
        <w:pStyle w:val="SingleTxtG"/>
        <w:ind w:firstLine="567"/>
      </w:pPr>
      <w:r w:rsidRPr="00F344C7">
        <w:rPr>
          <w:lang w:val="fr-FR"/>
        </w:rPr>
        <w:t>4.</w:t>
      </w:r>
      <w:r w:rsidRPr="00F344C7">
        <w:rPr>
          <w:lang w:val="fr-FR"/>
        </w:rPr>
        <w:tab/>
      </w:r>
      <w:r w:rsidRPr="00F344C7">
        <w:rPr>
          <w:i/>
          <w:iCs/>
          <w:lang w:val="fr-FR"/>
        </w:rPr>
        <w:t>Prie</w:t>
      </w:r>
      <w:r w:rsidRPr="00F344C7">
        <w:rPr>
          <w:lang w:val="fr-FR"/>
        </w:rPr>
        <w:t xml:space="preserve"> le Secrétaire général et le Haut-Commissaire des Nations Unies aux droits de l’homme de fournir au Rapporteur spécial toutes les ressources humaines et financières dont il a besoin pour s’acquitter efficacement de son mandat</w:t>
      </w:r>
      <w:r>
        <w:rPr>
          <w:lang w:val="fr-FR"/>
        </w:rPr>
        <w:t> </w:t>
      </w:r>
      <w:r w:rsidRPr="00F344C7">
        <w:rPr>
          <w:lang w:val="fr-FR"/>
        </w:rPr>
        <w:t xml:space="preserve">; </w:t>
      </w:r>
    </w:p>
    <w:p w:rsidR="00651190" w:rsidRDefault="00651190" w:rsidP="00651190">
      <w:pPr>
        <w:pStyle w:val="SingleTxtG"/>
        <w:ind w:firstLine="567"/>
        <w:rPr>
          <w:lang w:val="fr-FR"/>
        </w:rPr>
      </w:pPr>
      <w:r w:rsidRPr="00F344C7">
        <w:rPr>
          <w:lang w:val="fr-FR"/>
        </w:rPr>
        <w:t>5.</w:t>
      </w:r>
      <w:r w:rsidRPr="00F344C7">
        <w:rPr>
          <w:lang w:val="fr-FR"/>
        </w:rPr>
        <w:tab/>
      </w:r>
      <w:r w:rsidRPr="00F344C7">
        <w:rPr>
          <w:i/>
          <w:iCs/>
          <w:lang w:val="fr-FR"/>
        </w:rPr>
        <w:t>Décide</w:t>
      </w:r>
      <w:r w:rsidRPr="00F344C7">
        <w:rPr>
          <w:lang w:val="fr-FR"/>
        </w:rPr>
        <w:t xml:space="preserve"> de poursuivre l’examen de cette question au titre du</w:t>
      </w:r>
      <w:r>
        <w:rPr>
          <w:lang w:val="fr-FR"/>
        </w:rPr>
        <w:t xml:space="preserve"> même point de l’ordre du jour.</w:t>
      </w:r>
    </w:p>
    <w:p w:rsidR="00651190" w:rsidRPr="00E962E6" w:rsidRDefault="00651190" w:rsidP="00651190">
      <w:pPr>
        <w:pStyle w:val="SingleTxtG"/>
        <w:ind w:firstLine="567"/>
        <w:jc w:val="right"/>
        <w:rPr>
          <w:i/>
        </w:rPr>
      </w:pPr>
      <w:r w:rsidRPr="00E962E6">
        <w:rPr>
          <w:i/>
        </w:rPr>
        <w:t>53</w:t>
      </w:r>
      <w:r w:rsidRPr="00651190">
        <w:rPr>
          <w:i/>
          <w:vertAlign w:val="superscript"/>
        </w:rPr>
        <w:t>e</w:t>
      </w:r>
      <w:r>
        <w:rPr>
          <w:i/>
        </w:rPr>
        <w:t> </w:t>
      </w:r>
      <w:r w:rsidRPr="00E962E6">
        <w:rPr>
          <w:i/>
        </w:rPr>
        <w:t>séance</w:t>
      </w:r>
      <w:r w:rsidRPr="00E962E6">
        <w:rPr>
          <w:i/>
        </w:rPr>
        <w:br/>
        <w:t>22</w:t>
      </w:r>
      <w:r>
        <w:rPr>
          <w:i/>
        </w:rPr>
        <w:t> </w:t>
      </w:r>
      <w:r w:rsidRPr="00E962E6">
        <w:rPr>
          <w:i/>
        </w:rPr>
        <w:t>mars 2018</w:t>
      </w:r>
    </w:p>
    <w:p w:rsidR="00552797" w:rsidRDefault="00651190" w:rsidP="00651190">
      <w:pPr>
        <w:pStyle w:val="SingleTxtG"/>
        <w:rPr>
          <w:lang w:eastAsia="ar-SA"/>
        </w:rPr>
      </w:pPr>
      <w:r w:rsidRPr="00E962E6">
        <w:rPr>
          <w:lang w:eastAsia="ar-SA"/>
        </w:rPr>
        <w:t>[Adoptée sans vote.]</w:t>
      </w:r>
    </w:p>
    <w:p w:rsidR="00651190" w:rsidRPr="00651190" w:rsidRDefault="00651190" w:rsidP="00651190">
      <w:pPr>
        <w:pStyle w:val="SingleTxtG"/>
        <w:spacing w:before="240" w:after="0"/>
        <w:jc w:val="center"/>
        <w:rPr>
          <w:u w:val="single"/>
        </w:rPr>
      </w:pPr>
      <w:r>
        <w:rPr>
          <w:u w:val="single"/>
        </w:rPr>
        <w:tab/>
      </w:r>
      <w:r>
        <w:rPr>
          <w:u w:val="single"/>
        </w:rPr>
        <w:tab/>
      </w:r>
      <w:bookmarkStart w:id="0" w:name="_GoBack"/>
      <w:bookmarkEnd w:id="0"/>
      <w:r>
        <w:rPr>
          <w:u w:val="single"/>
        </w:rPr>
        <w:tab/>
      </w:r>
    </w:p>
    <w:sectPr w:rsidR="00651190" w:rsidRPr="00651190" w:rsidSect="0065119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B55" w:rsidRPr="00EF7F30" w:rsidRDefault="00012B55" w:rsidP="00EF7F30">
      <w:pPr>
        <w:pStyle w:val="Pieddepage"/>
      </w:pPr>
    </w:p>
  </w:endnote>
  <w:endnote w:type="continuationSeparator" w:id="0">
    <w:p w:rsidR="00012B55" w:rsidRPr="00EF7F30" w:rsidRDefault="00012B55" w:rsidP="00EF7F30">
      <w:pPr>
        <w:pStyle w:val="Pieddepage"/>
      </w:pPr>
    </w:p>
  </w:endnote>
  <w:endnote w:type="continuationNotice" w:id="1">
    <w:p w:rsidR="00012B55" w:rsidRDefault="00012B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90" w:rsidRPr="00651190" w:rsidRDefault="00651190" w:rsidP="00651190">
    <w:pPr>
      <w:pStyle w:val="Pieddepage"/>
      <w:tabs>
        <w:tab w:val="right" w:pos="9638"/>
      </w:tabs>
    </w:pPr>
    <w:r w:rsidRPr="00651190">
      <w:rPr>
        <w:b/>
        <w:sz w:val="18"/>
      </w:rPr>
      <w:fldChar w:fldCharType="begin"/>
    </w:r>
    <w:r w:rsidRPr="00651190">
      <w:rPr>
        <w:b/>
        <w:sz w:val="18"/>
      </w:rPr>
      <w:instrText xml:space="preserve"> PAGE  \* MERGEFORMAT </w:instrText>
    </w:r>
    <w:r w:rsidRPr="00651190">
      <w:rPr>
        <w:b/>
        <w:sz w:val="18"/>
      </w:rPr>
      <w:fldChar w:fldCharType="separate"/>
    </w:r>
    <w:r w:rsidR="009F2538">
      <w:rPr>
        <w:b/>
        <w:noProof/>
        <w:sz w:val="18"/>
      </w:rPr>
      <w:t>2</w:t>
    </w:r>
    <w:r w:rsidRPr="00651190">
      <w:rPr>
        <w:b/>
        <w:sz w:val="18"/>
      </w:rPr>
      <w:fldChar w:fldCharType="end"/>
    </w:r>
    <w:r>
      <w:rPr>
        <w:b/>
        <w:sz w:val="18"/>
      </w:rPr>
      <w:tab/>
    </w:r>
    <w:r>
      <w:t>GE.18-05505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90" w:rsidRPr="00651190" w:rsidRDefault="00651190" w:rsidP="00651190">
    <w:pPr>
      <w:pStyle w:val="Pieddepage"/>
      <w:tabs>
        <w:tab w:val="right" w:pos="9638"/>
      </w:tabs>
      <w:rPr>
        <w:b/>
        <w:sz w:val="18"/>
      </w:rPr>
    </w:pPr>
    <w:r>
      <w:t>GE.18-05505</w:t>
    </w:r>
    <w:r>
      <w:tab/>
    </w:r>
    <w:r w:rsidRPr="00651190">
      <w:rPr>
        <w:b/>
        <w:sz w:val="18"/>
      </w:rPr>
      <w:fldChar w:fldCharType="begin"/>
    </w:r>
    <w:r w:rsidRPr="00651190">
      <w:rPr>
        <w:b/>
        <w:sz w:val="18"/>
      </w:rPr>
      <w:instrText xml:space="preserve"> PAGE  \* MERGEFORMAT </w:instrText>
    </w:r>
    <w:r w:rsidRPr="00651190">
      <w:rPr>
        <w:b/>
        <w:sz w:val="18"/>
      </w:rPr>
      <w:fldChar w:fldCharType="separate"/>
    </w:r>
    <w:r w:rsidR="009F2538">
      <w:rPr>
        <w:b/>
        <w:noProof/>
        <w:sz w:val="18"/>
      </w:rPr>
      <w:t>2</w:t>
    </w:r>
    <w:r w:rsidRPr="006511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2E" w:rsidRPr="00651190" w:rsidRDefault="00651190" w:rsidP="00651190">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18-05505  (F)</w:t>
    </w:r>
    <w:r w:rsidR="00D930E2">
      <w:rPr>
        <w:sz w:val="20"/>
      </w:rPr>
      <w:t xml:space="preserve">    180418    240418</w:t>
    </w:r>
    <w:r>
      <w:rPr>
        <w:sz w:val="20"/>
      </w:rPr>
      <w:br/>
    </w:r>
    <w:r w:rsidRPr="00651190">
      <w:rPr>
        <w:rFonts w:ascii="C39T30Lfz" w:hAnsi="C39T30Lfz"/>
        <w:sz w:val="56"/>
      </w:rPr>
      <w:t></w:t>
    </w:r>
    <w:r w:rsidRPr="00651190">
      <w:rPr>
        <w:rFonts w:ascii="C39T30Lfz" w:hAnsi="C39T30Lfz"/>
        <w:sz w:val="56"/>
      </w:rPr>
      <w:t></w:t>
    </w:r>
    <w:r w:rsidRPr="00651190">
      <w:rPr>
        <w:rFonts w:ascii="C39T30Lfz" w:hAnsi="C39T30Lfz"/>
        <w:sz w:val="56"/>
      </w:rPr>
      <w:t></w:t>
    </w:r>
    <w:r w:rsidRPr="00651190">
      <w:rPr>
        <w:rFonts w:ascii="C39T30Lfz" w:hAnsi="C39T30Lfz"/>
        <w:sz w:val="56"/>
      </w:rPr>
      <w:t></w:t>
    </w:r>
    <w:r w:rsidRPr="00651190">
      <w:rPr>
        <w:rFonts w:ascii="C39T30Lfz" w:hAnsi="C39T30Lfz"/>
        <w:sz w:val="56"/>
      </w:rPr>
      <w:t></w:t>
    </w:r>
    <w:r w:rsidRPr="00651190">
      <w:rPr>
        <w:rFonts w:ascii="C39T30Lfz" w:hAnsi="C39T30Lfz"/>
        <w:sz w:val="56"/>
      </w:rPr>
      <w:t></w:t>
    </w:r>
    <w:r w:rsidRPr="00651190">
      <w:rPr>
        <w:rFonts w:ascii="C39T30Lfz" w:hAnsi="C39T30Lfz"/>
        <w:sz w:val="56"/>
      </w:rPr>
      <w:t></w:t>
    </w:r>
    <w:r w:rsidRPr="00651190">
      <w:rPr>
        <w:rFonts w:ascii="C39T30Lfz" w:hAnsi="C39T30Lfz"/>
        <w:sz w:val="56"/>
      </w:rPr>
      <w:t></w:t>
    </w:r>
    <w:r w:rsidRPr="0065119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A/HRC/RES/37/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7/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B55" w:rsidRPr="00EF7F30" w:rsidRDefault="00012B55"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012B55" w:rsidRPr="00EF7F30" w:rsidRDefault="00012B55" w:rsidP="000E5ADA">
      <w:pPr>
        <w:pStyle w:val="Pieddepage"/>
        <w:tabs>
          <w:tab w:val="right" w:pos="2155"/>
        </w:tabs>
        <w:spacing w:after="80" w:line="240" w:lineRule="atLeast"/>
        <w:ind w:left="680"/>
      </w:pPr>
      <w:r w:rsidRPr="00EF7F30">
        <w:rPr>
          <w:u w:val="single"/>
        </w:rPr>
        <w:tab/>
      </w:r>
    </w:p>
  </w:footnote>
  <w:footnote w:type="continuationNotice" w:id="1">
    <w:p w:rsidR="00012B55" w:rsidRPr="000F2457" w:rsidRDefault="00012B5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90" w:rsidRPr="00651190" w:rsidRDefault="00651190">
    <w:pPr>
      <w:pStyle w:val="En-tte"/>
    </w:pPr>
    <w:fldSimple w:instr=" TITLE  \* MERGEFORMAT ">
      <w:r w:rsidR="009F2538">
        <w:t>A/HRC/RES/37/2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90" w:rsidRPr="00651190" w:rsidRDefault="00651190" w:rsidP="00651190">
    <w:pPr>
      <w:pStyle w:val="En-tte"/>
      <w:jc w:val="right"/>
    </w:pPr>
    <w:fldSimple w:instr=" TITLE  \* MERGEFORMAT ">
      <w:r w:rsidR="009F2538">
        <w:t>A/HRC/RES/37/2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B55"/>
    <w:rsid w:val="00012B55"/>
    <w:rsid w:val="00023842"/>
    <w:rsid w:val="0007796D"/>
    <w:rsid w:val="000E5ADA"/>
    <w:rsid w:val="000F2457"/>
    <w:rsid w:val="00111F2F"/>
    <w:rsid w:val="00131E73"/>
    <w:rsid w:val="00141978"/>
    <w:rsid w:val="0014365E"/>
    <w:rsid w:val="00176178"/>
    <w:rsid w:val="001F525A"/>
    <w:rsid w:val="00212168"/>
    <w:rsid w:val="00260711"/>
    <w:rsid w:val="002E0D9C"/>
    <w:rsid w:val="003547BE"/>
    <w:rsid w:val="00446FE5"/>
    <w:rsid w:val="00552797"/>
    <w:rsid w:val="00573BE5"/>
    <w:rsid w:val="00586ED3"/>
    <w:rsid w:val="00587A52"/>
    <w:rsid w:val="005B4E23"/>
    <w:rsid w:val="005D59D0"/>
    <w:rsid w:val="00617B29"/>
    <w:rsid w:val="0062696E"/>
    <w:rsid w:val="00651190"/>
    <w:rsid w:val="0068446C"/>
    <w:rsid w:val="00695AED"/>
    <w:rsid w:val="00710BD6"/>
    <w:rsid w:val="0071601D"/>
    <w:rsid w:val="00721020"/>
    <w:rsid w:val="00731589"/>
    <w:rsid w:val="0080684C"/>
    <w:rsid w:val="00871C75"/>
    <w:rsid w:val="008776DC"/>
    <w:rsid w:val="008B386A"/>
    <w:rsid w:val="0094352E"/>
    <w:rsid w:val="00962015"/>
    <w:rsid w:val="009705C8"/>
    <w:rsid w:val="009A47AB"/>
    <w:rsid w:val="009F2538"/>
    <w:rsid w:val="00A12E20"/>
    <w:rsid w:val="00A2307A"/>
    <w:rsid w:val="00AC7BEB"/>
    <w:rsid w:val="00AE323C"/>
    <w:rsid w:val="00B16AAF"/>
    <w:rsid w:val="00B22A9E"/>
    <w:rsid w:val="00B24C75"/>
    <w:rsid w:val="00B528BF"/>
    <w:rsid w:val="00C02897"/>
    <w:rsid w:val="00C12613"/>
    <w:rsid w:val="00D45432"/>
    <w:rsid w:val="00D930E2"/>
    <w:rsid w:val="00DB1831"/>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0269EA"/>
  <w15:docId w15:val="{DD60BAEA-2884-4863-A14B-210B625E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H1GChar">
    <w:name w:val="_ H_1_G Char"/>
    <w:link w:val="H1G"/>
    <w:rsid w:val="00651190"/>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692E0-416F-4FFF-80C3-E67A02A3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2</TotalTime>
  <Pages>2</Pages>
  <Words>432</Words>
  <Characters>2598</Characters>
  <Application>Microsoft Office Word</Application>
  <DocSecurity>0</DocSecurity>
  <Lines>371</Lines>
  <Paragraphs>159</Paragraphs>
  <ScaleCrop>false</ScaleCrop>
  <HeadingPairs>
    <vt:vector size="2" baseType="variant">
      <vt:variant>
        <vt:lpstr>Titre</vt:lpstr>
      </vt:variant>
      <vt:variant>
        <vt:i4>1</vt:i4>
      </vt:variant>
    </vt:vector>
  </HeadingPairs>
  <TitlesOfParts>
    <vt:vector size="1" baseType="lpstr">
      <vt:lpstr>A/HRC/RES/37/2</vt:lpstr>
    </vt:vector>
  </TitlesOfParts>
  <Company>DCM</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A/HRC/RES/37/2</dc:title>
  <dc:subject/>
  <dc:creator>Fabienne CRELIER</dc:creator>
  <cp:keywords/>
  <cp:lastModifiedBy>Fabienne Crelier</cp:lastModifiedBy>
  <cp:revision>3</cp:revision>
  <cp:lastPrinted>2018-04-24T12:34:00Z</cp:lastPrinted>
  <dcterms:created xsi:type="dcterms:W3CDTF">2018-04-24T12:34:00Z</dcterms:created>
  <dcterms:modified xsi:type="dcterms:W3CDTF">2018-04-24T12:36:00Z</dcterms:modified>
</cp:coreProperties>
</file>