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EE882E4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E064C5" w14:textId="77777777" w:rsidR="002D5AAC" w:rsidRDefault="002D5AAC" w:rsidP="00765F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386D0A1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FE7C04" w14:textId="01BCED38" w:rsidR="002D5AAC" w:rsidRDefault="00765FF0" w:rsidP="00765FF0">
            <w:pPr>
              <w:jc w:val="right"/>
            </w:pPr>
            <w:r w:rsidRPr="00765FF0">
              <w:rPr>
                <w:sz w:val="40"/>
              </w:rPr>
              <w:t>A</w:t>
            </w:r>
            <w:r>
              <w:t>/HRC/RES/46/16</w:t>
            </w:r>
          </w:p>
        </w:tc>
      </w:tr>
      <w:tr w:rsidR="002D5AAC" w:rsidRPr="00765FF0" w14:paraId="3C63C9A4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F22BB6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BB2FDE" wp14:editId="712830E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83B883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ABCA6F3" w14:textId="77777777" w:rsidR="002D5AAC" w:rsidRDefault="00765FF0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2A559DC" w14:textId="70B093CD" w:rsidR="00765FF0" w:rsidRDefault="00765FF0" w:rsidP="00765F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March 2021</w:t>
            </w:r>
          </w:p>
          <w:p w14:paraId="0563091F" w14:textId="77777777" w:rsidR="00765FF0" w:rsidRDefault="00765FF0" w:rsidP="00765F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4A59CD" w14:textId="72F17CAE" w:rsidR="00765FF0" w:rsidRPr="00E71476" w:rsidRDefault="00765FF0" w:rsidP="00765F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CE2672">
              <w:rPr>
                <w:lang w:val="en-US"/>
              </w:rPr>
              <w:t>English</w:t>
            </w:r>
          </w:p>
        </w:tc>
      </w:tr>
    </w:tbl>
    <w:p w14:paraId="5B3B6CF2" w14:textId="77777777" w:rsidR="00DF71B9" w:rsidRPr="008122F2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476331CA" w14:textId="77777777" w:rsidR="008122F2" w:rsidRPr="00430F41" w:rsidRDefault="008122F2" w:rsidP="008122F2">
      <w:pPr>
        <w:rPr>
          <w:b/>
        </w:rPr>
      </w:pPr>
      <w:r>
        <w:rPr>
          <w:b/>
          <w:bCs/>
        </w:rPr>
        <w:t>Сорок шестая сессия</w:t>
      </w:r>
    </w:p>
    <w:p w14:paraId="4379DAB0" w14:textId="77777777" w:rsidR="008122F2" w:rsidRPr="00430F41" w:rsidRDefault="008122F2" w:rsidP="008122F2">
      <w:r>
        <w:t>22 февраля</w:t>
      </w:r>
      <w:r w:rsidRPr="00993A91">
        <w:t xml:space="preserve"> — </w:t>
      </w:r>
      <w:r>
        <w:t>24 марта 2021 года</w:t>
      </w:r>
    </w:p>
    <w:p w14:paraId="34C776A4" w14:textId="77777777" w:rsidR="008122F2" w:rsidRPr="00430F41" w:rsidRDefault="008122F2" w:rsidP="008122F2">
      <w:r>
        <w:t>Пункт 3 повестки дня</w:t>
      </w:r>
    </w:p>
    <w:p w14:paraId="631F5036" w14:textId="77777777" w:rsidR="008122F2" w:rsidRPr="00430F41" w:rsidRDefault="008122F2" w:rsidP="008122F2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43551144" w14:textId="4359EE60" w:rsidR="008122F2" w:rsidRPr="00993A91" w:rsidRDefault="008122F2" w:rsidP="00CE2672">
      <w:pPr>
        <w:pStyle w:val="HChG"/>
        <w:rPr>
          <w:color w:val="000000" w:themeColor="text1"/>
        </w:rPr>
      </w:pPr>
      <w:r>
        <w:tab/>
      </w:r>
      <w:r w:rsidRPr="006156C0">
        <w:rPr>
          <w:color w:val="000000" w:themeColor="text1"/>
        </w:rPr>
        <w:tab/>
      </w:r>
      <w:r w:rsidRPr="00993A91">
        <w:t xml:space="preserve">Резолюция, принятая Советом по правам человека </w:t>
      </w:r>
      <w:r w:rsidR="00CE2672">
        <w:br/>
      </w:r>
      <w:r w:rsidRPr="00993A91">
        <w:t>23 марта 2021 года</w:t>
      </w:r>
    </w:p>
    <w:p w14:paraId="31843BE4" w14:textId="77777777" w:rsidR="008122F2" w:rsidRPr="006156C0" w:rsidRDefault="008122F2" w:rsidP="00CE2672">
      <w:pPr>
        <w:keepNext/>
        <w:keepLines/>
        <w:spacing w:before="360" w:after="240" w:line="270" w:lineRule="exact"/>
        <w:ind w:left="1134" w:right="1134" w:hanging="850"/>
        <w:rPr>
          <w:b/>
          <w:color w:val="000000" w:themeColor="text1"/>
          <w:sz w:val="24"/>
          <w:szCs w:val="24"/>
        </w:rPr>
      </w:pPr>
      <w:r w:rsidRPr="006156C0">
        <w:rPr>
          <w:b/>
          <w:bCs/>
          <w:color w:val="000000" w:themeColor="text1"/>
          <w:sz w:val="24"/>
          <w:szCs w:val="24"/>
        </w:rPr>
        <w:t>46/</w:t>
      </w:r>
      <w:r w:rsidRPr="00A71A52">
        <w:rPr>
          <w:b/>
          <w:bCs/>
          <w:color w:val="000000" w:themeColor="text1"/>
          <w:sz w:val="24"/>
          <w:szCs w:val="24"/>
        </w:rPr>
        <w:t>16</w:t>
      </w:r>
      <w:r w:rsidRPr="008122F2">
        <w:rPr>
          <w:b/>
          <w:bCs/>
          <w:color w:val="000000" w:themeColor="text1"/>
          <w:sz w:val="24"/>
          <w:szCs w:val="24"/>
        </w:rPr>
        <w:t>.</w:t>
      </w:r>
      <w:r w:rsidRPr="006156C0">
        <w:rPr>
          <w:color w:val="000000" w:themeColor="text1"/>
          <w:sz w:val="24"/>
          <w:szCs w:val="24"/>
        </w:rPr>
        <w:tab/>
      </w:r>
      <w:r w:rsidRPr="00CE2672">
        <w:rPr>
          <w:rFonts w:eastAsia="Times New Roman" w:cs="Times New Roman"/>
          <w:b/>
          <w:sz w:val="24"/>
          <w:szCs w:val="20"/>
          <w:lang w:val="en-GB"/>
        </w:rPr>
        <w:t>Мандат</w:t>
      </w:r>
      <w:r w:rsidRPr="006156C0">
        <w:rPr>
          <w:b/>
          <w:bCs/>
          <w:color w:val="000000" w:themeColor="text1"/>
          <w:sz w:val="24"/>
          <w:szCs w:val="24"/>
        </w:rPr>
        <w:t xml:space="preserve"> Специального докладчика по вопросу о праве на</w:t>
      </w:r>
      <w:r w:rsidRPr="006156C0">
        <w:rPr>
          <w:b/>
          <w:bCs/>
          <w:color w:val="000000" w:themeColor="text1"/>
          <w:sz w:val="24"/>
          <w:szCs w:val="24"/>
          <w:lang w:val="en-US"/>
        </w:rPr>
        <w:t> </w:t>
      </w:r>
      <w:r w:rsidRPr="006156C0">
        <w:rPr>
          <w:b/>
          <w:bCs/>
          <w:color w:val="000000" w:themeColor="text1"/>
          <w:sz w:val="24"/>
          <w:szCs w:val="24"/>
        </w:rPr>
        <w:t>неприкосновенность частной жизни</w:t>
      </w:r>
    </w:p>
    <w:p w14:paraId="38FA59AB" w14:textId="77777777" w:rsidR="008122F2" w:rsidRPr="006156C0" w:rsidRDefault="008122F2" w:rsidP="008122F2">
      <w:pPr>
        <w:spacing w:after="120"/>
        <w:ind w:left="1134" w:right="1134"/>
        <w:jc w:val="both"/>
        <w:rPr>
          <w:i/>
          <w:iCs/>
          <w:color w:val="000000" w:themeColor="text1"/>
        </w:rPr>
      </w:pPr>
      <w:r w:rsidRPr="006156C0">
        <w:rPr>
          <w:color w:val="000000" w:themeColor="text1"/>
        </w:rPr>
        <w:tab/>
      </w:r>
      <w:r w:rsidRPr="006156C0">
        <w:rPr>
          <w:color w:val="000000" w:themeColor="text1"/>
        </w:rPr>
        <w:tab/>
      </w:r>
      <w:r w:rsidRPr="006156C0">
        <w:rPr>
          <w:i/>
          <w:iCs/>
          <w:color w:val="000000" w:themeColor="text1"/>
        </w:rPr>
        <w:t>Совет по правам человека,</w:t>
      </w:r>
    </w:p>
    <w:p w14:paraId="774EC5AA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i/>
          <w:iCs/>
          <w:color w:val="000000" w:themeColor="text1"/>
        </w:rPr>
        <w:t>руководствуясь</w:t>
      </w:r>
      <w:r w:rsidRPr="006156C0">
        <w:rPr>
          <w:color w:val="000000" w:themeColor="text1"/>
        </w:rPr>
        <w:t xml:space="preserve"> целями и принципами Устава Организации Объединенных Наций,</w:t>
      </w:r>
    </w:p>
    <w:p w14:paraId="24021514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i/>
          <w:iCs/>
          <w:color w:val="000000" w:themeColor="text1"/>
        </w:rPr>
        <w:t>вновь подтверждая</w:t>
      </w:r>
      <w:r w:rsidRPr="006156C0">
        <w:rPr>
          <w:color w:val="000000" w:themeColor="text1"/>
        </w:rPr>
        <w:t xml:space="preserve"> права человека и основные свободы, закрепленные во Всеобщей декларации прав человека, Международном пакте о гражданских и политических правах, Международном пакте об экономических, социальных и культурных правах, Конвенции о ликвидации всех форм дискриминации в отношении женщин, Конвенции о правах ребенка и Конвенции о правах инвалидов,</w:t>
      </w:r>
    </w:p>
    <w:p w14:paraId="7EEF5FBA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i/>
          <w:iCs/>
          <w:color w:val="000000" w:themeColor="text1"/>
        </w:rPr>
        <w:t xml:space="preserve">напоминая </w:t>
      </w:r>
      <w:r w:rsidRPr="006156C0">
        <w:rPr>
          <w:color w:val="000000" w:themeColor="text1"/>
        </w:rPr>
        <w:t>о всех предыдущих резолюциях, принятых Генеральной Ассамблеей и Советом по правам человека по вопросу о праве на неприкосновенность частной жизни в цифровую эпоху, и другие соответствующие резолюции, включая резолюции о поощрении, защите и осуществлении прав человека в Интернете и о новых и появляющихся цифровых технологиях и правах человека,</w:t>
      </w:r>
    </w:p>
    <w:p w14:paraId="40385D01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i/>
          <w:iCs/>
          <w:color w:val="000000" w:themeColor="text1"/>
        </w:rPr>
        <w:t>напоминая также</w:t>
      </w:r>
      <w:r w:rsidRPr="006156C0">
        <w:rPr>
          <w:color w:val="000000" w:themeColor="text1"/>
        </w:rPr>
        <w:t xml:space="preserve"> о том, что коммерческие предприятия обязаны уважать права человека, как это предусмотрено в «Руководящих принципах предпринимательской деятельности в аспекте прав человека: осуществление рамок Организации Объединенных Наций в отношении защиты, соблюдения и средств правовой защиты», и что обязанность и главная ответственность в отношении поощрения и защиты прав человека и основных свобод возложены на государство, </w:t>
      </w:r>
    </w:p>
    <w:p w14:paraId="4D54C1B6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i/>
          <w:iCs/>
          <w:color w:val="000000" w:themeColor="text1"/>
        </w:rPr>
        <w:t>приветствуя</w:t>
      </w:r>
      <w:r w:rsidRPr="006156C0">
        <w:rPr>
          <w:color w:val="000000" w:themeColor="text1"/>
        </w:rPr>
        <w:t xml:space="preserve"> работу Управления Верховного комиссара Организации Объединенных Наций по правам человека по вопросу о праве на неприкосновенность частной жизни в цифровую эпоху и с удовлетворением </w:t>
      </w:r>
      <w:r>
        <w:rPr>
          <w:color w:val="000000" w:themeColor="text1"/>
        </w:rPr>
        <w:t>напоминая о</w:t>
      </w:r>
      <w:r w:rsidRPr="006156C0">
        <w:rPr>
          <w:color w:val="000000" w:themeColor="text1"/>
        </w:rPr>
        <w:t xml:space="preserve"> его доклад</w:t>
      </w:r>
      <w:r>
        <w:rPr>
          <w:color w:val="000000" w:themeColor="text1"/>
        </w:rPr>
        <w:t>ах</w:t>
      </w:r>
      <w:r w:rsidRPr="006156C0">
        <w:rPr>
          <w:color w:val="000000" w:themeColor="text1"/>
        </w:rPr>
        <w:t xml:space="preserve"> по этому вопросу</w:t>
      </w:r>
      <w:r w:rsidRPr="006156C0">
        <w:rPr>
          <w:color w:val="000000" w:themeColor="text1"/>
          <w:sz w:val="18"/>
          <w:szCs w:val="18"/>
          <w:vertAlign w:val="superscript"/>
        </w:rPr>
        <w:footnoteReference w:id="1"/>
      </w:r>
      <w:r w:rsidRPr="006156C0">
        <w:rPr>
          <w:color w:val="000000" w:themeColor="text1"/>
        </w:rPr>
        <w:t xml:space="preserve">, а также </w:t>
      </w:r>
      <w:r>
        <w:rPr>
          <w:color w:val="000000" w:themeColor="text1"/>
        </w:rPr>
        <w:t xml:space="preserve">о </w:t>
      </w:r>
      <w:r w:rsidRPr="006156C0">
        <w:rPr>
          <w:color w:val="000000" w:themeColor="text1"/>
        </w:rPr>
        <w:t>доклад</w:t>
      </w:r>
      <w:r>
        <w:rPr>
          <w:color w:val="000000" w:themeColor="text1"/>
        </w:rPr>
        <w:t>е</w:t>
      </w:r>
      <w:r w:rsidRPr="006156C0">
        <w:rPr>
          <w:color w:val="000000" w:themeColor="text1"/>
        </w:rPr>
        <w:t xml:space="preserve"> Верховного комиссара о воздействии новых технологий на поощрение и защиту прав человека в контексте собраний, включая мирные протесты</w:t>
      </w:r>
      <w:r w:rsidRPr="006156C0">
        <w:rPr>
          <w:color w:val="000000" w:themeColor="text1"/>
          <w:sz w:val="18"/>
          <w:szCs w:val="18"/>
          <w:vertAlign w:val="superscript"/>
        </w:rPr>
        <w:footnoteReference w:id="2"/>
      </w:r>
      <w:r w:rsidRPr="006156C0">
        <w:rPr>
          <w:color w:val="000000" w:themeColor="text1"/>
        </w:rPr>
        <w:t>,</w:t>
      </w:r>
    </w:p>
    <w:p w14:paraId="47982E7F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i/>
          <w:iCs/>
          <w:color w:val="000000" w:themeColor="text1"/>
        </w:rPr>
        <w:lastRenderedPageBreak/>
        <w:t>признавая</w:t>
      </w:r>
      <w:r w:rsidRPr="006156C0">
        <w:rPr>
          <w:color w:val="000000" w:themeColor="text1"/>
        </w:rPr>
        <w:t xml:space="preserve"> растущее воздействие новых и появляющихся технологий, таких как технологии, разработанные в областях наблюдения, искусственного интеллекта, автоматизированного принятия решений и машинного обучения, а также профилирования, слежения и биометрии, включая распознавание лиц, без надлежащих гарантий, на осуществление права на неприкосновенность частной жизни и других прав человека,</w:t>
      </w:r>
    </w:p>
    <w:p w14:paraId="343C8DA3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i/>
          <w:iCs/>
          <w:color w:val="000000" w:themeColor="text1"/>
        </w:rPr>
        <w:t>ссылаясь</w:t>
      </w:r>
      <w:r w:rsidRPr="006156C0">
        <w:rPr>
          <w:color w:val="000000" w:themeColor="text1"/>
        </w:rPr>
        <w:t xml:space="preserve"> на свои резолюции 5/1 об институциональном строительстве Совета по правам человека и 5/2 о Кодексе поведения мандатариев специальных процедур Совета </w:t>
      </w:r>
      <w:r>
        <w:rPr>
          <w:color w:val="000000" w:themeColor="text1"/>
        </w:rPr>
        <w:t xml:space="preserve">по правам человека </w:t>
      </w:r>
      <w:r w:rsidRPr="006156C0">
        <w:rPr>
          <w:color w:val="000000" w:themeColor="text1"/>
        </w:rPr>
        <w:t>от 18 июня 2007 года и подчеркивая, что все мандатарии должны выполнять свои обязанности в соответствии с этими резолюциями и приложениями к ним,</w:t>
      </w:r>
    </w:p>
    <w:p w14:paraId="12127558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t>1.</w:t>
      </w:r>
      <w:r w:rsidRPr="006156C0">
        <w:rPr>
          <w:color w:val="000000" w:themeColor="text1"/>
        </w:rPr>
        <w:tab/>
      </w:r>
      <w:r w:rsidRPr="006156C0">
        <w:rPr>
          <w:i/>
          <w:iCs/>
          <w:color w:val="000000" w:themeColor="text1"/>
        </w:rPr>
        <w:t xml:space="preserve">постановляет </w:t>
      </w:r>
      <w:r w:rsidRPr="006156C0">
        <w:rPr>
          <w:color w:val="000000" w:themeColor="text1"/>
        </w:rPr>
        <w:t>продлить мандат Специального докладчика по вопросу о праве на неприкосновенность частной жизни еще на три года со следующим мандатом:</w:t>
      </w:r>
    </w:p>
    <w:p w14:paraId="692C5D40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t>a)</w:t>
      </w:r>
      <w:r w:rsidRPr="006156C0">
        <w:rPr>
          <w:color w:val="000000" w:themeColor="text1"/>
        </w:rPr>
        <w:tab/>
        <w:t xml:space="preserve">собирать соответствующую информацию, в том числе о международных и национальных рамках, национальной практике и опыте, изучать тенденции, изменения и вызовы в отношении права на неприкосновенность частной жизни, закрепленного в статье 12 Всеобщей декларации прав человека и статье 17 Международного пакта о гражданских и политических правах, и выносить рекомендации по обеспечению его поощрения и защиты, в том числе в связи с вызовами, возникающими с появлением новых и появляющихся технологий; </w:t>
      </w:r>
    </w:p>
    <w:p w14:paraId="66024780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t>b)</w:t>
      </w:r>
      <w:r w:rsidRPr="006156C0">
        <w:rPr>
          <w:color w:val="000000" w:themeColor="text1"/>
        </w:rPr>
        <w:tab/>
        <w:t>запрашивать, получать и реагировать на информацию, избегая при этом дублирования, у государств, учреждений, программ и фондов</w:t>
      </w:r>
      <w:r w:rsidRPr="00A71A52">
        <w:rPr>
          <w:color w:val="000000" w:themeColor="text1"/>
        </w:rPr>
        <w:t xml:space="preserve"> </w:t>
      </w:r>
      <w:r w:rsidRPr="006156C0">
        <w:rPr>
          <w:color w:val="000000" w:themeColor="text1"/>
        </w:rPr>
        <w:t xml:space="preserve">Организации Объединенных Наций, региональных правозащитных механизмов, национальных правозащитных учреждений, организаций гражданского общества, частного сектора, включая предприятия, и у любых других соответствующих заинтересованных сторон или субъектов; </w:t>
      </w:r>
    </w:p>
    <w:p w14:paraId="007DDEE2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t>c)</w:t>
      </w:r>
      <w:r w:rsidRPr="006156C0">
        <w:rPr>
          <w:color w:val="000000" w:themeColor="text1"/>
        </w:rPr>
        <w:tab/>
        <w:t>выявлять возможные препятствия на пути поощрения и защиты права на неприкосновенность частной жизни и выявлять, поощрять принципы и передовую практику и обмениваться ими на национальном, региональном и международном уровнях, а также представлять в этой связи предложения и рекомендации Совету по правам человека, в том числе с целью решения конкретных вызовов, возникающих в цифровую эпоху и в ходе проектирования, разработки и внедрения новых и появляющихся технологий;</w:t>
      </w:r>
    </w:p>
    <w:p w14:paraId="77DC2E5C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t>d)</w:t>
      </w:r>
      <w:r w:rsidRPr="006156C0">
        <w:rPr>
          <w:color w:val="000000" w:themeColor="text1"/>
        </w:rPr>
        <w:tab/>
        <w:t xml:space="preserve">участвовать в соответствующих международных конференциях и мероприятиях и вносить вклад в их проведение с целью поощрения систематического и последовательного подхода к вопросам, относящимся к мандату; </w:t>
      </w:r>
    </w:p>
    <w:p w14:paraId="54EB6A58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t>e)</w:t>
      </w:r>
      <w:r w:rsidRPr="006156C0">
        <w:rPr>
          <w:color w:val="000000" w:themeColor="text1"/>
        </w:rPr>
        <w:tab/>
        <w:t>повышать осведомленность о важности поощрения и защиты права на неприкосновенность частной жизни, в том числе с учетом особых вызовов, возникающих в цифровую эпоху, и о важности предоставления лицам, чье право на неприкосновенность частной жизни было нарушено, доступа к эффективным средствам правовой защиты в соответствии с международными обязательствами в области прав человека;</w:t>
      </w:r>
    </w:p>
    <w:p w14:paraId="665B9F23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t>f)</w:t>
      </w:r>
      <w:r w:rsidRPr="006156C0">
        <w:rPr>
          <w:color w:val="000000" w:themeColor="text1"/>
        </w:rPr>
        <w:tab/>
        <w:t xml:space="preserve">учитывать гендерную перспективу и принцип недискриминации во всей работе в рамках мандата; </w:t>
      </w:r>
    </w:p>
    <w:p w14:paraId="63F4F481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t>g)</w:t>
      </w:r>
      <w:r w:rsidRPr="006156C0">
        <w:rPr>
          <w:color w:val="000000" w:themeColor="text1"/>
        </w:rPr>
        <w:tab/>
        <w:t xml:space="preserve">сообщать о предполагаемых нарушениях, где бы они ни происходили, права на неприкосновенность частной жизни, закрепленного в статье 12 Всеобщей декларации прав человека и статье 17 Международного пакта о гражданских и политических правах, в том числе в связи с вызовами, возникающими в связи с новыми и появляющимися технологиями, и привлекать внимание Совета по правам человека и Верховного комиссара Организации Объединенных Наций по правам человека к ситуациям, вызывающим особо серьезную озабоченность; </w:t>
      </w:r>
    </w:p>
    <w:p w14:paraId="4754DD31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t>h)</w:t>
      </w:r>
      <w:r w:rsidRPr="006156C0">
        <w:rPr>
          <w:color w:val="000000" w:themeColor="text1"/>
        </w:rPr>
        <w:tab/>
        <w:t>представлять ежегодные доклады Совету по правам человека и Генеральной Ассамблее;</w:t>
      </w:r>
    </w:p>
    <w:p w14:paraId="1DB682F6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lastRenderedPageBreak/>
        <w:t>i)</w:t>
      </w:r>
      <w:r w:rsidRPr="006156C0">
        <w:rPr>
          <w:color w:val="000000" w:themeColor="text1"/>
        </w:rPr>
        <w:tab/>
        <w:t xml:space="preserve">сотрудничать с другими мандатариями специальных процедур и Посланником Генерального секретаря по вопросам технологии в соответствии с их мандатами; </w:t>
      </w:r>
    </w:p>
    <w:p w14:paraId="7DCAC8E4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t>2.</w:t>
      </w:r>
      <w:r w:rsidRPr="006156C0">
        <w:rPr>
          <w:color w:val="000000" w:themeColor="text1"/>
        </w:rPr>
        <w:tab/>
      </w:r>
      <w:r w:rsidRPr="006156C0">
        <w:rPr>
          <w:i/>
          <w:iCs/>
          <w:color w:val="000000" w:themeColor="text1"/>
        </w:rPr>
        <w:t>призывает</w:t>
      </w:r>
      <w:r w:rsidRPr="006156C0">
        <w:rPr>
          <w:color w:val="000000" w:themeColor="text1"/>
        </w:rPr>
        <w:t xml:space="preserve"> все государства в полной мере сотрудничать со Специальным докладчиком и оказывать ему содействие в выполнении мандата, в том числе предоставляя всю запрашиваемую им или ей необходимую информацию, оперативно реагировать на его или ее призывы к незамедлительным действиям и другие сообщения, положительно рассматривать просьбы мандатария о посещении их стран и рассматривать возможность выполнения рекомендаций, вынесенных мандатарием в его или ее докладах;</w:t>
      </w:r>
    </w:p>
    <w:p w14:paraId="6789D580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t>3.</w:t>
      </w:r>
      <w:r w:rsidRPr="006156C0">
        <w:rPr>
          <w:color w:val="000000" w:themeColor="text1"/>
        </w:rPr>
        <w:tab/>
      </w:r>
      <w:r w:rsidRPr="006156C0">
        <w:rPr>
          <w:i/>
          <w:iCs/>
          <w:color w:val="000000" w:themeColor="text1"/>
        </w:rPr>
        <w:t>рекомендует</w:t>
      </w:r>
      <w:r w:rsidRPr="006156C0">
        <w:rPr>
          <w:color w:val="000000" w:themeColor="text1"/>
        </w:rPr>
        <w:t xml:space="preserve"> всем соответствующим заинтересованным субъектам, включая учреждения, программы и фонды Организации Объединенных Наций, региональные правозащитные механизмы, национальные правозащитные учреждения, гражданское общество и частный сектор, сотрудничать со Специальным докладчиком, с тем чтобы позволить ему или ей выполнять свой мандат;</w:t>
      </w:r>
    </w:p>
    <w:p w14:paraId="2DD08750" w14:textId="77777777" w:rsidR="008122F2" w:rsidRPr="006156C0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t>4.</w:t>
      </w:r>
      <w:r w:rsidRPr="006156C0">
        <w:rPr>
          <w:color w:val="000000" w:themeColor="text1"/>
        </w:rPr>
        <w:tab/>
      </w:r>
      <w:r w:rsidRPr="006156C0">
        <w:rPr>
          <w:i/>
          <w:iCs/>
          <w:color w:val="000000" w:themeColor="text1"/>
        </w:rPr>
        <w:t>просит</w:t>
      </w:r>
      <w:r w:rsidRPr="006156C0">
        <w:rPr>
          <w:color w:val="000000" w:themeColor="text1"/>
        </w:rPr>
        <w:t xml:space="preserve"> Генерального секретаря и Верховного комиссара Организации Объединенных Наций по правам человека предоставлять Специальному докладчику все людские и финансовые ресурсы, необходимые для эффективного выполнения мандата;</w:t>
      </w:r>
    </w:p>
    <w:p w14:paraId="33E3CC8C" w14:textId="77777777" w:rsidR="008122F2" w:rsidRDefault="008122F2" w:rsidP="008122F2">
      <w:pPr>
        <w:pStyle w:val="SingleTxtG"/>
        <w:ind w:firstLine="567"/>
        <w:rPr>
          <w:color w:val="000000" w:themeColor="text1"/>
        </w:rPr>
      </w:pPr>
      <w:r w:rsidRPr="006156C0">
        <w:rPr>
          <w:color w:val="000000" w:themeColor="text1"/>
        </w:rPr>
        <w:t>5.</w:t>
      </w:r>
      <w:r w:rsidRPr="006156C0">
        <w:rPr>
          <w:color w:val="000000" w:themeColor="text1"/>
        </w:rPr>
        <w:tab/>
      </w:r>
      <w:r w:rsidRPr="006156C0">
        <w:rPr>
          <w:i/>
          <w:iCs/>
          <w:color w:val="000000" w:themeColor="text1"/>
        </w:rPr>
        <w:t>постановляет</w:t>
      </w:r>
      <w:r w:rsidRPr="006156C0">
        <w:rPr>
          <w:color w:val="000000" w:themeColor="text1"/>
        </w:rPr>
        <w:t xml:space="preserve"> продолжить рассмотрение этого вопроса в рамках того же пункта повестки дня.</w:t>
      </w:r>
    </w:p>
    <w:p w14:paraId="1B7D9369" w14:textId="2931A7B8" w:rsidR="008122F2" w:rsidRPr="00EA3859" w:rsidRDefault="008122F2" w:rsidP="008122F2">
      <w:pPr>
        <w:pStyle w:val="SingleTxtG"/>
        <w:jc w:val="right"/>
        <w:rPr>
          <w:i/>
          <w:iCs/>
        </w:rPr>
      </w:pPr>
      <w:r>
        <w:rPr>
          <w:i/>
          <w:iCs/>
        </w:rPr>
        <w:t>49-е заседание</w:t>
      </w:r>
      <w:r>
        <w:rPr>
          <w:i/>
          <w:iCs/>
        </w:rPr>
        <w:br/>
      </w:r>
      <w:r>
        <w:rPr>
          <w:i/>
          <w:iCs/>
        </w:rPr>
        <w:t>23 марта 2021 года</w:t>
      </w:r>
    </w:p>
    <w:p w14:paraId="3B8CD353" w14:textId="14F30150" w:rsidR="008122F2" w:rsidRDefault="008122F2" w:rsidP="008122F2">
      <w:pPr>
        <w:pStyle w:val="SingleTxtG"/>
      </w:pPr>
      <w:r>
        <w:t>[Принята без голосования</w:t>
      </w:r>
      <w:r w:rsidRPr="00B97E10">
        <w:t>.</w:t>
      </w:r>
      <w:r>
        <w:t>]</w:t>
      </w:r>
    </w:p>
    <w:p w14:paraId="34B6491D" w14:textId="3B5DA28C" w:rsidR="00CB0692" w:rsidRPr="008122F2" w:rsidRDefault="008122F2" w:rsidP="008122F2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0692" w:rsidRPr="008122F2" w:rsidSect="00765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61AF5" w14:textId="77777777" w:rsidR="00862DD6" w:rsidRPr="00A312BC" w:rsidRDefault="00862DD6" w:rsidP="00A312BC"/>
  </w:endnote>
  <w:endnote w:type="continuationSeparator" w:id="0">
    <w:p w14:paraId="739A37D9" w14:textId="77777777" w:rsidR="00862DD6" w:rsidRPr="00A312BC" w:rsidRDefault="00862D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043A" w14:textId="28245374" w:rsidR="00765FF0" w:rsidRPr="00765FF0" w:rsidRDefault="00765FF0">
    <w:pPr>
      <w:pStyle w:val="a8"/>
    </w:pPr>
    <w:r w:rsidRPr="00765FF0">
      <w:rPr>
        <w:b/>
        <w:sz w:val="18"/>
      </w:rPr>
      <w:fldChar w:fldCharType="begin"/>
    </w:r>
    <w:r w:rsidRPr="00765FF0">
      <w:rPr>
        <w:b/>
        <w:sz w:val="18"/>
      </w:rPr>
      <w:instrText xml:space="preserve"> PAGE  \* MERGEFORMAT </w:instrText>
    </w:r>
    <w:r w:rsidRPr="00765FF0">
      <w:rPr>
        <w:b/>
        <w:sz w:val="18"/>
      </w:rPr>
      <w:fldChar w:fldCharType="separate"/>
    </w:r>
    <w:r w:rsidRPr="00765FF0">
      <w:rPr>
        <w:b/>
        <w:noProof/>
        <w:sz w:val="18"/>
      </w:rPr>
      <w:t>2</w:t>
    </w:r>
    <w:r w:rsidRPr="00765FF0">
      <w:rPr>
        <w:b/>
        <w:sz w:val="18"/>
      </w:rPr>
      <w:fldChar w:fldCharType="end"/>
    </w:r>
    <w:r>
      <w:rPr>
        <w:b/>
        <w:sz w:val="18"/>
      </w:rPr>
      <w:tab/>
    </w:r>
    <w:r>
      <w:t>GE.21-04301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B94D3" w14:textId="6D41AEEE" w:rsidR="00765FF0" w:rsidRPr="00765FF0" w:rsidRDefault="00765FF0" w:rsidP="00765FF0">
    <w:pPr>
      <w:pStyle w:val="a8"/>
      <w:tabs>
        <w:tab w:val="clear" w:pos="9639"/>
        <w:tab w:val="right" w:pos="9638"/>
      </w:tabs>
      <w:rPr>
        <w:b/>
        <w:sz w:val="18"/>
      </w:rPr>
    </w:pPr>
    <w:r>
      <w:t>GE.21-04301</w:t>
    </w:r>
    <w:r>
      <w:tab/>
    </w:r>
    <w:r w:rsidRPr="00765FF0">
      <w:rPr>
        <w:b/>
        <w:sz w:val="18"/>
      </w:rPr>
      <w:fldChar w:fldCharType="begin"/>
    </w:r>
    <w:r w:rsidRPr="00765FF0">
      <w:rPr>
        <w:b/>
        <w:sz w:val="18"/>
      </w:rPr>
      <w:instrText xml:space="preserve"> PAGE  \* MERGEFORMAT </w:instrText>
    </w:r>
    <w:r w:rsidRPr="00765FF0">
      <w:rPr>
        <w:b/>
        <w:sz w:val="18"/>
      </w:rPr>
      <w:fldChar w:fldCharType="separate"/>
    </w:r>
    <w:r w:rsidRPr="00765FF0">
      <w:rPr>
        <w:b/>
        <w:noProof/>
        <w:sz w:val="18"/>
      </w:rPr>
      <w:t>3</w:t>
    </w:r>
    <w:r w:rsidRPr="00765F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D466" w14:textId="616446AB" w:rsidR="00042B72" w:rsidRPr="00765FF0" w:rsidRDefault="00765FF0" w:rsidP="00765FF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52F935" wp14:editId="3D3CB2B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21-04301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49D82B" wp14:editId="5A3B02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190421  200421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85B1E" w14:textId="77777777" w:rsidR="00862DD6" w:rsidRPr="001075E9" w:rsidRDefault="00862D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4A1928" w14:textId="77777777" w:rsidR="00862DD6" w:rsidRDefault="00862D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88DBC9" w14:textId="77777777" w:rsidR="008122F2" w:rsidRPr="00847E47" w:rsidRDefault="008122F2" w:rsidP="008122F2">
      <w:pPr>
        <w:pStyle w:val="ad"/>
        <w:rPr>
          <w:lang w:val="en-US"/>
        </w:rPr>
      </w:pPr>
      <w:r>
        <w:tab/>
      </w:r>
      <w:r w:rsidRPr="0099711C">
        <w:rPr>
          <w:rStyle w:val="aa"/>
        </w:rPr>
        <w:footnoteRef/>
      </w:r>
      <w:r w:rsidRPr="00430F41">
        <w:rPr>
          <w:lang w:val="en-US"/>
        </w:rPr>
        <w:t xml:space="preserve"> </w:t>
      </w:r>
      <w:r w:rsidRPr="00430F41">
        <w:rPr>
          <w:lang w:val="en-US"/>
        </w:rPr>
        <w:tab/>
        <w:t xml:space="preserve">A/HRC/27/37 </w:t>
      </w:r>
      <w:r>
        <w:t>и</w:t>
      </w:r>
      <w:r w:rsidRPr="00430F41">
        <w:rPr>
          <w:lang w:val="en-US"/>
        </w:rPr>
        <w:t xml:space="preserve"> A/HRC/39/29.</w:t>
      </w:r>
    </w:p>
  </w:footnote>
  <w:footnote w:id="2">
    <w:p w14:paraId="50647B45" w14:textId="77777777" w:rsidR="008122F2" w:rsidRPr="00847E47" w:rsidRDefault="008122F2" w:rsidP="008122F2">
      <w:pPr>
        <w:pStyle w:val="ad"/>
        <w:rPr>
          <w:lang w:val="en-US"/>
        </w:rPr>
      </w:pPr>
      <w:r w:rsidRPr="00430F41">
        <w:rPr>
          <w:lang w:val="en-US"/>
        </w:rPr>
        <w:tab/>
      </w:r>
      <w:r w:rsidRPr="0099711C">
        <w:rPr>
          <w:rStyle w:val="aa"/>
        </w:rPr>
        <w:footnoteRef/>
      </w:r>
      <w:r w:rsidRPr="00430F41">
        <w:rPr>
          <w:lang w:val="en-US"/>
        </w:rPr>
        <w:t xml:space="preserve"> </w:t>
      </w:r>
      <w:r w:rsidRPr="00430F41">
        <w:rPr>
          <w:lang w:val="en-US"/>
        </w:rPr>
        <w:tab/>
        <w:t>A/HRC/44/24.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A7F57" w14:textId="2CF406A3" w:rsidR="00765FF0" w:rsidRPr="00765FF0" w:rsidRDefault="00765FF0">
    <w:pPr>
      <w:pStyle w:val="a5"/>
    </w:pPr>
    <w:fldSimple w:instr=" TITLE  \* MERGEFORMAT ">
      <w:r>
        <w:t>A/HRC/RES/46/16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A218" w14:textId="3B274F46" w:rsidR="00765FF0" w:rsidRPr="00765FF0" w:rsidRDefault="00765FF0" w:rsidP="00765FF0">
    <w:pPr>
      <w:pStyle w:val="a5"/>
      <w:jc w:val="right"/>
    </w:pPr>
    <w:fldSimple w:instr=" TITLE  \* MERGEFORMAT ">
      <w:r>
        <w:t>A/HRC/RES/46/16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537A" w14:textId="77777777" w:rsidR="00765FF0" w:rsidRDefault="00765FF0" w:rsidP="00765FF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D6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D12EB"/>
    <w:rsid w:val="00215B92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65FF0"/>
    <w:rsid w:val="00782C09"/>
    <w:rsid w:val="007D3BD5"/>
    <w:rsid w:val="007D5A02"/>
    <w:rsid w:val="008122F2"/>
    <w:rsid w:val="00825F8D"/>
    <w:rsid w:val="00834B71"/>
    <w:rsid w:val="00862DD6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2672"/>
    <w:rsid w:val="00CE5A1A"/>
    <w:rsid w:val="00CF55F6"/>
    <w:rsid w:val="00D33D63"/>
    <w:rsid w:val="00D6097E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27CD5"/>
    <w:rsid w:val="00F43903"/>
    <w:rsid w:val="00F525B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1FB0F5"/>
  <w15:docId w15:val="{8AE1118F-CD8B-40F9-9B05-DA3B2FF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3</Pages>
  <Words>918</Words>
  <Characters>6106</Characters>
  <Application>Microsoft Office Word</Application>
  <DocSecurity>0</DocSecurity>
  <Lines>678</Lines>
  <Paragraphs>292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A/HRC/RES/46/16</dc:title>
  <dc:subject/>
  <dc:creator>Olga OVTCHINNIKOVA</dc:creator>
  <cp:keywords/>
  <cp:lastModifiedBy>Olga Ovchinnikova</cp:lastModifiedBy>
  <cp:revision>2</cp:revision>
  <cp:lastPrinted>2008-01-15T07:58:00Z</cp:lastPrinted>
  <dcterms:created xsi:type="dcterms:W3CDTF">2021-04-20T15:08:00Z</dcterms:created>
  <dcterms:modified xsi:type="dcterms:W3CDTF">2021-04-20T15:08:00Z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