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B355FDF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8BC142" w14:textId="77777777" w:rsidR="002D5AAC" w:rsidRDefault="002D5AAC" w:rsidP="003466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81CD2E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EA92D23" w14:textId="0AF38E16" w:rsidR="002D5AAC" w:rsidRDefault="003466A0" w:rsidP="003466A0">
            <w:pPr>
              <w:jc w:val="right"/>
            </w:pPr>
            <w:r w:rsidRPr="003466A0">
              <w:rPr>
                <w:sz w:val="40"/>
              </w:rPr>
              <w:t>A</w:t>
            </w:r>
            <w:r>
              <w:t>/HRC/RES/46/16</w:t>
            </w:r>
          </w:p>
        </w:tc>
      </w:tr>
      <w:tr w:rsidR="002D5AAC" w14:paraId="141F9A8C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ABC4C8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FF35AA8" wp14:editId="35E9E634">
                  <wp:extent cx="714375" cy="590550"/>
                  <wp:effectExtent l="0" t="0" r="0" b="0"/>
                  <wp:docPr id="2" name="Imagen 1" descr="Naciones_Unid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A8ED2C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5D8D78D" w14:textId="77777777" w:rsidR="002D5AAC" w:rsidRDefault="003466A0" w:rsidP="0008244E">
            <w:pPr>
              <w:spacing w:before="240"/>
            </w:pPr>
            <w:r>
              <w:t>Distr. general</w:t>
            </w:r>
          </w:p>
          <w:p w14:paraId="2957616E" w14:textId="77777777" w:rsidR="003466A0" w:rsidRDefault="003466A0" w:rsidP="003466A0">
            <w:pPr>
              <w:spacing w:line="240" w:lineRule="exact"/>
            </w:pPr>
            <w:r>
              <w:t>31 de marzo de 2021</w:t>
            </w:r>
          </w:p>
          <w:p w14:paraId="1A07F5B3" w14:textId="77777777" w:rsidR="003466A0" w:rsidRDefault="003466A0" w:rsidP="003466A0">
            <w:pPr>
              <w:spacing w:line="240" w:lineRule="exact"/>
            </w:pPr>
            <w:r>
              <w:t>Español</w:t>
            </w:r>
          </w:p>
          <w:p w14:paraId="249F7386" w14:textId="722F89A5" w:rsidR="003466A0" w:rsidRDefault="003466A0" w:rsidP="003466A0">
            <w:pPr>
              <w:spacing w:line="240" w:lineRule="exact"/>
            </w:pPr>
            <w:r>
              <w:t>Original: inglés</w:t>
            </w:r>
          </w:p>
        </w:tc>
      </w:tr>
    </w:tbl>
    <w:p w14:paraId="1FC4F7E7" w14:textId="77777777" w:rsidR="003466A0" w:rsidRPr="003466A0" w:rsidRDefault="003466A0" w:rsidP="003466A0">
      <w:pPr>
        <w:spacing w:before="120" w:line="240" w:lineRule="auto"/>
        <w:rPr>
          <w:b/>
          <w:sz w:val="24"/>
          <w:szCs w:val="24"/>
          <w:lang w:val="en-GB"/>
        </w:rPr>
      </w:pPr>
      <w:r w:rsidRPr="003466A0">
        <w:rPr>
          <w:b/>
          <w:bCs/>
          <w:sz w:val="24"/>
          <w:szCs w:val="24"/>
        </w:rPr>
        <w:t>Consejo de Derechos Humanos</w:t>
      </w:r>
    </w:p>
    <w:p w14:paraId="62671875" w14:textId="77777777" w:rsidR="003466A0" w:rsidRPr="003466A0" w:rsidRDefault="003466A0" w:rsidP="003466A0">
      <w:pPr>
        <w:spacing w:line="240" w:lineRule="auto"/>
        <w:rPr>
          <w:b/>
          <w:lang w:val="en-GB"/>
        </w:rPr>
      </w:pPr>
      <w:r w:rsidRPr="003466A0">
        <w:rPr>
          <w:b/>
          <w:bCs/>
        </w:rPr>
        <w:t>46º período de sesiones</w:t>
      </w:r>
    </w:p>
    <w:p w14:paraId="28221B8B" w14:textId="77777777" w:rsidR="003466A0" w:rsidRPr="003466A0" w:rsidRDefault="003466A0" w:rsidP="003466A0">
      <w:pPr>
        <w:spacing w:line="240" w:lineRule="auto"/>
      </w:pPr>
      <w:r w:rsidRPr="003466A0">
        <w:t>22 de febrero a 24 de marzo de 2021</w:t>
      </w:r>
    </w:p>
    <w:p w14:paraId="3F877192" w14:textId="77777777" w:rsidR="003466A0" w:rsidRPr="003466A0" w:rsidRDefault="003466A0" w:rsidP="003466A0">
      <w:pPr>
        <w:spacing w:line="240" w:lineRule="auto"/>
      </w:pPr>
      <w:r w:rsidRPr="003466A0">
        <w:t>Tema 3 de la agenda</w:t>
      </w:r>
    </w:p>
    <w:p w14:paraId="4A1CD238" w14:textId="77777777" w:rsidR="003466A0" w:rsidRPr="003466A0" w:rsidRDefault="003466A0" w:rsidP="003466A0">
      <w:pPr>
        <w:spacing w:line="240" w:lineRule="auto"/>
        <w:rPr>
          <w:b/>
          <w:bCs/>
        </w:rPr>
      </w:pPr>
      <w:r w:rsidRPr="003466A0">
        <w:rPr>
          <w:b/>
          <w:bCs/>
        </w:rPr>
        <w:t xml:space="preserve">Promoción y protección de todos los derechos humanos, </w:t>
      </w:r>
    </w:p>
    <w:p w14:paraId="4EB98290" w14:textId="77777777" w:rsidR="003466A0" w:rsidRPr="003466A0" w:rsidRDefault="003466A0" w:rsidP="003466A0">
      <w:pPr>
        <w:spacing w:line="240" w:lineRule="auto"/>
        <w:rPr>
          <w:b/>
          <w:bCs/>
        </w:rPr>
      </w:pPr>
      <w:r w:rsidRPr="003466A0">
        <w:rPr>
          <w:b/>
          <w:bCs/>
        </w:rPr>
        <w:t xml:space="preserve">civiles, políticos, económicos, sociales y culturales, </w:t>
      </w:r>
    </w:p>
    <w:p w14:paraId="3DD2AE72" w14:textId="77777777" w:rsidR="003466A0" w:rsidRPr="003466A0" w:rsidRDefault="003466A0" w:rsidP="003466A0">
      <w:pPr>
        <w:spacing w:line="240" w:lineRule="auto"/>
        <w:rPr>
          <w:b/>
        </w:rPr>
      </w:pPr>
      <w:r w:rsidRPr="003466A0">
        <w:rPr>
          <w:b/>
          <w:bCs/>
        </w:rPr>
        <w:t>incluido el derecho al desarrollo</w:t>
      </w:r>
    </w:p>
    <w:p w14:paraId="567B26FA" w14:textId="2DBB508E" w:rsidR="003466A0" w:rsidRPr="003466A0" w:rsidRDefault="003466A0" w:rsidP="003466A0">
      <w:pPr>
        <w:pStyle w:val="HChG"/>
      </w:pPr>
      <w:r>
        <w:tab/>
      </w:r>
      <w:r w:rsidRPr="003466A0">
        <w:tab/>
        <w:t>Resolución aprobada por el Consejo de Derechos Humanos el</w:t>
      </w:r>
      <w:r>
        <w:t> </w:t>
      </w:r>
      <w:r w:rsidRPr="003466A0">
        <w:t>23 de marzo de 2021</w:t>
      </w:r>
    </w:p>
    <w:p w14:paraId="4D931D4F" w14:textId="667197F6" w:rsidR="003466A0" w:rsidRPr="003466A0" w:rsidRDefault="003466A0" w:rsidP="003466A0">
      <w:pPr>
        <w:pStyle w:val="H1G"/>
      </w:pPr>
      <w:r>
        <w:tab/>
      </w:r>
      <w:r w:rsidRPr="003466A0">
        <w:t>46/16</w:t>
      </w:r>
      <w:r>
        <w:t>.</w:t>
      </w:r>
      <w:r w:rsidRPr="003466A0">
        <w:tab/>
        <w:t>Mandato del Relator Especial sobre el derecho a la privacidad</w:t>
      </w:r>
    </w:p>
    <w:p w14:paraId="1FD84D66" w14:textId="77777777" w:rsidR="003466A0" w:rsidRPr="003466A0" w:rsidRDefault="003466A0" w:rsidP="003466A0">
      <w:pPr>
        <w:pStyle w:val="SingleTxtG"/>
      </w:pPr>
      <w:r w:rsidRPr="003466A0">
        <w:tab/>
      </w:r>
      <w:r w:rsidRPr="003466A0">
        <w:rPr>
          <w:i/>
        </w:rPr>
        <w:t>El Consejo de Derechos Humanos</w:t>
      </w:r>
      <w:r w:rsidRPr="003466A0">
        <w:t>,</w:t>
      </w:r>
    </w:p>
    <w:p w14:paraId="481DF288" w14:textId="77777777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>Guiado</w:t>
      </w:r>
      <w:r w:rsidRPr="003466A0">
        <w:t xml:space="preserve"> por los propósitos y principios de la Carta de las Naciones Unidas,</w:t>
      </w:r>
    </w:p>
    <w:p w14:paraId="3FEE3940" w14:textId="77777777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>Reafirmando</w:t>
      </w:r>
      <w:r w:rsidRPr="003466A0">
        <w:t xml:space="preserve"> los derechos humanos y las libertades fundamentales consagrados en la Declaración Universal de Derechos Humanos, el Pacto Internacional de Derechos Civiles y Políticos, el Pacto Internacional de Derechos Económicos, Sociales y Culturales, la Convención sobre la Eliminación de Todas las Formas de Discriminación contra la Mujer, la Convención sobre los Derechos del Niño y la Convención sobre los Derechos de las Personas con Discapacidad,</w:t>
      </w:r>
    </w:p>
    <w:p w14:paraId="31173108" w14:textId="77777777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>Recordando</w:t>
      </w:r>
      <w:r w:rsidRPr="003466A0">
        <w:t xml:space="preserve"> todas las resoluciones anteriores aprobadas por la Asamblea General y el Consejo de Derechos Humanos relativas al derecho a la privacidad en la era digital, y otras resoluciones pertinentes, incluidas las relativas a la promoción, protección y disfrute de los derechos humanos en Internet y a las tecnologías digitales nuevas y emergentes y los derechos humanos,</w:t>
      </w:r>
    </w:p>
    <w:p w14:paraId="61C0BF25" w14:textId="2EDFAAA2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>Recordando también</w:t>
      </w:r>
      <w:r w:rsidRPr="003466A0">
        <w:t xml:space="preserve"> que las empresas tienen la responsabilidad de respetar los derechos humanos establecidos en los Principios Rectores sobre las Empresas y los Derechos Humanos: Puesta en Práctica del Marco de las Naciones Unidas para “Proteger, Respetar y Remediar”, y que la obligación y la responsabilidad primordial de promover y proteger los derechos humanos y las libertades fundamentales incumben al Estado,</w:t>
      </w:r>
    </w:p>
    <w:p w14:paraId="3A71D3F8" w14:textId="08A5312B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 xml:space="preserve">Acogiendo con beneplácito </w:t>
      </w:r>
      <w:r w:rsidRPr="003466A0">
        <w:t>la labor de la Oficina del Alto Comisionado de las Naciones Unidas para los Derechos Humanos sobre el derecho a la privacidad en la era digital, y recordando con reconocimiento sus informes al respecto</w:t>
      </w:r>
      <w:r>
        <w:rPr>
          <w:rStyle w:val="Refdenotaalpie"/>
        </w:rPr>
        <w:footnoteReference w:id="1"/>
      </w:r>
      <w:r w:rsidRPr="003466A0">
        <w:t xml:space="preserve"> y el informe del Alto Comisionado sobre el impacto de las nuevas tecnologías en la promoción y protección de los derechos humanos en el contexto de las reuniones, incluidas las protestas pacíficas</w:t>
      </w:r>
      <w:r>
        <w:rPr>
          <w:rStyle w:val="Refdenotaalpie"/>
        </w:rPr>
        <w:footnoteReference w:id="2"/>
      </w:r>
      <w:r w:rsidRPr="003466A0">
        <w:t>,</w:t>
      </w:r>
    </w:p>
    <w:p w14:paraId="3BDDAFA7" w14:textId="77777777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>Reconociendo</w:t>
      </w:r>
      <w:r w:rsidRPr="003466A0">
        <w:t xml:space="preserve"> la creciente repercusión que las tecnologías nuevas y emergentes, como las surgidas en el ámbito de la vigilancia, la inteligencia artificial, la adopción automatizada de decisiones y el aprendizaje automático, así como la elaboración de perfiles, el rastreo y la </w:t>
      </w:r>
      <w:r w:rsidRPr="003466A0">
        <w:lastRenderedPageBreak/>
        <w:t>biometría, incluido el reconocimiento facial, tienen cuando no cuentan con las salvaguardas debidas en el disfrute del derecho a la privacidad y otros derechos humanos,</w:t>
      </w:r>
    </w:p>
    <w:p w14:paraId="42A87C59" w14:textId="77777777" w:rsidR="003466A0" w:rsidRPr="003466A0" w:rsidRDefault="003466A0" w:rsidP="003466A0">
      <w:pPr>
        <w:pStyle w:val="SingleTxtG"/>
      </w:pPr>
      <w:r w:rsidRPr="003466A0">
        <w:rPr>
          <w:i/>
          <w:iCs/>
        </w:rPr>
        <w:tab/>
        <w:t xml:space="preserve">Recordando </w:t>
      </w:r>
      <w:r w:rsidRPr="003466A0">
        <w:t>sus resoluciones 5/1, relativa a la construcción institucional del Consejo de Derechos Humanos, y 5/2, relativa al Código de Conducta para los Titulares de Mandatos de los Procedimientos Especiales del Consejo de Derechos Humanos, de 18 de junio de 2007, y destacando que todos los titulares de mandatos deberán desempeñar sus funciones de conformidad con esas resoluciones y sus anexos,</w:t>
      </w:r>
    </w:p>
    <w:p w14:paraId="54B744A3" w14:textId="77777777" w:rsidR="003466A0" w:rsidRPr="003466A0" w:rsidRDefault="003466A0" w:rsidP="003466A0">
      <w:pPr>
        <w:pStyle w:val="SingleTxtG"/>
      </w:pPr>
      <w:r w:rsidRPr="003466A0">
        <w:tab/>
        <w:t>1.</w:t>
      </w:r>
      <w:r w:rsidRPr="003466A0">
        <w:tab/>
      </w:r>
      <w:r w:rsidRPr="003466A0">
        <w:rPr>
          <w:i/>
          <w:iCs/>
        </w:rPr>
        <w:t>Decide</w:t>
      </w:r>
      <w:r w:rsidRPr="003466A0">
        <w:t xml:space="preserve"> prorrogar el mandato del Relator Especial sobre el derecho a la privacidad por otro período de tres años, con las siguientes funciones, entre otras:</w:t>
      </w:r>
    </w:p>
    <w:p w14:paraId="15D1070C" w14:textId="77777777" w:rsidR="003466A0" w:rsidRPr="003466A0" w:rsidRDefault="003466A0" w:rsidP="001D4B0A">
      <w:pPr>
        <w:pStyle w:val="SingleTxtG"/>
      </w:pPr>
      <w:r w:rsidRPr="003466A0">
        <w:tab/>
        <w:t>a)</w:t>
      </w:r>
      <w:r w:rsidRPr="003466A0">
        <w:tab/>
        <w:t>Reunir información pertinente, entre otras cosas sobre los marcos internacionales y nacionales y las prácticas y la experiencia nacionales, estudiar las tendencias, las novedades y los retos relacionados con el derecho a la privacidad, establecido en el artículo 12 de la Declaración Universal de Derechos Humanos y el artículo 17 del Pacto Internacional de Derechos Civiles y Políticos, y formular recomendaciones para garantizar su promoción y protección, en particular en relación con los retos que plantean las tecnologías nuevas y emergentes;</w:t>
      </w:r>
    </w:p>
    <w:p w14:paraId="0F080512" w14:textId="77777777" w:rsidR="003466A0" w:rsidRPr="003466A0" w:rsidRDefault="003466A0" w:rsidP="001D4B0A">
      <w:pPr>
        <w:pStyle w:val="SingleTxtG"/>
      </w:pPr>
      <w:r w:rsidRPr="003466A0">
        <w:tab/>
        <w:t>b)</w:t>
      </w:r>
      <w:r w:rsidRPr="003466A0">
        <w:tab/>
        <w:t>Buscar, recibir y responder a información, evitando duplicaciones, de los Estados, los organismos, programas y fondos de las Naciones Unidas, los mecanismos regionales de derechos humanos, las instituciones nacionales de derechos humanos, las organizaciones de la sociedad civil, el sector privado, incluidas las empresas comerciales, y otros interesados o partes pertinentes;</w:t>
      </w:r>
    </w:p>
    <w:p w14:paraId="41B72F5F" w14:textId="77777777" w:rsidR="003466A0" w:rsidRPr="003466A0" w:rsidRDefault="003466A0" w:rsidP="001D4B0A">
      <w:pPr>
        <w:pStyle w:val="SingleTxtG"/>
      </w:pPr>
      <w:r w:rsidRPr="003466A0">
        <w:tab/>
        <w:t>c)</w:t>
      </w:r>
      <w:r w:rsidRPr="003466A0">
        <w:tab/>
        <w:t>Determinar posibles obstáculos a la promoción y protección del derecho a la privacidad, determinar, intercambiar y promover principios y mejores prácticas a nivel nacional, regional e internacional, y presentar propuestas y recomendaciones al Consejo de Derechos Humanos a ese respecto, entre otras cosas en relación con retos concretos de la era digital y de las fases de concepción, desarrollo y despliegue de las tecnologías nuevas y emergentes;</w:t>
      </w:r>
    </w:p>
    <w:p w14:paraId="2BA13351" w14:textId="77777777" w:rsidR="003466A0" w:rsidRPr="003466A0" w:rsidRDefault="003466A0" w:rsidP="001D4B0A">
      <w:pPr>
        <w:pStyle w:val="SingleTxtG"/>
      </w:pPr>
      <w:r w:rsidRPr="003466A0">
        <w:tab/>
        <w:t>d)</w:t>
      </w:r>
      <w:r w:rsidRPr="003466A0">
        <w:tab/>
        <w:t>Participar y hacer contribuciones en las conferencias y reuniones internacionales pertinentes, con el fin de promover un enfoque sistemático y coherente de las cuestiones inherentes al mandato;</w:t>
      </w:r>
    </w:p>
    <w:p w14:paraId="623A822A" w14:textId="77777777" w:rsidR="003466A0" w:rsidRPr="003466A0" w:rsidRDefault="003466A0" w:rsidP="001D4B0A">
      <w:pPr>
        <w:pStyle w:val="SingleTxtG"/>
      </w:pPr>
      <w:r w:rsidRPr="003466A0">
        <w:tab/>
        <w:t>e)</w:t>
      </w:r>
      <w:r w:rsidRPr="003466A0">
        <w:tab/>
        <w:t>Concienciar acerca de la importancia de promover y proteger el derecho a la privacidad, entre otras cosas en relación con los retos concretos de la era digital, así como acerca de la importancia de proporcionar a las personas cuyo derecho a la privacidad haya sido vulnerado un recurso efectivo acorde con las obligaciones internacionales de derechos humanos;</w:t>
      </w:r>
    </w:p>
    <w:p w14:paraId="79A079FE" w14:textId="77777777" w:rsidR="003466A0" w:rsidRPr="003466A0" w:rsidRDefault="003466A0" w:rsidP="001D4B0A">
      <w:pPr>
        <w:pStyle w:val="SingleTxtG"/>
      </w:pPr>
      <w:r w:rsidRPr="003466A0">
        <w:tab/>
        <w:t>f)</w:t>
      </w:r>
      <w:r w:rsidRPr="003466A0">
        <w:tab/>
        <w:t>Incorporar una perspectiva de género y el principio de no discriminación en todas las actividades del mandato;</w:t>
      </w:r>
    </w:p>
    <w:p w14:paraId="1C750554" w14:textId="77777777" w:rsidR="003466A0" w:rsidRPr="003466A0" w:rsidRDefault="003466A0" w:rsidP="001D4B0A">
      <w:pPr>
        <w:pStyle w:val="SingleTxtG"/>
      </w:pPr>
      <w:r w:rsidRPr="003466A0">
        <w:tab/>
        <w:t>g)</w:t>
      </w:r>
      <w:r w:rsidRPr="003466A0">
        <w:tab/>
        <w:t>Denunciar las presuntas violaciones, dondequiera que tengan lugar, del derecho a la privacidad establecido en el artículo 12 de la Declaración Universal de Derechos Humanos y el artículo 17 del Pacto Internacional de Derechos Civiles y Políticos, en particular en relación con los retos que plantean las tecnologías nuevas y emergentes, y poner en conocimiento del Consejo de Derechos Humanos y del Alto Comisionado de las Naciones Unidas para los Derechos Humanos las situaciones de especial gravedad;</w:t>
      </w:r>
    </w:p>
    <w:p w14:paraId="505A2B53" w14:textId="3A320056" w:rsidR="003466A0" w:rsidRPr="003466A0" w:rsidRDefault="003466A0" w:rsidP="001D4B0A">
      <w:pPr>
        <w:pStyle w:val="SingleTxtG"/>
      </w:pPr>
      <w:r w:rsidRPr="003466A0">
        <w:tab/>
        <w:t>h)</w:t>
      </w:r>
      <w:r w:rsidRPr="003466A0">
        <w:tab/>
        <w:t>Presentar al Consejo de Derechos Humanos y a la Asamblea General un informe anual</w:t>
      </w:r>
      <w:r w:rsidR="002D68E7">
        <w:t>;</w:t>
      </w:r>
    </w:p>
    <w:p w14:paraId="2E3CF7C1" w14:textId="77777777" w:rsidR="003466A0" w:rsidRPr="003466A0" w:rsidRDefault="003466A0" w:rsidP="001D4B0A">
      <w:pPr>
        <w:pStyle w:val="SingleTxtG"/>
      </w:pPr>
      <w:r w:rsidRPr="003466A0">
        <w:tab/>
        <w:t>i)</w:t>
      </w:r>
      <w:r w:rsidRPr="003466A0">
        <w:tab/>
        <w:t>Cooperar con otros titulares de mandatos de los procedimientos especiales y con el Enviado del Secretario General para la Tecnología, de conformidad con sus mandatos;</w:t>
      </w:r>
    </w:p>
    <w:p w14:paraId="73F97077" w14:textId="77777777" w:rsidR="003466A0" w:rsidRPr="003466A0" w:rsidRDefault="003466A0" w:rsidP="001D4B0A">
      <w:pPr>
        <w:pStyle w:val="SingleTxtG"/>
      </w:pPr>
      <w:r w:rsidRPr="003466A0">
        <w:tab/>
        <w:t>2.</w:t>
      </w:r>
      <w:r w:rsidRPr="003466A0">
        <w:tab/>
      </w:r>
      <w:r w:rsidRPr="003466A0">
        <w:rPr>
          <w:i/>
          <w:iCs/>
        </w:rPr>
        <w:t>Exhorta</w:t>
      </w:r>
      <w:r w:rsidRPr="003466A0">
        <w:t xml:space="preserve"> a los Estados a que colaboren plenamente con el Relator Especial y le presten asistencia en el desempeño de su mandato, entre otras cosas proporcionándole toda la información necesaria que solicite, a que respondan con prontitud a sus llamamientos urgentes y demás comunicaciones, y a que den una respuesta favorable a las solicitudes que les dirija para visitar sus países y a que consideren la posibilidad de aplicar las recomendaciones que formule en sus informes;</w:t>
      </w:r>
    </w:p>
    <w:p w14:paraId="435C7EC4" w14:textId="77777777" w:rsidR="003466A0" w:rsidRPr="003466A0" w:rsidRDefault="003466A0" w:rsidP="001D4B0A">
      <w:pPr>
        <w:pStyle w:val="SingleTxtG"/>
      </w:pPr>
      <w:r w:rsidRPr="003466A0">
        <w:lastRenderedPageBreak/>
        <w:tab/>
        <w:t>3.</w:t>
      </w:r>
      <w:r w:rsidRPr="003466A0">
        <w:tab/>
      </w:r>
      <w:r w:rsidRPr="003466A0">
        <w:rPr>
          <w:i/>
          <w:iCs/>
        </w:rPr>
        <w:t>Alienta</w:t>
      </w:r>
      <w:r w:rsidRPr="003466A0">
        <w:t xml:space="preserve"> a todos los interesados pertinentes, incluidos los organismos, programas y fondos de las Naciones Unidas, los mecanismos regionales de derechos humanos, las instituciones nacionales de derechos humanos, la sociedad civil y el sector privado, a que colaboren plenamente con el Relator Especial para que pueda cumplir su mandato;</w:t>
      </w:r>
    </w:p>
    <w:p w14:paraId="4E77F0A8" w14:textId="77777777" w:rsidR="003466A0" w:rsidRPr="003466A0" w:rsidRDefault="003466A0" w:rsidP="001D4B0A">
      <w:pPr>
        <w:pStyle w:val="SingleTxtG"/>
      </w:pPr>
      <w:r w:rsidRPr="003466A0">
        <w:tab/>
        <w:t>4.</w:t>
      </w:r>
      <w:r w:rsidRPr="003466A0">
        <w:tab/>
      </w:r>
      <w:r w:rsidRPr="003466A0">
        <w:rPr>
          <w:i/>
          <w:iCs/>
        </w:rPr>
        <w:t xml:space="preserve">Solicita </w:t>
      </w:r>
      <w:r w:rsidRPr="003466A0">
        <w:t>al Secretario General y al Alto Comisionado de las Naciones Unidas para los Derechos Humanos que proporcionen al Relator Especial todos los recursos humanos y financieros necesarios para el desempeño eficaz de su mandato;</w:t>
      </w:r>
    </w:p>
    <w:p w14:paraId="6A58337F" w14:textId="77777777" w:rsidR="003466A0" w:rsidRPr="003466A0" w:rsidRDefault="003466A0" w:rsidP="001D4B0A">
      <w:pPr>
        <w:pStyle w:val="SingleTxtG"/>
      </w:pPr>
      <w:r w:rsidRPr="003466A0">
        <w:tab/>
        <w:t>5.</w:t>
      </w:r>
      <w:r w:rsidRPr="003466A0">
        <w:tab/>
      </w:r>
      <w:r w:rsidRPr="003466A0">
        <w:rPr>
          <w:i/>
          <w:iCs/>
        </w:rPr>
        <w:t xml:space="preserve">Decide </w:t>
      </w:r>
      <w:r w:rsidRPr="003466A0">
        <w:t>seguir examinando la cuestión en relación con el mismo tema de la agenda.</w:t>
      </w:r>
    </w:p>
    <w:p w14:paraId="54BC8081" w14:textId="77777777" w:rsidR="003466A0" w:rsidRPr="001D4B0A" w:rsidRDefault="003466A0" w:rsidP="001D4B0A">
      <w:pPr>
        <w:pStyle w:val="SingleTxtG"/>
        <w:spacing w:after="0"/>
        <w:jc w:val="right"/>
        <w:rPr>
          <w:i/>
        </w:rPr>
      </w:pPr>
      <w:r w:rsidRPr="001D4B0A">
        <w:rPr>
          <w:i/>
        </w:rPr>
        <w:t>49ª sesión</w:t>
      </w:r>
    </w:p>
    <w:p w14:paraId="5E9AA7E2" w14:textId="77777777" w:rsidR="003466A0" w:rsidRPr="001D4B0A" w:rsidRDefault="003466A0" w:rsidP="001D4B0A">
      <w:pPr>
        <w:pStyle w:val="SingleTxtG"/>
        <w:jc w:val="right"/>
        <w:rPr>
          <w:i/>
        </w:rPr>
      </w:pPr>
      <w:r w:rsidRPr="001D4B0A">
        <w:rPr>
          <w:i/>
        </w:rPr>
        <w:t>23 de marzo de 2021</w:t>
      </w:r>
    </w:p>
    <w:p w14:paraId="6E276CD4" w14:textId="77777777" w:rsidR="003466A0" w:rsidRPr="003466A0" w:rsidRDefault="003466A0" w:rsidP="001D4B0A">
      <w:pPr>
        <w:pStyle w:val="SingleTxtG"/>
        <w:rPr>
          <w:u w:val="single"/>
        </w:rPr>
      </w:pPr>
      <w:r w:rsidRPr="003466A0">
        <w:t>[Aprobada sin votación.]</w:t>
      </w:r>
    </w:p>
    <w:p w14:paraId="0BAAC202" w14:textId="68909D11" w:rsidR="00381C24" w:rsidRPr="001D4B0A" w:rsidRDefault="001D4B0A" w:rsidP="001D4B0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D4B0A" w:rsidSect="003466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FDDA" w14:textId="77777777" w:rsidR="00F84C97" w:rsidRPr="00A312BC" w:rsidRDefault="00F84C97" w:rsidP="00A312BC">
      <w:pPr>
        <w:pStyle w:val="Piedepgina"/>
      </w:pPr>
    </w:p>
  </w:endnote>
  <w:endnote w:type="continuationSeparator" w:id="0">
    <w:p w14:paraId="70B4D32C" w14:textId="77777777" w:rsidR="00F84C97" w:rsidRPr="00A312BC" w:rsidRDefault="00F84C97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EAB9" w14:textId="34F6ED00" w:rsidR="003466A0" w:rsidRPr="003466A0" w:rsidRDefault="003466A0" w:rsidP="003466A0">
    <w:pPr>
      <w:pStyle w:val="Piedepgina"/>
      <w:tabs>
        <w:tab w:val="right" w:pos="9638"/>
      </w:tabs>
    </w:pPr>
    <w:r w:rsidRPr="003466A0">
      <w:rPr>
        <w:b/>
        <w:sz w:val="18"/>
      </w:rPr>
      <w:fldChar w:fldCharType="begin"/>
    </w:r>
    <w:r w:rsidRPr="003466A0">
      <w:rPr>
        <w:b/>
        <w:sz w:val="18"/>
      </w:rPr>
      <w:instrText xml:space="preserve"> PAGE  \* MERGEFORMAT </w:instrText>
    </w:r>
    <w:r w:rsidRPr="003466A0">
      <w:rPr>
        <w:b/>
        <w:sz w:val="18"/>
      </w:rPr>
      <w:fldChar w:fldCharType="separate"/>
    </w:r>
    <w:r w:rsidRPr="003466A0">
      <w:rPr>
        <w:b/>
        <w:noProof/>
        <w:sz w:val="18"/>
      </w:rPr>
      <w:t>2</w:t>
    </w:r>
    <w:r w:rsidRPr="003466A0">
      <w:rPr>
        <w:b/>
        <w:sz w:val="18"/>
      </w:rPr>
      <w:fldChar w:fldCharType="end"/>
    </w:r>
    <w:r>
      <w:rPr>
        <w:b/>
        <w:sz w:val="18"/>
      </w:rPr>
      <w:tab/>
    </w:r>
    <w:r>
      <w:t>GE.21-04301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3C02" w14:textId="553A309E" w:rsidR="003466A0" w:rsidRPr="003466A0" w:rsidRDefault="003466A0" w:rsidP="003466A0">
    <w:pPr>
      <w:pStyle w:val="Piedepgina"/>
      <w:tabs>
        <w:tab w:val="right" w:pos="9638"/>
      </w:tabs>
      <w:rPr>
        <w:b/>
        <w:sz w:val="18"/>
      </w:rPr>
    </w:pPr>
    <w:r>
      <w:t>GE.21-04301</w:t>
    </w:r>
    <w:r>
      <w:tab/>
    </w:r>
    <w:r w:rsidRPr="003466A0">
      <w:rPr>
        <w:b/>
        <w:sz w:val="18"/>
      </w:rPr>
      <w:fldChar w:fldCharType="begin"/>
    </w:r>
    <w:r w:rsidRPr="003466A0">
      <w:rPr>
        <w:b/>
        <w:sz w:val="18"/>
      </w:rPr>
      <w:instrText xml:space="preserve"> PAGE  \* MERGEFORMAT </w:instrText>
    </w:r>
    <w:r w:rsidRPr="003466A0">
      <w:rPr>
        <w:b/>
        <w:sz w:val="18"/>
      </w:rPr>
      <w:fldChar w:fldCharType="separate"/>
    </w:r>
    <w:r w:rsidRPr="003466A0">
      <w:rPr>
        <w:b/>
        <w:noProof/>
        <w:sz w:val="18"/>
      </w:rPr>
      <w:t>3</w:t>
    </w:r>
    <w:r w:rsidRPr="003466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9A81" w14:textId="2395D329" w:rsidR="00042B72" w:rsidRPr="003466A0" w:rsidRDefault="003466A0" w:rsidP="003466A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5349AFC2" wp14:editId="00B63CC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21-04301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A2E1DE" wp14:editId="1319AB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010421    060421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12670" w14:textId="77777777" w:rsidR="00F84C97" w:rsidRPr="001075E9" w:rsidRDefault="00F84C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529AA2" w14:textId="77777777" w:rsidR="00F84C97" w:rsidRDefault="00F84C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8551D8" w14:textId="445BE941" w:rsidR="003466A0" w:rsidRDefault="003466A0" w:rsidP="003466A0">
      <w:pPr>
        <w:pStyle w:val="Textonotapie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Refdenotaalpie"/>
        </w:rPr>
        <w:footnoteRef/>
      </w:r>
      <w:r>
        <w:tab/>
      </w:r>
      <w:r w:rsidRPr="003466A0">
        <w:t>A/HRC/27/37 y A/HRC/39/29.</w:t>
      </w:r>
    </w:p>
  </w:footnote>
  <w:footnote w:id="2">
    <w:p w14:paraId="120A551F" w14:textId="52A7C108" w:rsidR="003466A0" w:rsidRDefault="003466A0" w:rsidP="003466A0">
      <w:pPr>
        <w:pStyle w:val="Textonotapie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Refdenotaalpie"/>
        </w:rPr>
        <w:footnoteRef/>
      </w:r>
      <w:r>
        <w:tab/>
      </w:r>
      <w:r w:rsidRPr="003466A0">
        <w:t>A/HRC/44/24.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7842" w14:textId="2B9E6303" w:rsidR="003466A0" w:rsidRPr="003466A0" w:rsidRDefault="003B682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/RES/46/16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7B7F" w14:textId="72A33FEF" w:rsidR="003466A0" w:rsidRPr="003466A0" w:rsidRDefault="003B6822" w:rsidP="003466A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/RES/46/16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97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116B4"/>
    <w:rsid w:val="00180183"/>
    <w:rsid w:val="0018024D"/>
    <w:rsid w:val="0018649F"/>
    <w:rsid w:val="00196389"/>
    <w:rsid w:val="001B3EF6"/>
    <w:rsid w:val="001C7A89"/>
    <w:rsid w:val="001D4B0A"/>
    <w:rsid w:val="002A2EFC"/>
    <w:rsid w:val="002C0E18"/>
    <w:rsid w:val="002D5AAC"/>
    <w:rsid w:val="002D68E7"/>
    <w:rsid w:val="002E5067"/>
    <w:rsid w:val="002F405F"/>
    <w:rsid w:val="002F7EEC"/>
    <w:rsid w:val="00301299"/>
    <w:rsid w:val="00307FB6"/>
    <w:rsid w:val="00317339"/>
    <w:rsid w:val="00322004"/>
    <w:rsid w:val="003402C2"/>
    <w:rsid w:val="003466A0"/>
    <w:rsid w:val="00381C24"/>
    <w:rsid w:val="00392E87"/>
    <w:rsid w:val="003958D0"/>
    <w:rsid w:val="003B00E5"/>
    <w:rsid w:val="003B6822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82D57"/>
    <w:rsid w:val="009A24AC"/>
    <w:rsid w:val="00A312BC"/>
    <w:rsid w:val="00A84021"/>
    <w:rsid w:val="00A84D35"/>
    <w:rsid w:val="00A90665"/>
    <w:rsid w:val="00A917B3"/>
    <w:rsid w:val="00AB4B51"/>
    <w:rsid w:val="00B10CC7"/>
    <w:rsid w:val="00B121BD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28B5"/>
    <w:rsid w:val="00E73F76"/>
    <w:rsid w:val="00EA2C9F"/>
    <w:rsid w:val="00ED0BDA"/>
    <w:rsid w:val="00EF1360"/>
    <w:rsid w:val="00EF3220"/>
    <w:rsid w:val="00F84C9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D4AAD"/>
  <w15:docId w15:val="{A83F587F-F2FE-4187-97D9-49B32D7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paragraph" w:customStyle="1" w:styleId="ParNoG">
    <w:name w:val="_ParNo_G"/>
    <w:basedOn w:val="Normal"/>
    <w:qFormat/>
    <w:rsid w:val="001116B4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A/HRC/RES/46/16</vt:lpstr>
    </vt:vector>
  </TitlesOfParts>
  <Company>DCM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A/HRC/RES/46/16</dc:title>
  <dc:subject/>
  <dc:creator>Luz Maria URQUIZU MARROQUIN</dc:creator>
  <cp:keywords/>
  <cp:lastModifiedBy>Maria DE-LA-PLAZA</cp:lastModifiedBy>
  <cp:revision>3</cp:revision>
  <cp:lastPrinted>2021-04-06T09:33:00Z</cp:lastPrinted>
  <dcterms:created xsi:type="dcterms:W3CDTF">2021-04-06T09:33:00Z</dcterms:created>
  <dcterms:modified xsi:type="dcterms:W3CDTF">2021-04-06T09:33:00Z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