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333E01DF" w14:textId="77777777" w:rsidTr="00281242">
        <w:trPr>
          <w:trHeight w:hRule="exact" w:val="851"/>
        </w:trPr>
        <w:tc>
          <w:tcPr>
            <w:tcW w:w="1274" w:type="dxa"/>
            <w:tcBorders>
              <w:bottom w:val="single" w:sz="4" w:space="0" w:color="auto"/>
            </w:tcBorders>
            <w:shd w:val="clear" w:color="auto" w:fill="auto"/>
          </w:tcPr>
          <w:p w14:paraId="77C126DF" w14:textId="77777777" w:rsidR="006B3E27" w:rsidRPr="00BE5849" w:rsidRDefault="006B3E27" w:rsidP="005D1FE4">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47FD401B"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599138D4" w14:textId="11FC6C0C" w:rsidR="006B3E27" w:rsidRPr="009210EF" w:rsidRDefault="009210EF" w:rsidP="009210EF">
            <w:pPr>
              <w:bidi w:val="0"/>
              <w:rPr>
                <w:szCs w:val="20"/>
                <w:lang w:eastAsia="zh-TW"/>
              </w:rPr>
            </w:pPr>
            <w:r w:rsidRPr="009210EF">
              <w:rPr>
                <w:sz w:val="40"/>
                <w:szCs w:val="20"/>
                <w:lang w:eastAsia="zh-TW"/>
              </w:rPr>
              <w:t>A</w:t>
            </w:r>
            <w:r>
              <w:rPr>
                <w:szCs w:val="20"/>
                <w:lang w:eastAsia="zh-TW"/>
              </w:rPr>
              <w:t>/HRC/RES/</w:t>
            </w:r>
            <w:r w:rsidRPr="00246BE0">
              <w:rPr>
                <w:szCs w:val="20"/>
                <w:lang w:eastAsia="zh-TW"/>
              </w:rPr>
              <w:t>51</w:t>
            </w:r>
            <w:r>
              <w:rPr>
                <w:szCs w:val="20"/>
                <w:lang w:eastAsia="zh-TW"/>
              </w:rPr>
              <w:t>/</w:t>
            </w:r>
            <w:r w:rsidRPr="00246BE0">
              <w:rPr>
                <w:szCs w:val="20"/>
                <w:lang w:eastAsia="zh-TW"/>
              </w:rPr>
              <w:t>25</w:t>
            </w:r>
          </w:p>
        </w:tc>
      </w:tr>
      <w:tr w:rsidR="006B3E27" w:rsidRPr="00AC03B4" w14:paraId="03789FBD" w14:textId="77777777" w:rsidTr="00281242">
        <w:trPr>
          <w:trHeight w:hRule="exact" w:val="2835"/>
        </w:trPr>
        <w:tc>
          <w:tcPr>
            <w:tcW w:w="1274" w:type="dxa"/>
            <w:tcBorders>
              <w:top w:val="single" w:sz="4" w:space="0" w:color="auto"/>
              <w:bottom w:val="single" w:sz="12" w:space="0" w:color="auto"/>
            </w:tcBorders>
            <w:shd w:val="clear" w:color="auto" w:fill="auto"/>
          </w:tcPr>
          <w:p w14:paraId="6CDA8E38"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47B34E11" wp14:editId="44C6C08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78EDBC1" w14:textId="77777777" w:rsidR="006B3E27" w:rsidRPr="00246BE0" w:rsidRDefault="001773DB" w:rsidP="002F3D3A">
            <w:pPr>
              <w:spacing w:before="120" w:after="40" w:line="640" w:lineRule="exact"/>
              <w:ind w:left="57"/>
              <w:rPr>
                <w:b/>
                <w:bCs/>
                <w:sz w:val="50"/>
                <w:szCs w:val="50"/>
              </w:rPr>
            </w:pPr>
            <w:r w:rsidRPr="00246BE0">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3A3C5D40" w14:textId="77777777" w:rsidR="006B3E27" w:rsidRDefault="009210EF" w:rsidP="00BE5849">
            <w:pPr>
              <w:bidi w:val="0"/>
              <w:spacing w:before="240"/>
              <w:rPr>
                <w:szCs w:val="20"/>
              </w:rPr>
            </w:pPr>
            <w:r>
              <w:rPr>
                <w:szCs w:val="20"/>
              </w:rPr>
              <w:t>Distr.: General</w:t>
            </w:r>
          </w:p>
          <w:p w14:paraId="5082F8E2" w14:textId="51D8FE54" w:rsidR="009210EF" w:rsidRDefault="005F5E91" w:rsidP="009210EF">
            <w:pPr>
              <w:bidi w:val="0"/>
              <w:spacing w:line="240" w:lineRule="exact"/>
              <w:jc w:val="left"/>
              <w:rPr>
                <w:szCs w:val="20"/>
              </w:rPr>
            </w:pPr>
            <w:r w:rsidRPr="00246BE0">
              <w:rPr>
                <w:szCs w:val="20"/>
              </w:rPr>
              <w:t>11</w:t>
            </w:r>
            <w:r w:rsidRPr="00F979FC">
              <w:rPr>
                <w:szCs w:val="20"/>
              </w:rPr>
              <w:t xml:space="preserve"> October </w:t>
            </w:r>
            <w:r w:rsidR="009210EF" w:rsidRPr="00246BE0">
              <w:rPr>
                <w:szCs w:val="20"/>
              </w:rPr>
              <w:t>2022</w:t>
            </w:r>
          </w:p>
          <w:p w14:paraId="670A659A" w14:textId="77777777" w:rsidR="009210EF" w:rsidRDefault="009210EF" w:rsidP="009210EF">
            <w:pPr>
              <w:bidi w:val="0"/>
              <w:spacing w:line="240" w:lineRule="exact"/>
              <w:jc w:val="left"/>
              <w:rPr>
                <w:szCs w:val="20"/>
              </w:rPr>
            </w:pPr>
            <w:r>
              <w:rPr>
                <w:szCs w:val="20"/>
              </w:rPr>
              <w:t>Arabic</w:t>
            </w:r>
          </w:p>
          <w:p w14:paraId="5E9133AF" w14:textId="40367C1B" w:rsidR="009210EF" w:rsidRPr="009210EF" w:rsidRDefault="009210EF" w:rsidP="009210EF">
            <w:pPr>
              <w:bidi w:val="0"/>
              <w:spacing w:line="240" w:lineRule="exact"/>
              <w:jc w:val="left"/>
              <w:rPr>
                <w:szCs w:val="20"/>
              </w:rPr>
            </w:pPr>
            <w:r>
              <w:rPr>
                <w:szCs w:val="20"/>
              </w:rPr>
              <w:t>Original: English</w:t>
            </w:r>
          </w:p>
        </w:tc>
      </w:tr>
    </w:tbl>
    <w:bookmarkEnd w:id="0"/>
    <w:p w14:paraId="4594BCFF" w14:textId="77777777" w:rsidR="00FF1E99" w:rsidRPr="00246BE0" w:rsidRDefault="00F572D8" w:rsidP="00F572D8">
      <w:pPr>
        <w:pStyle w:val="SingleTxtGA"/>
        <w:spacing w:before="120" w:after="0"/>
        <w:ind w:left="0" w:right="4252"/>
        <w:jc w:val="left"/>
        <w:rPr>
          <w:b/>
          <w:bCs/>
          <w:sz w:val="26"/>
          <w:szCs w:val="26"/>
          <w:lang w:eastAsia="zh-TW"/>
        </w:rPr>
      </w:pPr>
      <w:r w:rsidRPr="00246BE0">
        <w:rPr>
          <w:rFonts w:hint="cs"/>
          <w:b/>
          <w:bCs/>
          <w:sz w:val="26"/>
          <w:szCs w:val="26"/>
          <w:rtl/>
          <w:lang w:eastAsia="zh-TW"/>
        </w:rPr>
        <w:t>مجلس حقوق الإنسان</w:t>
      </w:r>
    </w:p>
    <w:p w14:paraId="5815B939" w14:textId="77777777" w:rsidR="00635144" w:rsidRPr="00246BE0" w:rsidRDefault="00635144" w:rsidP="00635144">
      <w:pPr>
        <w:textDirection w:val="tbRlV"/>
        <w:rPr>
          <w:rFonts w:ascii="Simplified Arabic" w:hAnsi="Simplified Arabic"/>
          <w:b/>
          <w:sz w:val="22"/>
          <w:lang w:val="ar-SA" w:eastAsia="zh-TW" w:bidi="en-GB"/>
        </w:rPr>
      </w:pPr>
      <w:r w:rsidRPr="00246BE0">
        <w:rPr>
          <w:rFonts w:ascii="Simplified Arabic" w:hAnsi="Simplified Arabic"/>
          <w:b/>
          <w:bCs/>
          <w:sz w:val="22"/>
          <w:rtl/>
        </w:rPr>
        <w:t>الدورة الحادية والخمسون</w:t>
      </w:r>
    </w:p>
    <w:p w14:paraId="546FA1DD" w14:textId="77777777" w:rsidR="00635144" w:rsidRPr="007F1176" w:rsidRDefault="00635144" w:rsidP="00635144">
      <w:pPr>
        <w:textDirection w:val="tbRlV"/>
        <w:rPr>
          <w:rFonts w:ascii="Simplified Arabic" w:hAnsi="Simplified Arabic"/>
          <w:sz w:val="22"/>
          <w:lang w:val="ar-SA" w:eastAsia="zh-TW" w:bidi="en-GB"/>
        </w:rPr>
      </w:pPr>
      <w:r w:rsidRPr="00246BE0">
        <w:rPr>
          <w:rFonts w:ascii="Simplified Arabic" w:hAnsi="Simplified Arabic"/>
          <w:sz w:val="22"/>
          <w:rtl/>
        </w:rPr>
        <w:t>12</w:t>
      </w:r>
      <w:r w:rsidRPr="007F1176">
        <w:rPr>
          <w:rFonts w:ascii="Simplified Arabic" w:hAnsi="Simplified Arabic"/>
          <w:sz w:val="22"/>
          <w:rtl/>
        </w:rPr>
        <w:t xml:space="preserve"> أيلول/سبتمبر - </w:t>
      </w:r>
      <w:bookmarkStart w:id="1" w:name="_Hlk116497589"/>
      <w:r w:rsidRPr="00246BE0">
        <w:rPr>
          <w:rFonts w:ascii="Simplified Arabic" w:hAnsi="Simplified Arabic"/>
          <w:sz w:val="22"/>
          <w:rtl/>
        </w:rPr>
        <w:t>7</w:t>
      </w:r>
      <w:r w:rsidRPr="007F1176">
        <w:rPr>
          <w:rFonts w:ascii="Simplified Arabic" w:hAnsi="Simplified Arabic"/>
          <w:sz w:val="22"/>
          <w:rtl/>
        </w:rPr>
        <w:t xml:space="preserve"> تشرين الأول/أكتوبر </w:t>
      </w:r>
      <w:r w:rsidRPr="00246BE0">
        <w:rPr>
          <w:rFonts w:ascii="Simplified Arabic" w:hAnsi="Simplified Arabic"/>
          <w:sz w:val="22"/>
          <w:rtl/>
        </w:rPr>
        <w:t>2022</w:t>
      </w:r>
      <w:bookmarkEnd w:id="1"/>
    </w:p>
    <w:p w14:paraId="59A1732D" w14:textId="77777777" w:rsidR="00635144" w:rsidRPr="005F5E91" w:rsidRDefault="00635144" w:rsidP="00635144">
      <w:pPr>
        <w:textDirection w:val="tbRlV"/>
        <w:rPr>
          <w:rFonts w:ascii="Simplified Arabic" w:hAnsi="Simplified Arabic"/>
          <w:sz w:val="22"/>
          <w:lang w:eastAsia="zh-TW" w:bidi="en-GB"/>
        </w:rPr>
      </w:pPr>
      <w:r w:rsidRPr="007F1176">
        <w:rPr>
          <w:rFonts w:ascii="Simplified Arabic" w:hAnsi="Simplified Arabic"/>
          <w:sz w:val="22"/>
          <w:rtl/>
        </w:rPr>
        <w:t xml:space="preserve">البند </w:t>
      </w:r>
      <w:r w:rsidRPr="00246BE0">
        <w:rPr>
          <w:rFonts w:ascii="Simplified Arabic" w:hAnsi="Simplified Arabic"/>
          <w:sz w:val="22"/>
          <w:rtl/>
        </w:rPr>
        <w:t>4</w:t>
      </w:r>
      <w:r w:rsidRPr="007F1176">
        <w:rPr>
          <w:rFonts w:ascii="Simplified Arabic" w:hAnsi="Simplified Arabic"/>
          <w:sz w:val="22"/>
          <w:rtl/>
        </w:rPr>
        <w:t xml:space="preserve"> من جدول الأعمال</w:t>
      </w:r>
    </w:p>
    <w:p w14:paraId="21CC61A9" w14:textId="77777777" w:rsidR="00635144" w:rsidRPr="00246BE0" w:rsidRDefault="00635144" w:rsidP="00635144">
      <w:pPr>
        <w:textDirection w:val="tbRlV"/>
        <w:rPr>
          <w:rFonts w:ascii="Simplified Arabic" w:hAnsi="Simplified Arabic"/>
          <w:b/>
          <w:sz w:val="22"/>
          <w:lang w:val="ar-SA" w:eastAsia="zh-TW" w:bidi="en-GB"/>
        </w:rPr>
      </w:pPr>
      <w:r w:rsidRPr="00246BE0">
        <w:rPr>
          <w:rFonts w:ascii="Simplified Arabic" w:hAnsi="Simplified Arabic"/>
          <w:b/>
          <w:bCs/>
          <w:sz w:val="22"/>
          <w:rtl/>
        </w:rPr>
        <w:t>حالات حقوق الإنسان التي تتطلب اهتمام المجلس بها</w:t>
      </w:r>
    </w:p>
    <w:p w14:paraId="4B361823" w14:textId="07D6A24F" w:rsidR="00635144" w:rsidRPr="00246BE0" w:rsidRDefault="009F2D87" w:rsidP="009F2D87">
      <w:pPr>
        <w:pStyle w:val="HChGA"/>
        <w:rPr>
          <w:lang w:eastAsia="zh-TW"/>
        </w:rPr>
      </w:pPr>
      <w:r w:rsidRPr="00246BE0">
        <w:rPr>
          <w:rtl/>
        </w:rPr>
        <w:tab/>
      </w:r>
      <w:r w:rsidRPr="00246BE0">
        <w:rPr>
          <w:rtl/>
        </w:rPr>
        <w:tab/>
      </w:r>
      <w:r w:rsidR="00635144" w:rsidRPr="00246BE0">
        <w:rPr>
          <w:rtl/>
        </w:rPr>
        <w:t>قرار اعتمده مجلس حقوق الإنسان</w:t>
      </w:r>
      <w:r w:rsidR="00635144" w:rsidRPr="00246BE0">
        <w:rPr>
          <w:rtl/>
          <w:lang w:eastAsia="zh-TW"/>
        </w:rPr>
        <w:t xml:space="preserve"> في </w:t>
      </w:r>
      <w:r w:rsidR="00635144" w:rsidRPr="00246BE0">
        <w:rPr>
          <w:rtl/>
        </w:rPr>
        <w:t>7 تشرين الأول/أكتوبر 2022</w:t>
      </w:r>
    </w:p>
    <w:p w14:paraId="7548D439" w14:textId="65F563BA" w:rsidR="00635144" w:rsidRPr="00246BE0" w:rsidRDefault="00635144" w:rsidP="009F2D87">
      <w:pPr>
        <w:pStyle w:val="H1GA"/>
        <w:rPr>
          <w:lang w:val="ar-SA" w:eastAsia="zh-TW" w:bidi="en-GB"/>
        </w:rPr>
      </w:pPr>
      <w:r w:rsidRPr="00246BE0">
        <w:rPr>
          <w:rtl/>
        </w:rPr>
        <w:tab/>
        <w:t>51/</w:t>
      </w:r>
      <w:r w:rsidR="009F2D87" w:rsidRPr="00246BE0">
        <w:rPr>
          <w:rFonts w:hint="cs"/>
          <w:rtl/>
        </w:rPr>
        <w:t>25-</w:t>
      </w:r>
      <w:r w:rsidRPr="00246BE0">
        <w:rPr>
          <w:rtl/>
        </w:rPr>
        <w:tab/>
        <w:t>حالة حقوق الإنسان في الاتحاد الروسي</w:t>
      </w:r>
    </w:p>
    <w:p w14:paraId="060282ED" w14:textId="2CA04505" w:rsidR="00635144" w:rsidRPr="00246BE0" w:rsidRDefault="00635144" w:rsidP="009F2D87">
      <w:pPr>
        <w:pStyle w:val="SingleTxtGA"/>
        <w:rPr>
          <w:rFonts w:eastAsiaTheme="minorEastAsia"/>
          <w:i/>
          <w:iCs/>
          <w:lang w:val="ar-SA" w:eastAsia="zh-TW" w:bidi="en-GB"/>
        </w:rPr>
      </w:pPr>
      <w:r w:rsidRPr="009F2D87">
        <w:rPr>
          <w:rFonts w:eastAsiaTheme="minorEastAsia"/>
          <w:rtl/>
        </w:rPr>
        <w:tab/>
      </w:r>
      <w:r w:rsidRPr="00246BE0">
        <w:rPr>
          <w:rFonts w:eastAsiaTheme="minorEastAsia"/>
          <w:i/>
          <w:iCs/>
          <w:rtl/>
        </w:rPr>
        <w:t>إن مجلس حقوق الإنسان،</w:t>
      </w:r>
    </w:p>
    <w:p w14:paraId="29656716" w14:textId="1B8489B1" w:rsidR="00635144" w:rsidRPr="009F2D87" w:rsidRDefault="009F2D87"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إذ يسترشد</w:t>
      </w:r>
      <w:r w:rsidR="00635144" w:rsidRPr="009F2D87">
        <w:rPr>
          <w:rFonts w:eastAsiaTheme="minorEastAsia"/>
          <w:rtl/>
        </w:rPr>
        <w:t xml:space="preserve"> بمقاصد ميثاق الأمم المتحدة ومبادئه، وبأحكام الإعلان العالمي لحقوق الإنسان، وإذ يشير إلى معاهدات حقوق الإنسان الدولية ذات الصلة،</w:t>
      </w:r>
    </w:p>
    <w:p w14:paraId="3230782E" w14:textId="5B376C5E" w:rsidR="00635144" w:rsidRPr="00246BE0" w:rsidRDefault="009F2D87" w:rsidP="009F2D87">
      <w:pPr>
        <w:pStyle w:val="SingleTxtGA"/>
        <w:rPr>
          <w:rFonts w:eastAsiaTheme="minorEastAsia"/>
          <w:iCs/>
          <w:lang w:val="ar-SA" w:eastAsia="zh-TW" w:bidi="en-GB"/>
        </w:rPr>
      </w:pPr>
      <w:r w:rsidRPr="00246BE0">
        <w:rPr>
          <w:rFonts w:eastAsiaTheme="minorEastAsia"/>
          <w:i/>
          <w:iCs/>
          <w:rtl/>
        </w:rPr>
        <w:tab/>
      </w:r>
      <w:r w:rsidR="00635144" w:rsidRPr="00246BE0">
        <w:rPr>
          <w:rFonts w:eastAsiaTheme="minorEastAsia"/>
          <w:i/>
          <w:iCs/>
          <w:rtl/>
        </w:rPr>
        <w:t>وإذ يؤكد من جديد أيض</w:t>
      </w:r>
      <w:r w:rsidR="005F5E91" w:rsidRPr="00246BE0">
        <w:rPr>
          <w:rFonts w:eastAsiaTheme="minorEastAsia"/>
          <w:i/>
          <w:iCs/>
          <w:rtl/>
        </w:rPr>
        <w:t xml:space="preserve">اً </w:t>
      </w:r>
      <w:r w:rsidR="00635144" w:rsidRPr="009F2D87">
        <w:rPr>
          <w:rFonts w:eastAsiaTheme="minorEastAsia"/>
          <w:rtl/>
        </w:rPr>
        <w:t>أنه تقع على عاتق كل دولة المسؤولية الأساسية عن احترام حقوق الإنسان وحمايتها وإعمالها وفق</w:t>
      </w:r>
      <w:r w:rsidR="005F5E91">
        <w:rPr>
          <w:rFonts w:eastAsiaTheme="minorEastAsia"/>
          <w:rtl/>
        </w:rPr>
        <w:t xml:space="preserve">اً </w:t>
      </w:r>
      <w:r w:rsidR="00635144" w:rsidRPr="009F2D87">
        <w:rPr>
          <w:rFonts w:eastAsiaTheme="minorEastAsia"/>
          <w:rtl/>
        </w:rPr>
        <w:t>لالتزاماتها بموجب القانون الدولي لحقوق الإنسان،</w:t>
      </w:r>
    </w:p>
    <w:p w14:paraId="087F579A" w14:textId="754E92E3" w:rsidR="00635144" w:rsidRPr="009F2D87" w:rsidRDefault="009F2D87" w:rsidP="009F2D87">
      <w:pPr>
        <w:pStyle w:val="SingleTxtGA"/>
        <w:rPr>
          <w:rFonts w:eastAsiaTheme="minorEastAsia"/>
          <w:lang w:val="en-US" w:eastAsia="zh-TW" w:bidi="en-GB"/>
        </w:rPr>
      </w:pPr>
      <w:r w:rsidRPr="00246BE0">
        <w:rPr>
          <w:rFonts w:eastAsiaTheme="minorEastAsia"/>
          <w:i/>
          <w:iCs/>
          <w:rtl/>
        </w:rPr>
        <w:tab/>
      </w:r>
      <w:r w:rsidR="00635144" w:rsidRPr="00246BE0">
        <w:rPr>
          <w:rFonts w:eastAsiaTheme="minorEastAsia"/>
          <w:i/>
          <w:iCs/>
          <w:rtl/>
        </w:rPr>
        <w:t>وإذ يؤكد من جديد</w:t>
      </w:r>
      <w:r w:rsidR="00635144" w:rsidRPr="009F2D87">
        <w:rPr>
          <w:rFonts w:eastAsiaTheme="minorEastAsia"/>
          <w:rtl/>
        </w:rPr>
        <w:t xml:space="preserve"> </w:t>
      </w:r>
      <w:r w:rsidR="00635144" w:rsidRPr="00F979FC">
        <w:rPr>
          <w:rFonts w:eastAsiaTheme="minorEastAsia"/>
          <w:rtl/>
        </w:rPr>
        <w:t>التزامه بسيادة الاتحاد الروسي واستقلاله وسلامته الإقليمية داخل حدوده المعترف بها دولياً،</w:t>
      </w:r>
      <w:bookmarkStart w:id="2" w:name="OLE_LINK1"/>
    </w:p>
    <w:bookmarkEnd w:id="2"/>
    <w:p w14:paraId="18506F16" w14:textId="6265F7AA" w:rsidR="00635144" w:rsidRPr="009F2D87" w:rsidRDefault="009F2D87" w:rsidP="009F2D87">
      <w:pPr>
        <w:pStyle w:val="SingleTxtGA"/>
        <w:rPr>
          <w:rFonts w:eastAsiaTheme="minorEastAsia"/>
          <w:lang w:val="ar-SA" w:eastAsia="zh-TW" w:bidi="en-GB"/>
        </w:rPr>
      </w:pPr>
      <w:r>
        <w:rPr>
          <w:rFonts w:eastAsiaTheme="minorEastAsia"/>
          <w:rtl/>
        </w:rPr>
        <w:tab/>
      </w:r>
      <w:r w:rsidR="00635144" w:rsidRPr="00246BE0">
        <w:rPr>
          <w:rFonts w:eastAsiaTheme="minorEastAsia"/>
          <w:i/>
          <w:iCs/>
          <w:rtl/>
        </w:rPr>
        <w:t>وإذ يشير</w:t>
      </w:r>
      <w:r w:rsidR="00635144" w:rsidRPr="009F2D87">
        <w:rPr>
          <w:rFonts w:eastAsiaTheme="minorEastAsia"/>
          <w:rtl/>
        </w:rPr>
        <w:t xml:space="preserve"> إلى جميع البيانات ذات الصلة التي أدلى بها الأمين العام، ومفوض الأمم المتحدة السامي لحقوق الإنسان، والمفوض السامي بالنيابة، والإجراءات الخاصة لمجلس حقوق الإنسان، وهيئات المعاهدات بشأن حالة حقوق الإنسان في الاتحاد الروسي،</w:t>
      </w:r>
    </w:p>
    <w:p w14:paraId="60C2650C" w14:textId="357294D8" w:rsidR="00635144" w:rsidRPr="009F2D87" w:rsidRDefault="005F5E91" w:rsidP="009F2D87">
      <w:pPr>
        <w:pStyle w:val="SingleTxtGA"/>
        <w:rPr>
          <w:rFonts w:eastAsiaTheme="minorEastAsia"/>
          <w:lang w:val="en-US" w:eastAsia="zh-TW" w:bidi="en-GB"/>
        </w:rPr>
      </w:pPr>
      <w:bookmarkStart w:id="3" w:name="_Hlk114469801"/>
      <w:r w:rsidRPr="00246BE0">
        <w:rPr>
          <w:rFonts w:eastAsiaTheme="minorEastAsia"/>
          <w:i/>
          <w:iCs/>
          <w:rtl/>
        </w:rPr>
        <w:tab/>
      </w:r>
      <w:r w:rsidR="00635144" w:rsidRPr="00246BE0">
        <w:rPr>
          <w:rFonts w:eastAsiaTheme="minorEastAsia"/>
          <w:i/>
          <w:iCs/>
          <w:rtl/>
        </w:rPr>
        <w:t>وإذ يلاحظ مع القلق</w:t>
      </w:r>
      <w:r w:rsidR="00635144" w:rsidRPr="009F2D87">
        <w:rPr>
          <w:rFonts w:eastAsiaTheme="minorEastAsia"/>
          <w:rtl/>
        </w:rPr>
        <w:t xml:space="preserve"> النتائج التي خلص إليها التقرير الأخير لآلية موسكو التابعة لمنظمة الأمن والتعاون في أوروبا بشأن الممارسات القانونية والإدارية للاتحاد الروسي، ولا سيما استخدام السلطات الروسية للدعاية والتشريعات القمعية والعنف لتهيئة مناخ من الترهيب والتخويف للمجتمع المدني والناشطين،</w:t>
      </w:r>
      <w:r>
        <w:rPr>
          <w:rFonts w:eastAsiaTheme="minorEastAsia"/>
          <w:rtl/>
        </w:rPr>
        <w:t xml:space="preserve"> </w:t>
      </w:r>
      <w:r w:rsidR="00635144" w:rsidRPr="009F2D87">
        <w:rPr>
          <w:rFonts w:eastAsiaTheme="minorEastAsia"/>
          <w:rtl/>
        </w:rPr>
        <w:t xml:space="preserve">والصلة </w:t>
      </w:r>
      <w:r w:rsidR="00635144" w:rsidRPr="00F979FC">
        <w:rPr>
          <w:rFonts w:eastAsiaTheme="minorEastAsia"/>
          <w:rtl/>
        </w:rPr>
        <w:t>البائنة بين القمع الداخلي والحرب في الخارج، وإذ يلاحظ التوصية الواردة في التقرير بأن يعين مجلس حقوق الإنسان مقرراً خاصاً معنياً بالاتحاد الروسي،</w:t>
      </w:r>
    </w:p>
    <w:bookmarkEnd w:id="3"/>
    <w:p w14:paraId="1CAB7732" w14:textId="2CC85745" w:rsidR="00635144" w:rsidRPr="009F2D87" w:rsidRDefault="005F5E91" w:rsidP="009F2D87">
      <w:pPr>
        <w:pStyle w:val="SingleTxtGA"/>
        <w:rPr>
          <w:rFonts w:eastAsiaTheme="minorEastAsia"/>
          <w:rtl/>
          <w:lang w:val="ar-SA" w:eastAsia="zh-TW"/>
        </w:rPr>
      </w:pPr>
      <w:r w:rsidRPr="00246BE0">
        <w:rPr>
          <w:rFonts w:eastAsiaTheme="minorEastAsia"/>
          <w:i/>
          <w:iCs/>
          <w:rtl/>
        </w:rPr>
        <w:tab/>
      </w:r>
      <w:r w:rsidR="00635144" w:rsidRPr="00246BE0">
        <w:rPr>
          <w:rFonts w:eastAsiaTheme="minorEastAsia"/>
          <w:i/>
          <w:iCs/>
          <w:rtl/>
        </w:rPr>
        <w:t>وإذ يساوره بالغ القلق</w:t>
      </w:r>
      <w:r w:rsidR="00635144" w:rsidRPr="009F2D87">
        <w:rPr>
          <w:rFonts w:eastAsiaTheme="minorEastAsia"/>
          <w:rtl/>
        </w:rPr>
        <w:t xml:space="preserve"> إزاء التدهور الكبير في حالة حقوق الإنسان في الاتحاد الروسي، ولا سيما القيود الشديدة المفروضة من قبل السلطات الروسية على الحق في حرية الرأي والتعبير، والتجمع السلمي </w:t>
      </w:r>
      <w:r w:rsidR="00635144" w:rsidRPr="00F979FC">
        <w:rPr>
          <w:rFonts w:eastAsiaTheme="minorEastAsia"/>
          <w:rtl/>
        </w:rPr>
        <w:t xml:space="preserve">وتكوين الجمعيات، سواء على شبكة الإنترنت أو خارجها، مما أدى إلى شن حملات قمع منهجية ضد منظمات المجتمع المدني، والمدافعين عن حقوق الإنسان، ولا سيما المدافعات عن حقوق الإنسان، </w:t>
      </w:r>
      <w:r w:rsidR="00635144" w:rsidRPr="00F979FC">
        <w:rPr>
          <w:rFonts w:eastAsiaTheme="minorEastAsia"/>
          <w:rtl/>
        </w:rPr>
        <w:lastRenderedPageBreak/>
        <w:t>اللاتي</w:t>
      </w:r>
      <w:r w:rsidR="0070424E" w:rsidRPr="00F979FC">
        <w:rPr>
          <w:rFonts w:eastAsiaTheme="minorEastAsia" w:hint="cs"/>
          <w:rtl/>
        </w:rPr>
        <w:t> </w:t>
      </w:r>
      <w:r w:rsidR="00635144" w:rsidRPr="00F979FC">
        <w:rPr>
          <w:rFonts w:eastAsiaTheme="minorEastAsia"/>
          <w:rtl/>
        </w:rPr>
        <w:t>يواجهن تهديدات محددة قائمة على نوع الجنس، وضد وسائل الإعلام المستقلة والصحفيين والعاملين في وسائل الإعلام والمحامين والمعارضة السياسية، وتعرض منتقدي الحكومة للقتل خارج نطاق</w:t>
      </w:r>
      <w:r w:rsidR="0070424E" w:rsidRPr="00F979FC">
        <w:rPr>
          <w:rFonts w:eastAsiaTheme="minorEastAsia" w:hint="cs"/>
          <w:rtl/>
        </w:rPr>
        <w:t> </w:t>
      </w:r>
      <w:r w:rsidR="00635144" w:rsidRPr="00F979FC">
        <w:rPr>
          <w:rFonts w:eastAsiaTheme="minorEastAsia"/>
          <w:rtl/>
        </w:rPr>
        <w:t>القضاء،</w:t>
      </w:r>
    </w:p>
    <w:p w14:paraId="790879F9" w14:textId="1405546F" w:rsidR="00635144" w:rsidRPr="009F2D87" w:rsidRDefault="005F5E91"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وإذ يعرب</w:t>
      </w:r>
      <w:r w:rsidR="00635144" w:rsidRPr="009F2D87">
        <w:rPr>
          <w:rFonts w:eastAsiaTheme="minorEastAsia"/>
          <w:rtl/>
        </w:rPr>
        <w:t xml:space="preserve"> </w:t>
      </w:r>
      <w:r w:rsidR="00635144" w:rsidRPr="00246BE0">
        <w:rPr>
          <w:rFonts w:eastAsiaTheme="minorEastAsia"/>
          <w:i/>
          <w:iCs/>
          <w:rtl/>
        </w:rPr>
        <w:t>عن بالغ قلقه</w:t>
      </w:r>
      <w:r w:rsidR="00635144" w:rsidRPr="009F2D87">
        <w:rPr>
          <w:rFonts w:eastAsiaTheme="minorEastAsia"/>
          <w:rtl/>
        </w:rPr>
        <w:t xml:space="preserve"> في هذا الصدد إزاء المعلومات التي تفيد بحدوث عمليات اعتقال واحتجاز ومضايقة بصورة جماعية لممثلي المجتمع المدني، والمدافعين عن حقوق الإنسان، وممثلي المعارضة السياسية، والصحفيين وغيرهم من العاملين في وسائط الإعلام، ولا سيما النساء والأشخاص المنتمون إلى أقليات، والجماعات التي تتعرض للتمييز والتهميش وغيرهم من الأفراد الذين يمارسون حقوق الإنسان المكفولة لهم، بمن فيهم الأشخاص الذين يحتجون سلمياً ويتحدثون علن</w:t>
      </w:r>
      <w:r>
        <w:rPr>
          <w:rFonts w:eastAsiaTheme="minorEastAsia"/>
          <w:rtl/>
        </w:rPr>
        <w:t xml:space="preserve">اً </w:t>
      </w:r>
      <w:r w:rsidR="00635144" w:rsidRPr="009F2D87">
        <w:rPr>
          <w:rFonts w:eastAsiaTheme="minorEastAsia"/>
          <w:rtl/>
        </w:rPr>
        <w:t>عن تدهور حالة سيادة القانون في الاتحاد الروسي، فضلاً عن عدوان الاتحاد الروسي على أوكرانيا، والاستخدام المفرط للقوة ضد هؤلاء الأفراد، وكذلك الحرمان من الحق في المساعدة القانونية، بما في ذلك بالنسبة للمحتجزين، وحرمانهم من حقهم في محاكمة عادلة،</w:t>
      </w:r>
    </w:p>
    <w:p w14:paraId="553C4A3B" w14:textId="02209231" w:rsidR="00635144" w:rsidRPr="009F2D87" w:rsidRDefault="005F5E91"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وإذ يعرب عن قلقه</w:t>
      </w:r>
      <w:r w:rsidR="00635144" w:rsidRPr="009F2D87">
        <w:rPr>
          <w:rFonts w:eastAsiaTheme="minorEastAsia"/>
          <w:rtl/>
        </w:rPr>
        <w:t xml:space="preserve"> إزاء الإغلاق القسري الجماعي لمنظمات المجتمع المدني، بما في ذلك المركز الدولي لحقوق الإنسان </w:t>
      </w:r>
      <w:r>
        <w:rPr>
          <w:rFonts w:eastAsiaTheme="minorEastAsia"/>
          <w:rtl/>
        </w:rPr>
        <w:t>"</w:t>
      </w:r>
      <w:proofErr w:type="spellStart"/>
      <w:r w:rsidR="00635144" w:rsidRPr="009F2D87">
        <w:rPr>
          <w:rFonts w:eastAsiaTheme="minorEastAsia"/>
          <w:rtl/>
        </w:rPr>
        <w:t>ميموريال</w:t>
      </w:r>
      <w:proofErr w:type="spellEnd"/>
      <w:r>
        <w:rPr>
          <w:rFonts w:eastAsiaTheme="minorEastAsia"/>
          <w:rtl/>
        </w:rPr>
        <w:t>"</w:t>
      </w:r>
      <w:r w:rsidR="00635144" w:rsidRPr="009F2D87">
        <w:rPr>
          <w:rFonts w:eastAsiaTheme="minorEastAsia"/>
          <w:rtl/>
        </w:rPr>
        <w:t xml:space="preserve"> ومركز دعم الشعوب الأصلية في الشمال، ووسائل الإعلام المستقلة،</w:t>
      </w:r>
      <w:r>
        <w:rPr>
          <w:rFonts w:eastAsiaTheme="minorEastAsia"/>
          <w:rtl/>
        </w:rPr>
        <w:t xml:space="preserve">  </w:t>
      </w:r>
      <w:r w:rsidR="00635144" w:rsidRPr="009F2D87">
        <w:rPr>
          <w:rFonts w:eastAsiaTheme="minorEastAsia"/>
          <w:rtl/>
        </w:rPr>
        <w:t xml:space="preserve">بما في ذلك القنــوات الإذاعية والتلفزيونية ووسـائل الإعـــلام والصحـف الإلكترونية، بمــا في ذلك </w:t>
      </w:r>
      <w:r w:rsidRPr="00246BE0">
        <w:rPr>
          <w:rFonts w:eastAsiaTheme="minorEastAsia"/>
          <w:i/>
          <w:iCs/>
          <w:rtl/>
        </w:rPr>
        <w:t>"</w:t>
      </w:r>
      <w:proofErr w:type="spellStart"/>
      <w:r w:rsidR="00635144" w:rsidRPr="00246BE0">
        <w:rPr>
          <w:rFonts w:eastAsiaTheme="minorEastAsia"/>
          <w:i/>
          <w:iCs/>
          <w:rtl/>
        </w:rPr>
        <w:t>نوفايا</w:t>
      </w:r>
      <w:proofErr w:type="spellEnd"/>
      <w:r w:rsidR="00635144" w:rsidRPr="00246BE0">
        <w:rPr>
          <w:rFonts w:eastAsiaTheme="minorEastAsia"/>
          <w:i/>
          <w:iCs/>
          <w:rtl/>
        </w:rPr>
        <w:t xml:space="preserve"> غازيتا</w:t>
      </w:r>
      <w:r w:rsidRPr="00246BE0">
        <w:rPr>
          <w:rFonts w:eastAsiaTheme="minorEastAsia"/>
          <w:i/>
          <w:iCs/>
          <w:rtl/>
        </w:rPr>
        <w:t>"</w:t>
      </w:r>
      <w:r w:rsidR="00635144" w:rsidRPr="009F2D87">
        <w:rPr>
          <w:rFonts w:eastAsiaTheme="minorEastAsia"/>
          <w:rtl/>
        </w:rPr>
        <w:t xml:space="preserve"> و</w:t>
      </w:r>
      <w:r w:rsidRPr="00246BE0">
        <w:rPr>
          <w:rFonts w:eastAsiaTheme="minorEastAsia"/>
          <w:i/>
          <w:iCs/>
          <w:rtl/>
        </w:rPr>
        <w:t>"</w:t>
      </w:r>
      <w:r w:rsidR="00635144" w:rsidRPr="00246BE0">
        <w:rPr>
          <w:rFonts w:eastAsiaTheme="minorEastAsia"/>
          <w:i/>
          <w:iCs/>
          <w:rtl/>
        </w:rPr>
        <w:t>إيكو أوف موسكو</w:t>
      </w:r>
      <w:r w:rsidRPr="00246BE0">
        <w:rPr>
          <w:rFonts w:eastAsiaTheme="minorEastAsia"/>
          <w:i/>
          <w:iCs/>
          <w:rtl/>
        </w:rPr>
        <w:t>"</w:t>
      </w:r>
      <w:r w:rsidR="00635144" w:rsidRPr="009F2D87">
        <w:rPr>
          <w:rFonts w:eastAsiaTheme="minorEastAsia"/>
          <w:rtl/>
        </w:rPr>
        <w:t xml:space="preserve"> والقناة التلفزيونية</w:t>
      </w:r>
      <w:r w:rsidRPr="00246BE0">
        <w:rPr>
          <w:rFonts w:eastAsiaTheme="minorEastAsia" w:hint="cs"/>
          <w:i/>
          <w:iCs/>
          <w:rtl/>
        </w:rPr>
        <w:t xml:space="preserve"> "</w:t>
      </w:r>
      <w:proofErr w:type="spellStart"/>
      <w:r w:rsidR="00635144" w:rsidRPr="00246BE0">
        <w:rPr>
          <w:rFonts w:eastAsiaTheme="minorEastAsia"/>
          <w:i/>
          <w:iCs/>
        </w:rPr>
        <w:t>Dozhd</w:t>
      </w:r>
      <w:proofErr w:type="spellEnd"/>
      <w:r>
        <w:rPr>
          <w:rFonts w:eastAsiaTheme="minorEastAsia"/>
          <w:rtl/>
        </w:rPr>
        <w:t>"</w:t>
      </w:r>
      <w:r w:rsidR="00635144" w:rsidRPr="009F2D87">
        <w:rPr>
          <w:rFonts w:eastAsiaTheme="minorEastAsia"/>
          <w:rtl/>
        </w:rPr>
        <w:t>، وإزاء حظر وسائط الإعلام الأجنبية واستهداف السلطات الروسية للمنظمات الأجنبية عن طريق إلغاء تسجيلها، كما يعرب عن قلقه إزاء محدودية وصول المجتمع المدني الروسي</w:t>
      </w:r>
      <w:r>
        <w:rPr>
          <w:rFonts w:eastAsiaTheme="minorEastAsia"/>
          <w:rtl/>
        </w:rPr>
        <w:t xml:space="preserve"> </w:t>
      </w:r>
      <w:r w:rsidR="00635144" w:rsidRPr="009F2D87">
        <w:rPr>
          <w:rFonts w:eastAsiaTheme="minorEastAsia"/>
          <w:rtl/>
        </w:rPr>
        <w:t>للمعلومات والبنى التحتية للاتصالات، وزيادة الرقابة والتضليل</w:t>
      </w:r>
      <w:r>
        <w:rPr>
          <w:rFonts w:eastAsiaTheme="minorEastAsia" w:hint="cs"/>
          <w:rtl/>
        </w:rPr>
        <w:t> </w:t>
      </w:r>
      <w:r w:rsidR="00635144" w:rsidRPr="009F2D87">
        <w:rPr>
          <w:rFonts w:eastAsiaTheme="minorEastAsia"/>
          <w:rtl/>
        </w:rPr>
        <w:t>الإعلامي،</w:t>
      </w:r>
      <w:bookmarkStart w:id="4" w:name="OLE_LINK4"/>
      <w:bookmarkStart w:id="5" w:name="OLE_LINK5"/>
      <w:bookmarkEnd w:id="4"/>
      <w:bookmarkEnd w:id="5"/>
    </w:p>
    <w:p w14:paraId="04F88E2E" w14:textId="34C9F740" w:rsidR="00635144" w:rsidRPr="009F2D87" w:rsidRDefault="005F5E91"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وإذ يلاحظ بقلق بالغ</w:t>
      </w:r>
      <w:r w:rsidR="00635144" w:rsidRPr="009F2D87">
        <w:rPr>
          <w:rFonts w:eastAsiaTheme="minorEastAsia"/>
          <w:rtl/>
        </w:rPr>
        <w:t xml:space="preserve"> التدابير التشريعية التي تقيّد بشكل متزايد حريات التجمع السلمي، وتكوين الجمعيات والتعبير، بما في ذلك حرية التماس المعلومات وتلقيها ونقلها، سواء عبر الإنترنت أو خارجها، ولا سيما القوانين المتعلقة بما يسمى </w:t>
      </w:r>
      <w:r>
        <w:rPr>
          <w:rFonts w:eastAsiaTheme="minorEastAsia" w:hint="cs"/>
          <w:rtl/>
        </w:rPr>
        <w:t>"</w:t>
      </w:r>
      <w:r w:rsidR="00635144" w:rsidRPr="009F2D87">
        <w:rPr>
          <w:rFonts w:eastAsiaTheme="minorEastAsia"/>
          <w:rtl/>
        </w:rPr>
        <w:t>العملاء الأجانب</w:t>
      </w:r>
      <w:r>
        <w:rPr>
          <w:rFonts w:eastAsiaTheme="minorEastAsia" w:hint="cs"/>
          <w:rtl/>
        </w:rPr>
        <w:t>"</w:t>
      </w:r>
      <w:r w:rsidR="00635144" w:rsidRPr="009F2D87">
        <w:rPr>
          <w:rFonts w:eastAsiaTheme="minorEastAsia"/>
          <w:rtl/>
        </w:rPr>
        <w:t xml:space="preserve"> و</w:t>
      </w:r>
      <w:r>
        <w:rPr>
          <w:rFonts w:eastAsiaTheme="minorEastAsia" w:hint="cs"/>
          <w:rtl/>
        </w:rPr>
        <w:t>"</w:t>
      </w:r>
      <w:r w:rsidR="00635144" w:rsidRPr="009F2D87">
        <w:rPr>
          <w:rFonts w:eastAsiaTheme="minorEastAsia"/>
          <w:rtl/>
        </w:rPr>
        <w:t>التطرف</w:t>
      </w:r>
      <w:r>
        <w:rPr>
          <w:rFonts w:eastAsiaTheme="minorEastAsia" w:hint="cs"/>
          <w:rtl/>
        </w:rPr>
        <w:t>"</w:t>
      </w:r>
      <w:r w:rsidR="00635144" w:rsidRPr="009F2D87">
        <w:rPr>
          <w:rFonts w:eastAsiaTheme="minorEastAsia"/>
          <w:rtl/>
        </w:rPr>
        <w:t xml:space="preserve"> و</w:t>
      </w:r>
      <w:r>
        <w:rPr>
          <w:rFonts w:eastAsiaTheme="minorEastAsia" w:hint="cs"/>
          <w:rtl/>
        </w:rPr>
        <w:t>"</w:t>
      </w:r>
      <w:r w:rsidR="00635144" w:rsidRPr="009F2D87">
        <w:rPr>
          <w:rFonts w:eastAsiaTheme="minorEastAsia"/>
          <w:rtl/>
        </w:rPr>
        <w:t>المنظمات غير المرغوب فيها</w:t>
      </w:r>
      <w:r>
        <w:rPr>
          <w:rFonts w:eastAsiaTheme="minorEastAsia"/>
          <w:rtl/>
        </w:rPr>
        <w:t>"</w:t>
      </w:r>
      <w:r w:rsidR="00635144" w:rsidRPr="009F2D87">
        <w:rPr>
          <w:rFonts w:eastAsiaTheme="minorEastAsia"/>
          <w:rtl/>
        </w:rPr>
        <w:t xml:space="preserve">، بصيغته المعدلة، وقانون </w:t>
      </w:r>
      <w:r>
        <w:rPr>
          <w:rFonts w:eastAsiaTheme="minorEastAsia"/>
          <w:rtl/>
        </w:rPr>
        <w:t>"</w:t>
      </w:r>
      <w:r w:rsidR="00635144" w:rsidRPr="009F2D87">
        <w:rPr>
          <w:rFonts w:eastAsiaTheme="minorEastAsia"/>
          <w:rtl/>
        </w:rPr>
        <w:t>الأخبار الزائفة عن الحرب</w:t>
      </w:r>
      <w:r>
        <w:rPr>
          <w:rFonts w:eastAsiaTheme="minorEastAsia"/>
          <w:rtl/>
        </w:rPr>
        <w:t>"</w:t>
      </w:r>
      <w:r w:rsidR="00635144" w:rsidRPr="009F2D87">
        <w:rPr>
          <w:rFonts w:eastAsiaTheme="minorEastAsia"/>
          <w:rtl/>
        </w:rPr>
        <w:t xml:space="preserve">، المعتمد في </w:t>
      </w:r>
      <w:r w:rsidR="00635144" w:rsidRPr="00246BE0">
        <w:rPr>
          <w:rFonts w:eastAsiaTheme="minorEastAsia"/>
          <w:rtl/>
        </w:rPr>
        <w:t>4</w:t>
      </w:r>
      <w:r w:rsidR="00635144" w:rsidRPr="009F2D87">
        <w:rPr>
          <w:rFonts w:eastAsiaTheme="minorEastAsia"/>
          <w:rtl/>
        </w:rPr>
        <w:t xml:space="preserve"> آذار/مارس </w:t>
      </w:r>
      <w:r w:rsidR="00635144" w:rsidRPr="00246BE0">
        <w:rPr>
          <w:rFonts w:eastAsiaTheme="minorEastAsia"/>
          <w:rtl/>
        </w:rPr>
        <w:t>2022</w:t>
      </w:r>
      <w:r w:rsidR="00635144" w:rsidRPr="009F2D87">
        <w:rPr>
          <w:rFonts w:eastAsiaTheme="minorEastAsia"/>
          <w:rtl/>
        </w:rPr>
        <w:t>، الذي يعدل قانون الجرائم الإدارية والقانون الجنائي، ويتضمن حظراً عاماً على نشر المعلومات على أساس مفاهيم فضفاضة وغامضة،</w:t>
      </w:r>
    </w:p>
    <w:p w14:paraId="4E733EE5" w14:textId="751C5A63" w:rsidR="00635144" w:rsidRPr="009F2D87" w:rsidRDefault="005F5E91" w:rsidP="009F2D87">
      <w:pPr>
        <w:pStyle w:val="SingleTxtGA"/>
        <w:rPr>
          <w:rFonts w:eastAsiaTheme="minorEastAsia"/>
          <w:rtl/>
          <w:lang w:val="en-US" w:eastAsia="zh-TW"/>
        </w:rPr>
      </w:pPr>
      <w:r w:rsidRPr="00246BE0">
        <w:rPr>
          <w:rFonts w:eastAsiaTheme="minorEastAsia"/>
          <w:i/>
          <w:iCs/>
          <w:rtl/>
        </w:rPr>
        <w:tab/>
      </w:r>
      <w:r w:rsidR="00635144" w:rsidRPr="00246BE0">
        <w:rPr>
          <w:rFonts w:eastAsiaTheme="minorEastAsia"/>
          <w:i/>
          <w:iCs/>
          <w:rtl/>
        </w:rPr>
        <w:t>واقتنا</w:t>
      </w:r>
      <w:r w:rsidRPr="00246BE0">
        <w:rPr>
          <w:rFonts w:eastAsiaTheme="minorEastAsia" w:hint="cs"/>
          <w:i/>
          <w:iCs/>
          <w:rtl/>
        </w:rPr>
        <w:t>عاً</w:t>
      </w:r>
      <w:r>
        <w:rPr>
          <w:rFonts w:eastAsiaTheme="minorEastAsia" w:hint="cs"/>
          <w:rtl/>
        </w:rPr>
        <w:t xml:space="preserve"> </w:t>
      </w:r>
      <w:r w:rsidR="00635144" w:rsidRPr="009F2D87">
        <w:rPr>
          <w:rFonts w:eastAsiaTheme="minorEastAsia"/>
          <w:rtl/>
        </w:rPr>
        <w:t xml:space="preserve">منه بأن استقلال السلطة القضائية وحيادها ونزاهة نظام القضاء واستقلال المهن القانونية هي </w:t>
      </w:r>
      <w:r w:rsidR="00635144" w:rsidRPr="00F979FC">
        <w:rPr>
          <w:rFonts w:eastAsiaTheme="minorEastAsia"/>
          <w:rtl/>
        </w:rPr>
        <w:t>متطلبات أساسية لحماية حقوق الإنسان وسيادة القانون والحكم الرشيد والديمقراطية، ولكفالة عدم التمييز في إقامة العدل، وينبغي بالتالي احترامها في جميع الظروف،</w:t>
      </w:r>
      <w:r w:rsidR="00635144" w:rsidRPr="009F2D87">
        <w:rPr>
          <w:rFonts w:eastAsiaTheme="minorEastAsia"/>
          <w:rtl/>
        </w:rPr>
        <w:t xml:space="preserve"> </w:t>
      </w:r>
    </w:p>
    <w:p w14:paraId="3640BC45" w14:textId="5B2DA2F4" w:rsidR="00635144" w:rsidRPr="009F2D87" w:rsidRDefault="005F5E91"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وإذ يعرب</w:t>
      </w:r>
      <w:r w:rsidR="00635144" w:rsidRPr="009F2D87">
        <w:rPr>
          <w:rFonts w:eastAsiaTheme="minorEastAsia"/>
          <w:rtl/>
        </w:rPr>
        <w:t xml:space="preserve"> عن أسفه لأن الاتحاد الروسي أرجأ مراراً وتكراراً قيام اللجنة المعنية بحقوق الإنسان بإجراء الاستعراض المتعلق به بموجب العهد الدولي الخاص بالحقوق المدنية والسياسية،</w:t>
      </w:r>
    </w:p>
    <w:p w14:paraId="6C837E2D" w14:textId="1C71F76C" w:rsidR="00635144" w:rsidRPr="009F2D87" w:rsidRDefault="005F5E91" w:rsidP="009F2D87">
      <w:pPr>
        <w:pStyle w:val="SingleTxtGA"/>
        <w:rPr>
          <w:rFonts w:eastAsiaTheme="minorEastAsia"/>
          <w:lang w:val="ar-SA" w:eastAsia="zh-TW" w:bidi="en-GB"/>
        </w:rPr>
      </w:pPr>
      <w:r w:rsidRPr="00246BE0">
        <w:rPr>
          <w:rFonts w:eastAsiaTheme="minorEastAsia"/>
          <w:i/>
          <w:iCs/>
          <w:rtl/>
        </w:rPr>
        <w:tab/>
      </w:r>
      <w:r w:rsidR="00635144" w:rsidRPr="00246BE0">
        <w:rPr>
          <w:rFonts w:eastAsiaTheme="minorEastAsia"/>
          <w:i/>
          <w:iCs/>
          <w:rtl/>
        </w:rPr>
        <w:t>وإذ يلاحظ</w:t>
      </w:r>
      <w:r w:rsidR="00635144" w:rsidRPr="009F2D87">
        <w:rPr>
          <w:rFonts w:eastAsiaTheme="minorEastAsia"/>
          <w:rtl/>
        </w:rPr>
        <w:t xml:space="preserve"> أن الاتحاد الروسي لم يعد من الأطراف المتعاقدة السامية في الاتفاقية الأوروبية لحقوق الإنسان منذ </w:t>
      </w:r>
      <w:r w:rsidR="00635144" w:rsidRPr="00246BE0">
        <w:rPr>
          <w:rFonts w:eastAsiaTheme="minorEastAsia"/>
          <w:rtl/>
        </w:rPr>
        <w:t>16</w:t>
      </w:r>
      <w:r w:rsidR="00635144" w:rsidRPr="009F2D87">
        <w:rPr>
          <w:rFonts w:eastAsiaTheme="minorEastAsia"/>
          <w:rtl/>
        </w:rPr>
        <w:t xml:space="preserve"> أيلول/سبتمبر </w:t>
      </w:r>
      <w:r w:rsidR="00635144" w:rsidRPr="00246BE0">
        <w:rPr>
          <w:rFonts w:eastAsiaTheme="minorEastAsia"/>
          <w:rtl/>
        </w:rPr>
        <w:t>2022</w:t>
      </w:r>
      <w:r w:rsidR="00635144" w:rsidRPr="009F2D87">
        <w:rPr>
          <w:rFonts w:eastAsiaTheme="minorEastAsia"/>
          <w:rtl/>
        </w:rPr>
        <w:t xml:space="preserve">، وأن هناك </w:t>
      </w:r>
      <w:r w:rsidR="00635144" w:rsidRPr="00246BE0">
        <w:rPr>
          <w:rFonts w:eastAsiaTheme="minorEastAsia"/>
          <w:rtl/>
        </w:rPr>
        <w:t>450</w:t>
      </w:r>
      <w:r w:rsidR="00635144" w:rsidRPr="009F2D87">
        <w:rPr>
          <w:rFonts w:eastAsiaTheme="minorEastAsia"/>
          <w:rtl/>
        </w:rPr>
        <w:t xml:space="preserve"> </w:t>
      </w:r>
      <w:r w:rsidR="00635144" w:rsidRPr="00246BE0">
        <w:rPr>
          <w:rFonts w:eastAsiaTheme="minorEastAsia"/>
          <w:rtl/>
        </w:rPr>
        <w:t>17</w:t>
      </w:r>
      <w:r w:rsidR="00635144" w:rsidRPr="009F2D87">
        <w:rPr>
          <w:rFonts w:eastAsiaTheme="minorEastAsia"/>
          <w:rtl/>
        </w:rPr>
        <w:t xml:space="preserve"> دعوى ضد الاتحاد الروسي لا تزال قيد النظر أمام المحكمة الأوروبية لحقوق الإنسان،</w:t>
      </w:r>
      <w:bookmarkStart w:id="6" w:name="OLE_LINK6"/>
      <w:bookmarkEnd w:id="6"/>
    </w:p>
    <w:p w14:paraId="0B8C7FC2" w14:textId="31B589BD" w:rsidR="00635144" w:rsidRPr="005F5E91" w:rsidRDefault="005F5E91" w:rsidP="009F2D87">
      <w:pPr>
        <w:pStyle w:val="SingleTxtGA"/>
        <w:rPr>
          <w:rFonts w:eastAsiaTheme="minorEastAsia"/>
          <w:lang w:val="en-US" w:eastAsia="zh-TW" w:bidi="en-GB"/>
        </w:rPr>
      </w:pPr>
      <w:r w:rsidRPr="00190F2B">
        <w:rPr>
          <w:rFonts w:eastAsiaTheme="minorEastAsia"/>
          <w:spacing w:val="-2"/>
          <w:rtl/>
        </w:rPr>
        <w:tab/>
      </w:r>
      <w:r w:rsidR="00635144" w:rsidRPr="00246BE0">
        <w:rPr>
          <w:rFonts w:eastAsiaTheme="minorEastAsia"/>
          <w:spacing w:val="-2"/>
          <w:rtl/>
        </w:rPr>
        <w:t>1</w:t>
      </w:r>
      <w:r w:rsidR="00635144" w:rsidRPr="00190F2B">
        <w:rPr>
          <w:rFonts w:eastAsiaTheme="minorEastAsia"/>
          <w:spacing w:val="-2"/>
          <w:rtl/>
        </w:rPr>
        <w:t>-</w:t>
      </w:r>
      <w:r w:rsidR="00635144" w:rsidRPr="00190F2B">
        <w:rPr>
          <w:rFonts w:eastAsiaTheme="minorEastAsia"/>
          <w:spacing w:val="-2"/>
          <w:rtl/>
        </w:rPr>
        <w:tab/>
      </w:r>
      <w:r w:rsidR="00635144" w:rsidRPr="00246BE0">
        <w:rPr>
          <w:rFonts w:eastAsiaTheme="minorEastAsia"/>
          <w:i/>
          <w:iCs/>
          <w:spacing w:val="-2"/>
          <w:rtl/>
        </w:rPr>
        <w:t>يحث بقوة</w:t>
      </w:r>
      <w:r w:rsidR="00635144" w:rsidRPr="00190F2B">
        <w:rPr>
          <w:rFonts w:eastAsiaTheme="minorEastAsia"/>
          <w:spacing w:val="-2"/>
          <w:rtl/>
        </w:rPr>
        <w:t xml:space="preserve"> السلطات الروسية على الامتثال لجميع التزامات الدولة بموجب القانون الدولي</w:t>
      </w:r>
      <w:r w:rsidR="00635144" w:rsidRPr="009F2D87">
        <w:rPr>
          <w:rFonts w:eastAsiaTheme="minorEastAsia"/>
          <w:rtl/>
        </w:rPr>
        <w:t xml:space="preserve"> لحقوق الإنسان؛</w:t>
      </w:r>
    </w:p>
    <w:p w14:paraId="280DEF40" w14:textId="6991455D" w:rsidR="00635144" w:rsidRPr="009F2D87" w:rsidRDefault="005F5E91" w:rsidP="009F2D87">
      <w:pPr>
        <w:pStyle w:val="SingleTxtGA"/>
        <w:rPr>
          <w:rFonts w:eastAsiaTheme="minorEastAsia"/>
          <w:lang w:val="ar-SA" w:eastAsia="zh-TW" w:bidi="en-GB"/>
        </w:rPr>
      </w:pPr>
      <w:r>
        <w:rPr>
          <w:rFonts w:eastAsiaTheme="minorEastAsia"/>
          <w:rtl/>
        </w:rPr>
        <w:tab/>
      </w:r>
      <w:r w:rsidR="00635144" w:rsidRPr="00246BE0">
        <w:rPr>
          <w:rFonts w:eastAsiaTheme="minorEastAsia"/>
          <w:rtl/>
        </w:rPr>
        <w:t>2</w:t>
      </w:r>
      <w:r w:rsidR="00635144" w:rsidRPr="009F2D87">
        <w:rPr>
          <w:rFonts w:eastAsiaTheme="minorEastAsia"/>
          <w:rtl/>
        </w:rPr>
        <w:t>-</w:t>
      </w:r>
      <w:r w:rsidR="00635144" w:rsidRPr="009F2D87">
        <w:rPr>
          <w:rFonts w:eastAsiaTheme="minorEastAsia"/>
          <w:rtl/>
        </w:rPr>
        <w:tab/>
      </w:r>
      <w:r w:rsidR="00635144" w:rsidRPr="00246BE0">
        <w:rPr>
          <w:rFonts w:eastAsiaTheme="minorEastAsia"/>
          <w:i/>
          <w:iCs/>
          <w:rtl/>
        </w:rPr>
        <w:t>يدعو</w:t>
      </w:r>
      <w:r w:rsidR="00635144" w:rsidRPr="009F2D87">
        <w:rPr>
          <w:rFonts w:eastAsiaTheme="minorEastAsia"/>
          <w:rtl/>
        </w:rPr>
        <w:t xml:space="preserve"> السلطات الروسية إلى الالتزام بالحريات الأساسية للفكر والوجدان والدين أو</w:t>
      </w:r>
      <w:r>
        <w:rPr>
          <w:rFonts w:eastAsiaTheme="minorEastAsia" w:hint="cs"/>
          <w:rtl/>
        </w:rPr>
        <w:t> </w:t>
      </w:r>
      <w:r w:rsidR="00635144" w:rsidRPr="009F2D87">
        <w:rPr>
          <w:rFonts w:eastAsiaTheme="minorEastAsia"/>
          <w:rtl/>
        </w:rPr>
        <w:t xml:space="preserve">المعتقد، والرأي والتعبير، والتجمع السلمي وتكوين الجمعيات، ولا سيما عن طريق إزالة القيود المفروضة </w:t>
      </w:r>
      <w:r w:rsidR="00635144" w:rsidRPr="00190F2B">
        <w:rPr>
          <w:rFonts w:eastAsiaTheme="minorEastAsia"/>
          <w:spacing w:val="-2"/>
          <w:rtl/>
        </w:rPr>
        <w:t>على تنوع الأفكار والنقد والمعارضة، فضل</w:t>
      </w:r>
      <w:r w:rsidRPr="00190F2B">
        <w:rPr>
          <w:rFonts w:eastAsiaTheme="minorEastAsia"/>
          <w:spacing w:val="-2"/>
          <w:rtl/>
        </w:rPr>
        <w:t xml:space="preserve">اً </w:t>
      </w:r>
      <w:r w:rsidR="00635144" w:rsidRPr="00190F2B">
        <w:rPr>
          <w:rFonts w:eastAsiaTheme="minorEastAsia"/>
          <w:spacing w:val="-2"/>
          <w:rtl/>
        </w:rPr>
        <w:t>عما يرتبط بذلك من الحقوق المتعلقة بالحرية والأمن الشخصي،</w:t>
      </w:r>
      <w:r w:rsidR="00635144" w:rsidRPr="009F2D87">
        <w:rPr>
          <w:rFonts w:eastAsiaTheme="minorEastAsia"/>
          <w:rtl/>
        </w:rPr>
        <w:t xml:space="preserve"> </w:t>
      </w:r>
      <w:r w:rsidR="00635144" w:rsidRPr="009F2D87">
        <w:rPr>
          <w:rFonts w:eastAsiaTheme="minorEastAsia"/>
          <w:rtl/>
        </w:rPr>
        <w:lastRenderedPageBreak/>
        <w:t xml:space="preserve">والمحاكمة العادلة، وعدم التعرض للتعذيب وغيره من ضروب </w:t>
      </w:r>
      <w:proofErr w:type="gramStart"/>
      <w:r w:rsidR="00635144" w:rsidRPr="009F2D87">
        <w:rPr>
          <w:rFonts w:eastAsiaTheme="minorEastAsia"/>
          <w:rtl/>
        </w:rPr>
        <w:t>المعاملة</w:t>
      </w:r>
      <w:proofErr w:type="gramEnd"/>
      <w:r w:rsidR="00635144" w:rsidRPr="009F2D87">
        <w:rPr>
          <w:rFonts w:eastAsiaTheme="minorEastAsia"/>
          <w:rtl/>
        </w:rPr>
        <w:t xml:space="preserve"> أو العقوبة القاسية أو</w:t>
      </w:r>
      <w:r w:rsidR="003A6852">
        <w:rPr>
          <w:rFonts w:eastAsiaTheme="minorEastAsia" w:hint="cs"/>
          <w:rtl/>
        </w:rPr>
        <w:t> </w:t>
      </w:r>
      <w:r w:rsidR="00635144" w:rsidRPr="009F2D87">
        <w:rPr>
          <w:rFonts w:eastAsiaTheme="minorEastAsia"/>
          <w:rtl/>
        </w:rPr>
        <w:t>اللاإنسانية أو</w:t>
      </w:r>
      <w:r w:rsidR="00190F2B">
        <w:rPr>
          <w:rFonts w:eastAsiaTheme="minorEastAsia" w:hint="cs"/>
          <w:rtl/>
        </w:rPr>
        <w:t> </w:t>
      </w:r>
      <w:r w:rsidR="00635144" w:rsidRPr="009F2D87">
        <w:rPr>
          <w:rFonts w:eastAsiaTheme="minorEastAsia"/>
          <w:rtl/>
        </w:rPr>
        <w:t>المهينة للأشخاص الذين يمارسون هذه الحريات؛</w:t>
      </w:r>
    </w:p>
    <w:p w14:paraId="39A01F73" w14:textId="46B66DF4" w:rsidR="00635144" w:rsidRPr="009F2D87" w:rsidRDefault="005F5E91" w:rsidP="009F2D87">
      <w:pPr>
        <w:pStyle w:val="SingleTxtGA"/>
        <w:rPr>
          <w:rFonts w:eastAsiaTheme="minorEastAsia"/>
          <w:lang w:val="ar-SA" w:eastAsia="zh-TW" w:bidi="en-GB"/>
        </w:rPr>
      </w:pPr>
      <w:r>
        <w:rPr>
          <w:rFonts w:eastAsiaTheme="minorEastAsia"/>
          <w:rtl/>
        </w:rPr>
        <w:tab/>
      </w:r>
      <w:r w:rsidR="00635144" w:rsidRPr="00246BE0">
        <w:rPr>
          <w:rFonts w:eastAsiaTheme="minorEastAsia"/>
          <w:rtl/>
        </w:rPr>
        <w:t>3</w:t>
      </w:r>
      <w:r w:rsidR="00635144" w:rsidRPr="009F2D87">
        <w:rPr>
          <w:rFonts w:eastAsiaTheme="minorEastAsia"/>
          <w:rtl/>
        </w:rPr>
        <w:t>-</w:t>
      </w:r>
      <w:r w:rsidR="00635144" w:rsidRPr="009F2D87">
        <w:rPr>
          <w:rFonts w:eastAsiaTheme="minorEastAsia"/>
          <w:rtl/>
        </w:rPr>
        <w:tab/>
      </w:r>
      <w:r w:rsidR="00635144" w:rsidRPr="00246BE0">
        <w:rPr>
          <w:rFonts w:eastAsiaTheme="minorEastAsia"/>
          <w:i/>
          <w:iCs/>
          <w:rtl/>
        </w:rPr>
        <w:t>يقرر</w:t>
      </w:r>
      <w:r w:rsidR="00635144" w:rsidRPr="009F2D87">
        <w:rPr>
          <w:rFonts w:eastAsiaTheme="minorEastAsia"/>
          <w:rtl/>
        </w:rPr>
        <w:t xml:space="preserve"> تعيين مقرر خاص معني بحالة حقوق الإنسان في الاتحاد الروسي لمدة سنة واحدة، ويطلب إلى المكلف بهذه الولاية أن يرصد حالة حقوق الإنسان في الاتحاد الروسي، وأن يجمع المعلومات ذات الصلة من جميع الجهات المعنية ويدرسها ويقيمها، بما في ذلك المجتمع المدني الروسي داخل البلد وخارجه على السواء،</w:t>
      </w:r>
      <w:r>
        <w:rPr>
          <w:rFonts w:eastAsiaTheme="minorEastAsia"/>
          <w:rtl/>
        </w:rPr>
        <w:t xml:space="preserve"> </w:t>
      </w:r>
      <w:r w:rsidR="00635144" w:rsidRPr="009F2D87">
        <w:rPr>
          <w:rFonts w:eastAsiaTheme="minorEastAsia"/>
          <w:rtl/>
        </w:rPr>
        <w:t>وأن يضع في اعتباره الأبعاد ذات الصلة المتعلقة بالعمر ونوع الجنس والإعاقة، وأن يتعاون مع آليات الأمم المتحدة الأخرى ذات الصلة بحقوق الإنسان، ويقدم توصيات، وتقريراً شاملاً إلى مجلس حقوق الإنسان في دورته الرابعة والخمسين وإلى الجمعية العامة في دورتها الثامنة والسبعين؛</w:t>
      </w:r>
    </w:p>
    <w:p w14:paraId="4EE35744" w14:textId="16758EA6" w:rsidR="00635144" w:rsidRPr="009F2D87" w:rsidRDefault="005F5E91" w:rsidP="009F2D87">
      <w:pPr>
        <w:pStyle w:val="SingleTxtGA"/>
        <w:rPr>
          <w:rFonts w:eastAsiaTheme="minorEastAsia"/>
          <w:lang w:val="ar-SA" w:eastAsia="zh-TW" w:bidi="en-GB"/>
        </w:rPr>
      </w:pPr>
      <w:r>
        <w:rPr>
          <w:rFonts w:eastAsiaTheme="minorEastAsia"/>
          <w:rtl/>
        </w:rPr>
        <w:tab/>
      </w:r>
      <w:r w:rsidR="00635144" w:rsidRPr="00246BE0">
        <w:rPr>
          <w:rFonts w:eastAsiaTheme="minorEastAsia"/>
          <w:rtl/>
        </w:rPr>
        <w:t>4</w:t>
      </w:r>
      <w:r w:rsidR="00635144" w:rsidRPr="009F2D87">
        <w:rPr>
          <w:rFonts w:eastAsiaTheme="minorEastAsia"/>
          <w:rtl/>
        </w:rPr>
        <w:t>-</w:t>
      </w:r>
      <w:r w:rsidR="00635144" w:rsidRPr="009F2D87">
        <w:rPr>
          <w:rFonts w:eastAsiaTheme="minorEastAsia"/>
          <w:rtl/>
        </w:rPr>
        <w:tab/>
      </w:r>
      <w:r w:rsidR="00635144" w:rsidRPr="00246BE0">
        <w:rPr>
          <w:rFonts w:eastAsiaTheme="minorEastAsia"/>
          <w:i/>
          <w:iCs/>
          <w:rtl/>
        </w:rPr>
        <w:t>يدعو</w:t>
      </w:r>
      <w:r w:rsidR="00635144" w:rsidRPr="009F2D87">
        <w:rPr>
          <w:rFonts w:eastAsiaTheme="minorEastAsia"/>
          <w:rtl/>
        </w:rPr>
        <w:t xml:space="preserve"> السلطات الروسية إلى التعاون التام مع المقرر الخاص، بما في ذلك عن طريق السماح له بزيارة البلد دون عوائق والاجتماع بحرية مع الجهات المعنية، بما في ذلك المجتمع المدني والمدافعون عن حقوق الإنسان، وتزويد المكلف بالولاية بالمعلومات اللازمة للاضطلاع بولايته على النحو الواجب، كما يدعو السلطات الروسية إلى التعاون التام مع جميع المكلفين بولايات في إطار الإجراءات الخاصة، وهيئات المعاهدات ومفوضية الأمم المتحدة السامية لحقوق الإنسان، والكف عن جميع أشكال التخويف والانتقام ضد الأشخاص والجمعيات بسبب التعاون مع هذه الهيئات؛</w:t>
      </w:r>
    </w:p>
    <w:p w14:paraId="0297B967" w14:textId="29C21A3E" w:rsidR="00635144" w:rsidRPr="009F2D87" w:rsidRDefault="005F5E91" w:rsidP="009F2D87">
      <w:pPr>
        <w:pStyle w:val="SingleTxtGA"/>
        <w:rPr>
          <w:rFonts w:eastAsiaTheme="minorEastAsia"/>
          <w:rtl/>
        </w:rPr>
      </w:pPr>
      <w:r>
        <w:rPr>
          <w:rFonts w:eastAsiaTheme="minorEastAsia"/>
          <w:rtl/>
        </w:rPr>
        <w:tab/>
      </w:r>
      <w:r w:rsidR="00635144" w:rsidRPr="00246BE0">
        <w:rPr>
          <w:rFonts w:eastAsiaTheme="minorEastAsia"/>
          <w:rtl/>
        </w:rPr>
        <w:t>5</w:t>
      </w:r>
      <w:r w:rsidR="00635144" w:rsidRPr="009F2D87">
        <w:rPr>
          <w:rFonts w:eastAsiaTheme="minorEastAsia"/>
          <w:rtl/>
        </w:rPr>
        <w:t>-</w:t>
      </w:r>
      <w:r w:rsidR="00635144" w:rsidRPr="009F2D87">
        <w:rPr>
          <w:rFonts w:eastAsiaTheme="minorEastAsia"/>
          <w:rtl/>
        </w:rPr>
        <w:tab/>
      </w:r>
      <w:r w:rsidR="00635144" w:rsidRPr="00246BE0">
        <w:rPr>
          <w:rFonts w:eastAsiaTheme="minorEastAsia"/>
          <w:i/>
          <w:iCs/>
          <w:rtl/>
        </w:rPr>
        <w:t xml:space="preserve">يطلب </w:t>
      </w:r>
      <w:r w:rsidR="00635144" w:rsidRPr="009F2D87">
        <w:rPr>
          <w:rFonts w:eastAsiaTheme="minorEastAsia"/>
          <w:rtl/>
        </w:rPr>
        <w:t>إلى المفوضية السامية أن توفر للمقرر الخاص المساعدة وكافة الموارد اللازمة للاضطلاع بالولاية</w:t>
      </w:r>
      <w:r w:rsidR="00635144" w:rsidRPr="009F2D87">
        <w:rPr>
          <w:rFonts w:eastAsiaTheme="minorEastAsia"/>
          <w:rtl/>
          <w:lang w:val="en-US" w:eastAsia="zh-TW"/>
        </w:rPr>
        <w:t>.</w:t>
      </w:r>
    </w:p>
    <w:p w14:paraId="11B054E6" w14:textId="30567323" w:rsidR="00635144" w:rsidRPr="00246BE0" w:rsidRDefault="00635144" w:rsidP="009F2D87">
      <w:pPr>
        <w:pStyle w:val="SingleTxtGA"/>
        <w:bidi w:val="0"/>
        <w:spacing w:after="0"/>
        <w:rPr>
          <w:i/>
          <w:iCs/>
          <w:lang w:eastAsia="zh-TW" w:bidi="en-GB"/>
        </w:rPr>
      </w:pPr>
      <w:r w:rsidRPr="00246BE0">
        <w:rPr>
          <w:i/>
          <w:iCs/>
          <w:rtl/>
          <w:lang w:eastAsia="zh-TW"/>
        </w:rPr>
        <w:t>الجلسة</w:t>
      </w:r>
      <w:r w:rsidR="009F2D87" w:rsidRPr="00246BE0">
        <w:rPr>
          <w:i/>
          <w:iCs/>
          <w:rtl/>
          <w:lang w:eastAsia="zh-TW"/>
        </w:rPr>
        <w:t xml:space="preserve"> </w:t>
      </w:r>
      <w:r w:rsidRPr="00246BE0">
        <w:rPr>
          <w:i/>
          <w:iCs/>
          <w:rtl/>
          <w:lang w:eastAsia="zh-TW"/>
        </w:rPr>
        <w:t>42</w:t>
      </w:r>
    </w:p>
    <w:p w14:paraId="34B5C30A" w14:textId="151246FB" w:rsidR="00635144" w:rsidRPr="00246BE0" w:rsidRDefault="009F2D87" w:rsidP="009F2D87">
      <w:pPr>
        <w:pStyle w:val="SingleTxtGA"/>
        <w:jc w:val="right"/>
        <w:rPr>
          <w:rFonts w:eastAsiaTheme="minorEastAsia"/>
          <w:i/>
          <w:iCs/>
          <w:lang w:val="en-US" w:eastAsia="zh-TW" w:bidi="en-GB"/>
        </w:rPr>
      </w:pPr>
      <w:r w:rsidRPr="00246BE0">
        <w:rPr>
          <w:rFonts w:eastAsiaTheme="minorEastAsia" w:hint="cs"/>
          <w:rtl/>
          <w:lang w:val="en-US" w:eastAsia="zh-TW"/>
        </w:rPr>
        <w:t>7</w:t>
      </w:r>
      <w:r>
        <w:rPr>
          <w:rFonts w:eastAsiaTheme="minorEastAsia" w:hint="cs"/>
          <w:rtl/>
          <w:lang w:val="en-US" w:eastAsia="zh-TW"/>
        </w:rPr>
        <w:t xml:space="preserve"> تشرين الأول</w:t>
      </w:r>
      <w:r w:rsidR="00635144" w:rsidRPr="00246BE0">
        <w:rPr>
          <w:rFonts w:eastAsiaTheme="minorEastAsia"/>
          <w:i/>
          <w:iCs/>
          <w:rtl/>
          <w:lang w:val="en-US" w:eastAsia="zh-TW"/>
        </w:rPr>
        <w:t>/أكتوبر 2022</w:t>
      </w:r>
    </w:p>
    <w:p w14:paraId="3C082C0D" w14:textId="77777777" w:rsidR="00635144" w:rsidRPr="009F2D87" w:rsidRDefault="00635144" w:rsidP="009F2D87">
      <w:pPr>
        <w:pStyle w:val="SingleTxtGA"/>
        <w:rPr>
          <w:rFonts w:eastAsiaTheme="minorEastAsia"/>
          <w:lang w:val="en-US" w:eastAsia="zh-TW" w:bidi="en-GB"/>
        </w:rPr>
      </w:pPr>
      <w:r w:rsidRPr="009F2D87">
        <w:rPr>
          <w:rFonts w:eastAsiaTheme="minorEastAsia"/>
          <w:rtl/>
          <w:lang w:val="en-US" w:eastAsia="zh-TW"/>
        </w:rPr>
        <w:t xml:space="preserve">[اعتمد بتصويت مسجل، بأغلبية </w:t>
      </w:r>
      <w:r w:rsidRPr="00246BE0">
        <w:rPr>
          <w:rFonts w:eastAsiaTheme="minorEastAsia"/>
          <w:rtl/>
          <w:lang w:val="en-US" w:eastAsia="zh-TW"/>
        </w:rPr>
        <w:t>17</w:t>
      </w:r>
      <w:r w:rsidRPr="009F2D87">
        <w:rPr>
          <w:rFonts w:eastAsiaTheme="minorEastAsia"/>
          <w:rtl/>
          <w:lang w:val="en-US" w:eastAsia="zh-TW"/>
        </w:rPr>
        <w:t xml:space="preserve"> صوتاً مقابل </w:t>
      </w:r>
      <w:r w:rsidRPr="00246BE0">
        <w:rPr>
          <w:rFonts w:eastAsiaTheme="minorEastAsia"/>
          <w:rtl/>
          <w:lang w:val="en-US" w:eastAsia="zh-TW"/>
        </w:rPr>
        <w:t>6</w:t>
      </w:r>
      <w:r w:rsidRPr="009F2D87">
        <w:rPr>
          <w:rFonts w:eastAsiaTheme="minorEastAsia"/>
          <w:rtl/>
          <w:lang w:val="en-US" w:eastAsia="zh-TW"/>
        </w:rPr>
        <w:t xml:space="preserve"> أصوات، وامتناع </w:t>
      </w:r>
      <w:r w:rsidRPr="00246BE0">
        <w:rPr>
          <w:rFonts w:eastAsiaTheme="minorEastAsia"/>
          <w:rtl/>
          <w:lang w:val="en-US" w:eastAsia="zh-TW"/>
        </w:rPr>
        <w:t>24</w:t>
      </w:r>
      <w:r w:rsidRPr="009F2D87">
        <w:rPr>
          <w:rFonts w:eastAsiaTheme="minorEastAsia"/>
          <w:rtl/>
          <w:lang w:val="en-US" w:eastAsia="zh-TW"/>
        </w:rPr>
        <w:t xml:space="preserve"> عضواً عن التصويت. وكانت نتيجة التصويت كما يلي</w:t>
      </w:r>
      <w:r w:rsidRPr="009F2D87">
        <w:rPr>
          <w:rFonts w:eastAsiaTheme="minorEastAsia"/>
          <w:lang w:val="en-US" w:eastAsia="zh-TW" w:bidi="en-GB"/>
        </w:rPr>
        <w:t>:</w:t>
      </w:r>
    </w:p>
    <w:p w14:paraId="208ECB43" w14:textId="36ECAFB9" w:rsidR="00635144" w:rsidRPr="00246BE0" w:rsidRDefault="009F2D87" w:rsidP="009F2D87">
      <w:pPr>
        <w:pStyle w:val="SingleTxtGA"/>
        <w:rPr>
          <w:i/>
          <w:iCs/>
          <w:lang w:val="en-US" w:eastAsia="zh-TW" w:bidi="en-GB"/>
        </w:rPr>
      </w:pPr>
      <w:r>
        <w:rPr>
          <w:lang w:eastAsia="zh-TW"/>
        </w:rPr>
        <w:tab/>
      </w:r>
      <w:r w:rsidR="00635144" w:rsidRPr="00246BE0">
        <w:rPr>
          <w:i/>
          <w:iCs/>
          <w:rtl/>
          <w:lang w:eastAsia="zh-TW"/>
        </w:rPr>
        <w:t>المؤيدون</w:t>
      </w:r>
      <w:r w:rsidR="00635144" w:rsidRPr="009F2D87">
        <w:rPr>
          <w:lang w:eastAsia="zh-TW" w:bidi="en-GB"/>
        </w:rPr>
        <w:t>:</w:t>
      </w:r>
    </w:p>
    <w:p w14:paraId="21188955" w14:textId="77777777" w:rsidR="00635144" w:rsidRPr="009F2D87" w:rsidRDefault="00635144" w:rsidP="009F2D87">
      <w:pPr>
        <w:pStyle w:val="SingleTxtGA"/>
        <w:ind w:left="2268"/>
        <w:rPr>
          <w:rFonts w:eastAsiaTheme="minorEastAsia"/>
          <w:rtl/>
          <w:lang w:val="en-US" w:eastAsia="zh-TW"/>
        </w:rPr>
      </w:pPr>
      <w:r w:rsidRPr="009F2D87">
        <w:rPr>
          <w:rFonts w:eastAsiaTheme="minorEastAsia"/>
          <w:rtl/>
          <w:lang w:val="en-US" w:eastAsia="zh-TW"/>
        </w:rPr>
        <w:t>الأرجنتين، وألمانيا، وأوكرانيا، وباراغواي، وبولندا، وتشيكيا، والجبل الأسود، وجزر مارشال، وجمهورية كوريا، وفرنسا، وفنلندا، ولكسمبرغ، وليتوانيا، والمملكة المتحدة لبريطانيا العظمى وأيرلندا الشمالية، وهولندا، والولايات المتحدة الأمريكية، واليابان</w:t>
      </w:r>
    </w:p>
    <w:p w14:paraId="45593A00" w14:textId="77777777" w:rsidR="00635144" w:rsidRPr="00246BE0" w:rsidRDefault="00635144" w:rsidP="009F2D87">
      <w:pPr>
        <w:pStyle w:val="SingleTxtGA"/>
        <w:rPr>
          <w:rFonts w:eastAsiaTheme="minorEastAsia"/>
          <w:i/>
          <w:iCs/>
          <w:lang w:val="en-US" w:eastAsia="zh-TW" w:bidi="en-GB"/>
        </w:rPr>
      </w:pPr>
      <w:r w:rsidRPr="00246BE0">
        <w:rPr>
          <w:rFonts w:eastAsiaTheme="minorEastAsia"/>
          <w:i/>
          <w:iCs/>
          <w:rtl/>
          <w:lang w:val="en-US" w:eastAsia="zh-TW"/>
        </w:rPr>
        <w:tab/>
        <w:t>المعارضون</w:t>
      </w:r>
      <w:r w:rsidRPr="009F2D87">
        <w:rPr>
          <w:rFonts w:eastAsiaTheme="minorEastAsia"/>
          <w:lang w:val="en-US" w:eastAsia="zh-TW" w:bidi="en-GB"/>
        </w:rPr>
        <w:t>:</w:t>
      </w:r>
    </w:p>
    <w:p w14:paraId="0B12EDB7" w14:textId="77777777" w:rsidR="00635144" w:rsidRPr="009F2D87" w:rsidRDefault="00635144" w:rsidP="009F2D87">
      <w:pPr>
        <w:pStyle w:val="SingleTxtGA"/>
        <w:ind w:left="2268"/>
        <w:rPr>
          <w:rFonts w:eastAsiaTheme="minorEastAsia"/>
          <w:rtl/>
          <w:lang w:val="en-US" w:eastAsia="zh-TW"/>
        </w:rPr>
      </w:pPr>
      <w:r w:rsidRPr="009F2D87">
        <w:rPr>
          <w:rFonts w:eastAsiaTheme="minorEastAsia"/>
          <w:rtl/>
          <w:lang w:val="en-US" w:eastAsia="zh-TW"/>
        </w:rPr>
        <w:t>إريتريا، وبوليفيا (دولة - المتعددة القوميات)، والصين، وفنزويلا (جمهورية – البوليفارية)، وكازاخستان، وكوبا</w:t>
      </w:r>
    </w:p>
    <w:p w14:paraId="7036458B" w14:textId="77777777" w:rsidR="00635144" w:rsidRPr="009F2D87" w:rsidRDefault="00635144" w:rsidP="009F2D87">
      <w:pPr>
        <w:pStyle w:val="SingleTxtGA"/>
        <w:rPr>
          <w:rFonts w:eastAsiaTheme="minorEastAsia"/>
          <w:rtl/>
          <w:lang w:val="en-US" w:eastAsia="zh-TW" w:bidi="en-GB"/>
        </w:rPr>
      </w:pPr>
      <w:r w:rsidRPr="009F2D87">
        <w:rPr>
          <w:rFonts w:eastAsiaTheme="minorEastAsia"/>
          <w:lang w:val="en-US" w:eastAsia="zh-TW" w:bidi="en-GB"/>
        </w:rPr>
        <w:tab/>
      </w:r>
      <w:r w:rsidRPr="00246BE0">
        <w:rPr>
          <w:rFonts w:eastAsiaTheme="minorEastAsia"/>
          <w:i/>
          <w:iCs/>
          <w:rtl/>
          <w:lang w:val="en-US" w:eastAsia="zh-TW"/>
        </w:rPr>
        <w:t>الممتنعون عن التصويت</w:t>
      </w:r>
      <w:r w:rsidRPr="009F2D87">
        <w:rPr>
          <w:rFonts w:eastAsiaTheme="minorEastAsia"/>
          <w:lang w:val="en-US" w:eastAsia="zh-TW" w:bidi="en-GB"/>
        </w:rPr>
        <w:t>:</w:t>
      </w:r>
    </w:p>
    <w:p w14:paraId="6D16CAF2" w14:textId="311E20A7" w:rsidR="00635144" w:rsidRPr="009F2D87" w:rsidRDefault="00635144" w:rsidP="009F2D87">
      <w:pPr>
        <w:pStyle w:val="SingleTxtGA"/>
        <w:ind w:left="2268"/>
        <w:rPr>
          <w:rFonts w:eastAsiaTheme="minorEastAsia"/>
          <w:rtl/>
          <w:lang w:val="en-US" w:eastAsia="zh-TW"/>
        </w:rPr>
      </w:pPr>
      <w:r w:rsidRPr="009F2D87">
        <w:rPr>
          <w:rFonts w:eastAsiaTheme="minorEastAsia"/>
          <w:rtl/>
          <w:lang w:val="en-US" w:eastAsia="zh-TW"/>
        </w:rPr>
        <w:t>أرمينيا، والإمارات العربية المتحدة، وإندونيسيا، وأوزبكستان، وباكستان، والبرازيل، وبنن، والسنغال، والسودان، والصومال، وغابون، وغامبيا، وقطر، والكاميرون، وكوت ديفوار، وليبيا، وماليزيا، والمكسيك، وملاوي، وموريتانيا، وناميبيا، ونيبال، والهند، وهندوراس]</w:t>
      </w:r>
    </w:p>
    <w:p w14:paraId="57EACB4F" w14:textId="65867FCC" w:rsidR="009F2D87" w:rsidRPr="009F2D87" w:rsidRDefault="009F2D87" w:rsidP="009F2D87">
      <w:pPr>
        <w:pStyle w:val="SingleTxtGA"/>
        <w:jc w:val="center"/>
        <w:rPr>
          <w:u w:val="single"/>
          <w:lang w:eastAsia="hi-IN" w:bidi="hi-IN"/>
        </w:rPr>
      </w:pPr>
      <w:r>
        <w:rPr>
          <w:u w:val="single"/>
          <w:rtl/>
          <w:lang w:eastAsia="hi-IN"/>
        </w:rPr>
        <w:tab/>
      </w:r>
      <w:r>
        <w:rPr>
          <w:u w:val="single"/>
          <w:rtl/>
          <w:lang w:eastAsia="hi-IN"/>
        </w:rPr>
        <w:tab/>
      </w:r>
      <w:r>
        <w:rPr>
          <w:u w:val="single"/>
          <w:rtl/>
          <w:lang w:eastAsia="hi-IN"/>
        </w:rPr>
        <w:tab/>
      </w:r>
    </w:p>
    <w:sectPr w:rsidR="009F2D87" w:rsidRPr="009F2D87" w:rsidSect="009210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A318" w14:textId="77777777" w:rsidR="002820F7" w:rsidRPr="002901D9" w:rsidRDefault="002820F7" w:rsidP="00AD3834">
      <w:pPr>
        <w:spacing w:after="60" w:line="240" w:lineRule="auto"/>
        <w:ind w:left="57"/>
        <w:rPr>
          <w:i/>
          <w:iCs/>
        </w:rPr>
      </w:pPr>
      <w:r>
        <w:rPr>
          <w:rFonts w:hint="cs"/>
          <w:i/>
          <w:iCs/>
          <w:rtl/>
        </w:rPr>
        <w:t>الحواشي</w:t>
      </w:r>
    </w:p>
  </w:endnote>
  <w:endnote w:type="continuationSeparator" w:id="0">
    <w:p w14:paraId="0FEF5D20" w14:textId="77777777" w:rsidR="002820F7" w:rsidRDefault="002820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27A" w14:textId="57B93808" w:rsidR="005D1FE4" w:rsidRPr="005D1FE4" w:rsidRDefault="005D1FE4" w:rsidP="005D1FE4">
    <w:pPr>
      <w:pStyle w:val="Footer"/>
      <w:tabs>
        <w:tab w:val="right" w:pos="9638"/>
      </w:tabs>
      <w:rPr>
        <w:b/>
        <w:sz w:val="18"/>
        <w:lang w:val="en-US"/>
      </w:rPr>
    </w:pPr>
    <w:r>
      <w:rPr>
        <w:lang w:val="en-US"/>
      </w:rPr>
      <w:t>GE.22-16415</w:t>
    </w:r>
    <w:r>
      <w:rPr>
        <w:lang w:val="en-US"/>
      </w:rPr>
      <w:tab/>
    </w:r>
    <w:r w:rsidRPr="005D1FE4">
      <w:rPr>
        <w:b/>
        <w:sz w:val="18"/>
        <w:lang w:val="en-US"/>
      </w:rPr>
      <w:fldChar w:fldCharType="begin"/>
    </w:r>
    <w:r w:rsidRPr="005D1FE4">
      <w:rPr>
        <w:b/>
        <w:sz w:val="18"/>
        <w:lang w:val="en-US"/>
      </w:rPr>
      <w:instrText xml:space="preserve"> PAGE  \* MERGEFORMAT </w:instrText>
    </w:r>
    <w:r w:rsidRPr="005D1FE4">
      <w:rPr>
        <w:b/>
        <w:sz w:val="18"/>
        <w:lang w:val="en-US"/>
      </w:rPr>
      <w:fldChar w:fldCharType="separate"/>
    </w:r>
    <w:r w:rsidRPr="005D1FE4">
      <w:rPr>
        <w:b/>
        <w:noProof/>
        <w:sz w:val="18"/>
        <w:lang w:val="en-US"/>
      </w:rPr>
      <w:t>2</w:t>
    </w:r>
    <w:r w:rsidRPr="005D1FE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6F28" w14:textId="0EA61FC2" w:rsidR="006959B0" w:rsidRPr="005D1FE4" w:rsidRDefault="005D1FE4" w:rsidP="005D1FE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GE.22-16415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516" w14:textId="1F845FA2" w:rsidR="00FD4BC9" w:rsidRPr="005D1FE4" w:rsidRDefault="005D1FE4" w:rsidP="005D1FE4">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5C963E27" wp14:editId="2715A9D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22-16415 (A)</w:t>
    </w:r>
    <w:r>
      <w:rPr>
        <w:noProof/>
        <w:sz w:val="20"/>
        <w:lang w:val="en-US"/>
      </w:rPr>
      <w:drawing>
        <wp:anchor distT="0" distB="0" distL="114300" distR="114300" simplePos="0" relativeHeight="251659264" behindDoc="0" locked="0" layoutInCell="1" allowOverlap="1" wp14:anchorId="4638B468" wp14:editId="317B20E8">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2F5E" w14:textId="77777777" w:rsidR="002820F7" w:rsidRPr="00A350CC" w:rsidRDefault="002820F7"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5E20D3D8" w14:textId="77777777" w:rsidR="002820F7" w:rsidRDefault="002820F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D03C" w14:textId="3520B9B0" w:rsidR="005D1FE4" w:rsidRPr="005D1FE4" w:rsidRDefault="005D1FE4" w:rsidP="005D1FE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66353">
      <w:t>A/HRC/RES/51/25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003" w14:textId="2FED4810" w:rsidR="005D1FE4" w:rsidRPr="005D1FE4" w:rsidRDefault="005D1FE4" w:rsidP="005D1FE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66353">
      <w:t>A/HRC/RES/51/25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DAB4"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94448753">
    <w:abstractNumId w:val="15"/>
  </w:num>
  <w:num w:numId="2" w16cid:durableId="206181651">
    <w:abstractNumId w:val="12"/>
  </w:num>
  <w:num w:numId="3" w16cid:durableId="2049985000">
    <w:abstractNumId w:val="2"/>
  </w:num>
  <w:num w:numId="4" w16cid:durableId="1839886229">
    <w:abstractNumId w:val="11"/>
  </w:num>
  <w:num w:numId="5" w16cid:durableId="397752851">
    <w:abstractNumId w:val="8"/>
  </w:num>
  <w:num w:numId="6" w16cid:durableId="556016705">
    <w:abstractNumId w:val="5"/>
  </w:num>
  <w:num w:numId="7" w16cid:durableId="468208571">
    <w:abstractNumId w:val="17"/>
  </w:num>
  <w:num w:numId="8" w16cid:durableId="761149933">
    <w:abstractNumId w:val="2"/>
  </w:num>
  <w:num w:numId="9" w16cid:durableId="393699322">
    <w:abstractNumId w:val="11"/>
  </w:num>
  <w:num w:numId="10" w16cid:durableId="43679658">
    <w:abstractNumId w:val="5"/>
  </w:num>
  <w:num w:numId="11" w16cid:durableId="310906429">
    <w:abstractNumId w:val="17"/>
  </w:num>
  <w:num w:numId="12" w16cid:durableId="501822783">
    <w:abstractNumId w:val="2"/>
  </w:num>
  <w:num w:numId="13" w16cid:durableId="1600136145">
    <w:abstractNumId w:val="11"/>
  </w:num>
  <w:num w:numId="14" w16cid:durableId="1058675419">
    <w:abstractNumId w:val="8"/>
  </w:num>
  <w:num w:numId="15" w16cid:durableId="2095470328">
    <w:abstractNumId w:val="5"/>
  </w:num>
  <w:num w:numId="16" w16cid:durableId="2043435846">
    <w:abstractNumId w:val="17"/>
  </w:num>
  <w:num w:numId="17" w16cid:durableId="186254966">
    <w:abstractNumId w:val="4"/>
  </w:num>
  <w:num w:numId="18" w16cid:durableId="1862086043">
    <w:abstractNumId w:val="3"/>
  </w:num>
  <w:num w:numId="19" w16cid:durableId="1288269198">
    <w:abstractNumId w:val="16"/>
  </w:num>
  <w:num w:numId="20" w16cid:durableId="1856918539">
    <w:abstractNumId w:val="13"/>
  </w:num>
  <w:num w:numId="21" w16cid:durableId="558596015">
    <w:abstractNumId w:val="1"/>
  </w:num>
  <w:num w:numId="22" w16cid:durableId="903025134">
    <w:abstractNumId w:val="14"/>
  </w:num>
  <w:num w:numId="23" w16cid:durableId="986130487">
    <w:abstractNumId w:val="0"/>
  </w:num>
  <w:num w:numId="24" w16cid:durableId="704133826">
    <w:abstractNumId w:val="9"/>
  </w:num>
  <w:num w:numId="25" w16cid:durableId="1159006244">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474761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2496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458375564">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856508785">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1938441664">
    <w:abstractNumId w:val="7"/>
  </w:num>
  <w:num w:numId="31" w16cid:durableId="186347585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717195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F7"/>
    <w:rsid w:val="000076D5"/>
    <w:rsid w:val="00014B0C"/>
    <w:rsid w:val="00031428"/>
    <w:rsid w:val="0004034F"/>
    <w:rsid w:val="00043663"/>
    <w:rsid w:val="000505CF"/>
    <w:rsid w:val="000646B6"/>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90F2B"/>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46BE0"/>
    <w:rsid w:val="00267A0E"/>
    <w:rsid w:val="00281242"/>
    <w:rsid w:val="002820F7"/>
    <w:rsid w:val="002855B5"/>
    <w:rsid w:val="002901D9"/>
    <w:rsid w:val="0029100A"/>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A6852"/>
    <w:rsid w:val="003B19AB"/>
    <w:rsid w:val="003B3CEF"/>
    <w:rsid w:val="003B588A"/>
    <w:rsid w:val="003C1131"/>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25D2"/>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1FE4"/>
    <w:rsid w:val="005D3C0B"/>
    <w:rsid w:val="005E256B"/>
    <w:rsid w:val="005E3ECA"/>
    <w:rsid w:val="005E4366"/>
    <w:rsid w:val="005E5217"/>
    <w:rsid w:val="005F0FA4"/>
    <w:rsid w:val="005F30EE"/>
    <w:rsid w:val="005F5E91"/>
    <w:rsid w:val="005F68BD"/>
    <w:rsid w:val="005F72A4"/>
    <w:rsid w:val="0060169C"/>
    <w:rsid w:val="0060473A"/>
    <w:rsid w:val="00606EDF"/>
    <w:rsid w:val="00610719"/>
    <w:rsid w:val="00615955"/>
    <w:rsid w:val="00635144"/>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6F0FED"/>
    <w:rsid w:val="0070424E"/>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10EF"/>
    <w:rsid w:val="009269D2"/>
    <w:rsid w:val="00941CDA"/>
    <w:rsid w:val="00942135"/>
    <w:rsid w:val="009521B0"/>
    <w:rsid w:val="009549E9"/>
    <w:rsid w:val="00955B22"/>
    <w:rsid w:val="00955F0E"/>
    <w:rsid w:val="00964FAA"/>
    <w:rsid w:val="00966353"/>
    <w:rsid w:val="009727D9"/>
    <w:rsid w:val="009A2FBF"/>
    <w:rsid w:val="009A7E9F"/>
    <w:rsid w:val="009B586A"/>
    <w:rsid w:val="009C3385"/>
    <w:rsid w:val="009C5923"/>
    <w:rsid w:val="009E5018"/>
    <w:rsid w:val="009F2D87"/>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0A52"/>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177F"/>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979FC"/>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17AC2B9"/>
  <w15:docId w15:val="{B50B42CD-A34E-4DF4-AFC1-2DA41C14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F"/>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E0177F"/>
    <w:pPr>
      <w:bidi w:val="0"/>
      <w:outlineLvl w:val="0"/>
    </w:pPr>
  </w:style>
  <w:style w:type="paragraph" w:styleId="Heading2">
    <w:name w:val="heading 2"/>
    <w:basedOn w:val="Normal"/>
    <w:next w:val="Normal"/>
    <w:link w:val="Heading2Char"/>
    <w:uiPriority w:val="9"/>
    <w:unhideWhenUsed/>
    <w:rsid w:val="00E0177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E0177F"/>
    <w:pPr>
      <w:keepNext/>
      <w:keepLines/>
      <w:spacing w:before="200"/>
      <w:outlineLvl w:val="2"/>
    </w:pPr>
    <w:rPr>
      <w:b/>
      <w:bCs/>
      <w:color w:val="4F81BD"/>
    </w:rPr>
  </w:style>
  <w:style w:type="paragraph" w:styleId="Heading4">
    <w:name w:val="heading 4"/>
    <w:basedOn w:val="Normal"/>
    <w:next w:val="Normal"/>
    <w:link w:val="Heading4Char"/>
    <w:uiPriority w:val="9"/>
    <w:unhideWhenUsed/>
    <w:rsid w:val="00E0177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E0177F"/>
    <w:pPr>
      <w:keepNext/>
      <w:keepLines/>
      <w:spacing w:before="200"/>
      <w:outlineLvl w:val="4"/>
    </w:pPr>
    <w:rPr>
      <w:color w:val="243F60"/>
    </w:rPr>
  </w:style>
  <w:style w:type="paragraph" w:styleId="Heading6">
    <w:name w:val="heading 6"/>
    <w:basedOn w:val="Normal"/>
    <w:next w:val="Normal"/>
    <w:link w:val="Heading6Char"/>
    <w:uiPriority w:val="9"/>
    <w:unhideWhenUsed/>
    <w:rsid w:val="00E0177F"/>
    <w:pPr>
      <w:keepNext/>
      <w:keepLines/>
      <w:spacing w:before="200"/>
      <w:outlineLvl w:val="5"/>
    </w:pPr>
    <w:rPr>
      <w:i/>
      <w:iCs/>
      <w:color w:val="243F60"/>
    </w:rPr>
  </w:style>
  <w:style w:type="paragraph" w:styleId="Heading7">
    <w:name w:val="heading 7"/>
    <w:basedOn w:val="Normal"/>
    <w:next w:val="Normal"/>
    <w:link w:val="Heading7Char"/>
    <w:uiPriority w:val="9"/>
    <w:unhideWhenUsed/>
    <w:rsid w:val="00E0177F"/>
    <w:pPr>
      <w:keepNext/>
      <w:keepLines/>
      <w:spacing w:before="200"/>
      <w:outlineLvl w:val="6"/>
    </w:pPr>
    <w:rPr>
      <w:i/>
      <w:iCs/>
      <w:color w:val="404040"/>
    </w:rPr>
  </w:style>
  <w:style w:type="paragraph" w:styleId="Heading8">
    <w:name w:val="heading 8"/>
    <w:basedOn w:val="Normal"/>
    <w:next w:val="Normal"/>
    <w:link w:val="Heading8Char"/>
    <w:uiPriority w:val="9"/>
    <w:unhideWhenUsed/>
    <w:rsid w:val="00E0177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E0177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E0177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E0177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E0177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E0177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E0177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E0177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E0177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E0177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E0177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E0177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E0177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E0177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E0177F"/>
    <w:pPr>
      <w:numPr>
        <w:numId w:val="5"/>
      </w:numPr>
      <w:bidi w:val="0"/>
    </w:pPr>
    <w:rPr>
      <w:lang w:val="en-US"/>
    </w:rPr>
  </w:style>
  <w:style w:type="paragraph" w:customStyle="1" w:styleId="Roman1GA">
    <w:name w:val="_Roman 1_GA"/>
    <w:basedOn w:val="Bullet1GA"/>
    <w:qFormat/>
    <w:rsid w:val="00E0177F"/>
    <w:pPr>
      <w:numPr>
        <w:numId w:val="6"/>
      </w:numPr>
      <w:tabs>
        <w:tab w:val="clear" w:pos="2310"/>
        <w:tab w:val="left" w:pos="2486"/>
      </w:tabs>
      <w:ind w:left="2486" w:hanging="378"/>
    </w:pPr>
  </w:style>
  <w:style w:type="paragraph" w:customStyle="1" w:styleId="Roman2GA">
    <w:name w:val="_Roman 2_GA"/>
    <w:basedOn w:val="Bullet2GA"/>
    <w:qFormat/>
    <w:rsid w:val="00E0177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E0177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E0177F"/>
    <w:rPr>
      <w:rFonts w:ascii="Times New Roman" w:hAnsi="Times New Roman" w:cs="Simplified Arabic"/>
      <w:sz w:val="18"/>
      <w:lang w:val="en-GB" w:eastAsia="en-US"/>
    </w:rPr>
  </w:style>
  <w:style w:type="character" w:customStyle="1" w:styleId="EndtnoteReference">
    <w:name w:val="Endtnote Reference"/>
    <w:aliases w:val="1_GA"/>
    <w:qFormat/>
    <w:rsid w:val="00E0177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0177F"/>
    <w:pPr>
      <w:suppressAutoHyphens/>
      <w:bidi w:val="0"/>
      <w:spacing w:line="240" w:lineRule="auto"/>
    </w:pPr>
    <w:rPr>
      <w:sz w:val="16"/>
      <w:lang w:val="en-GB"/>
    </w:rPr>
  </w:style>
  <w:style w:type="character" w:customStyle="1" w:styleId="FooterChar">
    <w:name w:val="Footer Char"/>
    <w:aliases w:val="3_GA Char,3_G Char"/>
    <w:link w:val="Footer"/>
    <w:rsid w:val="00E0177F"/>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E0177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0177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E0177F"/>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E0177F"/>
    <w:rPr>
      <w:rFonts w:ascii="Times New Roman" w:hAnsi="Times New Roman" w:cs="Simplified Arabic"/>
      <w:sz w:val="22"/>
      <w:szCs w:val="22"/>
      <w:lang w:val="en-GB" w:eastAsia="en-US"/>
    </w:rPr>
  </w:style>
  <w:style w:type="character" w:styleId="PageNumber">
    <w:name w:val="page number"/>
    <w:aliases w:val="7_GA,7_G"/>
    <w:qFormat/>
    <w:rsid w:val="00E0177F"/>
    <w:rPr>
      <w:rFonts w:ascii="Times New Roman Bold" w:hAnsi="Times New Roman Bold"/>
      <w:b/>
      <w:i w:val="0"/>
      <w:sz w:val="18"/>
      <w:szCs w:val="18"/>
    </w:rPr>
  </w:style>
  <w:style w:type="paragraph" w:customStyle="1" w:styleId="XXLargeGA">
    <w:name w:val="XXLarge_GA"/>
    <w:basedOn w:val="Normal"/>
    <w:next w:val="SingleTxtGA"/>
    <w:qFormat/>
    <w:rsid w:val="00E0177F"/>
    <w:pPr>
      <w:suppressAutoHyphens/>
      <w:spacing w:line="820" w:lineRule="exact"/>
    </w:pPr>
    <w:rPr>
      <w:spacing w:val="-8"/>
      <w:w w:val="96"/>
      <w:sz w:val="57"/>
      <w:szCs w:val="86"/>
      <w:lang w:val="en-GB"/>
    </w:rPr>
  </w:style>
  <w:style w:type="character" w:customStyle="1" w:styleId="Heading2Char">
    <w:name w:val="Heading 2 Char"/>
    <w:link w:val="Heading2"/>
    <w:uiPriority w:val="9"/>
    <w:rsid w:val="00E0177F"/>
    <w:rPr>
      <w:rFonts w:ascii="Times New Roman" w:hAnsi="Times New Roman" w:cs="Simplified Arabic"/>
      <w:b/>
      <w:bCs/>
      <w:color w:val="4F81BD"/>
      <w:sz w:val="26"/>
      <w:szCs w:val="26"/>
      <w:lang w:eastAsia="en-US"/>
    </w:rPr>
  </w:style>
  <w:style w:type="character" w:customStyle="1" w:styleId="Heading3Char">
    <w:name w:val="Heading 3 Char"/>
    <w:link w:val="Heading3"/>
    <w:uiPriority w:val="9"/>
    <w:rsid w:val="00E0177F"/>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E0177F"/>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E0177F"/>
    <w:rPr>
      <w:rFonts w:ascii="Times New Roman" w:hAnsi="Times New Roman" w:cs="Simplified Arabic"/>
      <w:color w:val="243F60"/>
      <w:szCs w:val="22"/>
      <w:lang w:eastAsia="en-US"/>
    </w:rPr>
  </w:style>
  <w:style w:type="character" w:customStyle="1" w:styleId="Heading6Char">
    <w:name w:val="Heading 6 Char"/>
    <w:link w:val="Heading6"/>
    <w:uiPriority w:val="9"/>
    <w:rsid w:val="00E0177F"/>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E0177F"/>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E0177F"/>
    <w:rPr>
      <w:rFonts w:ascii="Times New Roman" w:hAnsi="Times New Roman" w:cs="Simplified Arabic"/>
      <w:color w:val="404040"/>
      <w:lang w:eastAsia="en-US"/>
    </w:rPr>
  </w:style>
  <w:style w:type="character" w:customStyle="1" w:styleId="Heading9Char">
    <w:name w:val="Heading 9 Char"/>
    <w:link w:val="Heading9"/>
    <w:uiPriority w:val="9"/>
    <w:rsid w:val="00E0177F"/>
    <w:rPr>
      <w:rFonts w:ascii="Times New Roman" w:hAnsi="Times New Roman" w:cs="Simplified Arabic"/>
      <w:i/>
      <w:iCs/>
      <w:color w:val="404040"/>
      <w:lang w:eastAsia="en-US"/>
    </w:rPr>
  </w:style>
  <w:style w:type="paragraph" w:styleId="Title">
    <w:name w:val="Title"/>
    <w:basedOn w:val="Normal"/>
    <w:next w:val="Normal"/>
    <w:link w:val="TitleChar"/>
    <w:uiPriority w:val="10"/>
    <w:rsid w:val="00E0177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177F"/>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E0177F"/>
    <w:pPr>
      <w:numPr>
        <w:ilvl w:val="1"/>
      </w:numPr>
    </w:pPr>
    <w:rPr>
      <w:i/>
      <w:iCs/>
      <w:color w:val="4F81BD"/>
      <w:spacing w:val="15"/>
      <w:sz w:val="24"/>
      <w:szCs w:val="24"/>
    </w:rPr>
  </w:style>
  <w:style w:type="character" w:customStyle="1" w:styleId="SubtitleChar">
    <w:name w:val="Subtitle Char"/>
    <w:link w:val="Subtitle"/>
    <w:uiPriority w:val="11"/>
    <w:rsid w:val="00E0177F"/>
    <w:rPr>
      <w:rFonts w:ascii="Times New Roman" w:hAnsi="Times New Roman" w:cs="Simplified Arabic"/>
      <w:i/>
      <w:iCs/>
      <w:color w:val="4F81BD"/>
      <w:spacing w:val="15"/>
      <w:sz w:val="24"/>
      <w:szCs w:val="24"/>
      <w:lang w:eastAsia="en-US"/>
    </w:rPr>
  </w:style>
  <w:style w:type="character" w:styleId="Strong">
    <w:name w:val="Strong"/>
    <w:uiPriority w:val="22"/>
    <w:rsid w:val="00E0177F"/>
    <w:rPr>
      <w:b/>
      <w:bCs/>
    </w:rPr>
  </w:style>
  <w:style w:type="table" w:styleId="TableGrid">
    <w:name w:val="Table Grid"/>
    <w:basedOn w:val="TableNormal"/>
    <w:rsid w:val="00E0177F"/>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177F"/>
    <w:rPr>
      <w:color w:val="0000FF"/>
      <w:u w:val="none"/>
    </w:rPr>
  </w:style>
  <w:style w:type="paragraph" w:styleId="TOC1">
    <w:name w:val="toc 1"/>
    <w:basedOn w:val="Normal"/>
    <w:link w:val="TOC1Char"/>
    <w:autoRedefine/>
    <w:uiPriority w:val="39"/>
    <w:unhideWhenUsed/>
    <w:rsid w:val="00E0177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E0177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E0177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E0177F"/>
    <w:rPr>
      <w:rFonts w:eastAsia="DengXian"/>
      <w:color w:val="auto"/>
      <w:sz w:val="20"/>
      <w:szCs w:val="20"/>
      <w:u w:val="none"/>
      <w:lang w:eastAsia="zh-CN" w:bidi="ar-EG"/>
    </w:rPr>
  </w:style>
  <w:style w:type="paragraph" w:styleId="TOC4">
    <w:name w:val="toc 4"/>
    <w:basedOn w:val="Normal"/>
    <w:link w:val="TOC4Char"/>
    <w:autoRedefine/>
    <w:uiPriority w:val="39"/>
    <w:unhideWhenUsed/>
    <w:rsid w:val="00E0177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E0177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E0177F"/>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E0177F"/>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OC1Char">
    <w:name w:val="TOC 1 Char"/>
    <w:basedOn w:val="DefaultParagraphFont"/>
    <w:link w:val="TOC1"/>
    <w:uiPriority w:val="39"/>
    <w:rsid w:val="00E0177F"/>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E0177F"/>
    <w:rPr>
      <w:rFonts w:ascii="Times New Roman" w:hAnsi="Times New Roman" w:cs="Simplified Arabic"/>
      <w:noProof/>
      <w:lang w:val="fr-CH" w:eastAsia="en-US"/>
    </w:rPr>
  </w:style>
  <w:style w:type="character" w:customStyle="1" w:styleId="TOC3Char">
    <w:name w:val="TOC 3 Char"/>
    <w:basedOn w:val="TOC2Char"/>
    <w:link w:val="TOC3"/>
    <w:uiPriority w:val="39"/>
    <w:rsid w:val="00E0177F"/>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E0177F"/>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E0177F"/>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E0177F"/>
    <w:rPr>
      <w:rFonts w:ascii="Times New Roman" w:hAnsi="Times New Roman" w:cs="Simplified Arabic"/>
      <w:lang w:val="en-GB" w:eastAsia="en-US"/>
    </w:rPr>
  </w:style>
  <w:style w:type="paragraph" w:customStyle="1" w:styleId="NormalA">
    <w:name w:val="Normal_A"/>
    <w:basedOn w:val="Normal"/>
    <w:qFormat/>
    <w:rsid w:val="00E0177F"/>
  </w:style>
  <w:style w:type="paragraph" w:customStyle="1" w:styleId="SingleTxtGA">
    <w:name w:val="_ Single Txt_GA"/>
    <w:basedOn w:val="Normal"/>
    <w:link w:val="SingleTxtGAChar"/>
    <w:qFormat/>
    <w:rsid w:val="00E0177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E0177F"/>
    <w:rPr>
      <w:rFonts w:ascii="Times New Roman" w:hAnsi="Times New Roman" w:cs="Simplified Arabic"/>
      <w:sz w:val="22"/>
      <w:szCs w:val="22"/>
      <w:lang w:val="en-GB" w:eastAsia="en-US"/>
    </w:rPr>
  </w:style>
  <w:style w:type="paragraph" w:customStyle="1" w:styleId="FootnoteGA">
    <w:name w:val="Footnote_GA"/>
    <w:basedOn w:val="Normal"/>
    <w:qFormat/>
    <w:rsid w:val="00E0177F"/>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E0177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E0177F"/>
    <w:pPr>
      <w:spacing w:line="240" w:lineRule="exact"/>
    </w:pPr>
    <w:rPr>
      <w:spacing w:val="6"/>
      <w:w w:val="106"/>
      <w:sz w:val="14"/>
      <w:szCs w:val="21"/>
    </w:rPr>
  </w:style>
  <w:style w:type="paragraph" w:customStyle="1" w:styleId="Original">
    <w:name w:val="Original"/>
    <w:basedOn w:val="Normal"/>
    <w:next w:val="Normal"/>
    <w:qFormat/>
    <w:rsid w:val="00E0177F"/>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E0177F"/>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customStyle="1" w:styleId="ReportCHGA">
    <w:name w:val="Report_CH_GA"/>
    <w:basedOn w:val="HChGA"/>
    <w:qFormat/>
    <w:rsid w:val="00E0177F"/>
    <w:rPr>
      <w:sz w:val="44"/>
      <w:szCs w:val="44"/>
      <w:lang w:val="en-US" w:bidi="ar-DZ"/>
    </w:rPr>
  </w:style>
  <w:style w:type="paragraph" w:styleId="Revision">
    <w:name w:val="Revision"/>
    <w:hidden/>
    <w:uiPriority w:val="99"/>
    <w:semiHidden/>
    <w:rsid w:val="00E0177F"/>
    <w:rPr>
      <w:rFonts w:asciiTheme="minorHAnsi" w:eastAsiaTheme="minorEastAsia" w:hAnsiTheme="minorHAnsi" w:cstheme="minorBidi"/>
      <w:sz w:val="24"/>
      <w:szCs w:val="24"/>
      <w:lang w:val="fr-FR" w:eastAsia="fr-FR"/>
    </w:rPr>
  </w:style>
  <w:style w:type="paragraph" w:customStyle="1" w:styleId="FootnoteGA0">
    <w:name w:val="_Footnote_GA"/>
    <w:basedOn w:val="Normal"/>
    <w:qFormat/>
    <w:rsid w:val="00E0177F"/>
    <w:pPr>
      <w:suppressAutoHyphens/>
      <w:spacing w:after="60" w:line="280" w:lineRule="exact"/>
      <w:ind w:left="1247" w:right="1247" w:hanging="567"/>
    </w:pPr>
    <w:rPr>
      <w:sz w:val="18"/>
      <w:szCs w:val="18"/>
      <w:lang w:val="es-ES_tradnl" w:eastAsia="zh-TW"/>
    </w:rPr>
  </w:style>
  <w:style w:type="paragraph" w:customStyle="1" w:styleId="STitleLGA">
    <w:name w:val="S_Title_L_GA"/>
    <w:basedOn w:val="SLGA"/>
    <w:qFormat/>
    <w:rsid w:val="00E0177F"/>
    <w:rPr>
      <w:lang w:val="en-US" w:eastAsia="zh-TW"/>
    </w:rPr>
  </w:style>
  <w:style w:type="paragraph" w:customStyle="1" w:styleId="STitleMGA">
    <w:name w:val="S_Title_M_GA"/>
    <w:basedOn w:val="SMGA"/>
    <w:qFormat/>
    <w:rsid w:val="00E0177F"/>
    <w:rPr>
      <w:lang w:eastAsia="zh-TW"/>
    </w:rPr>
  </w:style>
  <w:style w:type="paragraph" w:customStyle="1" w:styleId="STitleSGA">
    <w:name w:val="S_Title_S_GA"/>
    <w:basedOn w:val="SSGA"/>
    <w:qFormat/>
    <w:rsid w:val="00E0177F"/>
    <w:rPr>
      <w:lang w:eastAsia="zh-TW"/>
    </w:rPr>
  </w:style>
  <w:style w:type="paragraph" w:customStyle="1" w:styleId="SingleTxtG">
    <w:name w:val="_ Single Txt_G"/>
    <w:basedOn w:val="Normal"/>
    <w:qFormat/>
    <w:rsid w:val="00635144"/>
    <w:pPr>
      <w:suppressAutoHyphens/>
      <w:bidi w:val="0"/>
      <w:spacing w:after="120"/>
      <w:ind w:left="1134" w:right="1134"/>
      <w:jc w:val="both"/>
    </w:pPr>
    <w:rPr>
      <w:rFonts w:eastAsiaTheme="minorEastAsia" w:cs="Traditional Arabic" w:hint="cs"/>
      <w:szCs w:val="3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A/HRC/RES/51/25</vt:lpstr>
    </vt:vector>
  </TitlesOfParts>
  <Company>DCM</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A/HRC/RES/51/25</dc:title>
  <dc:subject>GE.2216415(A)</dc:subject>
  <dc:creator>Muntaha BUHNAM - MAB</dc:creator>
  <cp:keywords>GE.2252023(A)</cp:keywords>
  <dc:description>Distr.: General
11 October 2022
Arabic
Original: English</dc:description>
  <cp:lastModifiedBy>Gamal Mohamed Abdelhamid Mahmoud</cp:lastModifiedBy>
  <cp:revision>3</cp:revision>
  <cp:lastPrinted>2022-10-13T10:27:00Z</cp:lastPrinted>
  <dcterms:created xsi:type="dcterms:W3CDTF">2022-10-13T10:27:00Z</dcterms:created>
  <dcterms:modified xsi:type="dcterms:W3CDTF">2022-10-13T10:27:00Z</dcterms:modified>
  <cp:category>Final</cp:category>
</cp:coreProperties>
</file>