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64E38" w:rsidP="00B64E38">
            <w:pPr>
              <w:bidi w:val="0"/>
              <w:spacing w:after="20"/>
              <w:jc w:val="left"/>
              <w:rPr>
                <w:szCs w:val="20"/>
              </w:rPr>
            </w:pPr>
            <w:r w:rsidRPr="00B64E38">
              <w:rPr>
                <w:sz w:val="40"/>
                <w:szCs w:val="20"/>
              </w:rPr>
              <w:t>A</w:t>
            </w:r>
            <w:r>
              <w:rPr>
                <w:szCs w:val="20"/>
              </w:rPr>
              <w:t>/HRC/RES/25/16</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B64E38" w:rsidRDefault="00B64E38" w:rsidP="00B64E38">
            <w:pPr>
              <w:bidi w:val="0"/>
              <w:spacing w:before="240"/>
              <w:jc w:val="left"/>
            </w:pPr>
            <w:r>
              <w:t>Distr.: General</w:t>
            </w:r>
          </w:p>
          <w:p w:rsidR="00B64E38" w:rsidRDefault="00B64E38" w:rsidP="00B64E38">
            <w:pPr>
              <w:bidi w:val="0"/>
              <w:jc w:val="left"/>
            </w:pPr>
            <w:r>
              <w:t>15 April 2014</w:t>
            </w:r>
          </w:p>
          <w:p w:rsidR="00B64E38" w:rsidRDefault="00B64E38" w:rsidP="00B64E38">
            <w:pPr>
              <w:bidi w:val="0"/>
              <w:jc w:val="left"/>
            </w:pPr>
            <w:r>
              <w:t>Arabic</w:t>
            </w:r>
          </w:p>
          <w:p w:rsidR="00257225" w:rsidRPr="008B4BC6" w:rsidRDefault="00B64E38" w:rsidP="00B64E38">
            <w:pPr>
              <w:bidi w:val="0"/>
              <w:jc w:val="left"/>
            </w:pPr>
            <w:r>
              <w:t>Original: English</w:t>
            </w:r>
          </w:p>
        </w:tc>
      </w:tr>
    </w:tbl>
    <w:p w:rsidR="00105898" w:rsidRPr="00D45DDB" w:rsidRDefault="00105898" w:rsidP="00105898">
      <w:pPr>
        <w:spacing w:before="120" w:line="380" w:lineRule="exact"/>
        <w:rPr>
          <w:rFonts w:hint="cs"/>
          <w:b/>
          <w:bCs/>
          <w:sz w:val="36"/>
          <w:szCs w:val="36"/>
          <w:rtl/>
        </w:rPr>
      </w:pPr>
      <w:r>
        <w:rPr>
          <w:rFonts w:hint="cs"/>
          <w:b/>
          <w:bCs/>
          <w:sz w:val="36"/>
          <w:szCs w:val="36"/>
          <w:rtl/>
        </w:rPr>
        <w:t>مجلس حقوق الإنسان</w:t>
      </w:r>
    </w:p>
    <w:p w:rsidR="00105898" w:rsidRPr="00A7467C" w:rsidRDefault="00105898" w:rsidP="00105898">
      <w:pPr>
        <w:spacing w:line="380" w:lineRule="exact"/>
        <w:jc w:val="both"/>
        <w:rPr>
          <w:rFonts w:hint="cs"/>
          <w:b/>
          <w:bCs/>
          <w:rtl/>
        </w:rPr>
      </w:pPr>
      <w:r w:rsidRPr="00A7467C">
        <w:rPr>
          <w:rFonts w:hint="cs"/>
          <w:b/>
          <w:bCs/>
          <w:rtl/>
        </w:rPr>
        <w:t xml:space="preserve">الدورة </w:t>
      </w:r>
      <w:r>
        <w:rPr>
          <w:rFonts w:hint="cs"/>
          <w:b/>
          <w:bCs/>
          <w:rtl/>
        </w:rPr>
        <w:t>الخامسة والعشرون</w:t>
      </w:r>
    </w:p>
    <w:p w:rsidR="00105898" w:rsidRDefault="00105898" w:rsidP="00105898">
      <w:pPr>
        <w:spacing w:line="380" w:lineRule="exact"/>
        <w:jc w:val="both"/>
        <w:rPr>
          <w:rFonts w:hint="cs"/>
          <w:rtl/>
        </w:rPr>
      </w:pPr>
      <w:r>
        <w:rPr>
          <w:rFonts w:hint="cs"/>
          <w:rtl/>
        </w:rPr>
        <w:t>البند 3 من جدول الأعمال</w:t>
      </w:r>
    </w:p>
    <w:p w:rsidR="00105898" w:rsidRPr="00B11036" w:rsidRDefault="00105898" w:rsidP="00105898">
      <w:pPr>
        <w:spacing w:after="360" w:line="380" w:lineRule="exact"/>
        <w:ind w:right="4440"/>
        <w:rPr>
          <w:rFonts w:hint="cs"/>
          <w:b/>
          <w:bCs/>
          <w:sz w:val="30"/>
          <w:rtl/>
        </w:rPr>
      </w:pPr>
      <w:r w:rsidRPr="00B11036">
        <w:rPr>
          <w:rFonts w:hint="cs"/>
          <w:b/>
          <w:bCs/>
          <w:sz w:val="30"/>
          <w:rtl/>
        </w:rPr>
        <w:t xml:space="preserve">تعزيز وحماية جميع </w:t>
      </w:r>
      <w:r>
        <w:rPr>
          <w:rFonts w:hint="cs"/>
          <w:b/>
          <w:bCs/>
          <w:sz w:val="30"/>
          <w:rtl/>
        </w:rPr>
        <w:t xml:space="preserve">حقوق الإنسان، المدنية والسياسية </w:t>
      </w:r>
      <w:r w:rsidRPr="00B11036">
        <w:rPr>
          <w:rFonts w:hint="cs"/>
          <w:b/>
          <w:bCs/>
          <w:sz w:val="30"/>
          <w:rtl/>
        </w:rPr>
        <w:t>والاقتصادية</w:t>
      </w:r>
      <w:r>
        <w:rPr>
          <w:rFonts w:hint="cs"/>
          <w:b/>
          <w:bCs/>
          <w:sz w:val="30"/>
          <w:rtl/>
        </w:rPr>
        <w:t xml:space="preserve"> </w:t>
      </w:r>
      <w:r w:rsidRPr="00B11036">
        <w:rPr>
          <w:rFonts w:hint="cs"/>
          <w:b/>
          <w:bCs/>
          <w:sz w:val="30"/>
          <w:rtl/>
        </w:rPr>
        <w:t>والاجتماعية والثقافية، بما في ذلك الحق في التنمية</w:t>
      </w:r>
    </w:p>
    <w:p w:rsidR="00105898" w:rsidRPr="00AA7665" w:rsidRDefault="00105898" w:rsidP="00F35DAE">
      <w:pPr>
        <w:pStyle w:val="HChGA"/>
        <w:spacing w:before="300"/>
        <w:rPr>
          <w:rFonts w:hint="cs"/>
          <w:rtl/>
        </w:rPr>
      </w:pPr>
      <w:r w:rsidRPr="00AA7665">
        <w:rPr>
          <w:rFonts w:hint="cs"/>
          <w:rtl/>
        </w:rPr>
        <w:tab/>
      </w:r>
      <w:r w:rsidRPr="00AA7665">
        <w:rPr>
          <w:rFonts w:hint="cs"/>
          <w:rtl/>
        </w:rPr>
        <w:tab/>
      </w:r>
      <w:r w:rsidR="00F44993">
        <w:rPr>
          <w:rFonts w:hint="cs"/>
          <w:rtl/>
        </w:rPr>
        <w:t>قرار اعتمده مجلس حقوق الإنسان</w:t>
      </w:r>
    </w:p>
    <w:p w:rsidR="00105898" w:rsidRPr="00192E97" w:rsidRDefault="00105898" w:rsidP="00F35DAE">
      <w:pPr>
        <w:pStyle w:val="HChGA"/>
        <w:rPr>
          <w:rFonts w:hint="cs"/>
          <w:rtl/>
        </w:rPr>
      </w:pPr>
      <w:r>
        <w:rPr>
          <w:rFonts w:hint="cs"/>
          <w:rtl/>
        </w:rPr>
        <w:tab/>
      </w:r>
      <w:r>
        <w:rPr>
          <w:rFonts w:hint="cs"/>
          <w:rtl/>
        </w:rPr>
        <w:tab/>
        <w:t>25/</w:t>
      </w:r>
      <w:r w:rsidR="00751327">
        <w:rPr>
          <w:rFonts w:hint="cs"/>
          <w:rtl/>
        </w:rPr>
        <w:t>16</w:t>
      </w:r>
      <w:r>
        <w:rPr>
          <w:rtl/>
        </w:rPr>
        <w:br/>
      </w:r>
      <w:r w:rsidRPr="00192E97">
        <w:rPr>
          <w:rFonts w:hint="cs"/>
          <w:rtl/>
        </w:rPr>
        <w:t xml:space="preserve">ولاية الخبير المستقل المعني بآثار الديون الخارجية </w:t>
      </w:r>
      <w:r w:rsidR="00751327">
        <w:rPr>
          <w:rFonts w:hint="cs"/>
          <w:rtl/>
        </w:rPr>
        <w:t xml:space="preserve">للدول </w:t>
      </w:r>
      <w:r w:rsidRPr="00192E97">
        <w:rPr>
          <w:rFonts w:hint="cs"/>
          <w:rtl/>
        </w:rPr>
        <w:t>و</w:t>
      </w:r>
      <w:r w:rsidR="00751327">
        <w:rPr>
          <w:rFonts w:hint="cs"/>
          <w:rtl/>
        </w:rPr>
        <w:t>ما يتصل بها</w:t>
      </w:r>
      <w:r w:rsidRPr="00192E97">
        <w:rPr>
          <w:rFonts w:hint="cs"/>
          <w:rtl/>
        </w:rPr>
        <w:t xml:space="preserve"> من </w:t>
      </w:r>
      <w:r>
        <w:rPr>
          <w:rFonts w:hint="cs"/>
          <w:rtl/>
        </w:rPr>
        <w:t>ا</w:t>
      </w:r>
      <w:r w:rsidRPr="00192E97">
        <w:rPr>
          <w:rFonts w:hint="cs"/>
          <w:rtl/>
        </w:rPr>
        <w:t>لتزامات</w:t>
      </w:r>
      <w:r>
        <w:rPr>
          <w:rFonts w:hint="cs"/>
          <w:rtl/>
        </w:rPr>
        <w:t xml:space="preserve"> </w:t>
      </w:r>
      <w:r w:rsidRPr="00192E97">
        <w:rPr>
          <w:rFonts w:hint="cs"/>
          <w:rtl/>
        </w:rPr>
        <w:t xml:space="preserve">مالية دولية </w:t>
      </w:r>
      <w:r w:rsidR="00751327">
        <w:rPr>
          <w:rFonts w:hint="cs"/>
          <w:rtl/>
        </w:rPr>
        <w:t xml:space="preserve">أخرى في </w:t>
      </w:r>
      <w:r w:rsidRPr="00192E97">
        <w:rPr>
          <w:rFonts w:hint="cs"/>
          <w:rtl/>
        </w:rPr>
        <w:t>التمتع الكامل بجميع حقوق الإنسان، و</w:t>
      </w:r>
      <w:r w:rsidR="00B10F84">
        <w:rPr>
          <w:rFonts w:hint="cs"/>
          <w:rtl/>
        </w:rPr>
        <w:t>ب</w:t>
      </w:r>
      <w:r w:rsidRPr="00192E97">
        <w:rPr>
          <w:rFonts w:hint="cs"/>
          <w:rtl/>
        </w:rPr>
        <w:t>خاصة الحقوق الاقتصادية والاجتماعية والثقافية</w:t>
      </w:r>
    </w:p>
    <w:p w:rsidR="00105898" w:rsidRPr="00AA7665" w:rsidRDefault="00105898" w:rsidP="00105898">
      <w:pPr>
        <w:pStyle w:val="SingleTxtGA"/>
        <w:rPr>
          <w:rFonts w:hint="cs"/>
          <w:i/>
          <w:iCs/>
          <w:rtl/>
        </w:rPr>
      </w:pPr>
      <w:r w:rsidRPr="00AA7665">
        <w:rPr>
          <w:rFonts w:hint="cs"/>
          <w:i/>
          <w:iCs/>
          <w:rtl/>
        </w:rPr>
        <w:tab/>
        <w:t>إن مجلس حقوق الإنسان،</w:t>
      </w:r>
    </w:p>
    <w:p w:rsidR="00105898" w:rsidRPr="00343995" w:rsidRDefault="00105898" w:rsidP="00105898">
      <w:pPr>
        <w:pStyle w:val="SingleTxtGA"/>
        <w:rPr>
          <w:i/>
          <w:rtl/>
        </w:rPr>
      </w:pPr>
      <w:r>
        <w:rPr>
          <w:rFonts w:hint="cs"/>
          <w:i/>
          <w:iCs/>
          <w:spacing w:val="2"/>
          <w:rtl/>
        </w:rPr>
        <w:tab/>
      </w:r>
      <w:r w:rsidRPr="00343995">
        <w:rPr>
          <w:b/>
          <w:iCs/>
          <w:rtl/>
        </w:rPr>
        <w:t>إذ يسترشد</w:t>
      </w:r>
      <w:r w:rsidRPr="00343995">
        <w:rPr>
          <w:rFonts w:hint="cs"/>
          <w:b/>
          <w:iCs/>
          <w:rtl/>
        </w:rPr>
        <w:t xml:space="preserve"> </w:t>
      </w:r>
      <w:r w:rsidRPr="00343995">
        <w:rPr>
          <w:rtl/>
        </w:rPr>
        <w:t>بميثاق الأمم المتحدة، والإعلان العالمي لحقوق الإنسان،</w:t>
      </w:r>
      <w:r w:rsidRPr="00343995">
        <w:rPr>
          <w:rFonts w:hint="cs"/>
          <w:rtl/>
        </w:rPr>
        <w:t xml:space="preserve"> </w:t>
      </w:r>
      <w:r w:rsidRPr="00343995">
        <w:rPr>
          <w:rtl/>
        </w:rPr>
        <w:t xml:space="preserve">وإعلان وبرنامج عمل </w:t>
      </w:r>
      <w:proofErr w:type="spellStart"/>
      <w:r w:rsidRPr="00343995">
        <w:rPr>
          <w:rtl/>
        </w:rPr>
        <w:t>فيينا</w:t>
      </w:r>
      <w:proofErr w:type="spellEnd"/>
      <w:r w:rsidRPr="00343995">
        <w:rPr>
          <w:rtl/>
        </w:rPr>
        <w:t>، وغير ذلك من صكوك حقوق الإنسان الدولية ذات الصل</w:t>
      </w:r>
      <w:r w:rsidRPr="00343995">
        <w:rPr>
          <w:rFonts w:hint="cs"/>
          <w:rtl/>
        </w:rPr>
        <w:t>ة</w:t>
      </w:r>
      <w:r w:rsidRPr="00B10F84">
        <w:rPr>
          <w:i/>
          <w:rtl/>
        </w:rPr>
        <w:t>،</w:t>
      </w:r>
    </w:p>
    <w:p w:rsidR="00105898" w:rsidRDefault="00105898" w:rsidP="00105898">
      <w:pPr>
        <w:pStyle w:val="SingleTxtGA"/>
        <w:rPr>
          <w:rFonts w:hint="cs"/>
          <w:rtl/>
        </w:rPr>
      </w:pPr>
      <w:r w:rsidRPr="0023118C">
        <w:rPr>
          <w:rFonts w:hint="cs"/>
          <w:iCs/>
          <w:rtl/>
        </w:rPr>
        <w:tab/>
        <w:t>و</w:t>
      </w:r>
      <w:r w:rsidRPr="0023118C">
        <w:rPr>
          <w:iCs/>
          <w:rtl/>
        </w:rPr>
        <w:t>إذ يعيد تأكيد</w:t>
      </w:r>
      <w:r w:rsidRPr="0023118C">
        <w:rPr>
          <w:rtl/>
        </w:rPr>
        <w:t xml:space="preserve"> جميع القرارات والمقررات التي اعتمدتها لجنة حقوق الإنسان</w:t>
      </w:r>
      <w:r>
        <w:rPr>
          <w:rFonts w:hint="cs"/>
          <w:rtl/>
        </w:rPr>
        <w:t xml:space="preserve"> واعتمدها مجلس حقوق الإنسان </w:t>
      </w:r>
      <w:r w:rsidRPr="0023118C">
        <w:rPr>
          <w:rtl/>
        </w:rPr>
        <w:t>فيما</w:t>
      </w:r>
      <w:r>
        <w:rPr>
          <w:rFonts w:hint="cs"/>
          <w:rtl/>
        </w:rPr>
        <w:t> </w:t>
      </w:r>
      <w:r w:rsidRPr="0023118C">
        <w:rPr>
          <w:rtl/>
        </w:rPr>
        <w:t xml:space="preserve">يتصل بآثار سياسات التكيف الهيكلي والإصلاح الاقتصادي والديون الخارجية </w:t>
      </w:r>
      <w:r>
        <w:rPr>
          <w:rFonts w:hint="cs"/>
          <w:rtl/>
        </w:rPr>
        <w:t>في</w:t>
      </w:r>
      <w:r w:rsidRPr="0023118C">
        <w:rPr>
          <w:rtl/>
        </w:rPr>
        <w:t xml:space="preserve"> التمتع الكامل بجميع حقوق الإنسان، وخاصة الحقوق الاقتصادية والاجتماعية والثقافية، </w:t>
      </w:r>
    </w:p>
    <w:p w:rsidR="00105898" w:rsidRPr="0023118C" w:rsidRDefault="00105898" w:rsidP="00B172CD">
      <w:pPr>
        <w:pStyle w:val="SingleTxtGA"/>
        <w:rPr>
          <w:rFonts w:hint="cs"/>
          <w:rtl/>
        </w:rPr>
      </w:pPr>
      <w:r w:rsidRPr="0023118C">
        <w:rPr>
          <w:rFonts w:hint="cs"/>
          <w:i/>
          <w:iCs/>
          <w:rtl/>
        </w:rPr>
        <w:tab/>
      </w:r>
      <w:r w:rsidRPr="0023118C">
        <w:rPr>
          <w:i/>
          <w:iCs/>
          <w:rtl/>
        </w:rPr>
        <w:t>وإ</w:t>
      </w:r>
      <w:r w:rsidRPr="0023118C">
        <w:rPr>
          <w:rFonts w:hint="cs"/>
          <w:i/>
          <w:iCs/>
          <w:rtl/>
        </w:rPr>
        <w:t>ذ</w:t>
      </w:r>
      <w:r w:rsidRPr="0023118C">
        <w:rPr>
          <w:i/>
          <w:iCs/>
          <w:rtl/>
        </w:rPr>
        <w:t xml:space="preserve"> يعيد </w:t>
      </w:r>
      <w:r w:rsidRPr="0023118C">
        <w:rPr>
          <w:rFonts w:hint="cs"/>
          <w:i/>
          <w:iCs/>
          <w:rtl/>
        </w:rPr>
        <w:t xml:space="preserve">أيضاً </w:t>
      </w:r>
      <w:r w:rsidRPr="0023118C">
        <w:rPr>
          <w:i/>
          <w:iCs/>
          <w:rtl/>
        </w:rPr>
        <w:t>تأكيد</w:t>
      </w:r>
      <w:r w:rsidRPr="0023118C">
        <w:rPr>
          <w:rtl/>
        </w:rPr>
        <w:t xml:space="preserve"> قراره </w:t>
      </w:r>
      <w:proofErr w:type="spellStart"/>
      <w:r w:rsidRPr="0023118C">
        <w:rPr>
          <w:rtl/>
        </w:rPr>
        <w:t>دإ</w:t>
      </w:r>
      <w:proofErr w:type="spellEnd"/>
      <w:r w:rsidRPr="0023118C">
        <w:rPr>
          <w:rtl/>
        </w:rPr>
        <w:t xml:space="preserve">-10/1 </w:t>
      </w:r>
      <w:r w:rsidRPr="0023118C">
        <w:rPr>
          <w:rFonts w:hint="cs"/>
          <w:rtl/>
        </w:rPr>
        <w:t xml:space="preserve">المؤرخ 23 شباط/فبراير 2009 </w:t>
      </w:r>
      <w:r w:rsidRPr="0023118C">
        <w:rPr>
          <w:rtl/>
        </w:rPr>
        <w:t xml:space="preserve">المتعلق بتأثير الأزمتين الاقتصادية والمالية العالميتين </w:t>
      </w:r>
      <w:r w:rsidR="00B172CD">
        <w:rPr>
          <w:rFonts w:hint="cs"/>
          <w:rtl/>
        </w:rPr>
        <w:t>في</w:t>
      </w:r>
      <w:r w:rsidRPr="0023118C">
        <w:rPr>
          <w:rtl/>
        </w:rPr>
        <w:t xml:space="preserve"> إعمال حقوق الإنسان والتمتع الفعال بها</w:t>
      </w:r>
      <w:r>
        <w:rPr>
          <w:rFonts w:hint="cs"/>
          <w:rtl/>
        </w:rPr>
        <w:t xml:space="preserve"> على الصعيد العالمي</w:t>
      </w:r>
      <w:r w:rsidRPr="0023118C">
        <w:rPr>
          <w:rtl/>
        </w:rPr>
        <w:t xml:space="preserve">، </w:t>
      </w:r>
    </w:p>
    <w:p w:rsidR="00105898" w:rsidRPr="0047602E" w:rsidRDefault="00105898" w:rsidP="005B0335">
      <w:pPr>
        <w:pStyle w:val="SingleTxtGA"/>
        <w:rPr>
          <w:rFonts w:hint="cs"/>
          <w:rtl/>
        </w:rPr>
      </w:pPr>
      <w:r w:rsidRPr="0047602E">
        <w:rPr>
          <w:rFonts w:hint="cs"/>
          <w:rtl/>
        </w:rPr>
        <w:tab/>
      </w:r>
      <w:r w:rsidRPr="0047602E">
        <w:rPr>
          <w:rFonts w:hint="cs"/>
          <w:i/>
          <w:iCs/>
          <w:rtl/>
        </w:rPr>
        <w:t>وإذ يشير</w:t>
      </w:r>
      <w:r w:rsidRPr="0047602E">
        <w:rPr>
          <w:rFonts w:hint="cs"/>
          <w:rtl/>
        </w:rPr>
        <w:t xml:space="preserve"> إلى قرار</w:t>
      </w:r>
      <w:r w:rsidR="00B172CD">
        <w:rPr>
          <w:rFonts w:hint="cs"/>
          <w:rtl/>
        </w:rPr>
        <w:t>يه</w:t>
      </w:r>
      <w:r w:rsidRPr="0047602E">
        <w:rPr>
          <w:rFonts w:hint="cs"/>
          <w:rtl/>
        </w:rPr>
        <w:t xml:space="preserve"> 5/1 </w:t>
      </w:r>
      <w:r>
        <w:rPr>
          <w:rFonts w:hint="cs"/>
          <w:rtl/>
        </w:rPr>
        <w:t>بشأن بناء مؤسسات المجلس، و5/2 بشأن قواعد سلوك المكلفين بولايات في إطار الإجراءات الخاصة للمجلس، المؤرخين 18 حزيران/يونيه 2007، وإذ يؤكد أن على المكلف بولاية أن يؤدي واجباته طبقاً لهذين القرارين ومرفقاتهما</w:t>
      </w:r>
      <w:r w:rsidRPr="0047602E">
        <w:rPr>
          <w:rFonts w:hint="cs"/>
          <w:rtl/>
        </w:rPr>
        <w:t>،</w:t>
      </w:r>
      <w:r>
        <w:rPr>
          <w:rFonts w:hint="cs"/>
          <w:rtl/>
        </w:rPr>
        <w:t xml:space="preserve"> </w:t>
      </w:r>
    </w:p>
    <w:p w:rsidR="00105898" w:rsidRPr="0023118C" w:rsidRDefault="00105898" w:rsidP="00105898">
      <w:pPr>
        <w:pStyle w:val="SingleTxtGA"/>
        <w:rPr>
          <w:rtl/>
        </w:rPr>
      </w:pPr>
      <w:r w:rsidRPr="0023118C">
        <w:rPr>
          <w:rFonts w:hint="cs"/>
          <w:iCs/>
          <w:rtl/>
        </w:rPr>
        <w:tab/>
      </w:r>
      <w:r w:rsidRPr="0023118C">
        <w:rPr>
          <w:iCs/>
          <w:rtl/>
        </w:rPr>
        <w:t>وإذ يضع</w:t>
      </w:r>
      <w:r w:rsidRPr="0023118C">
        <w:rPr>
          <w:i/>
          <w:iCs/>
          <w:rtl/>
        </w:rPr>
        <w:t xml:space="preserve"> في اعتباره</w:t>
      </w:r>
      <w:r w:rsidRPr="0023118C">
        <w:rPr>
          <w:rtl/>
        </w:rPr>
        <w:t xml:space="preserve"> الفقرة 6 من قرار الجمعية العامة 60/251 المؤرخ 15 آذار/مارس 2006،</w:t>
      </w:r>
    </w:p>
    <w:p w:rsidR="00105898" w:rsidRPr="0023118C" w:rsidRDefault="00105898" w:rsidP="00105898">
      <w:pPr>
        <w:pStyle w:val="SingleTxtGA"/>
        <w:rPr>
          <w:rtl/>
        </w:rPr>
      </w:pPr>
      <w:r w:rsidRPr="0023118C">
        <w:rPr>
          <w:rFonts w:hint="cs"/>
          <w:b/>
          <w:i/>
          <w:iCs/>
          <w:rtl/>
        </w:rPr>
        <w:tab/>
      </w:r>
      <w:r w:rsidRPr="0023118C">
        <w:rPr>
          <w:b/>
          <w:i/>
          <w:iCs/>
          <w:rtl/>
        </w:rPr>
        <w:t>وإذ يشدد</w:t>
      </w:r>
      <w:r w:rsidRPr="0023118C">
        <w:rPr>
          <w:rtl/>
        </w:rPr>
        <w:t xml:space="preserve"> على أن أحد مقاصد الأمم المتحدة هو تحقيق التعاون الدولي </w:t>
      </w:r>
      <w:r w:rsidRPr="0023118C">
        <w:rPr>
          <w:rFonts w:hint="cs"/>
          <w:rtl/>
        </w:rPr>
        <w:t>في</w:t>
      </w:r>
      <w:r w:rsidRPr="0023118C">
        <w:rPr>
          <w:rtl/>
        </w:rPr>
        <w:t xml:space="preserve"> حل المشاكل الدولية ذات </w:t>
      </w:r>
      <w:r>
        <w:rPr>
          <w:rFonts w:hint="cs"/>
          <w:rtl/>
        </w:rPr>
        <w:t xml:space="preserve">الطابع </w:t>
      </w:r>
      <w:r w:rsidRPr="0023118C">
        <w:rPr>
          <w:rtl/>
        </w:rPr>
        <w:t>الاقتصاد</w:t>
      </w:r>
      <w:r>
        <w:rPr>
          <w:rtl/>
        </w:rPr>
        <w:t>ي أو الاجتماعي أو الثقافي أو الإنساني</w:t>
      </w:r>
      <w:r w:rsidRPr="0023118C">
        <w:rPr>
          <w:rtl/>
        </w:rPr>
        <w:t>،</w:t>
      </w:r>
    </w:p>
    <w:p w:rsidR="00105898" w:rsidRPr="0023118C" w:rsidRDefault="00105898" w:rsidP="00105898">
      <w:pPr>
        <w:pStyle w:val="SingleTxtGA"/>
        <w:rPr>
          <w:rtl/>
        </w:rPr>
      </w:pPr>
      <w:r w:rsidRPr="0023118C">
        <w:rPr>
          <w:rFonts w:hint="cs"/>
          <w:b/>
          <w:i/>
          <w:iCs/>
          <w:rtl/>
        </w:rPr>
        <w:tab/>
      </w:r>
      <w:r w:rsidRPr="0023118C">
        <w:rPr>
          <w:b/>
          <w:i/>
          <w:iCs/>
          <w:rtl/>
        </w:rPr>
        <w:t>وإذ يؤكد</w:t>
      </w:r>
      <w:r w:rsidRPr="0023118C">
        <w:rPr>
          <w:rtl/>
        </w:rPr>
        <w:t xml:space="preserve"> أن المؤتمر العالمي لحقوق الإنسان اتفق على دعوة المجتمع الدولي إلى بذل كل ما في وسعه من أجل المساعدة على تخفيف عبء الديون الخارجية الملقى على عاتق البلدان النامية، بغية تكملة الجهود التي تبذلها حكومات هذه البلدان من أجل </w:t>
      </w:r>
      <w:r w:rsidRPr="0023118C">
        <w:rPr>
          <w:rFonts w:hint="cs"/>
          <w:rtl/>
        </w:rPr>
        <w:t xml:space="preserve">تحقيق </w:t>
      </w:r>
      <w:r w:rsidRPr="0023118C">
        <w:rPr>
          <w:rtl/>
        </w:rPr>
        <w:t>الإعمال التام للحقوق الاقتصادية والاجتماعية والثقافية لشعوبها،</w:t>
      </w:r>
    </w:p>
    <w:p w:rsidR="00105898" w:rsidRPr="00AA7665" w:rsidRDefault="00105898" w:rsidP="00A006FD">
      <w:pPr>
        <w:pStyle w:val="SingleTxtGA"/>
        <w:rPr>
          <w:rFonts w:hint="cs"/>
          <w:i/>
          <w:iCs/>
          <w:spacing w:val="-2"/>
          <w:rtl/>
        </w:rPr>
      </w:pPr>
      <w:r w:rsidRPr="00AA7665">
        <w:rPr>
          <w:rFonts w:hint="cs"/>
          <w:b/>
          <w:i/>
          <w:iCs/>
          <w:spacing w:val="-2"/>
          <w:rtl/>
        </w:rPr>
        <w:tab/>
      </w:r>
      <w:r w:rsidRPr="00AA7665">
        <w:rPr>
          <w:b/>
          <w:i/>
          <w:iCs/>
          <w:spacing w:val="-2"/>
          <w:rtl/>
        </w:rPr>
        <w:t>وإذ يشدد</w:t>
      </w:r>
      <w:r w:rsidRPr="00AA7665">
        <w:rPr>
          <w:rFonts w:hint="cs"/>
          <w:spacing w:val="-2"/>
          <w:rtl/>
        </w:rPr>
        <w:t xml:space="preserve"> </w:t>
      </w:r>
      <w:r w:rsidRPr="00AA7665">
        <w:rPr>
          <w:spacing w:val="-2"/>
          <w:rtl/>
        </w:rPr>
        <w:t>على ما أُعرب عنه في إعلان الأمم المتحدة بشأن الألفية من تصميم على</w:t>
      </w:r>
      <w:r w:rsidRPr="00AA7665">
        <w:rPr>
          <w:rFonts w:hint="cs"/>
          <w:spacing w:val="-2"/>
          <w:rtl/>
        </w:rPr>
        <w:t xml:space="preserve"> </w:t>
      </w:r>
      <w:r w:rsidRPr="00AA7665">
        <w:rPr>
          <w:spacing w:val="-2"/>
          <w:rtl/>
        </w:rPr>
        <w:t xml:space="preserve">تناول مشاكل ديون البلدان النامية </w:t>
      </w:r>
      <w:r w:rsidR="005B0335">
        <w:rPr>
          <w:rFonts w:hint="cs"/>
          <w:spacing w:val="-2"/>
          <w:rtl/>
        </w:rPr>
        <w:t xml:space="preserve">ذات الدخل </w:t>
      </w:r>
      <w:r w:rsidRPr="00AA7665">
        <w:rPr>
          <w:spacing w:val="-2"/>
          <w:rtl/>
        </w:rPr>
        <w:t xml:space="preserve">المنخفض </w:t>
      </w:r>
      <w:r w:rsidR="005B0335">
        <w:rPr>
          <w:rFonts w:hint="cs"/>
          <w:spacing w:val="-2"/>
          <w:rtl/>
        </w:rPr>
        <w:t xml:space="preserve">وذات الدخل </w:t>
      </w:r>
      <w:r w:rsidR="005B0335">
        <w:rPr>
          <w:spacing w:val="-2"/>
          <w:rtl/>
        </w:rPr>
        <w:t>المتوسط</w:t>
      </w:r>
      <w:r w:rsidRPr="00AA7665">
        <w:rPr>
          <w:spacing w:val="-2"/>
          <w:rtl/>
        </w:rPr>
        <w:t xml:space="preserve"> تناولاً شاملاً وفعالاً</w:t>
      </w:r>
      <w:r w:rsidRPr="00AA7665">
        <w:rPr>
          <w:rFonts w:hint="cs"/>
          <w:spacing w:val="-2"/>
          <w:rtl/>
        </w:rPr>
        <w:t>،</w:t>
      </w:r>
      <w:r w:rsidRPr="00AA7665">
        <w:rPr>
          <w:spacing w:val="-2"/>
          <w:rtl/>
        </w:rPr>
        <w:t xml:space="preserve"> باتخاذ تدابير متنوعة على الصعيدين الوطني والدولي لجعل تحمّل ديونها ممكناً </w:t>
      </w:r>
      <w:r w:rsidR="005B0335">
        <w:rPr>
          <w:rFonts w:hint="cs"/>
          <w:spacing w:val="-2"/>
          <w:rtl/>
        </w:rPr>
        <w:t xml:space="preserve">في </w:t>
      </w:r>
      <w:r w:rsidR="00A006FD">
        <w:rPr>
          <w:rFonts w:hint="cs"/>
          <w:spacing w:val="-2"/>
          <w:rtl/>
        </w:rPr>
        <w:t>الأمد</w:t>
      </w:r>
      <w:r w:rsidR="00A61744">
        <w:rPr>
          <w:rFonts w:hint="cs"/>
          <w:spacing w:val="-2"/>
          <w:rtl/>
        </w:rPr>
        <w:t xml:space="preserve"> </w:t>
      </w:r>
      <w:r w:rsidRPr="00AA7665">
        <w:rPr>
          <w:spacing w:val="-2"/>
          <w:rtl/>
        </w:rPr>
        <w:t>الطويل،</w:t>
      </w:r>
    </w:p>
    <w:p w:rsidR="00105898" w:rsidRPr="0023118C" w:rsidRDefault="00105898" w:rsidP="00105898">
      <w:pPr>
        <w:pStyle w:val="SingleTxtGA"/>
        <w:rPr>
          <w:rFonts w:hint="cs"/>
          <w:rtl/>
        </w:rPr>
      </w:pPr>
      <w:r>
        <w:rPr>
          <w:rFonts w:hint="cs"/>
          <w:i/>
          <w:iCs/>
          <w:rtl/>
        </w:rPr>
        <w:tab/>
      </w:r>
      <w:r w:rsidRPr="00215042">
        <w:rPr>
          <w:rFonts w:hint="cs"/>
          <w:i/>
          <w:iCs/>
          <w:rtl/>
        </w:rPr>
        <w:t>وإذ يضع</w:t>
      </w:r>
      <w:r w:rsidRPr="004A6442">
        <w:rPr>
          <w:rFonts w:hint="cs"/>
          <w:i/>
          <w:iCs/>
          <w:rtl/>
        </w:rPr>
        <w:t xml:space="preserve"> في اعتباره</w:t>
      </w:r>
      <w:r w:rsidRPr="00215042">
        <w:rPr>
          <w:rFonts w:hint="cs"/>
          <w:rtl/>
        </w:rPr>
        <w:t xml:space="preserve"> دور وولاية </w:t>
      </w:r>
      <w:r>
        <w:rPr>
          <w:rFonts w:hint="cs"/>
          <w:rtl/>
        </w:rPr>
        <w:t xml:space="preserve">وأنشطة </w:t>
      </w:r>
      <w:r w:rsidRPr="00215042">
        <w:rPr>
          <w:rFonts w:hint="cs"/>
          <w:rtl/>
        </w:rPr>
        <w:t>وكالات الأمم المتحدة وصناديقها وبرامجها في مجال معالجة قضايا الديون الخارجية والالتزامات المالية الدولية،</w:t>
      </w:r>
    </w:p>
    <w:p w:rsidR="00105898" w:rsidRDefault="00105898" w:rsidP="00105898">
      <w:pPr>
        <w:pStyle w:val="SingleTxtGA"/>
        <w:rPr>
          <w:rFonts w:hint="cs"/>
          <w:rtl/>
        </w:rPr>
      </w:pPr>
      <w:r>
        <w:rPr>
          <w:rFonts w:hint="cs"/>
          <w:i/>
          <w:iCs/>
          <w:rtl/>
        </w:rPr>
        <w:tab/>
      </w:r>
      <w:r w:rsidRPr="00D47DB9">
        <w:rPr>
          <w:rFonts w:hint="cs"/>
          <w:i/>
          <w:iCs/>
          <w:rtl/>
        </w:rPr>
        <w:t>وإذ يدرك</w:t>
      </w:r>
      <w:r w:rsidRPr="00AA7665">
        <w:rPr>
          <w:rFonts w:hint="cs"/>
          <w:rtl/>
        </w:rPr>
        <w:t xml:space="preserve"> </w:t>
      </w:r>
      <w:r>
        <w:rPr>
          <w:rFonts w:hint="cs"/>
          <w:rtl/>
        </w:rPr>
        <w:t xml:space="preserve">تزايد الإقرار بأن عبء الديون المتزايد الذي تواجهه أشد البلدان النامية مديونية، ولا </w:t>
      </w:r>
      <w:proofErr w:type="spellStart"/>
      <w:r>
        <w:rPr>
          <w:rFonts w:hint="cs"/>
          <w:rtl/>
        </w:rPr>
        <w:t>سيما</w:t>
      </w:r>
      <w:proofErr w:type="spellEnd"/>
      <w:r>
        <w:rPr>
          <w:rFonts w:hint="cs"/>
          <w:rtl/>
        </w:rPr>
        <w:t xml:space="preserve"> أقلها نمواً، لا يُحتمل ويشكل إحدى العقبات الرئيسية التي تحول دون إحراز تقدم في تحقيق تنمية مستدامة محورها الناس وفي القضاء على الفقر، وأن خدمة الديون الباهظة تحدّ بشدة من قدرة الكثير من البلدان النامية والبلدان التي تمر </w:t>
      </w:r>
      <w:proofErr w:type="spellStart"/>
      <w:r>
        <w:rPr>
          <w:rFonts w:hint="cs"/>
          <w:rtl/>
        </w:rPr>
        <w:t>اقتصاداتها</w:t>
      </w:r>
      <w:proofErr w:type="spellEnd"/>
      <w:r>
        <w:rPr>
          <w:rFonts w:hint="cs"/>
          <w:rtl/>
        </w:rPr>
        <w:t xml:space="preserve"> بمرحلة انتقالية على النهوض بالتنمية الاجتماعية وتقديم الخدمات الأساسية من أجل تهيئة الظروف لإعمال الحقوق الاقتصادية والاجتماعية والثقافية،</w:t>
      </w:r>
    </w:p>
    <w:p w:rsidR="00105898" w:rsidRPr="001676D8" w:rsidRDefault="00105898" w:rsidP="00A737DC">
      <w:pPr>
        <w:pStyle w:val="SingleTxtGA"/>
        <w:rPr>
          <w:rFonts w:hint="cs"/>
          <w:spacing w:val="-2"/>
          <w:rtl/>
        </w:rPr>
      </w:pPr>
      <w:r w:rsidRPr="001676D8">
        <w:rPr>
          <w:rFonts w:hint="cs"/>
          <w:b/>
          <w:i/>
          <w:iCs/>
          <w:spacing w:val="-2"/>
          <w:rtl/>
        </w:rPr>
        <w:tab/>
      </w:r>
      <w:r w:rsidRPr="001676D8">
        <w:rPr>
          <w:b/>
          <w:i/>
          <w:iCs/>
          <w:spacing w:val="-2"/>
          <w:rtl/>
        </w:rPr>
        <w:t>وإذ يعرب عن قلقه</w:t>
      </w:r>
      <w:r w:rsidRPr="004A6442">
        <w:rPr>
          <w:b/>
          <w:spacing w:val="-2"/>
          <w:rtl/>
        </w:rPr>
        <w:t xml:space="preserve"> </w:t>
      </w:r>
      <w:r w:rsidR="00A737DC">
        <w:rPr>
          <w:rFonts w:hint="cs"/>
          <w:spacing w:val="-2"/>
          <w:rtl/>
        </w:rPr>
        <w:t>لأ</w:t>
      </w:r>
      <w:r>
        <w:rPr>
          <w:rFonts w:hint="cs"/>
          <w:spacing w:val="-2"/>
          <w:rtl/>
        </w:rPr>
        <w:t>ن البلدان النامية</w:t>
      </w:r>
      <w:r w:rsidRPr="001676D8">
        <w:rPr>
          <w:spacing w:val="-2"/>
          <w:rtl/>
        </w:rPr>
        <w:t xml:space="preserve">، على الرغم من إعادة جدولة </w:t>
      </w:r>
      <w:r>
        <w:rPr>
          <w:rFonts w:hint="cs"/>
          <w:spacing w:val="-2"/>
          <w:rtl/>
        </w:rPr>
        <w:t>ديونها</w:t>
      </w:r>
      <w:r w:rsidRPr="001676D8">
        <w:rPr>
          <w:spacing w:val="-2"/>
          <w:rtl/>
        </w:rPr>
        <w:t xml:space="preserve"> مراراً وتكراراً، ما</w:t>
      </w:r>
      <w:r w:rsidRPr="001676D8">
        <w:rPr>
          <w:rFonts w:hint="cs"/>
          <w:spacing w:val="-2"/>
          <w:rtl/>
        </w:rPr>
        <w:t xml:space="preserve"> </w:t>
      </w:r>
      <w:r w:rsidRPr="001676D8">
        <w:rPr>
          <w:spacing w:val="-2"/>
          <w:rtl/>
        </w:rPr>
        <w:t>زالت تسدد سنوياً مبلغاً أكبر من المبلغ الفعلي الذي تتلقاه كمساعدة إنمائية</w:t>
      </w:r>
      <w:r w:rsidRPr="001676D8">
        <w:rPr>
          <w:rFonts w:hint="cs"/>
          <w:spacing w:val="-2"/>
          <w:rtl/>
        </w:rPr>
        <w:t xml:space="preserve"> </w:t>
      </w:r>
      <w:r w:rsidRPr="001676D8">
        <w:rPr>
          <w:spacing w:val="-2"/>
          <w:rtl/>
        </w:rPr>
        <w:t>رسمية</w:t>
      </w:r>
      <w:r w:rsidRPr="001676D8">
        <w:rPr>
          <w:rFonts w:hint="cs"/>
          <w:spacing w:val="-2"/>
          <w:rtl/>
        </w:rPr>
        <w:t>،</w:t>
      </w:r>
    </w:p>
    <w:p w:rsidR="00105898" w:rsidRPr="0023118C" w:rsidRDefault="00105898" w:rsidP="00105898">
      <w:pPr>
        <w:pStyle w:val="SingleTxtGA"/>
        <w:rPr>
          <w:rtl/>
        </w:rPr>
      </w:pPr>
      <w:r w:rsidRPr="0023118C">
        <w:rPr>
          <w:rFonts w:hint="cs"/>
          <w:b/>
          <w:i/>
          <w:iCs/>
          <w:rtl/>
        </w:rPr>
        <w:tab/>
      </w:r>
      <w:r w:rsidRPr="0023118C">
        <w:rPr>
          <w:b/>
          <w:i/>
          <w:iCs/>
          <w:rtl/>
        </w:rPr>
        <w:t>وإذ يؤكد</w:t>
      </w:r>
      <w:r w:rsidRPr="0023118C">
        <w:rPr>
          <w:b/>
          <w:rtl/>
        </w:rPr>
        <w:t xml:space="preserve"> </w:t>
      </w:r>
      <w:r w:rsidRPr="0023118C">
        <w:rPr>
          <w:rtl/>
        </w:rPr>
        <w:t>أن عبء الديون يزيد من تعقيد المشاكل العديدة التي تواجه</w:t>
      </w:r>
      <w:r w:rsidRPr="0023118C">
        <w:rPr>
          <w:rFonts w:hint="cs"/>
          <w:rtl/>
        </w:rPr>
        <w:t>ها</w:t>
      </w:r>
      <w:r w:rsidRPr="0023118C">
        <w:rPr>
          <w:rtl/>
        </w:rPr>
        <w:t xml:space="preserve"> البلدان النامية، ويس</w:t>
      </w:r>
      <w:r>
        <w:rPr>
          <w:rFonts w:hint="cs"/>
          <w:rtl/>
        </w:rPr>
        <w:t>اهم</w:t>
      </w:r>
      <w:r w:rsidRPr="0023118C">
        <w:rPr>
          <w:rtl/>
        </w:rPr>
        <w:t xml:space="preserve"> </w:t>
      </w:r>
      <w:r>
        <w:rPr>
          <w:rFonts w:hint="cs"/>
          <w:rtl/>
        </w:rPr>
        <w:t>في</w:t>
      </w:r>
      <w:r w:rsidRPr="0023118C">
        <w:rPr>
          <w:rtl/>
        </w:rPr>
        <w:t xml:space="preserve"> انتشار الفقر المدقع، ويشكل عقبة أمام التنمية البشرية المستدامة، ومن ثم فإنه عائق خطير يعترض سبيل إعمال جميع حقوق الإنسان،</w:t>
      </w:r>
    </w:p>
    <w:p w:rsidR="00105898" w:rsidRDefault="00105898" w:rsidP="00E15271">
      <w:pPr>
        <w:pStyle w:val="SingleTxtGA"/>
        <w:rPr>
          <w:rFonts w:hint="cs"/>
          <w:rtl/>
        </w:rPr>
      </w:pPr>
      <w:r w:rsidRPr="004D4B91">
        <w:rPr>
          <w:rFonts w:hint="cs"/>
          <w:rtl/>
        </w:rPr>
        <w:tab/>
      </w:r>
      <w:r>
        <w:rPr>
          <w:rFonts w:hint="cs"/>
          <w:rtl/>
        </w:rPr>
        <w:t>1-</w:t>
      </w:r>
      <w:r w:rsidRPr="004D4B91">
        <w:rPr>
          <w:rFonts w:hint="cs"/>
          <w:rtl/>
        </w:rPr>
        <w:tab/>
      </w:r>
      <w:r w:rsidRPr="007D0687">
        <w:rPr>
          <w:rFonts w:hint="cs"/>
          <w:i/>
          <w:iCs/>
          <w:rtl/>
        </w:rPr>
        <w:t>يذك</w:t>
      </w:r>
      <w:r>
        <w:rPr>
          <w:rFonts w:hint="cs"/>
          <w:i/>
          <w:iCs/>
          <w:rtl/>
        </w:rPr>
        <w:t>ِّ</w:t>
      </w:r>
      <w:r w:rsidRPr="007D0687">
        <w:rPr>
          <w:rFonts w:hint="cs"/>
          <w:i/>
          <w:iCs/>
          <w:rtl/>
        </w:rPr>
        <w:t>ر</w:t>
      </w:r>
      <w:r w:rsidRPr="004D4B91">
        <w:rPr>
          <w:rFonts w:hint="cs"/>
          <w:rtl/>
        </w:rPr>
        <w:t xml:space="preserve"> </w:t>
      </w:r>
      <w:r>
        <w:rPr>
          <w:rFonts w:hint="cs"/>
          <w:rtl/>
        </w:rPr>
        <w:t>ب</w:t>
      </w:r>
      <w:r w:rsidRPr="0023118C">
        <w:rPr>
          <w:rtl/>
        </w:rPr>
        <w:t xml:space="preserve">أن كل دولة هي </w:t>
      </w:r>
      <w:proofErr w:type="spellStart"/>
      <w:r w:rsidRPr="0023118C">
        <w:rPr>
          <w:rtl/>
        </w:rPr>
        <w:t>المسؤولة</w:t>
      </w:r>
      <w:proofErr w:type="spellEnd"/>
      <w:r w:rsidRPr="0023118C">
        <w:rPr>
          <w:rtl/>
        </w:rPr>
        <w:t xml:space="preserve"> </w:t>
      </w:r>
      <w:r w:rsidR="005B5EB4">
        <w:rPr>
          <w:rFonts w:hint="cs"/>
          <w:rtl/>
        </w:rPr>
        <w:t xml:space="preserve">في المقام </w:t>
      </w:r>
      <w:r w:rsidR="005B5EB4">
        <w:rPr>
          <w:rtl/>
        </w:rPr>
        <w:t>الأول</w:t>
      </w:r>
      <w:r w:rsidRPr="0023118C">
        <w:rPr>
          <w:rtl/>
        </w:rPr>
        <w:t xml:space="preserve"> عن النهوض بالتنمية الاقتصادية والاجتماعية والثقافية لشعبها، </w:t>
      </w:r>
      <w:r w:rsidRPr="0023118C">
        <w:rPr>
          <w:rFonts w:hint="cs"/>
          <w:rtl/>
        </w:rPr>
        <w:t xml:space="preserve">وأن </w:t>
      </w:r>
      <w:r w:rsidRPr="0023118C">
        <w:rPr>
          <w:rtl/>
        </w:rPr>
        <w:t>لها الحق والمسؤولية في اختيار وسائلها وأهدافها الإنمائية</w:t>
      </w:r>
      <w:r w:rsidRPr="0023118C">
        <w:rPr>
          <w:rFonts w:hint="cs"/>
          <w:rtl/>
        </w:rPr>
        <w:t xml:space="preserve"> </w:t>
      </w:r>
      <w:r w:rsidRPr="0023118C">
        <w:rPr>
          <w:rtl/>
        </w:rPr>
        <w:t xml:space="preserve">لبلوغ هذه الغاية، وينبغي ألا تخضع </w:t>
      </w:r>
      <w:proofErr w:type="spellStart"/>
      <w:r w:rsidR="00E15271">
        <w:rPr>
          <w:rFonts w:hint="cs"/>
          <w:rtl/>
        </w:rPr>
        <w:t>لإ</w:t>
      </w:r>
      <w:r w:rsidRPr="0023118C">
        <w:rPr>
          <w:rtl/>
        </w:rPr>
        <w:t>ملاءات</w:t>
      </w:r>
      <w:proofErr w:type="spellEnd"/>
      <w:r w:rsidRPr="0023118C">
        <w:rPr>
          <w:rtl/>
        </w:rPr>
        <w:t xml:space="preserve"> خارجية</w:t>
      </w:r>
      <w:r w:rsidRPr="0023118C">
        <w:rPr>
          <w:rFonts w:hint="cs"/>
          <w:rtl/>
        </w:rPr>
        <w:t xml:space="preserve"> </w:t>
      </w:r>
      <w:r w:rsidR="00E15271">
        <w:rPr>
          <w:rFonts w:hint="cs"/>
          <w:rtl/>
        </w:rPr>
        <w:t xml:space="preserve">محددة </w:t>
      </w:r>
      <w:r>
        <w:rPr>
          <w:rFonts w:hint="cs"/>
          <w:rtl/>
        </w:rPr>
        <w:t>فيما ي</w:t>
      </w:r>
      <w:r w:rsidRPr="0023118C">
        <w:rPr>
          <w:rFonts w:hint="cs"/>
          <w:rtl/>
        </w:rPr>
        <w:t>تعلق</w:t>
      </w:r>
      <w:r w:rsidRPr="0023118C">
        <w:rPr>
          <w:rtl/>
        </w:rPr>
        <w:t xml:space="preserve"> بالسياسة</w:t>
      </w:r>
      <w:r w:rsidRPr="0023118C">
        <w:rPr>
          <w:rFonts w:hint="cs"/>
          <w:rtl/>
        </w:rPr>
        <w:t> </w:t>
      </w:r>
      <w:r>
        <w:rPr>
          <w:rtl/>
        </w:rPr>
        <w:t>الاقتصادية؛</w:t>
      </w:r>
    </w:p>
    <w:p w:rsidR="00105898" w:rsidRDefault="00105898" w:rsidP="00861CCA">
      <w:pPr>
        <w:pStyle w:val="SingleTxtGA"/>
        <w:rPr>
          <w:rFonts w:hint="cs"/>
          <w:rtl/>
        </w:rPr>
      </w:pPr>
      <w:r w:rsidRPr="0023118C">
        <w:rPr>
          <w:rFonts w:hint="cs"/>
          <w:rtl/>
        </w:rPr>
        <w:tab/>
      </w:r>
      <w:r>
        <w:rPr>
          <w:rFonts w:hint="cs"/>
          <w:rtl/>
        </w:rPr>
        <w:t>2-</w:t>
      </w:r>
      <w:r w:rsidRPr="0023118C">
        <w:rPr>
          <w:rFonts w:hint="cs"/>
          <w:b/>
          <w:i/>
          <w:iCs/>
          <w:rtl/>
        </w:rPr>
        <w:tab/>
      </w:r>
      <w:r w:rsidRPr="0023118C">
        <w:rPr>
          <w:b/>
          <w:i/>
          <w:iCs/>
          <w:rtl/>
        </w:rPr>
        <w:t>يسلِّم</w:t>
      </w:r>
      <w:r w:rsidRPr="0023118C">
        <w:rPr>
          <w:rtl/>
        </w:rPr>
        <w:t xml:space="preserve"> بأن برامج الإصلاح في مجال التكيف الهيكلي</w:t>
      </w:r>
      <w:r>
        <w:rPr>
          <w:rFonts w:hint="cs"/>
          <w:rtl/>
        </w:rPr>
        <w:t xml:space="preserve"> والاشتراطات المتعلقة بالسياسات العامة</w:t>
      </w:r>
      <w:r w:rsidRPr="0023118C">
        <w:rPr>
          <w:rtl/>
        </w:rPr>
        <w:t xml:space="preserve"> تحد</w:t>
      </w:r>
      <w:r>
        <w:rPr>
          <w:rFonts w:hint="cs"/>
          <w:rtl/>
        </w:rPr>
        <w:t>ّ</w:t>
      </w:r>
      <w:r w:rsidRPr="0023118C">
        <w:rPr>
          <w:rtl/>
        </w:rPr>
        <w:t xml:space="preserve"> من الإنفاق العام </w:t>
      </w:r>
      <w:r w:rsidRPr="0023118C">
        <w:rPr>
          <w:rFonts w:hint="cs"/>
          <w:rtl/>
        </w:rPr>
        <w:t>وت</w:t>
      </w:r>
      <w:r w:rsidRPr="0023118C">
        <w:rPr>
          <w:rtl/>
        </w:rPr>
        <w:t>فرض حدود</w:t>
      </w:r>
      <w:r w:rsidRPr="0023118C">
        <w:rPr>
          <w:rFonts w:hint="cs"/>
          <w:rtl/>
        </w:rPr>
        <w:t>اً</w:t>
      </w:r>
      <w:r w:rsidRPr="0023118C">
        <w:rPr>
          <w:rtl/>
        </w:rPr>
        <w:t xml:space="preserve"> قصوى ثابتة على الإنفاق، ولا تولي اهتماماً كافياً لتوفير الخدمات الاجتماعية، وأن</w:t>
      </w:r>
      <w:r>
        <w:rPr>
          <w:rFonts w:hint="cs"/>
          <w:rtl/>
        </w:rPr>
        <w:t xml:space="preserve"> عدد</w:t>
      </w:r>
      <w:r w:rsidR="00861CCA">
        <w:rPr>
          <w:rFonts w:hint="cs"/>
          <w:rtl/>
        </w:rPr>
        <w:t>اً قليلاً</w:t>
      </w:r>
      <w:r>
        <w:rPr>
          <w:rFonts w:hint="cs"/>
          <w:rtl/>
        </w:rPr>
        <w:t xml:space="preserve"> </w:t>
      </w:r>
      <w:r w:rsidR="00861CCA">
        <w:rPr>
          <w:rFonts w:hint="cs"/>
          <w:rtl/>
        </w:rPr>
        <w:t xml:space="preserve">فقط </w:t>
      </w:r>
      <w:r>
        <w:rPr>
          <w:rFonts w:hint="cs"/>
          <w:rtl/>
        </w:rPr>
        <w:t xml:space="preserve">من البلدان </w:t>
      </w:r>
      <w:r w:rsidR="00861CCA">
        <w:rPr>
          <w:rFonts w:hint="cs"/>
          <w:rtl/>
        </w:rPr>
        <w:t xml:space="preserve">ينجح في </w:t>
      </w:r>
      <w:r w:rsidRPr="0023118C">
        <w:rPr>
          <w:rtl/>
        </w:rPr>
        <w:t>تحقيق نمو مستدام</w:t>
      </w:r>
      <w:r w:rsidRPr="0023118C">
        <w:rPr>
          <w:rFonts w:hint="cs"/>
          <w:rtl/>
        </w:rPr>
        <w:t xml:space="preserve"> </w:t>
      </w:r>
      <w:r w:rsidRPr="0023118C">
        <w:rPr>
          <w:rtl/>
        </w:rPr>
        <w:t xml:space="preserve">أعلى </w:t>
      </w:r>
      <w:r w:rsidR="00861CCA">
        <w:rPr>
          <w:rFonts w:hint="cs"/>
          <w:rtl/>
        </w:rPr>
        <w:t xml:space="preserve">في إطار </w:t>
      </w:r>
      <w:r w:rsidRPr="0023118C">
        <w:rPr>
          <w:rtl/>
        </w:rPr>
        <w:t>هذه البرامج؛</w:t>
      </w:r>
    </w:p>
    <w:p w:rsidR="00105898" w:rsidRPr="0023118C" w:rsidRDefault="00105898" w:rsidP="0018006A">
      <w:pPr>
        <w:pStyle w:val="SingleTxtGA"/>
        <w:rPr>
          <w:rtl/>
        </w:rPr>
      </w:pPr>
      <w:r w:rsidRPr="0023118C">
        <w:rPr>
          <w:rFonts w:hint="cs"/>
          <w:b/>
          <w:rtl/>
        </w:rPr>
        <w:tab/>
      </w:r>
      <w:r>
        <w:rPr>
          <w:rFonts w:hint="cs"/>
          <w:b/>
          <w:rtl/>
        </w:rPr>
        <w:t>3</w:t>
      </w:r>
      <w:r w:rsidRPr="0023118C">
        <w:rPr>
          <w:b/>
          <w:rtl/>
        </w:rPr>
        <w:t>-</w:t>
      </w:r>
      <w:r w:rsidRPr="0023118C">
        <w:rPr>
          <w:rFonts w:hint="cs"/>
          <w:b/>
          <w:i/>
          <w:iCs/>
          <w:rtl/>
        </w:rPr>
        <w:tab/>
      </w:r>
      <w:r>
        <w:rPr>
          <w:rFonts w:hint="cs"/>
          <w:b/>
          <w:i/>
          <w:iCs/>
          <w:rtl/>
        </w:rPr>
        <w:t>يسلِّم</w:t>
      </w:r>
      <w:r w:rsidRPr="004A6442">
        <w:rPr>
          <w:i/>
          <w:iCs/>
          <w:rtl/>
        </w:rPr>
        <w:t xml:space="preserve"> </w:t>
      </w:r>
      <w:r w:rsidRPr="004A6442">
        <w:rPr>
          <w:rFonts w:hint="cs"/>
          <w:i/>
          <w:iCs/>
          <w:rtl/>
        </w:rPr>
        <w:t>أيضاً</w:t>
      </w:r>
      <w:r>
        <w:rPr>
          <w:rFonts w:hint="cs"/>
          <w:rtl/>
        </w:rPr>
        <w:t xml:space="preserve"> </w:t>
      </w:r>
      <w:r w:rsidRPr="0023118C">
        <w:rPr>
          <w:rtl/>
        </w:rPr>
        <w:t xml:space="preserve">بأن تخفيف عبء الديون يمكن أن يؤدي دوراً رئيسياً في </w:t>
      </w:r>
      <w:r w:rsidRPr="0023118C">
        <w:rPr>
          <w:rFonts w:hint="cs"/>
          <w:rtl/>
        </w:rPr>
        <w:t xml:space="preserve">تحرير </w:t>
      </w:r>
      <w:r w:rsidRPr="0023118C">
        <w:rPr>
          <w:rtl/>
        </w:rPr>
        <w:t xml:space="preserve">موارد </w:t>
      </w:r>
      <w:r>
        <w:rPr>
          <w:rFonts w:hint="cs"/>
          <w:rtl/>
        </w:rPr>
        <w:t>ينبغي</w:t>
      </w:r>
      <w:r w:rsidRPr="0023118C">
        <w:rPr>
          <w:rtl/>
        </w:rPr>
        <w:t xml:space="preserve"> تخصيصها للأنشطة التي </w:t>
      </w:r>
      <w:r>
        <w:rPr>
          <w:rFonts w:hint="cs"/>
          <w:rtl/>
        </w:rPr>
        <w:t xml:space="preserve">تنسجم مع </w:t>
      </w:r>
      <w:r w:rsidRPr="0023118C">
        <w:rPr>
          <w:rtl/>
        </w:rPr>
        <w:t xml:space="preserve">تحقيق </w:t>
      </w:r>
      <w:r w:rsidRPr="0023118C">
        <w:rPr>
          <w:rFonts w:hint="cs"/>
          <w:rtl/>
        </w:rPr>
        <w:t>نمو وتنمية مستدامين</w:t>
      </w:r>
      <w:r w:rsidRPr="0023118C">
        <w:rPr>
          <w:rtl/>
        </w:rPr>
        <w:t xml:space="preserve">، بما في ذلك الحد من الفقر </w:t>
      </w:r>
      <w:r w:rsidRPr="0023118C">
        <w:rPr>
          <w:rFonts w:hint="cs"/>
          <w:rtl/>
        </w:rPr>
        <w:t>وبلوغ</w:t>
      </w:r>
      <w:r w:rsidRPr="0023118C">
        <w:rPr>
          <w:rtl/>
        </w:rPr>
        <w:t xml:space="preserve"> الأهداف الإنمائية، بما </w:t>
      </w:r>
      <w:r w:rsidRPr="0023118C">
        <w:rPr>
          <w:rFonts w:hint="cs"/>
          <w:rtl/>
        </w:rPr>
        <w:t xml:space="preserve">يشمل </w:t>
      </w:r>
      <w:r w:rsidRPr="0023118C">
        <w:rPr>
          <w:rtl/>
        </w:rPr>
        <w:t>الأهداف</w:t>
      </w:r>
      <w:r w:rsidRPr="0023118C">
        <w:rPr>
          <w:rFonts w:hint="cs"/>
          <w:rtl/>
        </w:rPr>
        <w:t xml:space="preserve"> المحددة </w:t>
      </w:r>
      <w:r w:rsidRPr="0023118C">
        <w:rPr>
          <w:rtl/>
        </w:rPr>
        <w:t>في إعلان</w:t>
      </w:r>
      <w:r w:rsidRPr="0023118C">
        <w:rPr>
          <w:rFonts w:hint="cs"/>
          <w:rtl/>
        </w:rPr>
        <w:t xml:space="preserve"> الأمم المتحدة</w:t>
      </w:r>
      <w:r w:rsidRPr="0023118C">
        <w:rPr>
          <w:rtl/>
        </w:rPr>
        <w:t xml:space="preserve"> </w:t>
      </w:r>
      <w:r w:rsidRPr="0023118C">
        <w:rPr>
          <w:rFonts w:hint="cs"/>
          <w:rtl/>
        </w:rPr>
        <w:t>ل</w:t>
      </w:r>
      <w:r w:rsidRPr="0023118C">
        <w:rPr>
          <w:rtl/>
        </w:rPr>
        <w:t>لألفية، و</w:t>
      </w:r>
      <w:r w:rsidRPr="0023118C">
        <w:rPr>
          <w:rFonts w:hint="cs"/>
          <w:rtl/>
        </w:rPr>
        <w:t xml:space="preserve">أنه </w:t>
      </w:r>
      <w:r w:rsidR="0018006A">
        <w:rPr>
          <w:rFonts w:hint="cs"/>
          <w:rtl/>
        </w:rPr>
        <w:t xml:space="preserve">ينبغي </w:t>
      </w:r>
      <w:r w:rsidRPr="0023118C">
        <w:rPr>
          <w:rFonts w:hint="cs"/>
          <w:rtl/>
        </w:rPr>
        <w:t>ب</w:t>
      </w:r>
      <w:r w:rsidRPr="0023118C">
        <w:rPr>
          <w:rtl/>
        </w:rPr>
        <w:t>التالي المضي</w:t>
      </w:r>
      <w:r w:rsidRPr="0023118C">
        <w:rPr>
          <w:rFonts w:hint="cs"/>
          <w:rtl/>
        </w:rPr>
        <w:t xml:space="preserve"> بتصميم وسرعة </w:t>
      </w:r>
      <w:r w:rsidRPr="0023118C">
        <w:rPr>
          <w:rtl/>
        </w:rPr>
        <w:t xml:space="preserve">في اتخاذ تدابير للتخفيف من عبء الديون، </w:t>
      </w:r>
      <w:r>
        <w:rPr>
          <w:rFonts w:hint="cs"/>
          <w:rtl/>
        </w:rPr>
        <w:t>حيثما يكون ذلك مناسباً</w:t>
      </w:r>
      <w:r w:rsidRPr="0023118C">
        <w:rPr>
          <w:rtl/>
        </w:rPr>
        <w:t xml:space="preserve">، على ألا تحل هذه التدابير محل مصادر التمويل البديلة </w:t>
      </w:r>
      <w:r w:rsidRPr="0023118C">
        <w:rPr>
          <w:rFonts w:hint="cs"/>
          <w:rtl/>
        </w:rPr>
        <w:t>و</w:t>
      </w:r>
      <w:r w:rsidRPr="0023118C">
        <w:rPr>
          <w:rtl/>
        </w:rPr>
        <w:t>أن تقترن بزيادة في</w:t>
      </w:r>
      <w:r w:rsidRPr="0023118C">
        <w:rPr>
          <w:rFonts w:hint="cs"/>
          <w:rtl/>
        </w:rPr>
        <w:t> </w:t>
      </w:r>
      <w:r w:rsidRPr="0023118C">
        <w:rPr>
          <w:rtl/>
        </w:rPr>
        <w:t>المساعدة الإنمائية الرسمية؛</w:t>
      </w:r>
    </w:p>
    <w:p w:rsidR="00105898" w:rsidRPr="0023118C" w:rsidRDefault="00105898" w:rsidP="00F7226D">
      <w:pPr>
        <w:pStyle w:val="SingleTxtGA"/>
        <w:rPr>
          <w:rtl/>
        </w:rPr>
      </w:pPr>
      <w:r w:rsidRPr="0023118C">
        <w:rPr>
          <w:rFonts w:hint="cs"/>
          <w:b/>
          <w:rtl/>
        </w:rPr>
        <w:tab/>
      </w:r>
      <w:r>
        <w:rPr>
          <w:rFonts w:hint="cs"/>
          <w:b/>
          <w:rtl/>
        </w:rPr>
        <w:t>4</w:t>
      </w:r>
      <w:r w:rsidRPr="0023118C">
        <w:rPr>
          <w:b/>
          <w:rtl/>
        </w:rPr>
        <w:t>-</w:t>
      </w:r>
      <w:r w:rsidRPr="0023118C">
        <w:rPr>
          <w:rFonts w:hint="cs"/>
          <w:b/>
          <w:i/>
          <w:iCs/>
          <w:rtl/>
        </w:rPr>
        <w:tab/>
      </w:r>
      <w:r w:rsidRPr="0023118C">
        <w:rPr>
          <w:b/>
          <w:i/>
          <w:iCs/>
          <w:rtl/>
        </w:rPr>
        <w:t>يذكِّر مرة أخرى</w:t>
      </w:r>
      <w:r w:rsidRPr="0023118C">
        <w:rPr>
          <w:rtl/>
        </w:rPr>
        <w:t xml:space="preserve"> بالدعوة الموجهة إلى البلدان الصناعية في إعلان الألفية من أجل تنفيذ البرنامج المعزز لتخفيف ديون</w:t>
      </w:r>
      <w:r>
        <w:rPr>
          <w:rtl/>
        </w:rPr>
        <w:t xml:space="preserve"> </w:t>
      </w:r>
      <w:r>
        <w:rPr>
          <w:rFonts w:hint="cs"/>
          <w:rtl/>
        </w:rPr>
        <w:t xml:space="preserve">البلدان الفقيرة المثقلة بالديون، </w:t>
      </w:r>
      <w:r w:rsidRPr="0023118C">
        <w:rPr>
          <w:rtl/>
        </w:rPr>
        <w:t xml:space="preserve">دون مزيد من </w:t>
      </w:r>
      <w:r w:rsidR="00F7226D">
        <w:rPr>
          <w:rFonts w:hint="cs"/>
          <w:rtl/>
        </w:rPr>
        <w:t>التأخير</w:t>
      </w:r>
      <w:r w:rsidRPr="0023118C">
        <w:rPr>
          <w:rtl/>
        </w:rPr>
        <w:t>، والموافقة على شطب جميع الديون الرسمية الثنائية لهذه البلدان في مقابل التزامها بالحد من الفقر على</w:t>
      </w:r>
      <w:r>
        <w:rPr>
          <w:rFonts w:hint="cs"/>
          <w:rtl/>
        </w:rPr>
        <w:t xml:space="preserve"> </w:t>
      </w:r>
      <w:r w:rsidRPr="0023118C">
        <w:rPr>
          <w:rtl/>
        </w:rPr>
        <w:t>نحو يمكن إثباته؛</w:t>
      </w:r>
    </w:p>
    <w:p w:rsidR="00105898" w:rsidRPr="0023118C" w:rsidRDefault="00105898" w:rsidP="00105898">
      <w:pPr>
        <w:pStyle w:val="SingleTxtGA"/>
        <w:rPr>
          <w:rFonts w:hint="cs"/>
          <w:strike/>
          <w:rtl/>
        </w:rPr>
      </w:pPr>
      <w:r w:rsidRPr="0023118C">
        <w:rPr>
          <w:rFonts w:hint="cs"/>
          <w:b/>
          <w:rtl/>
        </w:rPr>
        <w:tab/>
      </w:r>
      <w:r>
        <w:rPr>
          <w:rFonts w:hint="cs"/>
          <w:b/>
          <w:rtl/>
        </w:rPr>
        <w:t>5</w:t>
      </w:r>
      <w:r w:rsidRPr="0023118C">
        <w:rPr>
          <w:b/>
          <w:rtl/>
        </w:rPr>
        <w:t>-</w:t>
      </w:r>
      <w:r w:rsidRPr="0023118C">
        <w:rPr>
          <w:rFonts w:hint="cs"/>
          <w:b/>
          <w:i/>
          <w:iCs/>
          <w:rtl/>
        </w:rPr>
        <w:tab/>
      </w:r>
      <w:r w:rsidRPr="0023118C">
        <w:rPr>
          <w:b/>
          <w:i/>
          <w:iCs/>
          <w:rtl/>
        </w:rPr>
        <w:t>يحث</w:t>
      </w:r>
      <w:r w:rsidRPr="005370C9">
        <w:rPr>
          <w:b/>
          <w:rtl/>
        </w:rPr>
        <w:t xml:space="preserve"> </w:t>
      </w:r>
      <w:r w:rsidRPr="0023118C">
        <w:rPr>
          <w:rtl/>
        </w:rPr>
        <w:t xml:space="preserve">المجتمع الدولي، بما في ذلك منظومة الأمم المتحدة، ومؤسسات </w:t>
      </w:r>
      <w:proofErr w:type="spellStart"/>
      <w:r w:rsidRPr="0023118C">
        <w:rPr>
          <w:rtl/>
        </w:rPr>
        <w:t>بريتون</w:t>
      </w:r>
      <w:proofErr w:type="spellEnd"/>
      <w:r w:rsidRPr="0023118C">
        <w:rPr>
          <w:rFonts w:hint="cs"/>
          <w:rtl/>
        </w:rPr>
        <w:t> </w:t>
      </w:r>
      <w:proofErr w:type="spellStart"/>
      <w:r w:rsidRPr="0023118C">
        <w:rPr>
          <w:rtl/>
        </w:rPr>
        <w:t>وودز</w:t>
      </w:r>
      <w:proofErr w:type="spellEnd"/>
      <w:r w:rsidRPr="0023118C">
        <w:rPr>
          <w:rtl/>
        </w:rPr>
        <w:t xml:space="preserve">، </w:t>
      </w:r>
      <w:r w:rsidRPr="0023118C">
        <w:rPr>
          <w:rFonts w:hint="cs"/>
          <w:rtl/>
        </w:rPr>
        <w:t>و</w:t>
      </w:r>
      <w:r w:rsidRPr="0023118C">
        <w:rPr>
          <w:rtl/>
        </w:rPr>
        <w:t xml:space="preserve">القطاع الخاص، على اتخاذ التدابير والإجراءات الملائمة لتنفيذ التعهدات والالتزامات والاتفاقات والقرارات </w:t>
      </w:r>
      <w:r>
        <w:rPr>
          <w:rFonts w:hint="cs"/>
          <w:rtl/>
        </w:rPr>
        <w:t>المنبثقة</w:t>
      </w:r>
      <w:r w:rsidRPr="0023118C">
        <w:rPr>
          <w:rtl/>
        </w:rPr>
        <w:t xml:space="preserve"> عن المؤتمرات الرئيسية ومؤتمرات القمة التي عقدتها الأمم المتحدة، </w:t>
      </w:r>
      <w:r w:rsidRPr="0023118C">
        <w:rPr>
          <w:rFonts w:hint="cs"/>
          <w:rtl/>
        </w:rPr>
        <w:t>بما فيها قمة</w:t>
      </w:r>
      <w:r w:rsidRPr="0023118C">
        <w:rPr>
          <w:rtl/>
        </w:rPr>
        <w:t xml:space="preserve"> الألفية، والمؤتمر العالمي لحقوق الإنسان، والمؤتمر العالمي لمكافحة العنصرية والتمييز العنصري وكره الأجانب وما يتصل بذلك من تعصب، ومؤتمر القمة العالمي للتنمية المستدامة، والمؤتمر الدولي لتمويل التنمية، وخاصة ما</w:t>
      </w:r>
      <w:r w:rsidRPr="0023118C">
        <w:rPr>
          <w:rFonts w:hint="cs"/>
          <w:rtl/>
        </w:rPr>
        <w:t> </w:t>
      </w:r>
      <w:r w:rsidRPr="0023118C">
        <w:rPr>
          <w:rtl/>
        </w:rPr>
        <w:t xml:space="preserve">يتعلق منها بمسألة مشكلة الديون الخارجية للبلدان النامية، لا </w:t>
      </w:r>
      <w:proofErr w:type="spellStart"/>
      <w:r w:rsidRPr="0023118C">
        <w:rPr>
          <w:rtl/>
        </w:rPr>
        <w:t>سيما</w:t>
      </w:r>
      <w:proofErr w:type="spellEnd"/>
      <w:r w:rsidRPr="0023118C">
        <w:rPr>
          <w:rtl/>
        </w:rPr>
        <w:t xml:space="preserve"> البلدان</w:t>
      </w:r>
      <w:r w:rsidRPr="003D0418">
        <w:rPr>
          <w:rtl/>
        </w:rPr>
        <w:t xml:space="preserve"> </w:t>
      </w:r>
      <w:r w:rsidRPr="0023118C">
        <w:rPr>
          <w:rtl/>
        </w:rPr>
        <w:t>المثقلة بالديون</w:t>
      </w:r>
      <w:r>
        <w:rPr>
          <w:rFonts w:hint="cs"/>
          <w:rtl/>
        </w:rPr>
        <w:t xml:space="preserve"> من بين البلدان</w:t>
      </w:r>
      <w:r w:rsidRPr="0023118C">
        <w:rPr>
          <w:rtl/>
        </w:rPr>
        <w:t xml:space="preserve"> الفقيرة وأقل البلدان نمواً والبلدان التي تمر </w:t>
      </w:r>
      <w:proofErr w:type="spellStart"/>
      <w:r w:rsidRPr="0023118C">
        <w:rPr>
          <w:rtl/>
        </w:rPr>
        <w:t>اقتصاداتها</w:t>
      </w:r>
      <w:proofErr w:type="spellEnd"/>
      <w:r w:rsidRPr="0023118C">
        <w:rPr>
          <w:rtl/>
        </w:rPr>
        <w:t xml:space="preserve"> بمرحلة انتقالية؛</w:t>
      </w:r>
    </w:p>
    <w:p w:rsidR="00105898" w:rsidRDefault="00105898" w:rsidP="00B56261">
      <w:pPr>
        <w:pStyle w:val="SingleTxtGA"/>
        <w:rPr>
          <w:rtl/>
        </w:rPr>
      </w:pPr>
      <w:r w:rsidRPr="0023118C">
        <w:rPr>
          <w:rFonts w:hint="cs"/>
          <w:b/>
          <w:rtl/>
        </w:rPr>
        <w:tab/>
      </w:r>
      <w:r>
        <w:rPr>
          <w:rFonts w:hint="cs"/>
          <w:b/>
          <w:rtl/>
        </w:rPr>
        <w:t>6</w:t>
      </w:r>
      <w:r w:rsidRPr="0023118C">
        <w:rPr>
          <w:b/>
          <w:rtl/>
        </w:rPr>
        <w:t>-</w:t>
      </w:r>
      <w:r w:rsidRPr="0023118C">
        <w:rPr>
          <w:rFonts w:hint="cs"/>
          <w:b/>
          <w:i/>
          <w:iCs/>
          <w:rtl/>
        </w:rPr>
        <w:tab/>
      </w:r>
      <w:r w:rsidRPr="0023118C">
        <w:rPr>
          <w:b/>
          <w:i/>
          <w:iCs/>
          <w:rtl/>
        </w:rPr>
        <w:t xml:space="preserve">يكرر </w:t>
      </w:r>
      <w:r w:rsidRPr="0023118C">
        <w:rPr>
          <w:b/>
          <w:rtl/>
        </w:rPr>
        <w:t>طلبه</w:t>
      </w:r>
      <w:r w:rsidRPr="0023118C">
        <w:rPr>
          <w:rtl/>
        </w:rPr>
        <w:t xml:space="preserve"> إلى مفوضة الأمم المتحدة السامية لحقوق الإنسان أن تولي مزيداً من الاهتمام لمشكلة أعباء الديون التي تثقل كاهل البلدان النامية، لا </w:t>
      </w:r>
      <w:proofErr w:type="spellStart"/>
      <w:r w:rsidRPr="0023118C">
        <w:rPr>
          <w:rtl/>
        </w:rPr>
        <w:t>سيما</w:t>
      </w:r>
      <w:proofErr w:type="spellEnd"/>
      <w:r w:rsidRPr="0023118C">
        <w:rPr>
          <w:rtl/>
        </w:rPr>
        <w:t xml:space="preserve"> أقل البلدان نمواً، و</w:t>
      </w:r>
      <w:r w:rsidR="005524EC">
        <w:rPr>
          <w:rFonts w:hint="cs"/>
          <w:rtl/>
        </w:rPr>
        <w:t>ب</w:t>
      </w:r>
      <w:r w:rsidRPr="0023118C">
        <w:rPr>
          <w:rtl/>
        </w:rPr>
        <w:t xml:space="preserve">خاصة </w:t>
      </w:r>
      <w:r w:rsidR="005524EC">
        <w:rPr>
          <w:rFonts w:hint="cs"/>
          <w:rtl/>
        </w:rPr>
        <w:t>التأثير الاجتماعي ل</w:t>
      </w:r>
      <w:r w:rsidRPr="0023118C">
        <w:rPr>
          <w:rtl/>
        </w:rPr>
        <w:t>ل</w:t>
      </w:r>
      <w:r w:rsidR="00B56261">
        <w:rPr>
          <w:rtl/>
        </w:rPr>
        <w:t>تدابير المتصلة بالديون الخارجية</w:t>
      </w:r>
      <w:r w:rsidRPr="0023118C">
        <w:rPr>
          <w:rtl/>
        </w:rPr>
        <w:t>؛</w:t>
      </w:r>
    </w:p>
    <w:p w:rsidR="00105898" w:rsidRDefault="00105898" w:rsidP="00E27558">
      <w:pPr>
        <w:pStyle w:val="SingleTxtGA"/>
        <w:keepNext/>
        <w:keepLines/>
        <w:pageBreakBefore/>
        <w:suppressLineNumbers/>
        <w:suppressAutoHyphens/>
        <w:rPr>
          <w:rFonts w:hint="cs"/>
          <w:rtl/>
        </w:rPr>
      </w:pPr>
      <w:r>
        <w:rPr>
          <w:rFonts w:hint="cs"/>
          <w:rtl/>
        </w:rPr>
        <w:tab/>
        <w:t>7-</w:t>
      </w:r>
      <w:r>
        <w:rPr>
          <w:rFonts w:hint="cs"/>
          <w:rtl/>
        </w:rPr>
        <w:tab/>
      </w:r>
      <w:r w:rsidRPr="0064395F">
        <w:rPr>
          <w:rFonts w:hint="cs"/>
          <w:i/>
          <w:iCs/>
          <w:rtl/>
        </w:rPr>
        <w:t>يرحب</w:t>
      </w:r>
      <w:r>
        <w:rPr>
          <w:rFonts w:hint="cs"/>
          <w:rtl/>
        </w:rPr>
        <w:t xml:space="preserve"> بعمل ومساهمات </w:t>
      </w:r>
      <w:r w:rsidRPr="00183F39">
        <w:rPr>
          <w:rtl/>
        </w:rPr>
        <w:t xml:space="preserve">الخبير المستقل المعني بآثار الديون الخارجية للدول </w:t>
      </w:r>
      <w:r w:rsidR="00B56261">
        <w:rPr>
          <w:rFonts w:hint="cs"/>
          <w:rtl/>
        </w:rPr>
        <w:t xml:space="preserve">وما يتصل بها من </w:t>
      </w:r>
      <w:r>
        <w:rPr>
          <w:rFonts w:hint="cs"/>
          <w:rtl/>
        </w:rPr>
        <w:t xml:space="preserve">التزامات مالية دولية </w:t>
      </w:r>
      <w:r w:rsidR="00B56261">
        <w:rPr>
          <w:rFonts w:hint="cs"/>
          <w:rtl/>
        </w:rPr>
        <w:t xml:space="preserve">أخرى في </w:t>
      </w:r>
      <w:r w:rsidRPr="00183F39">
        <w:rPr>
          <w:rtl/>
        </w:rPr>
        <w:t>التمتع الكامل بجميع حقوق الإنسان، وخاصة الحقوق الاقتصادية والاجتماعية والثقافية</w:t>
      </w:r>
      <w:r>
        <w:rPr>
          <w:rFonts w:hint="cs"/>
          <w:rtl/>
        </w:rPr>
        <w:t>، ويحيط علماً مع التقدير بتقريره الأخير إلى</w:t>
      </w:r>
      <w:r>
        <w:rPr>
          <w:rFonts w:hint="eastAsia"/>
          <w:rtl/>
        </w:rPr>
        <w:t> </w:t>
      </w:r>
      <w:r>
        <w:rPr>
          <w:rFonts w:hint="cs"/>
          <w:rtl/>
        </w:rPr>
        <w:t>المجلس</w:t>
      </w:r>
      <w:r>
        <w:rPr>
          <w:vertAlign w:val="superscript"/>
          <w:rtl/>
        </w:rPr>
        <w:t>(</w:t>
      </w:r>
      <w:r>
        <w:rPr>
          <w:rStyle w:val="FootnoteReference"/>
          <w:rtl/>
        </w:rPr>
        <w:footnoteReference w:id="1"/>
      </w:r>
      <w:r>
        <w:rPr>
          <w:vertAlign w:val="superscript"/>
          <w:rtl/>
        </w:rPr>
        <w:t>)</w:t>
      </w:r>
      <w:r>
        <w:rPr>
          <w:rFonts w:hint="cs"/>
          <w:rtl/>
        </w:rPr>
        <w:t>؛</w:t>
      </w:r>
    </w:p>
    <w:p w:rsidR="00105898" w:rsidRDefault="00105898" w:rsidP="00E27558">
      <w:pPr>
        <w:pStyle w:val="SingleTxtGA"/>
        <w:rPr>
          <w:rFonts w:hint="cs"/>
          <w:rtl/>
        </w:rPr>
      </w:pPr>
      <w:r>
        <w:rPr>
          <w:rFonts w:hint="cs"/>
          <w:rtl/>
        </w:rPr>
        <w:tab/>
        <w:t>8-</w:t>
      </w:r>
      <w:r>
        <w:rPr>
          <w:rFonts w:hint="cs"/>
          <w:rtl/>
        </w:rPr>
        <w:tab/>
      </w:r>
      <w:r w:rsidRPr="00D45DDB">
        <w:rPr>
          <w:rFonts w:hint="cs"/>
          <w:i/>
          <w:iCs/>
          <w:rtl/>
        </w:rPr>
        <w:t>يقرر</w:t>
      </w:r>
      <w:r>
        <w:rPr>
          <w:rFonts w:hint="cs"/>
          <w:rtl/>
        </w:rPr>
        <w:t xml:space="preserve"> تمديد ولاية </w:t>
      </w:r>
      <w:r w:rsidRPr="0035776D">
        <w:rPr>
          <w:rtl/>
        </w:rPr>
        <w:t xml:space="preserve">الخبير المستقل المعني بآثار الديون الخارجية </w:t>
      </w:r>
      <w:r>
        <w:rPr>
          <w:rFonts w:hint="cs"/>
          <w:rtl/>
        </w:rPr>
        <w:t xml:space="preserve">للدول </w:t>
      </w:r>
      <w:r w:rsidR="00872E04">
        <w:rPr>
          <w:rFonts w:hint="cs"/>
          <w:rtl/>
        </w:rPr>
        <w:t xml:space="preserve">          </w:t>
      </w:r>
      <w:r w:rsidR="003C22AD">
        <w:rPr>
          <w:rFonts w:hint="cs"/>
          <w:rtl/>
        </w:rPr>
        <w:t xml:space="preserve">وما يتصل بها من </w:t>
      </w:r>
      <w:r w:rsidRPr="0035776D">
        <w:rPr>
          <w:rtl/>
        </w:rPr>
        <w:t xml:space="preserve">التزامات مالية دولية </w:t>
      </w:r>
      <w:r w:rsidR="005733A5">
        <w:rPr>
          <w:rFonts w:hint="cs"/>
          <w:rtl/>
        </w:rPr>
        <w:t xml:space="preserve">أخرى في </w:t>
      </w:r>
      <w:r w:rsidRPr="0035776D">
        <w:rPr>
          <w:rtl/>
        </w:rPr>
        <w:t>التمتع الكامل بجميع حقوق الإنسان، وخاصة الحقوق الاقتصادية والاجتماعية والثقافية</w:t>
      </w:r>
      <w:r>
        <w:rPr>
          <w:rFonts w:hint="cs"/>
          <w:rtl/>
        </w:rPr>
        <w:t>، لفترة ثلاث سنوات، ويطلب إلى الخبير المستقل أن يولي اهتماماً خاصاً للآتي:</w:t>
      </w:r>
    </w:p>
    <w:p w:rsidR="00105898" w:rsidRDefault="00105898" w:rsidP="004D659D">
      <w:pPr>
        <w:pStyle w:val="SingleTxtGA"/>
        <w:rPr>
          <w:rFonts w:hint="cs"/>
          <w:rtl/>
        </w:rPr>
      </w:pPr>
      <w:r>
        <w:rPr>
          <w:rFonts w:hint="cs"/>
          <w:rtl/>
        </w:rPr>
        <w:tab/>
        <w:t>(أ)</w:t>
      </w:r>
      <w:r>
        <w:rPr>
          <w:rFonts w:hint="cs"/>
          <w:rtl/>
        </w:rPr>
        <w:tab/>
      </w:r>
      <w:r>
        <w:rPr>
          <w:rtl/>
        </w:rPr>
        <w:t xml:space="preserve">آثار </w:t>
      </w:r>
      <w:r>
        <w:rPr>
          <w:rFonts w:hint="cs"/>
          <w:rtl/>
        </w:rPr>
        <w:t>ا</w:t>
      </w:r>
      <w:r>
        <w:rPr>
          <w:rtl/>
        </w:rPr>
        <w:t xml:space="preserve">لديون الخارجية </w:t>
      </w:r>
      <w:r>
        <w:rPr>
          <w:rFonts w:hint="cs"/>
          <w:rtl/>
        </w:rPr>
        <w:t xml:space="preserve">والسياسات المعتمدة للتصدي لها </w:t>
      </w:r>
      <w:r w:rsidR="004D659D">
        <w:rPr>
          <w:rFonts w:hint="cs"/>
          <w:rtl/>
        </w:rPr>
        <w:t>في</w:t>
      </w:r>
      <w:r>
        <w:rPr>
          <w:rtl/>
        </w:rPr>
        <w:t xml:space="preserve"> التمتع الكامل بجميع حقوق الإنسان في البلدان النامية، وبخاصة الحقوق الاقتصادية والاجتماعية والثقافية؛</w:t>
      </w:r>
    </w:p>
    <w:p w:rsidR="00105898" w:rsidRDefault="00105898" w:rsidP="004D659D">
      <w:pPr>
        <w:pStyle w:val="SingleTxtGA"/>
        <w:rPr>
          <w:rFonts w:hint="cs"/>
          <w:rtl/>
        </w:rPr>
      </w:pPr>
      <w:r>
        <w:rPr>
          <w:rFonts w:hint="cs"/>
          <w:rtl/>
        </w:rPr>
        <w:tab/>
        <w:t>(ب)</w:t>
      </w:r>
      <w:r>
        <w:rPr>
          <w:rFonts w:hint="cs"/>
          <w:rtl/>
        </w:rPr>
        <w:tab/>
        <w:t xml:space="preserve">تأثير الديون الخارجية </w:t>
      </w:r>
      <w:r w:rsidR="004D659D">
        <w:rPr>
          <w:rFonts w:hint="cs"/>
          <w:rtl/>
        </w:rPr>
        <w:t xml:space="preserve">وما يتصل بها من التزامات مالية دولية أخرى في </w:t>
      </w:r>
      <w:r>
        <w:rPr>
          <w:rFonts w:hint="cs"/>
          <w:rtl/>
        </w:rPr>
        <w:t>قدرة الدول على وضع وتنفيذ سياساتها وبرامجها، بما في ذلك الميزانيات الوطنية التي تستجيب للمتطلبات الحيوية لتعزيز إعمال الحقوق الاجتماعية؛</w:t>
      </w:r>
    </w:p>
    <w:p w:rsidR="00105898" w:rsidRPr="00E66876" w:rsidRDefault="00105898" w:rsidP="00105898">
      <w:pPr>
        <w:pStyle w:val="SingleTxtGA"/>
        <w:rPr>
          <w:rFonts w:hint="cs"/>
          <w:spacing w:val="-4"/>
          <w:rtl/>
        </w:rPr>
      </w:pPr>
      <w:r w:rsidRPr="00E66876">
        <w:rPr>
          <w:rFonts w:hint="cs"/>
          <w:spacing w:val="-4"/>
          <w:rtl/>
        </w:rPr>
        <w:tab/>
        <w:t>(ج)</w:t>
      </w:r>
      <w:r w:rsidRPr="00E66876">
        <w:rPr>
          <w:rFonts w:hint="cs"/>
          <w:spacing w:val="-4"/>
          <w:rtl/>
        </w:rPr>
        <w:tab/>
      </w:r>
      <w:r w:rsidRPr="00E66876">
        <w:rPr>
          <w:spacing w:val="-4"/>
          <w:rtl/>
        </w:rPr>
        <w:t xml:space="preserve">التدابير المتخذة من قبل الحكومات والقطاع الخاص والمؤسسات المالية الدولية للتخفيف من حدة هذه الآثار في البلدان النامية، ولا </w:t>
      </w:r>
      <w:proofErr w:type="spellStart"/>
      <w:r w:rsidRPr="00E66876">
        <w:rPr>
          <w:spacing w:val="-4"/>
          <w:rtl/>
        </w:rPr>
        <w:t>سيما</w:t>
      </w:r>
      <w:proofErr w:type="spellEnd"/>
      <w:r w:rsidRPr="00E66876">
        <w:rPr>
          <w:spacing w:val="-4"/>
          <w:rtl/>
        </w:rPr>
        <w:t xml:space="preserve"> </w:t>
      </w:r>
      <w:r>
        <w:rPr>
          <w:rFonts w:hint="cs"/>
          <w:spacing w:val="-4"/>
          <w:rtl/>
        </w:rPr>
        <w:t xml:space="preserve">أشد </w:t>
      </w:r>
      <w:r w:rsidRPr="00E66876">
        <w:rPr>
          <w:spacing w:val="-4"/>
          <w:rtl/>
        </w:rPr>
        <w:t xml:space="preserve">البلدان فقراً </w:t>
      </w:r>
      <w:r>
        <w:rPr>
          <w:rFonts w:hint="cs"/>
          <w:spacing w:val="-4"/>
          <w:rtl/>
        </w:rPr>
        <w:t xml:space="preserve">والبلدان </w:t>
      </w:r>
      <w:r w:rsidRPr="00E66876">
        <w:rPr>
          <w:spacing w:val="-4"/>
          <w:rtl/>
        </w:rPr>
        <w:t>المثقلة</w:t>
      </w:r>
      <w:r>
        <w:rPr>
          <w:rFonts w:hint="cs"/>
          <w:spacing w:val="-4"/>
          <w:rtl/>
        </w:rPr>
        <w:t> </w:t>
      </w:r>
      <w:r w:rsidRPr="00E66876">
        <w:rPr>
          <w:spacing w:val="-4"/>
          <w:rtl/>
        </w:rPr>
        <w:t>بالديون؛</w:t>
      </w:r>
    </w:p>
    <w:p w:rsidR="00105898" w:rsidRDefault="00105898" w:rsidP="00540052">
      <w:pPr>
        <w:pStyle w:val="SingleTxtGA"/>
        <w:rPr>
          <w:rFonts w:hint="cs"/>
          <w:rtl/>
        </w:rPr>
      </w:pPr>
      <w:r>
        <w:rPr>
          <w:rFonts w:hint="cs"/>
          <w:rtl/>
        </w:rPr>
        <w:tab/>
        <w:t>(د)</w:t>
      </w:r>
      <w:r>
        <w:rPr>
          <w:rFonts w:hint="cs"/>
          <w:rtl/>
        </w:rPr>
        <w:tab/>
      </w:r>
      <w:r>
        <w:rPr>
          <w:rtl/>
        </w:rPr>
        <w:t>التطورات الجديدة والإجراءات والمبادرات الجاري</w:t>
      </w:r>
      <w:r w:rsidR="006B4341">
        <w:rPr>
          <w:rFonts w:hint="cs"/>
          <w:rtl/>
        </w:rPr>
        <w:t>ة</w:t>
      </w:r>
      <w:r>
        <w:rPr>
          <w:rtl/>
        </w:rPr>
        <w:t xml:space="preserve"> </w:t>
      </w:r>
      <w:r w:rsidR="004D659D">
        <w:rPr>
          <w:rFonts w:hint="cs"/>
          <w:rtl/>
        </w:rPr>
        <w:t xml:space="preserve">التي تتخذها </w:t>
      </w:r>
      <w:r>
        <w:rPr>
          <w:rtl/>
        </w:rPr>
        <w:t>المؤسسات المالية الدولية وغيرها من هيئات الأمم المتحدة والمنظمات الحكومية الدولية والمنظمات غير الحكومية</w:t>
      </w:r>
      <w:r w:rsidR="00540052">
        <w:rPr>
          <w:rFonts w:hint="cs"/>
          <w:rtl/>
        </w:rPr>
        <w:t xml:space="preserve"> فيما يتعلق بسياسات الإصلاح الاقتصادي وحقوق الإنسان</w:t>
      </w:r>
      <w:r>
        <w:rPr>
          <w:rFonts w:hint="cs"/>
          <w:rtl/>
        </w:rPr>
        <w:t>؛</w:t>
      </w:r>
    </w:p>
    <w:p w:rsidR="00105898" w:rsidRDefault="00105898" w:rsidP="00105898">
      <w:pPr>
        <w:pStyle w:val="SingleTxtGA"/>
        <w:rPr>
          <w:rFonts w:hint="cs"/>
          <w:rtl/>
        </w:rPr>
      </w:pPr>
      <w:r>
        <w:rPr>
          <w:rFonts w:hint="cs"/>
          <w:rtl/>
        </w:rPr>
        <w:tab/>
        <w:t>(ﻫ)</w:t>
      </w:r>
      <w:r>
        <w:rPr>
          <w:rFonts w:hint="cs"/>
          <w:rtl/>
        </w:rPr>
        <w:tab/>
        <w:t xml:space="preserve">التحديد الكمي للمعايير </w:t>
      </w:r>
      <w:r>
        <w:rPr>
          <w:rtl/>
        </w:rPr>
        <w:t xml:space="preserve">الدنيا </w:t>
      </w:r>
      <w:r>
        <w:rPr>
          <w:rFonts w:hint="cs"/>
          <w:rtl/>
        </w:rPr>
        <w:t>لدعم تحقيق</w:t>
      </w:r>
      <w:r>
        <w:rPr>
          <w:rtl/>
        </w:rPr>
        <w:t xml:space="preserve"> الأهداف الإنمائية للألفية؛</w:t>
      </w:r>
    </w:p>
    <w:p w:rsidR="00105898" w:rsidRDefault="00105898" w:rsidP="00105898">
      <w:pPr>
        <w:pStyle w:val="SingleTxtGA"/>
        <w:rPr>
          <w:rFonts w:hint="cs"/>
          <w:rtl/>
        </w:rPr>
      </w:pPr>
      <w:r>
        <w:rPr>
          <w:rFonts w:hint="cs"/>
          <w:rtl/>
        </w:rPr>
        <w:tab/>
        <w:t>(و)</w:t>
      </w:r>
      <w:r>
        <w:rPr>
          <w:rFonts w:hint="cs"/>
          <w:rtl/>
        </w:rPr>
        <w:tab/>
        <w:t>تعزيز التشاور مع جميع أصحاب المصلحة المعنيين بغية إنجاز هذه الولاية؛</w:t>
      </w:r>
    </w:p>
    <w:p w:rsidR="00105898" w:rsidRDefault="00105898" w:rsidP="007B14E2">
      <w:pPr>
        <w:pStyle w:val="SingleTxtGA"/>
        <w:rPr>
          <w:rFonts w:hint="cs"/>
          <w:rtl/>
        </w:rPr>
      </w:pPr>
      <w:r w:rsidRPr="00D451F6">
        <w:rPr>
          <w:rFonts w:hint="cs"/>
          <w:rtl/>
        </w:rPr>
        <w:tab/>
      </w:r>
      <w:r>
        <w:rPr>
          <w:rFonts w:hint="cs"/>
          <w:rtl/>
        </w:rPr>
        <w:t>9</w:t>
      </w:r>
      <w:r w:rsidRPr="00D451F6">
        <w:rPr>
          <w:rFonts w:hint="cs"/>
          <w:rtl/>
        </w:rPr>
        <w:t>-</w:t>
      </w:r>
      <w:r w:rsidRPr="00D451F6">
        <w:rPr>
          <w:rFonts w:hint="cs"/>
          <w:rtl/>
        </w:rPr>
        <w:tab/>
      </w:r>
      <w:proofErr w:type="spellStart"/>
      <w:r w:rsidRPr="00D451F6">
        <w:rPr>
          <w:rFonts w:hint="cs"/>
          <w:i/>
          <w:iCs/>
          <w:rtl/>
        </w:rPr>
        <w:t>يهيب</w:t>
      </w:r>
      <w:proofErr w:type="spellEnd"/>
      <w:r w:rsidRPr="00D451F6">
        <w:rPr>
          <w:rFonts w:hint="cs"/>
          <w:rtl/>
        </w:rPr>
        <w:t xml:space="preserve"> بجميع الحكومات أن تتعاون مع الخبير المستقل وأن تساعده في أداء ولايته، وأن تزوده بجميع المعلومات الضرورية التي يطلبها، وأن تنظر جدياً في الاستجابة لطلبات</w:t>
      </w:r>
      <w:r>
        <w:rPr>
          <w:rFonts w:hint="cs"/>
          <w:rtl/>
        </w:rPr>
        <w:t>ه</w:t>
      </w:r>
      <w:r w:rsidRPr="00D451F6">
        <w:rPr>
          <w:rFonts w:hint="cs"/>
          <w:rtl/>
        </w:rPr>
        <w:t xml:space="preserve"> المتعلقة بزيارة بلدانها لتمكينه من </w:t>
      </w:r>
      <w:r w:rsidR="007B14E2">
        <w:rPr>
          <w:rFonts w:hint="cs"/>
          <w:rtl/>
        </w:rPr>
        <w:t xml:space="preserve">إنجاز </w:t>
      </w:r>
      <w:r w:rsidRPr="00D451F6">
        <w:rPr>
          <w:rFonts w:hint="cs"/>
          <w:rtl/>
        </w:rPr>
        <w:t>واجباته على نحو فعال؛</w:t>
      </w:r>
    </w:p>
    <w:p w:rsidR="00105898" w:rsidRDefault="00105898" w:rsidP="00656445">
      <w:pPr>
        <w:pStyle w:val="SingleTxtGA"/>
        <w:rPr>
          <w:rFonts w:hint="cs"/>
          <w:rtl/>
        </w:rPr>
      </w:pPr>
      <w:r w:rsidRPr="00FA2F6A">
        <w:rPr>
          <w:rFonts w:hint="cs"/>
          <w:b/>
          <w:rtl/>
        </w:rPr>
        <w:tab/>
      </w:r>
      <w:r>
        <w:rPr>
          <w:rFonts w:hint="cs"/>
          <w:b/>
          <w:rtl/>
        </w:rPr>
        <w:t>10</w:t>
      </w:r>
      <w:r w:rsidRPr="00FA2F6A">
        <w:rPr>
          <w:b/>
          <w:rtl/>
        </w:rPr>
        <w:t>-</w:t>
      </w:r>
      <w:r w:rsidRPr="00FA2F6A">
        <w:rPr>
          <w:rFonts w:hint="cs"/>
          <w:b/>
          <w:i/>
          <w:iCs/>
          <w:rtl/>
        </w:rPr>
        <w:tab/>
      </w:r>
      <w:r w:rsidRPr="00FA2F6A">
        <w:rPr>
          <w:b/>
          <w:i/>
          <w:iCs/>
          <w:rtl/>
        </w:rPr>
        <w:t>يحث</w:t>
      </w:r>
      <w:r w:rsidRPr="00FA2F6A">
        <w:rPr>
          <w:rFonts w:hint="cs"/>
          <w:b/>
          <w:rtl/>
        </w:rPr>
        <w:t>ّ</w:t>
      </w:r>
      <w:r w:rsidRPr="00FA2F6A">
        <w:rPr>
          <w:b/>
          <w:rtl/>
        </w:rPr>
        <w:t xml:space="preserve"> الحكومات</w:t>
      </w:r>
      <w:r w:rsidRPr="00FA2F6A">
        <w:rPr>
          <w:rtl/>
        </w:rPr>
        <w:t xml:space="preserve"> والمنظمات الدولية والمؤسسات المالية الدولية والمنظمات غير الحكومية والقطاع الخاص على التعاون الكامل مع الخبير المستقل في </w:t>
      </w:r>
      <w:r w:rsidR="00656445">
        <w:rPr>
          <w:rFonts w:hint="cs"/>
          <w:rtl/>
        </w:rPr>
        <w:t xml:space="preserve">أداء </w:t>
      </w:r>
      <w:r w:rsidRPr="00FA2F6A">
        <w:rPr>
          <w:rtl/>
        </w:rPr>
        <w:t>ولايته؛</w:t>
      </w:r>
    </w:p>
    <w:p w:rsidR="00105898" w:rsidRDefault="00105898" w:rsidP="00656445">
      <w:pPr>
        <w:pStyle w:val="SingleTxtGA"/>
        <w:rPr>
          <w:rFonts w:hint="cs"/>
          <w:rtl/>
        </w:rPr>
      </w:pPr>
      <w:r w:rsidRPr="00D451F6">
        <w:rPr>
          <w:rFonts w:hint="cs"/>
          <w:rtl/>
        </w:rPr>
        <w:tab/>
        <w:t>11-</w:t>
      </w:r>
      <w:r w:rsidRPr="00D451F6">
        <w:rPr>
          <w:rFonts w:hint="cs"/>
          <w:rtl/>
        </w:rPr>
        <w:tab/>
      </w:r>
      <w:r w:rsidRPr="00D451F6">
        <w:rPr>
          <w:rFonts w:hint="cs"/>
          <w:i/>
          <w:iCs/>
          <w:rtl/>
        </w:rPr>
        <w:t xml:space="preserve">يطلب </w:t>
      </w:r>
      <w:r w:rsidRPr="00D451F6">
        <w:rPr>
          <w:rFonts w:hint="cs"/>
          <w:rtl/>
        </w:rPr>
        <w:t xml:space="preserve">إلى المفوضة السامية توفير </w:t>
      </w:r>
      <w:r w:rsidR="00656445">
        <w:rPr>
          <w:rFonts w:hint="cs"/>
          <w:rtl/>
        </w:rPr>
        <w:t xml:space="preserve">كل ما يلزم من </w:t>
      </w:r>
      <w:r w:rsidRPr="00D451F6">
        <w:rPr>
          <w:rFonts w:hint="cs"/>
          <w:rtl/>
        </w:rPr>
        <w:t xml:space="preserve">موارد بشرية ومالية لإنجاز ولاية الخبير المستقل بفعالية؛ </w:t>
      </w:r>
    </w:p>
    <w:p w:rsidR="00105898" w:rsidRDefault="00105898" w:rsidP="00B8140C">
      <w:pPr>
        <w:pStyle w:val="SingleTxtGA"/>
        <w:rPr>
          <w:rFonts w:hint="cs"/>
          <w:rtl/>
          <w:lang/>
        </w:rPr>
      </w:pPr>
      <w:r>
        <w:rPr>
          <w:rFonts w:hint="cs"/>
          <w:rtl/>
        </w:rPr>
        <w:tab/>
        <w:t>12-</w:t>
      </w:r>
      <w:r>
        <w:rPr>
          <w:rFonts w:hint="cs"/>
          <w:rtl/>
        </w:rPr>
        <w:tab/>
      </w:r>
      <w:r w:rsidRPr="00AD0077">
        <w:rPr>
          <w:rFonts w:hint="cs"/>
          <w:i/>
          <w:iCs/>
          <w:rtl/>
        </w:rPr>
        <w:t>يطلب</w:t>
      </w:r>
      <w:r>
        <w:rPr>
          <w:rFonts w:hint="cs"/>
          <w:rtl/>
        </w:rPr>
        <w:t xml:space="preserve"> إلى الخبير المستقل أن </w:t>
      </w:r>
      <w:r>
        <w:rPr>
          <w:rFonts w:hint="cs"/>
          <w:rtl/>
          <w:lang/>
        </w:rPr>
        <w:t xml:space="preserve">يقدم تقارير </w:t>
      </w:r>
      <w:r w:rsidR="00B8140C">
        <w:rPr>
          <w:rFonts w:hint="cs"/>
          <w:rtl/>
          <w:lang/>
        </w:rPr>
        <w:t xml:space="preserve">بانتظام </w:t>
      </w:r>
      <w:r>
        <w:rPr>
          <w:rFonts w:hint="cs"/>
          <w:rtl/>
          <w:lang/>
        </w:rPr>
        <w:t xml:space="preserve">إلى مجلس حقوق الإنسان وإلى الجمعية العامة وفقاً لبرامج عمل كل منهما؛ </w:t>
      </w:r>
    </w:p>
    <w:p w:rsidR="00105898" w:rsidRDefault="00105898" w:rsidP="00105898">
      <w:pPr>
        <w:pStyle w:val="SingleTxtGA"/>
        <w:rPr>
          <w:rFonts w:hint="cs"/>
          <w:rtl/>
        </w:rPr>
      </w:pPr>
      <w:r>
        <w:rPr>
          <w:rFonts w:hint="cs"/>
          <w:rtl/>
          <w:lang/>
        </w:rPr>
        <w:tab/>
        <w:t>13-</w:t>
      </w:r>
      <w:r w:rsidRPr="0023118C">
        <w:rPr>
          <w:rFonts w:hint="cs"/>
          <w:i/>
          <w:rtl/>
        </w:rPr>
        <w:tab/>
      </w:r>
      <w:r w:rsidRPr="0023118C">
        <w:rPr>
          <w:iCs/>
          <w:rtl/>
        </w:rPr>
        <w:t xml:space="preserve">يقرر </w:t>
      </w:r>
      <w:r w:rsidRPr="0023118C">
        <w:rPr>
          <w:rtl/>
        </w:rPr>
        <w:t xml:space="preserve">مواصلة النظر في هذه المسألة في دورته </w:t>
      </w:r>
      <w:r>
        <w:rPr>
          <w:rFonts w:hint="cs"/>
          <w:rtl/>
        </w:rPr>
        <w:t>الثامنة و</w:t>
      </w:r>
      <w:r w:rsidRPr="0023118C">
        <w:rPr>
          <w:rFonts w:hint="cs"/>
          <w:rtl/>
        </w:rPr>
        <w:t>العشرين</w:t>
      </w:r>
      <w:r w:rsidRPr="0023118C">
        <w:rPr>
          <w:rtl/>
        </w:rPr>
        <w:t xml:space="preserve"> في إطار البند نفسه من جدول الأعمال.</w:t>
      </w:r>
    </w:p>
    <w:p w:rsidR="000F34D9" w:rsidRPr="00185EE5" w:rsidRDefault="000F34D9" w:rsidP="000F34D9">
      <w:pPr>
        <w:pStyle w:val="SingleTxtGA"/>
        <w:spacing w:after="0" w:line="356" w:lineRule="exact"/>
        <w:jc w:val="right"/>
        <w:rPr>
          <w:rFonts w:hint="cs"/>
          <w:i/>
          <w:iCs/>
          <w:spacing w:val="6"/>
          <w:kern w:val="16"/>
          <w:sz w:val="30"/>
          <w:rtl/>
          <w:lang w:val="fr-CH"/>
        </w:rPr>
      </w:pPr>
      <w:r w:rsidRPr="00185EE5">
        <w:rPr>
          <w:rFonts w:hint="cs"/>
          <w:i/>
          <w:iCs/>
          <w:spacing w:val="6"/>
          <w:kern w:val="16"/>
          <w:sz w:val="30"/>
          <w:rtl/>
          <w:lang w:val="fr-CH"/>
        </w:rPr>
        <w:t xml:space="preserve">الجلسة </w:t>
      </w:r>
      <w:r>
        <w:rPr>
          <w:rFonts w:hint="cs"/>
          <w:i/>
          <w:iCs/>
          <w:spacing w:val="6"/>
          <w:kern w:val="16"/>
          <w:sz w:val="30"/>
          <w:rtl/>
          <w:lang w:val="fr-CH"/>
        </w:rPr>
        <w:t>54</w:t>
      </w:r>
    </w:p>
    <w:p w:rsidR="000F34D9" w:rsidRPr="001A0BC2" w:rsidRDefault="000F34D9" w:rsidP="000F34D9">
      <w:pPr>
        <w:pStyle w:val="SingleTxtGA"/>
        <w:spacing w:line="356" w:lineRule="exact"/>
        <w:jc w:val="right"/>
        <w:rPr>
          <w:rFonts w:hint="cs"/>
          <w:i/>
          <w:iCs/>
          <w:spacing w:val="6"/>
          <w:kern w:val="16"/>
          <w:sz w:val="30"/>
          <w:rtl/>
          <w:lang w:val="fr-CH"/>
        </w:rPr>
      </w:pPr>
      <w:r>
        <w:rPr>
          <w:rFonts w:hint="cs"/>
          <w:i/>
          <w:iCs/>
          <w:spacing w:val="6"/>
          <w:kern w:val="16"/>
          <w:sz w:val="30"/>
          <w:rtl/>
          <w:lang w:val="fr-CH"/>
        </w:rPr>
        <w:t xml:space="preserve">27 </w:t>
      </w:r>
      <w:r w:rsidRPr="000F34D9">
        <w:rPr>
          <w:rFonts w:hint="cs"/>
          <w:i/>
          <w:iCs/>
          <w:spacing w:val="6"/>
          <w:kern w:val="16"/>
          <w:sz w:val="30"/>
          <w:rtl/>
          <w:lang w:val="fr-CH"/>
        </w:rPr>
        <w:t xml:space="preserve">آذار/مارس </w:t>
      </w:r>
      <w:r>
        <w:rPr>
          <w:rFonts w:hint="cs"/>
          <w:i/>
          <w:iCs/>
          <w:spacing w:val="6"/>
          <w:kern w:val="16"/>
          <w:sz w:val="30"/>
          <w:rtl/>
          <w:lang w:val="fr-CH"/>
        </w:rPr>
        <w:t>2014</w:t>
      </w:r>
    </w:p>
    <w:p w:rsidR="000F34D9" w:rsidRPr="00E606A8" w:rsidRDefault="000F34D9" w:rsidP="00501614">
      <w:pPr>
        <w:pStyle w:val="SingleTxtGA"/>
        <w:spacing w:after="100" w:line="356" w:lineRule="exact"/>
        <w:rPr>
          <w:spacing w:val="6"/>
          <w:kern w:val="16"/>
          <w:sz w:val="30"/>
        </w:rPr>
      </w:pPr>
      <w:r>
        <w:rPr>
          <w:rFonts w:hint="cs"/>
          <w:spacing w:val="6"/>
          <w:kern w:val="16"/>
          <w:sz w:val="30"/>
          <w:rtl/>
          <w:lang w:val="fr-CH"/>
        </w:rPr>
        <w:t xml:space="preserve">[اعتمد بتصويت مسجل، بأغلبية </w:t>
      </w:r>
      <w:r w:rsidR="00501614">
        <w:rPr>
          <w:rFonts w:hint="cs"/>
          <w:spacing w:val="6"/>
          <w:kern w:val="16"/>
          <w:sz w:val="30"/>
          <w:rtl/>
          <w:lang w:val="fr-CH"/>
        </w:rPr>
        <w:t>30</w:t>
      </w:r>
      <w:r>
        <w:rPr>
          <w:rFonts w:hint="cs"/>
          <w:spacing w:val="6"/>
          <w:kern w:val="16"/>
          <w:sz w:val="30"/>
          <w:rtl/>
          <w:lang w:val="fr-CH"/>
        </w:rPr>
        <w:t xml:space="preserve"> صوتاً مقابل 1</w:t>
      </w:r>
      <w:r w:rsidR="00501614">
        <w:rPr>
          <w:rFonts w:hint="cs"/>
          <w:spacing w:val="6"/>
          <w:kern w:val="16"/>
          <w:sz w:val="30"/>
          <w:rtl/>
          <w:lang w:val="fr-CH"/>
        </w:rPr>
        <w:t>4</w:t>
      </w:r>
      <w:r>
        <w:rPr>
          <w:rFonts w:hint="cs"/>
          <w:spacing w:val="6"/>
          <w:kern w:val="16"/>
          <w:sz w:val="30"/>
          <w:rtl/>
          <w:lang w:val="fr-CH"/>
        </w:rPr>
        <w:t xml:space="preserve"> صوتاً، وامتناع </w:t>
      </w:r>
      <w:r w:rsidR="00501614">
        <w:rPr>
          <w:rFonts w:hint="cs"/>
          <w:spacing w:val="6"/>
          <w:kern w:val="16"/>
          <w:sz w:val="30"/>
          <w:rtl/>
          <w:lang w:val="fr-CH"/>
        </w:rPr>
        <w:t>3 أعضاء</w:t>
      </w:r>
      <w:r>
        <w:rPr>
          <w:rFonts w:hint="cs"/>
          <w:spacing w:val="6"/>
          <w:kern w:val="16"/>
          <w:sz w:val="30"/>
          <w:rtl/>
          <w:lang w:val="fr-CH"/>
        </w:rPr>
        <w:t xml:space="preserve"> عن التصويت. وكانت نتيجة التصويت كما يلي:</w:t>
      </w:r>
    </w:p>
    <w:p w:rsidR="000F34D9" w:rsidRPr="007B4DC6" w:rsidRDefault="000F34D9" w:rsidP="000F34D9">
      <w:pPr>
        <w:pStyle w:val="SingleTxtGA"/>
        <w:spacing w:before="60" w:after="60" w:line="356" w:lineRule="exact"/>
        <w:ind w:left="1928"/>
        <w:rPr>
          <w:rFonts w:hint="cs"/>
          <w:i/>
          <w:iCs/>
          <w:kern w:val="16"/>
          <w:rtl/>
          <w:lang w:val="fr-CH"/>
        </w:rPr>
      </w:pPr>
      <w:r w:rsidRPr="007B4DC6">
        <w:rPr>
          <w:rFonts w:hint="cs"/>
          <w:i/>
          <w:iCs/>
          <w:kern w:val="16"/>
          <w:rtl/>
          <w:lang w:val="fr-CH"/>
        </w:rPr>
        <w:t>المؤيدون</w:t>
      </w:r>
      <w:r w:rsidRPr="00013BBD">
        <w:rPr>
          <w:rFonts w:hint="cs"/>
          <w:kern w:val="16"/>
          <w:rtl/>
          <w:lang w:val="fr-CH"/>
        </w:rPr>
        <w:t>:</w:t>
      </w:r>
    </w:p>
    <w:p w:rsidR="000F34D9" w:rsidRPr="00B01364" w:rsidRDefault="00997E5C" w:rsidP="000F34D9">
      <w:pPr>
        <w:pStyle w:val="SingleTxtGA"/>
        <w:tabs>
          <w:tab w:val="clear" w:pos="2608"/>
        </w:tabs>
        <w:spacing w:after="100" w:line="356" w:lineRule="exact"/>
        <w:ind w:left="2345"/>
        <w:rPr>
          <w:rFonts w:hint="cs"/>
          <w:kern w:val="16"/>
          <w:rtl/>
          <w:lang w:val="fr-CH"/>
        </w:rPr>
      </w:pPr>
      <w:r>
        <w:rPr>
          <w:rFonts w:hint="cs"/>
          <w:kern w:val="16"/>
          <w:rtl/>
          <w:lang w:val="fr-CH"/>
        </w:rPr>
        <w:t xml:space="preserve">الاتحاد </w:t>
      </w:r>
      <w:r w:rsidR="00214431">
        <w:rPr>
          <w:rFonts w:hint="cs"/>
          <w:kern w:val="16"/>
          <w:rtl/>
          <w:lang w:val="fr-CH"/>
        </w:rPr>
        <w:t xml:space="preserve">الروسي، إثيوبيا، الأرجنتين، الإمارات العربية المتحدة، إندونيسيا، باكستان، البرازيل، بنن، بوتسوانا، بوركينا </w:t>
      </w:r>
      <w:proofErr w:type="spellStart"/>
      <w:r w:rsidR="00214431">
        <w:rPr>
          <w:rFonts w:hint="cs"/>
          <w:kern w:val="16"/>
          <w:rtl/>
          <w:lang w:val="fr-CH"/>
        </w:rPr>
        <w:t>فاسو</w:t>
      </w:r>
      <w:proofErr w:type="spellEnd"/>
      <w:r w:rsidR="00214431">
        <w:rPr>
          <w:rFonts w:hint="cs"/>
          <w:kern w:val="16"/>
          <w:rtl/>
          <w:lang w:val="fr-CH"/>
        </w:rPr>
        <w:t xml:space="preserve">، الجزائر، جنوب أفريقيا، سيراليون، الصين، </w:t>
      </w:r>
      <w:proofErr w:type="spellStart"/>
      <w:r w:rsidR="00214431">
        <w:rPr>
          <w:rFonts w:hint="cs"/>
          <w:kern w:val="16"/>
          <w:rtl/>
          <w:lang w:val="fr-CH"/>
        </w:rPr>
        <w:t>غابون</w:t>
      </w:r>
      <w:proofErr w:type="spellEnd"/>
      <w:r w:rsidR="00214431">
        <w:rPr>
          <w:rFonts w:hint="cs"/>
          <w:kern w:val="16"/>
          <w:rtl/>
          <w:lang w:val="fr-CH"/>
        </w:rPr>
        <w:t xml:space="preserve">، الفلبين، فنزويلا (جمهورية - </w:t>
      </w:r>
      <w:proofErr w:type="spellStart"/>
      <w:r w:rsidR="00214431">
        <w:rPr>
          <w:rFonts w:hint="cs"/>
          <w:kern w:val="16"/>
          <w:rtl/>
          <w:lang w:val="fr-CH"/>
        </w:rPr>
        <w:t>البوليفارية</w:t>
      </w:r>
      <w:proofErr w:type="spellEnd"/>
      <w:r w:rsidR="00214431">
        <w:rPr>
          <w:rFonts w:hint="cs"/>
          <w:kern w:val="16"/>
          <w:rtl/>
          <w:lang w:val="fr-CH"/>
        </w:rPr>
        <w:t xml:space="preserve">)، </w:t>
      </w:r>
      <w:proofErr w:type="spellStart"/>
      <w:r w:rsidR="00214431">
        <w:rPr>
          <w:rFonts w:hint="cs"/>
          <w:kern w:val="16"/>
          <w:rtl/>
          <w:lang w:val="fr-CH"/>
        </w:rPr>
        <w:t>فييت</w:t>
      </w:r>
      <w:proofErr w:type="spellEnd"/>
      <w:r w:rsidR="00214431">
        <w:rPr>
          <w:rFonts w:hint="cs"/>
          <w:kern w:val="16"/>
          <w:rtl/>
          <w:lang w:val="fr-CH"/>
        </w:rPr>
        <w:t xml:space="preserve"> نام، كازاخستان، كوبا، كوت ديفوار، كوستاريكا، الكونغو، الكويت، كينيا، المغرب، </w:t>
      </w:r>
      <w:proofErr w:type="spellStart"/>
      <w:r w:rsidR="00214431">
        <w:rPr>
          <w:rFonts w:hint="cs"/>
          <w:kern w:val="16"/>
          <w:rtl/>
          <w:lang w:val="fr-CH"/>
        </w:rPr>
        <w:t>ملديف</w:t>
      </w:r>
      <w:proofErr w:type="spellEnd"/>
      <w:r w:rsidR="00214431">
        <w:rPr>
          <w:rFonts w:hint="cs"/>
          <w:kern w:val="16"/>
          <w:rtl/>
          <w:lang w:val="fr-CH"/>
        </w:rPr>
        <w:t>، المملكة العربية السعودية، ناميبيا، الهند</w:t>
      </w:r>
    </w:p>
    <w:p w:rsidR="000F34D9" w:rsidRDefault="000F34D9" w:rsidP="000F34D9">
      <w:pPr>
        <w:pStyle w:val="SingleTxtGA"/>
        <w:spacing w:before="60" w:after="60" w:line="356" w:lineRule="exact"/>
        <w:ind w:left="1928"/>
        <w:rPr>
          <w:rFonts w:hint="cs"/>
          <w:spacing w:val="6"/>
          <w:kern w:val="16"/>
          <w:sz w:val="30"/>
          <w:rtl/>
          <w:lang w:val="fr-CH"/>
        </w:rPr>
      </w:pPr>
      <w:r w:rsidRPr="00B01364">
        <w:rPr>
          <w:rFonts w:hint="cs"/>
          <w:i/>
          <w:iCs/>
          <w:spacing w:val="6"/>
          <w:kern w:val="16"/>
          <w:sz w:val="30"/>
          <w:rtl/>
          <w:lang w:val="fr-CH"/>
        </w:rPr>
        <w:t>المعارضون</w:t>
      </w:r>
      <w:r>
        <w:rPr>
          <w:rFonts w:hint="cs"/>
          <w:spacing w:val="6"/>
          <w:kern w:val="16"/>
          <w:sz w:val="30"/>
          <w:rtl/>
          <w:lang w:val="fr-CH"/>
        </w:rPr>
        <w:t>:</w:t>
      </w:r>
    </w:p>
    <w:p w:rsidR="000F34D9" w:rsidRPr="00B01364" w:rsidRDefault="00C207B4" w:rsidP="000F34D9">
      <w:pPr>
        <w:pStyle w:val="SingleTxtGA"/>
        <w:spacing w:after="100" w:line="356" w:lineRule="exact"/>
        <w:ind w:left="2345"/>
        <w:rPr>
          <w:rFonts w:hint="cs"/>
          <w:kern w:val="16"/>
          <w:rtl/>
          <w:lang w:val="fr-CH"/>
        </w:rPr>
      </w:pPr>
      <w:proofErr w:type="spellStart"/>
      <w:r>
        <w:rPr>
          <w:rFonts w:hint="cs"/>
          <w:kern w:val="16"/>
          <w:rtl/>
          <w:lang w:val="fr-CH"/>
        </w:rPr>
        <w:t>إستونيا</w:t>
      </w:r>
      <w:proofErr w:type="spellEnd"/>
      <w:r>
        <w:rPr>
          <w:rFonts w:hint="cs"/>
          <w:kern w:val="16"/>
          <w:rtl/>
          <w:lang w:val="fr-CH"/>
        </w:rPr>
        <w:t>، ألمانيا، أيرلندا، إيطاليا، الجبل الأسود، الجمهورية التشيكية، جمهورية كوريا، جمهورية مقدونيا اليوغوسلافية سابقاً، رومانيا، فرنسا، المملكة المتحدة لبريطانيا العظمى وأيرلندا الشمالية، النمسا، الولايات المتحدة الأمريكية، اليابان</w:t>
      </w:r>
    </w:p>
    <w:p w:rsidR="000F34D9" w:rsidRDefault="000F34D9" w:rsidP="000F34D9">
      <w:pPr>
        <w:pStyle w:val="SingleTxtGA"/>
        <w:spacing w:before="60" w:after="60" w:line="356" w:lineRule="exact"/>
        <w:ind w:left="1928"/>
        <w:rPr>
          <w:rFonts w:hint="cs"/>
          <w:spacing w:val="6"/>
          <w:kern w:val="16"/>
          <w:sz w:val="30"/>
          <w:rtl/>
          <w:lang w:val="fr-CH"/>
        </w:rPr>
      </w:pPr>
      <w:r w:rsidRPr="00B01364">
        <w:rPr>
          <w:rFonts w:hint="cs"/>
          <w:i/>
          <w:iCs/>
          <w:spacing w:val="6"/>
          <w:kern w:val="16"/>
          <w:sz w:val="30"/>
          <w:rtl/>
          <w:lang w:val="fr-CH"/>
        </w:rPr>
        <w:t>الممتنعون</w:t>
      </w:r>
      <w:r>
        <w:rPr>
          <w:rFonts w:hint="cs"/>
          <w:i/>
          <w:iCs/>
          <w:spacing w:val="6"/>
          <w:kern w:val="16"/>
          <w:sz w:val="30"/>
          <w:rtl/>
          <w:lang w:val="fr-CH"/>
        </w:rPr>
        <w:t xml:space="preserve"> عن التصويت</w:t>
      </w:r>
      <w:r>
        <w:rPr>
          <w:rFonts w:hint="cs"/>
          <w:spacing w:val="6"/>
          <w:kern w:val="16"/>
          <w:sz w:val="30"/>
          <w:rtl/>
          <w:lang w:val="fr-CH"/>
        </w:rPr>
        <w:t>:</w:t>
      </w:r>
    </w:p>
    <w:p w:rsidR="000F34D9" w:rsidRPr="00200D7B" w:rsidRDefault="00384EE7" w:rsidP="000F34D9">
      <w:pPr>
        <w:pStyle w:val="SingleTxtGA"/>
        <w:spacing w:after="0" w:line="356" w:lineRule="exact"/>
        <w:ind w:left="2345"/>
        <w:rPr>
          <w:rFonts w:hint="cs"/>
          <w:spacing w:val="6"/>
          <w:kern w:val="16"/>
          <w:sz w:val="30"/>
          <w:rtl/>
          <w:lang w:val="fr-CH"/>
        </w:rPr>
      </w:pPr>
      <w:r>
        <w:rPr>
          <w:rFonts w:hint="cs"/>
          <w:spacing w:val="6"/>
          <w:kern w:val="16"/>
          <w:sz w:val="30"/>
          <w:rtl/>
          <w:lang w:val="fr-CH"/>
        </w:rPr>
        <w:t>بيرو، شيلي، المكسيك</w:t>
      </w:r>
      <w:r w:rsidR="000F34D9">
        <w:rPr>
          <w:rFonts w:hint="cs"/>
          <w:spacing w:val="6"/>
          <w:kern w:val="16"/>
          <w:sz w:val="30"/>
          <w:rtl/>
          <w:lang w:val="fr-CH"/>
        </w:rPr>
        <w:t>.]</w:t>
      </w:r>
    </w:p>
    <w:p w:rsidR="00105898" w:rsidRPr="00D45DDB" w:rsidRDefault="00105898" w:rsidP="00105898">
      <w:pPr>
        <w:spacing w:before="120"/>
        <w:jc w:val="center"/>
        <w:rPr>
          <w:rFonts w:hint="cs"/>
          <w:u w:val="single"/>
          <w:rtl/>
        </w:rPr>
      </w:pPr>
      <w:r>
        <w:rPr>
          <w:u w:val="single"/>
          <w:rtl/>
        </w:rPr>
        <w:tab/>
      </w:r>
      <w:r>
        <w:rPr>
          <w:u w:val="single"/>
          <w:rtl/>
        </w:rPr>
        <w:tab/>
      </w:r>
      <w:r>
        <w:rPr>
          <w:u w:val="single"/>
          <w:rtl/>
        </w:rPr>
        <w:tab/>
      </w:r>
    </w:p>
    <w:sectPr w:rsidR="00105898" w:rsidRPr="00D45DDB" w:rsidSect="00B64E3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6F" w:rsidRPr="00FE6865" w:rsidRDefault="0058606F" w:rsidP="00FE6865">
      <w:pPr>
        <w:pStyle w:val="Footer"/>
      </w:pPr>
    </w:p>
  </w:endnote>
  <w:endnote w:type="continuationSeparator" w:id="0">
    <w:p w:rsidR="0058606F" w:rsidRDefault="00586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6F" w:rsidRPr="00B64E38" w:rsidRDefault="0058606F" w:rsidP="00B64E38">
    <w:pPr>
      <w:pStyle w:val="Footer"/>
      <w:tabs>
        <w:tab w:val="right" w:pos="9598"/>
      </w:tabs>
    </w:pPr>
    <w:r>
      <w:t>GE.14-13601</w:t>
    </w:r>
    <w:r>
      <w:tab/>
    </w:r>
    <w:r w:rsidRPr="00B64E38">
      <w:rPr>
        <w:b/>
        <w:sz w:val="18"/>
      </w:rPr>
      <w:fldChar w:fldCharType="begin"/>
    </w:r>
    <w:r w:rsidRPr="00B64E38">
      <w:rPr>
        <w:b/>
        <w:sz w:val="18"/>
      </w:rPr>
      <w:instrText xml:space="preserve"> PAGE  \* MERGEFORMAT </w:instrText>
    </w:r>
    <w:r w:rsidRPr="00B64E38">
      <w:rPr>
        <w:b/>
        <w:sz w:val="18"/>
      </w:rPr>
      <w:fldChar w:fldCharType="separate"/>
    </w:r>
    <w:r>
      <w:rPr>
        <w:b/>
        <w:noProof/>
        <w:sz w:val="18"/>
      </w:rPr>
      <w:t>4</w:t>
    </w:r>
    <w:r w:rsidRPr="00B64E3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6F" w:rsidRPr="00B64E38" w:rsidRDefault="0058606F" w:rsidP="00B64E38">
    <w:pPr>
      <w:pStyle w:val="Footer"/>
      <w:tabs>
        <w:tab w:val="right" w:pos="9598"/>
      </w:tabs>
      <w:rPr>
        <w:b/>
        <w:sz w:val="18"/>
      </w:rPr>
    </w:pPr>
    <w:r w:rsidRPr="00B64E38">
      <w:rPr>
        <w:b/>
        <w:sz w:val="18"/>
      </w:rPr>
      <w:fldChar w:fldCharType="begin"/>
    </w:r>
    <w:r w:rsidRPr="00B64E38">
      <w:rPr>
        <w:b/>
        <w:sz w:val="18"/>
      </w:rPr>
      <w:instrText xml:space="preserve"> PAGE  \* MERGEFORMAT </w:instrText>
    </w:r>
    <w:r w:rsidRPr="00B64E38">
      <w:rPr>
        <w:b/>
        <w:sz w:val="18"/>
      </w:rPr>
      <w:fldChar w:fldCharType="separate"/>
    </w:r>
    <w:r>
      <w:rPr>
        <w:b/>
        <w:noProof/>
        <w:sz w:val="18"/>
      </w:rPr>
      <w:t>5</w:t>
    </w:r>
    <w:r w:rsidRPr="00B64E38">
      <w:rPr>
        <w:b/>
        <w:sz w:val="18"/>
      </w:rPr>
      <w:fldChar w:fldCharType="end"/>
    </w:r>
    <w:r>
      <w:rPr>
        <w:b/>
        <w:sz w:val="18"/>
      </w:rPr>
      <w:tab/>
    </w:r>
    <w:r>
      <w:t>GE.14-13601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6F" w:rsidRDefault="0058606F" w:rsidP="009E6BB1">
    <w:pPr>
      <w:pStyle w:val="Footer"/>
      <w:jc w:val="right"/>
      <w:rPr>
        <w:rFonts w:hint="cs"/>
      </w:rPr>
    </w:pPr>
    <w:r>
      <w:rPr>
        <w:sz w:val="20"/>
      </w:rPr>
      <w:t>(A)   GE.14-13601    260514    270514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br/>
    </w:r>
    <w:r w:rsidRPr="00F35DAE">
      <w:rPr>
        <w:rFonts w:ascii="C39T30Lfz" w:hAnsi="C39T30Lfz"/>
        <w:sz w:val="56"/>
      </w:rPr>
      <w:t></w:t>
    </w:r>
    <w:r w:rsidRPr="00F35DAE">
      <w:rPr>
        <w:rFonts w:ascii="C39T30Lfz" w:hAnsi="C39T30Lfz"/>
        <w:sz w:val="56"/>
      </w:rPr>
      <w:t></w:t>
    </w:r>
    <w:r w:rsidRPr="00F35DAE">
      <w:rPr>
        <w:rFonts w:ascii="C39T30Lfz" w:hAnsi="C39T30Lfz"/>
        <w:sz w:val="56"/>
      </w:rPr>
      <w:t></w:t>
    </w:r>
    <w:r w:rsidRPr="00F35DAE">
      <w:rPr>
        <w:rFonts w:ascii="C39T30Lfz" w:hAnsi="C39T30Lfz"/>
        <w:sz w:val="56"/>
      </w:rPr>
      <w:t></w:t>
    </w:r>
    <w:r w:rsidRPr="00F35DAE">
      <w:rPr>
        <w:rFonts w:ascii="C39T30Lfz" w:hAnsi="C39T30Lfz"/>
        <w:sz w:val="56"/>
      </w:rPr>
      <w:t></w:t>
    </w:r>
    <w:r w:rsidRPr="00F35DAE">
      <w:rPr>
        <w:rFonts w:ascii="C39T30Lfz" w:hAnsi="C39T30Lfz"/>
        <w:sz w:val="56"/>
      </w:rPr>
      <w:t></w:t>
    </w:r>
    <w:r w:rsidRPr="00F35DAE">
      <w:rPr>
        <w:rFonts w:ascii="C39T30Lfz" w:hAnsi="C39T30Lfz"/>
        <w:sz w:val="56"/>
      </w:rPr>
      <w:t></w:t>
    </w:r>
    <w:r w:rsidRPr="00F35DAE">
      <w:rPr>
        <w:rFonts w:ascii="C39T30Lfz" w:hAnsi="C39T30Lfz"/>
        <w:sz w:val="56"/>
      </w:rPr>
      <w:t></w:t>
    </w:r>
    <w:r w:rsidRPr="00F35DAE">
      <w:rPr>
        <w:rFonts w:ascii="C39T30Lfz" w:hAnsi="C39T30Lfz"/>
        <w:sz w:val="56"/>
      </w:rPr>
      <w:t></w:t>
    </w:r>
    <w:r>
      <w:rPr>
        <w:noProof/>
        <w:lang w:val="en-US"/>
      </w:rPr>
      <w:pict>
        <v:shape id="_x0000_s2051" type="#_x0000_t75" style="position:absolute;left:0;text-align:left;margin-left:.05pt;margin-top:0;width:50.25pt;height:50.25pt;z-index:2;mso-position-horizontal-relative:text;mso-position-vertical-relative:text" o:allowincell="f">
          <v:imagedata r:id="rId2" o:title="16&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6F" w:rsidRDefault="0058606F" w:rsidP="009A0C39">
      <w:pPr>
        <w:spacing w:after="80" w:line="200" w:lineRule="atLeast"/>
        <w:ind w:left="680"/>
      </w:pPr>
      <w:r w:rsidRPr="00C10C26">
        <w:rPr>
          <w:sz w:val="16"/>
          <w:rtl/>
        </w:rPr>
        <w:t>__________</w:t>
      </w:r>
    </w:p>
  </w:footnote>
  <w:footnote w:type="continuationSeparator" w:id="0">
    <w:p w:rsidR="0058606F" w:rsidRDefault="0058606F" w:rsidP="00444AA6">
      <w:pPr>
        <w:pStyle w:val="Footer"/>
        <w:bidi/>
        <w:spacing w:after="80" w:line="200" w:lineRule="exact"/>
        <w:ind w:left="680"/>
      </w:pPr>
      <w:r>
        <w:rPr>
          <w:rFonts w:hint="cs"/>
          <w:rtl/>
        </w:rPr>
        <w:t>__________</w:t>
      </w:r>
    </w:p>
  </w:footnote>
  <w:footnote w:id="1">
    <w:p w:rsidR="0058606F" w:rsidRPr="000C14F2" w:rsidRDefault="0058606F" w:rsidP="00105898">
      <w:pPr>
        <w:pStyle w:val="FootnoteText"/>
        <w:numPr>
          <w:ilvl w:val="0"/>
          <w:numId w:val="40"/>
        </w:numPr>
        <w:tabs>
          <w:tab w:val="clear" w:pos="1292"/>
          <w:tab w:val="left" w:pos="1253"/>
        </w:tabs>
        <w:spacing w:after="60" w:line="300" w:lineRule="exact"/>
        <w:ind w:left="1247" w:right="1247"/>
        <w:rPr>
          <w:rFonts w:hint="cs"/>
          <w:sz w:val="18"/>
          <w:szCs w:val="26"/>
        </w:rPr>
      </w:pPr>
      <w:r w:rsidRPr="000C14F2">
        <w:rPr>
          <w:sz w:val="18"/>
          <w:szCs w:val="26"/>
        </w:rPr>
        <w:t>A/HRC/25/50</w:t>
      </w:r>
      <w:r w:rsidRPr="000C14F2">
        <w:rPr>
          <w:rFonts w:hint="cs"/>
          <w:sz w:val="18"/>
          <w:szCs w:val="26"/>
          <w:rtl/>
        </w:rPr>
        <w:t xml:space="preserve"> و</w:t>
      </w:r>
      <w:r w:rsidRPr="000C14F2">
        <w:rPr>
          <w:sz w:val="18"/>
          <w:szCs w:val="26"/>
        </w:rPr>
        <w:t>Add.1</w:t>
      </w:r>
      <w:r w:rsidRPr="000C14F2">
        <w:rPr>
          <w:sz w:val="18"/>
          <w:szCs w:val="26"/>
        </w:rPr>
        <w:sym w:font="Symbol" w:char="F02D"/>
      </w:r>
      <w:r w:rsidRPr="000C14F2">
        <w:rPr>
          <w:sz w:val="18"/>
          <w:szCs w:val="26"/>
        </w:rPr>
        <w:t>3</w:t>
      </w:r>
      <w:r w:rsidRPr="000C14F2">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6F" w:rsidRPr="00B64E38" w:rsidRDefault="0058606F" w:rsidP="00B64E38">
    <w:pPr>
      <w:pStyle w:val="Header"/>
      <w:jc w:val="right"/>
    </w:pPr>
    <w:r w:rsidRPr="00B64E38">
      <w:t>A/HRC/RES/25/16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6F" w:rsidRPr="00B64E38" w:rsidRDefault="0058606F" w:rsidP="00B64E38">
    <w:pPr>
      <w:pStyle w:val="Header"/>
      <w:jc w:val="left"/>
    </w:pPr>
    <w:r w:rsidRPr="00B64E38">
      <w:t>A/HRC/RES/25/16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9F01D5"/>
    <w:multiLevelType w:val="hybridMultilevel"/>
    <w:tmpl w:val="B31E272E"/>
    <w:lvl w:ilvl="0" w:tplc="A0BCE9DC">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271"/>
    <w:rsid w:val="00040E25"/>
    <w:rsid w:val="00042149"/>
    <w:rsid w:val="000648EA"/>
    <w:rsid w:val="000957C8"/>
    <w:rsid w:val="000B52F2"/>
    <w:rsid w:val="000D0EAE"/>
    <w:rsid w:val="000D5380"/>
    <w:rsid w:val="000D6654"/>
    <w:rsid w:val="000F0264"/>
    <w:rsid w:val="000F2EBF"/>
    <w:rsid w:val="000F34D9"/>
    <w:rsid w:val="000F5FF6"/>
    <w:rsid w:val="00105898"/>
    <w:rsid w:val="00113FA5"/>
    <w:rsid w:val="001455A0"/>
    <w:rsid w:val="001602A3"/>
    <w:rsid w:val="0018006A"/>
    <w:rsid w:val="001A5161"/>
    <w:rsid w:val="001A60BD"/>
    <w:rsid w:val="00214431"/>
    <w:rsid w:val="00233124"/>
    <w:rsid w:val="0023736D"/>
    <w:rsid w:val="00257225"/>
    <w:rsid w:val="00275860"/>
    <w:rsid w:val="00310160"/>
    <w:rsid w:val="00341A8C"/>
    <w:rsid w:val="003519E6"/>
    <w:rsid w:val="00384EE7"/>
    <w:rsid w:val="003A1B6E"/>
    <w:rsid w:val="003B4356"/>
    <w:rsid w:val="003C22AD"/>
    <w:rsid w:val="003D5D43"/>
    <w:rsid w:val="003F08A8"/>
    <w:rsid w:val="003F2521"/>
    <w:rsid w:val="0041089F"/>
    <w:rsid w:val="004250E3"/>
    <w:rsid w:val="00444AA6"/>
    <w:rsid w:val="00472A81"/>
    <w:rsid w:val="004B2C92"/>
    <w:rsid w:val="004D659D"/>
    <w:rsid w:val="004D6A3A"/>
    <w:rsid w:val="004F4AD7"/>
    <w:rsid w:val="00501614"/>
    <w:rsid w:val="00540052"/>
    <w:rsid w:val="005449D8"/>
    <w:rsid w:val="005524EC"/>
    <w:rsid w:val="00557CD3"/>
    <w:rsid w:val="00571432"/>
    <w:rsid w:val="005732A2"/>
    <w:rsid w:val="005733A5"/>
    <w:rsid w:val="005762A5"/>
    <w:rsid w:val="0058606F"/>
    <w:rsid w:val="00590BA3"/>
    <w:rsid w:val="005A1A9A"/>
    <w:rsid w:val="005B0335"/>
    <w:rsid w:val="005B5EB4"/>
    <w:rsid w:val="005B7AE0"/>
    <w:rsid w:val="005D05A2"/>
    <w:rsid w:val="005F146F"/>
    <w:rsid w:val="005F71B6"/>
    <w:rsid w:val="00656445"/>
    <w:rsid w:val="00660FD4"/>
    <w:rsid w:val="006A4425"/>
    <w:rsid w:val="006B3E31"/>
    <w:rsid w:val="006B4341"/>
    <w:rsid w:val="006B4669"/>
    <w:rsid w:val="006C768B"/>
    <w:rsid w:val="006E3473"/>
    <w:rsid w:val="006F6BF8"/>
    <w:rsid w:val="00707BDF"/>
    <w:rsid w:val="00710727"/>
    <w:rsid w:val="00710DA1"/>
    <w:rsid w:val="00715F45"/>
    <w:rsid w:val="00726C5E"/>
    <w:rsid w:val="00731B84"/>
    <w:rsid w:val="00734AE7"/>
    <w:rsid w:val="00751327"/>
    <w:rsid w:val="00786B69"/>
    <w:rsid w:val="007B14E2"/>
    <w:rsid w:val="007B599E"/>
    <w:rsid w:val="007E197F"/>
    <w:rsid w:val="007F68C4"/>
    <w:rsid w:val="008153DE"/>
    <w:rsid w:val="00852A10"/>
    <w:rsid w:val="00861CCA"/>
    <w:rsid w:val="00862634"/>
    <w:rsid w:val="00866C59"/>
    <w:rsid w:val="00872E04"/>
    <w:rsid w:val="00877306"/>
    <w:rsid w:val="00887B5C"/>
    <w:rsid w:val="008A2F81"/>
    <w:rsid w:val="008A6242"/>
    <w:rsid w:val="008B4BC6"/>
    <w:rsid w:val="00901E57"/>
    <w:rsid w:val="00930436"/>
    <w:rsid w:val="00935F0E"/>
    <w:rsid w:val="0095208F"/>
    <w:rsid w:val="00977B3F"/>
    <w:rsid w:val="009814AE"/>
    <w:rsid w:val="00983870"/>
    <w:rsid w:val="009858CC"/>
    <w:rsid w:val="00994B89"/>
    <w:rsid w:val="00996BBE"/>
    <w:rsid w:val="00997E5C"/>
    <w:rsid w:val="009A0C39"/>
    <w:rsid w:val="009D1DD5"/>
    <w:rsid w:val="009E6BB1"/>
    <w:rsid w:val="00A006FD"/>
    <w:rsid w:val="00A11DDA"/>
    <w:rsid w:val="00A26157"/>
    <w:rsid w:val="00A265C3"/>
    <w:rsid w:val="00A402F5"/>
    <w:rsid w:val="00A43F9A"/>
    <w:rsid w:val="00A543D4"/>
    <w:rsid w:val="00A61744"/>
    <w:rsid w:val="00A63806"/>
    <w:rsid w:val="00A66874"/>
    <w:rsid w:val="00A737DC"/>
    <w:rsid w:val="00A933C0"/>
    <w:rsid w:val="00AD0014"/>
    <w:rsid w:val="00AD4CF2"/>
    <w:rsid w:val="00AF0BBA"/>
    <w:rsid w:val="00B10F84"/>
    <w:rsid w:val="00B172CD"/>
    <w:rsid w:val="00B30468"/>
    <w:rsid w:val="00B54239"/>
    <w:rsid w:val="00B56261"/>
    <w:rsid w:val="00B60E70"/>
    <w:rsid w:val="00B639B9"/>
    <w:rsid w:val="00B64E38"/>
    <w:rsid w:val="00B8140C"/>
    <w:rsid w:val="00BB2C41"/>
    <w:rsid w:val="00BC55C8"/>
    <w:rsid w:val="00BC5C10"/>
    <w:rsid w:val="00BE2964"/>
    <w:rsid w:val="00C207B4"/>
    <w:rsid w:val="00C24FBD"/>
    <w:rsid w:val="00C4541A"/>
    <w:rsid w:val="00C473BA"/>
    <w:rsid w:val="00C611ED"/>
    <w:rsid w:val="00C6490A"/>
    <w:rsid w:val="00C64FE1"/>
    <w:rsid w:val="00C66164"/>
    <w:rsid w:val="00C8345E"/>
    <w:rsid w:val="00CA4C17"/>
    <w:rsid w:val="00CA5F7C"/>
    <w:rsid w:val="00CE7C87"/>
    <w:rsid w:val="00D06637"/>
    <w:rsid w:val="00D51067"/>
    <w:rsid w:val="00D75657"/>
    <w:rsid w:val="00D960AD"/>
    <w:rsid w:val="00DA0E0E"/>
    <w:rsid w:val="00DB0C39"/>
    <w:rsid w:val="00DB7679"/>
    <w:rsid w:val="00DE3904"/>
    <w:rsid w:val="00DE7812"/>
    <w:rsid w:val="00DF1702"/>
    <w:rsid w:val="00DF4DD8"/>
    <w:rsid w:val="00DF668E"/>
    <w:rsid w:val="00E05DE3"/>
    <w:rsid w:val="00E14D2B"/>
    <w:rsid w:val="00E15271"/>
    <w:rsid w:val="00E20DBA"/>
    <w:rsid w:val="00E27558"/>
    <w:rsid w:val="00E660D6"/>
    <w:rsid w:val="00E771AB"/>
    <w:rsid w:val="00EA796F"/>
    <w:rsid w:val="00EB077B"/>
    <w:rsid w:val="00EC50B9"/>
    <w:rsid w:val="00ED26A0"/>
    <w:rsid w:val="00F018EB"/>
    <w:rsid w:val="00F04473"/>
    <w:rsid w:val="00F1727A"/>
    <w:rsid w:val="00F34764"/>
    <w:rsid w:val="00F35DAE"/>
    <w:rsid w:val="00F44993"/>
    <w:rsid w:val="00F54E3C"/>
    <w:rsid w:val="00F7226D"/>
    <w:rsid w:val="00F85271"/>
    <w:rsid w:val="00F874BD"/>
    <w:rsid w:val="00FA6DD0"/>
    <w:rsid w:val="00FC2EF4"/>
    <w:rsid w:val="00FE55A3"/>
    <w:rsid w:val="00FE6865"/>
    <w:rsid w:val="00FF46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105898"/>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5</Pages>
  <Words>1226</Words>
  <Characters>6992</Characters>
  <Application>Microsoft Office Outlook</Application>
  <DocSecurity>4</DocSecurity>
  <Lines>58</Lines>
  <Paragraphs>16</Paragraphs>
  <ScaleCrop>false</ScaleCrop>
  <HeadingPairs>
    <vt:vector size="2" baseType="variant">
      <vt:variant>
        <vt:lpstr>العنوان</vt:lpstr>
      </vt:variant>
      <vt:variant>
        <vt:i4>1</vt:i4>
      </vt:variant>
    </vt:vector>
  </HeadingPairs>
  <TitlesOfParts>
    <vt:vector size="1" baseType="lpstr">
      <vt:lpstr>A/HRC/RES/25/16</vt:lpstr>
    </vt:vector>
  </TitlesOfParts>
  <Company>CSD</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A/HRC/RES/25/16</dc:title>
  <dc:subject>Fahmy</dc:subject>
  <dc:creator>Mervat</dc:creator>
  <cp:keywords/>
  <dc:description/>
  <cp:lastModifiedBy>TPS</cp:lastModifiedBy>
  <cp:revision>2</cp:revision>
  <cp:lastPrinted>2012-09-28T16:01:00Z</cp:lastPrinted>
  <dcterms:created xsi:type="dcterms:W3CDTF">2014-05-27T14:35:00Z</dcterms:created>
  <dcterms:modified xsi:type="dcterms:W3CDTF">2014-05-27T14:35:00Z</dcterms:modified>
</cp:coreProperties>
</file>