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17D8328A" w14:textId="77777777" w:rsidTr="002D6166">
        <w:trPr>
          <w:trHeight w:hRule="exact" w:val="851"/>
        </w:trPr>
        <w:tc>
          <w:tcPr>
            <w:tcW w:w="1280" w:type="dxa"/>
            <w:tcBorders>
              <w:bottom w:val="single" w:sz="4" w:space="0" w:color="auto"/>
            </w:tcBorders>
          </w:tcPr>
          <w:p w14:paraId="32A828EE" w14:textId="77777777" w:rsidR="002D5AAC" w:rsidRPr="001359DC" w:rsidRDefault="002D5AAC" w:rsidP="00324218">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7836FA64"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86" w:type="dxa"/>
            <w:gridSpan w:val="2"/>
            <w:tcBorders>
              <w:bottom w:val="single" w:sz="4" w:space="0" w:color="auto"/>
            </w:tcBorders>
            <w:vAlign w:val="bottom"/>
          </w:tcPr>
          <w:p w14:paraId="7030B68D" w14:textId="2DB72415" w:rsidR="002D5AAC" w:rsidRPr="001359DC" w:rsidRDefault="00324218" w:rsidP="00324218">
            <w:pPr>
              <w:jc w:val="right"/>
              <w:rPr>
                <w:lang w:val="es-ES"/>
              </w:rPr>
            </w:pPr>
            <w:r w:rsidRPr="00324218">
              <w:rPr>
                <w:sz w:val="40"/>
                <w:lang w:val="es-ES"/>
              </w:rPr>
              <w:t>A</w:t>
            </w:r>
            <w:r>
              <w:rPr>
                <w:lang w:val="es-ES"/>
              </w:rPr>
              <w:t>/HRC/51/</w:t>
            </w:r>
            <w:proofErr w:type="spellStart"/>
            <w:r>
              <w:rPr>
                <w:lang w:val="es-ES"/>
              </w:rPr>
              <w:t>L.22</w:t>
            </w:r>
            <w:proofErr w:type="spellEnd"/>
          </w:p>
        </w:tc>
      </w:tr>
      <w:tr w:rsidR="002D5AAC" w:rsidRPr="001359DC" w14:paraId="04C08E6D" w14:textId="77777777" w:rsidTr="002D6166">
        <w:trPr>
          <w:trHeight w:hRule="exact" w:val="2835"/>
        </w:trPr>
        <w:tc>
          <w:tcPr>
            <w:tcW w:w="1280" w:type="dxa"/>
            <w:tcBorders>
              <w:top w:val="single" w:sz="4" w:space="0" w:color="auto"/>
              <w:bottom w:val="single" w:sz="12" w:space="0" w:color="auto"/>
            </w:tcBorders>
          </w:tcPr>
          <w:p w14:paraId="5C17A096" w14:textId="77777777" w:rsidR="002D5AAC" w:rsidRPr="001359DC" w:rsidRDefault="002E5067" w:rsidP="0008244E">
            <w:pPr>
              <w:spacing w:before="120"/>
              <w:jc w:val="center"/>
              <w:rPr>
                <w:lang w:val="es-ES"/>
              </w:rPr>
            </w:pPr>
            <w:r w:rsidRPr="001359DC">
              <w:rPr>
                <w:noProof/>
              </w:rPr>
              <w:drawing>
                <wp:inline distT="0" distB="0" distL="0" distR="0" wp14:anchorId="198FF23C" wp14:editId="424C95BA">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1788D23"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9" w:type="dxa"/>
            <w:tcBorders>
              <w:top w:val="single" w:sz="4" w:space="0" w:color="auto"/>
              <w:bottom w:val="single" w:sz="12" w:space="0" w:color="auto"/>
            </w:tcBorders>
          </w:tcPr>
          <w:p w14:paraId="63061327" w14:textId="77777777" w:rsidR="002D5AAC" w:rsidRDefault="00324218" w:rsidP="0008244E">
            <w:pPr>
              <w:spacing w:before="240"/>
              <w:rPr>
                <w:lang w:val="es-ES"/>
              </w:rPr>
            </w:pPr>
            <w:r>
              <w:rPr>
                <w:lang w:val="es-ES"/>
              </w:rPr>
              <w:t>Distr. limitada</w:t>
            </w:r>
          </w:p>
          <w:p w14:paraId="67548304" w14:textId="239A1DA6" w:rsidR="00324218" w:rsidRDefault="00505AAD" w:rsidP="00324218">
            <w:pPr>
              <w:spacing w:line="240" w:lineRule="exact"/>
              <w:rPr>
                <w:lang w:val="es-ES"/>
              </w:rPr>
            </w:pPr>
            <w:r>
              <w:rPr>
                <w:lang w:val="es-ES"/>
              </w:rPr>
              <w:t xml:space="preserve">3 </w:t>
            </w:r>
            <w:r w:rsidR="00324218">
              <w:rPr>
                <w:lang w:val="es-ES"/>
              </w:rPr>
              <w:t xml:space="preserve">de </w:t>
            </w:r>
            <w:r>
              <w:rPr>
                <w:lang w:val="es-ES"/>
              </w:rPr>
              <w:t xml:space="preserve">octubre </w:t>
            </w:r>
            <w:r w:rsidR="00324218">
              <w:rPr>
                <w:lang w:val="es-ES"/>
              </w:rPr>
              <w:t>de 2022</w:t>
            </w:r>
          </w:p>
          <w:p w14:paraId="3FA8C2FB" w14:textId="77777777" w:rsidR="00324218" w:rsidRDefault="00324218" w:rsidP="00324218">
            <w:pPr>
              <w:spacing w:line="240" w:lineRule="exact"/>
              <w:rPr>
                <w:lang w:val="es-ES"/>
              </w:rPr>
            </w:pPr>
            <w:r>
              <w:rPr>
                <w:lang w:val="es-ES"/>
              </w:rPr>
              <w:t>Español</w:t>
            </w:r>
          </w:p>
          <w:p w14:paraId="58CB27BE" w14:textId="4A93872E" w:rsidR="00324218" w:rsidRPr="001359DC" w:rsidRDefault="00324218" w:rsidP="00324218">
            <w:pPr>
              <w:spacing w:line="240" w:lineRule="exact"/>
              <w:rPr>
                <w:lang w:val="es-ES"/>
              </w:rPr>
            </w:pPr>
            <w:r>
              <w:rPr>
                <w:lang w:val="es-ES"/>
              </w:rPr>
              <w:t>Original: inglés</w:t>
            </w:r>
          </w:p>
        </w:tc>
      </w:tr>
    </w:tbl>
    <w:p w14:paraId="7772EA28" w14:textId="77777777" w:rsidR="002D6166" w:rsidRPr="002D6166" w:rsidRDefault="002D6166" w:rsidP="002D6166">
      <w:pPr>
        <w:spacing w:before="120"/>
        <w:rPr>
          <w:b/>
          <w:bCs/>
          <w:sz w:val="24"/>
          <w:szCs w:val="24"/>
          <w:lang w:val="en-GB"/>
        </w:rPr>
      </w:pPr>
      <w:r w:rsidRPr="002D6166">
        <w:rPr>
          <w:b/>
          <w:bCs/>
          <w:sz w:val="24"/>
          <w:szCs w:val="24"/>
        </w:rPr>
        <w:t>Consejo de Derechos Humanos</w:t>
      </w:r>
    </w:p>
    <w:p w14:paraId="0E8E035C" w14:textId="77777777" w:rsidR="002D6166" w:rsidRPr="002D6166" w:rsidRDefault="002D6166" w:rsidP="002D6166">
      <w:pPr>
        <w:rPr>
          <w:b/>
          <w:bCs/>
          <w:lang w:val="en-GB"/>
        </w:rPr>
      </w:pPr>
      <w:proofErr w:type="spellStart"/>
      <w:r w:rsidRPr="002D6166">
        <w:rPr>
          <w:b/>
          <w:bCs/>
        </w:rPr>
        <w:t>51</w:t>
      </w:r>
      <w:r w:rsidRPr="002D6166">
        <w:rPr>
          <w:b/>
          <w:bCs/>
          <w:vertAlign w:val="superscript"/>
        </w:rPr>
        <w:t>er</w:t>
      </w:r>
      <w:proofErr w:type="spellEnd"/>
      <w:r w:rsidRPr="002D6166">
        <w:rPr>
          <w:b/>
          <w:bCs/>
        </w:rPr>
        <w:t xml:space="preserve"> período de sesiones</w:t>
      </w:r>
    </w:p>
    <w:p w14:paraId="79239997" w14:textId="77777777" w:rsidR="002D6166" w:rsidRPr="002D6166" w:rsidRDefault="002D6166" w:rsidP="002D6166">
      <w:r w:rsidRPr="002D6166">
        <w:t>12 de septiembre a 7 de octubre de 2022</w:t>
      </w:r>
    </w:p>
    <w:p w14:paraId="65C82665" w14:textId="77777777" w:rsidR="002D6166" w:rsidRPr="002D6166" w:rsidRDefault="002D6166" w:rsidP="002D6166">
      <w:r w:rsidRPr="002D6166">
        <w:t>Tema 3 de la agenda</w:t>
      </w:r>
    </w:p>
    <w:p w14:paraId="4A75EA4D" w14:textId="3E2B353D" w:rsidR="002D6166" w:rsidRPr="002D6166" w:rsidRDefault="002D6166" w:rsidP="002D6166">
      <w:pPr>
        <w:rPr>
          <w:b/>
          <w:bCs/>
        </w:rPr>
      </w:pPr>
      <w:r w:rsidRPr="002D6166">
        <w:rPr>
          <w:b/>
          <w:bCs/>
        </w:rPr>
        <w:t xml:space="preserve">Promoción y protección de todos los derechos humanos, </w:t>
      </w:r>
      <w:r>
        <w:rPr>
          <w:b/>
          <w:bCs/>
        </w:rPr>
        <w:br/>
      </w:r>
      <w:r w:rsidRPr="002D6166">
        <w:rPr>
          <w:b/>
          <w:bCs/>
        </w:rPr>
        <w:t xml:space="preserve">civiles, políticos, económicos, sociales y culturales, </w:t>
      </w:r>
      <w:r>
        <w:rPr>
          <w:b/>
          <w:bCs/>
        </w:rPr>
        <w:br/>
      </w:r>
      <w:r w:rsidRPr="002D6166">
        <w:rPr>
          <w:b/>
          <w:bCs/>
        </w:rPr>
        <w:t>incluido el derecho al desarrollo</w:t>
      </w:r>
    </w:p>
    <w:p w14:paraId="28AA5E3F" w14:textId="33F4FCF8" w:rsidR="002D6166" w:rsidRPr="002D6166" w:rsidRDefault="002D6166" w:rsidP="002D6166">
      <w:pPr>
        <w:pStyle w:val="H23G"/>
      </w:pPr>
      <w:r>
        <w:tab/>
      </w:r>
      <w:r w:rsidRPr="002D6166">
        <w:tab/>
        <w:t>Bolivia (Estado Plurinacional de), Chile</w:t>
      </w:r>
      <w:r w:rsidRPr="002532E1">
        <w:rPr>
          <w:b w:val="0"/>
          <w:bCs/>
        </w:rPr>
        <w:footnoteReference w:customMarkFollows="1" w:id="1"/>
        <w:t>*</w:t>
      </w:r>
      <w:r w:rsidRPr="002D6166">
        <w:t>, Cuba, Egipto</w:t>
      </w:r>
      <w:r w:rsidRPr="002532E1">
        <w:rPr>
          <w:b w:val="0"/>
          <w:bCs/>
        </w:rPr>
        <w:t>*</w:t>
      </w:r>
      <w:r w:rsidRPr="002D6166">
        <w:t xml:space="preserve">, Namibia, </w:t>
      </w:r>
      <w:r w:rsidR="002532E1">
        <w:br/>
      </w:r>
      <w:r w:rsidRPr="002D6166">
        <w:t>Nicaragua</w:t>
      </w:r>
      <w:r w:rsidRPr="002532E1">
        <w:rPr>
          <w:b w:val="0"/>
          <w:bCs/>
        </w:rPr>
        <w:t>*</w:t>
      </w:r>
      <w:r w:rsidRPr="002D6166">
        <w:t>, Pakistán, República Popular Democrática de Corea</w:t>
      </w:r>
      <w:r w:rsidRPr="002532E1">
        <w:rPr>
          <w:b w:val="0"/>
          <w:bCs/>
        </w:rPr>
        <w:t>*</w:t>
      </w:r>
      <w:r w:rsidRPr="002D6166">
        <w:t xml:space="preserve"> </w:t>
      </w:r>
      <w:r w:rsidR="002532E1">
        <w:br/>
      </w:r>
      <w:r w:rsidRPr="002D6166">
        <w:t>y Venezuela (República Bolivariana de): proyecto de resolución</w:t>
      </w:r>
    </w:p>
    <w:p w14:paraId="2AEE5B4C" w14:textId="08EE4DCC" w:rsidR="002D6166" w:rsidRPr="002D6166" w:rsidRDefault="002D6166" w:rsidP="002D6166">
      <w:pPr>
        <w:pStyle w:val="H1G"/>
        <w:tabs>
          <w:tab w:val="left" w:pos="1778"/>
        </w:tabs>
      </w:pPr>
      <w:r>
        <w:tab/>
      </w:r>
      <w:r>
        <w:tab/>
      </w:r>
      <w:r w:rsidRPr="002D6166">
        <w:t>51/...</w:t>
      </w:r>
      <w:r w:rsidRPr="002D6166">
        <w:tab/>
        <w:t xml:space="preserve">Mandato del Grupo de Trabajo sobre la utilización </w:t>
      </w:r>
      <w:r>
        <w:br/>
      </w:r>
      <w:r>
        <w:tab/>
      </w:r>
      <w:r w:rsidRPr="002D6166">
        <w:t xml:space="preserve">de mercenarios como medio de violar los derechos </w:t>
      </w:r>
      <w:r>
        <w:br/>
      </w:r>
      <w:r>
        <w:tab/>
      </w:r>
      <w:r w:rsidRPr="002D6166">
        <w:t xml:space="preserve">humanos y obstaculizar el ejercicio del derecho de </w:t>
      </w:r>
      <w:r>
        <w:br/>
      </w:r>
      <w:r>
        <w:tab/>
      </w:r>
      <w:r w:rsidRPr="002D6166">
        <w:t>los pueblos a la libre determinación</w:t>
      </w:r>
    </w:p>
    <w:p w14:paraId="1531463B" w14:textId="77777777" w:rsidR="002D6166" w:rsidRPr="002D6166" w:rsidRDefault="002D6166" w:rsidP="002D6166">
      <w:pPr>
        <w:pStyle w:val="SingleTxtG"/>
      </w:pPr>
      <w:r w:rsidRPr="002D6166">
        <w:tab/>
      </w:r>
      <w:r w:rsidRPr="002D6166">
        <w:rPr>
          <w:i/>
          <w:iCs/>
        </w:rPr>
        <w:t>El Consejo de Derechos Humanos</w:t>
      </w:r>
      <w:r w:rsidRPr="002D6166">
        <w:t>,</w:t>
      </w:r>
    </w:p>
    <w:p w14:paraId="1E601430" w14:textId="77777777" w:rsidR="002D6166" w:rsidRPr="002D6166" w:rsidRDefault="002D6166" w:rsidP="002D6166">
      <w:pPr>
        <w:pStyle w:val="SingleTxtG"/>
        <w:ind w:firstLine="567"/>
      </w:pPr>
      <w:r w:rsidRPr="002D6166">
        <w:rPr>
          <w:i/>
          <w:iCs/>
        </w:rPr>
        <w:t>Recordando</w:t>
      </w:r>
      <w:r w:rsidRPr="002D6166">
        <w:t xml:space="preserve"> todas las resoluciones anteriores aprobadas por la Asamblea General, el Consejo de Derechos Humanos y la Comisión de Derechos Humanos sobre el tema, </w:t>
      </w:r>
    </w:p>
    <w:p w14:paraId="66F3253D" w14:textId="77777777" w:rsidR="002D6166" w:rsidRPr="002D6166" w:rsidRDefault="002D6166" w:rsidP="002D6166">
      <w:pPr>
        <w:pStyle w:val="SingleTxtG"/>
        <w:ind w:firstLine="567"/>
        <w:rPr>
          <w:bCs/>
        </w:rPr>
      </w:pPr>
      <w:r w:rsidRPr="002D6166">
        <w:rPr>
          <w:i/>
          <w:iCs/>
        </w:rPr>
        <w:t>Recordando también</w:t>
      </w:r>
      <w:r w:rsidRPr="002D6166">
        <w:t xml:space="preserve"> las resoluciones del Consejo de Derechos Humanos 5/1, relativa a la construcción institucional del Consejo, y 5/2, relativa al Código de Conducta para los Titulares de Mandatos de los Procedimientos Especiales del Consejo, de 18 de junio de 2007, y destacando que todos los titulares de mandatos deberán desempeñar sus funciones de conformidad con esas resoluciones y sus anexos,</w:t>
      </w:r>
    </w:p>
    <w:p w14:paraId="18E89105" w14:textId="77777777" w:rsidR="002D6166" w:rsidRPr="002D6166" w:rsidRDefault="002D6166" w:rsidP="002D6166">
      <w:pPr>
        <w:pStyle w:val="SingleTxtG"/>
        <w:ind w:firstLine="567"/>
      </w:pPr>
      <w:r w:rsidRPr="002D6166">
        <w:rPr>
          <w:i/>
          <w:iCs/>
        </w:rPr>
        <w:t>Reafirmando</w:t>
      </w:r>
      <w:r w:rsidRPr="002D6166">
        <w:t xml:space="preserve"> los propósitos y principios consagrados en la Carta de las Naciones Unidas relativos al estricto respeto de los principios de igualdad soberana, independencia política, integridad territorial de los Estados, libre determinación de los pueblos, no utilización de la fuerza o de la amenaza del uso de la fuerza en las relaciones internacionales y no injerencia en los asuntos de jurisdicción interna de los Estados,</w:t>
      </w:r>
    </w:p>
    <w:p w14:paraId="2D1029F6" w14:textId="77777777" w:rsidR="002D6166" w:rsidRPr="002D6166" w:rsidRDefault="002D6166" w:rsidP="002D6166">
      <w:pPr>
        <w:pStyle w:val="SingleTxtG"/>
        <w:ind w:firstLine="567"/>
        <w:rPr>
          <w:bCs/>
        </w:rPr>
      </w:pPr>
      <w:r w:rsidRPr="002D6166">
        <w:rPr>
          <w:i/>
          <w:iCs/>
        </w:rPr>
        <w:t>Reiterando</w:t>
      </w:r>
      <w:r w:rsidRPr="002D6166">
        <w:t xml:space="preserve"> la petición a todos los Estados de que ejerzan la máxima vigilancia ante toda forma de reclutamiento, entrenamiento, contratación o financiación de mercenarios,</w:t>
      </w:r>
    </w:p>
    <w:p w14:paraId="60267E3C" w14:textId="77777777" w:rsidR="002D6166" w:rsidRPr="002D6166" w:rsidRDefault="002D6166" w:rsidP="002D6166">
      <w:pPr>
        <w:pStyle w:val="SingleTxtG"/>
        <w:ind w:firstLine="567"/>
        <w:rPr>
          <w:bCs/>
        </w:rPr>
      </w:pPr>
      <w:r w:rsidRPr="002D6166">
        <w:t>1.</w:t>
      </w:r>
      <w:r w:rsidRPr="002D6166">
        <w:tab/>
      </w:r>
      <w:r w:rsidRPr="002D6166">
        <w:rPr>
          <w:i/>
          <w:iCs/>
        </w:rPr>
        <w:t>Decide</w:t>
      </w:r>
      <w:r w:rsidRPr="002D6166">
        <w:t xml:space="preserve"> renovar por un período de tres años el mandato del Grupo de Trabajo sobre la utilización de mercenarios como medio de violar los derechos humanos y obstaculizar el ejercicio del derecho de los pueblos a la libre determinación para que prosiga su labor</w:t>
      </w:r>
      <w:r w:rsidRPr="002D6166">
        <w:rPr>
          <w:sz w:val="18"/>
          <w:szCs w:val="18"/>
          <w:vertAlign w:val="superscript"/>
        </w:rPr>
        <w:footnoteReference w:id="2"/>
      </w:r>
      <w:r w:rsidRPr="002D6166">
        <w:t xml:space="preserve"> de conformidad con la resolución 7/21 del Consejo de Derechos Humanos, de 28 de marzo de 2008, y otras resoluciones en la materia;</w:t>
      </w:r>
    </w:p>
    <w:p w14:paraId="3FC5A2A8" w14:textId="074C97A9" w:rsidR="002D6166" w:rsidRPr="002D6166" w:rsidRDefault="002D6166" w:rsidP="002D6166">
      <w:pPr>
        <w:pStyle w:val="SingleTxtG"/>
        <w:ind w:firstLine="567"/>
      </w:pPr>
      <w:r w:rsidRPr="002D6166">
        <w:t>2.</w:t>
      </w:r>
      <w:r w:rsidRPr="002D6166">
        <w:tab/>
      </w:r>
      <w:r w:rsidRPr="002D6166">
        <w:rPr>
          <w:i/>
          <w:iCs/>
        </w:rPr>
        <w:t>E</w:t>
      </w:r>
      <w:r w:rsidR="002860ED">
        <w:rPr>
          <w:i/>
          <w:iCs/>
        </w:rPr>
        <w:t>x</w:t>
      </w:r>
      <w:r w:rsidRPr="002D6166">
        <w:rPr>
          <w:i/>
          <w:iCs/>
        </w:rPr>
        <w:t>horta</w:t>
      </w:r>
      <w:r w:rsidRPr="002D6166">
        <w:t xml:space="preserve"> a todos los Estados a cooperar plenamente con el Grupo de Trabajo en el cumplimiento de su mandato;</w:t>
      </w:r>
    </w:p>
    <w:p w14:paraId="1BFDDF39" w14:textId="77777777" w:rsidR="002D6166" w:rsidRPr="002D6166" w:rsidRDefault="002D6166" w:rsidP="002D6166">
      <w:pPr>
        <w:pStyle w:val="SingleTxtG"/>
        <w:ind w:firstLine="567"/>
      </w:pPr>
      <w:r w:rsidRPr="002D6166">
        <w:lastRenderedPageBreak/>
        <w:t>3.</w:t>
      </w:r>
      <w:r w:rsidRPr="002D6166">
        <w:tab/>
      </w:r>
      <w:r w:rsidRPr="002D6166">
        <w:rPr>
          <w:i/>
          <w:iCs/>
        </w:rPr>
        <w:t>Solicita</w:t>
      </w:r>
      <w:r w:rsidRPr="002D6166">
        <w:t xml:space="preserve"> al Secretario General y al Alto Comisionado de las Naciones Unidas para los Derechos Humanos que proporcionen al Grupo de Trabajo todo el apoyo y la asistencia necesarios para el cumplimiento de su mandato;</w:t>
      </w:r>
    </w:p>
    <w:p w14:paraId="75695F87" w14:textId="77777777" w:rsidR="002D6166" w:rsidRPr="002D6166" w:rsidRDefault="002D6166" w:rsidP="002D6166">
      <w:pPr>
        <w:pStyle w:val="SingleTxtG"/>
        <w:ind w:firstLine="567"/>
      </w:pPr>
      <w:r w:rsidRPr="002D6166">
        <w:t>4.</w:t>
      </w:r>
      <w:r w:rsidRPr="002D6166">
        <w:tab/>
      </w:r>
      <w:r w:rsidRPr="002D6166">
        <w:rPr>
          <w:i/>
          <w:iCs/>
        </w:rPr>
        <w:t>Solicita</w:t>
      </w:r>
      <w:r w:rsidRPr="002D6166">
        <w:t xml:space="preserve"> al Grupo de Trabajo que consulte con los Estados, las organizaciones intergubernamentales y no gubernamentales y a otros actores pertinentes, incluidas las organizaciones de la sociedad civil, para aplicar la presente resolución y que comunique sus conclusiones al Consejo de Derechos Humanos y la Asamblea General de conformidad con sus programas de trabajo;</w:t>
      </w:r>
    </w:p>
    <w:p w14:paraId="6682A55E" w14:textId="77777777" w:rsidR="002D6166" w:rsidRPr="002D6166" w:rsidRDefault="002D6166" w:rsidP="002D6166">
      <w:pPr>
        <w:pStyle w:val="SingleTxtG"/>
        <w:ind w:firstLine="567"/>
      </w:pPr>
      <w:r w:rsidRPr="002D6166">
        <w:t>5.</w:t>
      </w:r>
      <w:r w:rsidRPr="002D6166">
        <w:tab/>
      </w:r>
      <w:r w:rsidRPr="002D6166">
        <w:rPr>
          <w:i/>
          <w:iCs/>
        </w:rPr>
        <w:t>Decide</w:t>
      </w:r>
      <w:r w:rsidRPr="002D6166">
        <w:t xml:space="preserve"> seguir examinando esta cuestión en relación con el mismo tema de la agenda de conformidad con su programa de trabajo.</w:t>
      </w:r>
    </w:p>
    <w:p w14:paraId="6A249C60" w14:textId="3018CEEF" w:rsidR="00324218" w:rsidRPr="002D6166" w:rsidRDefault="002D6166" w:rsidP="002D6166">
      <w:pPr>
        <w:pStyle w:val="SingleTxtG"/>
        <w:suppressAutoHyphens/>
        <w:spacing w:before="240" w:after="0"/>
        <w:jc w:val="center"/>
        <w:rPr>
          <w:u w:val="single"/>
        </w:rPr>
      </w:pPr>
      <w:r>
        <w:rPr>
          <w:u w:val="single"/>
        </w:rPr>
        <w:tab/>
      </w:r>
      <w:r>
        <w:rPr>
          <w:u w:val="single"/>
        </w:rPr>
        <w:tab/>
      </w:r>
      <w:r>
        <w:rPr>
          <w:u w:val="single"/>
        </w:rPr>
        <w:tab/>
      </w:r>
    </w:p>
    <w:sectPr w:rsidR="00324218" w:rsidRPr="002D6166" w:rsidSect="0032421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C5BB" w14:textId="77777777" w:rsidR="007F5024" w:rsidRPr="00A312BC" w:rsidRDefault="007F5024" w:rsidP="00A312BC">
      <w:pPr>
        <w:pStyle w:val="Piedepgina"/>
      </w:pPr>
    </w:p>
  </w:endnote>
  <w:endnote w:type="continuationSeparator" w:id="0">
    <w:p w14:paraId="149B87D7" w14:textId="77777777" w:rsidR="007F5024" w:rsidRPr="00A312BC" w:rsidRDefault="007F502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7DCD" w14:textId="25841467" w:rsidR="00324218" w:rsidRPr="00324218" w:rsidRDefault="00324218" w:rsidP="00324218">
    <w:pPr>
      <w:pStyle w:val="Piedepgina"/>
      <w:tabs>
        <w:tab w:val="right" w:pos="9638"/>
      </w:tabs>
    </w:pPr>
    <w:r w:rsidRPr="00324218">
      <w:rPr>
        <w:b/>
        <w:sz w:val="18"/>
      </w:rPr>
      <w:fldChar w:fldCharType="begin"/>
    </w:r>
    <w:r w:rsidRPr="00324218">
      <w:rPr>
        <w:b/>
        <w:sz w:val="18"/>
      </w:rPr>
      <w:instrText xml:space="preserve"> PAGE  \* MERGEFORMAT </w:instrText>
    </w:r>
    <w:r w:rsidRPr="00324218">
      <w:rPr>
        <w:b/>
        <w:sz w:val="18"/>
      </w:rPr>
      <w:fldChar w:fldCharType="separate"/>
    </w:r>
    <w:r w:rsidRPr="00324218">
      <w:rPr>
        <w:b/>
        <w:noProof/>
        <w:sz w:val="18"/>
      </w:rPr>
      <w:t>2</w:t>
    </w:r>
    <w:r w:rsidRPr="00324218">
      <w:rPr>
        <w:b/>
        <w:sz w:val="18"/>
      </w:rPr>
      <w:fldChar w:fldCharType="end"/>
    </w:r>
    <w:r>
      <w:rPr>
        <w:b/>
        <w:sz w:val="18"/>
      </w:rPr>
      <w:tab/>
    </w:r>
    <w:r>
      <w:t>GE.22-15539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619D" w14:textId="588E2A77" w:rsidR="00324218" w:rsidRPr="00324218" w:rsidRDefault="00324218" w:rsidP="00324218">
    <w:pPr>
      <w:pStyle w:val="Piedepgina"/>
      <w:tabs>
        <w:tab w:val="right" w:pos="9638"/>
      </w:tabs>
      <w:rPr>
        <w:b/>
        <w:sz w:val="18"/>
      </w:rPr>
    </w:pPr>
    <w:r>
      <w:t>GE.22-15539</w:t>
    </w:r>
    <w:r>
      <w:tab/>
    </w:r>
    <w:r w:rsidRPr="00324218">
      <w:rPr>
        <w:b/>
        <w:sz w:val="18"/>
      </w:rPr>
      <w:fldChar w:fldCharType="begin"/>
    </w:r>
    <w:r w:rsidRPr="00324218">
      <w:rPr>
        <w:b/>
        <w:sz w:val="18"/>
      </w:rPr>
      <w:instrText xml:space="preserve"> PAGE  \* MERGEFORMAT </w:instrText>
    </w:r>
    <w:r w:rsidRPr="00324218">
      <w:rPr>
        <w:b/>
        <w:sz w:val="18"/>
      </w:rPr>
      <w:fldChar w:fldCharType="separate"/>
    </w:r>
    <w:r w:rsidRPr="00324218">
      <w:rPr>
        <w:b/>
        <w:noProof/>
        <w:sz w:val="18"/>
      </w:rPr>
      <w:t>3</w:t>
    </w:r>
    <w:r w:rsidRPr="003242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78EE" w14:textId="22EE2C54" w:rsidR="00042B72" w:rsidRPr="00324218" w:rsidRDefault="00324218" w:rsidP="00324218">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638F1873" wp14:editId="46B554C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22-15539  (S)</w:t>
    </w:r>
    <w:r>
      <w:rPr>
        <w:noProof/>
        <w:sz w:val="20"/>
      </w:rPr>
      <w:drawing>
        <wp:anchor distT="0" distB="0" distL="114300" distR="114300" simplePos="0" relativeHeight="251658752" behindDoc="0" locked="0" layoutInCell="1" allowOverlap="1" wp14:anchorId="2BE5CC96" wp14:editId="3CA3BA2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041022    041022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E7AD" w14:textId="77777777" w:rsidR="007F5024" w:rsidRPr="001075E9" w:rsidRDefault="007F5024" w:rsidP="001075E9">
      <w:pPr>
        <w:tabs>
          <w:tab w:val="right" w:pos="2155"/>
        </w:tabs>
        <w:spacing w:after="80" w:line="240" w:lineRule="auto"/>
        <w:ind w:left="680"/>
        <w:rPr>
          <w:u w:val="single"/>
        </w:rPr>
      </w:pPr>
      <w:r>
        <w:rPr>
          <w:u w:val="single"/>
        </w:rPr>
        <w:tab/>
      </w:r>
    </w:p>
  </w:footnote>
  <w:footnote w:type="continuationSeparator" w:id="0">
    <w:p w14:paraId="499DC4F6" w14:textId="77777777" w:rsidR="007F5024" w:rsidRDefault="007F5024" w:rsidP="00407B78">
      <w:pPr>
        <w:tabs>
          <w:tab w:val="right" w:pos="2155"/>
        </w:tabs>
        <w:spacing w:after="80"/>
        <w:ind w:left="680"/>
        <w:rPr>
          <w:u w:val="single"/>
        </w:rPr>
      </w:pPr>
      <w:r>
        <w:rPr>
          <w:u w:val="single"/>
        </w:rPr>
        <w:tab/>
      </w:r>
    </w:p>
  </w:footnote>
  <w:footnote w:id="1">
    <w:p w14:paraId="64979167" w14:textId="77777777" w:rsidR="002D6166" w:rsidRPr="00354C94" w:rsidRDefault="002D6166" w:rsidP="002532E1">
      <w:pPr>
        <w:pStyle w:val="Textonotapie"/>
      </w:pPr>
      <w:r w:rsidRPr="00354C94">
        <w:tab/>
      </w:r>
      <w:r w:rsidRPr="002532E1">
        <w:rPr>
          <w:sz w:val="20"/>
          <w:szCs w:val="22"/>
        </w:rPr>
        <w:t>*</w:t>
      </w:r>
      <w:r w:rsidRPr="002532E1">
        <w:rPr>
          <w:sz w:val="20"/>
          <w:szCs w:val="22"/>
        </w:rPr>
        <w:tab/>
      </w:r>
      <w:r w:rsidRPr="00354C94">
        <w:t>Estado no miembro del Consejo de Derechos Humanos.</w:t>
      </w:r>
    </w:p>
  </w:footnote>
  <w:footnote w:id="2">
    <w:p w14:paraId="25B1FAD5" w14:textId="77777777" w:rsidR="002D6166" w:rsidRPr="00354C94" w:rsidRDefault="002D6166" w:rsidP="002532E1">
      <w:pPr>
        <w:pStyle w:val="Textonotapie"/>
      </w:pPr>
      <w:r w:rsidRPr="00354C94">
        <w:tab/>
      </w:r>
      <w:r w:rsidRPr="002532E1">
        <w:rPr>
          <w:rStyle w:val="Refdenotaalpie"/>
        </w:rPr>
        <w:footnoteRef/>
      </w:r>
      <w:r w:rsidRPr="00354C94">
        <w:tab/>
        <w:t xml:space="preserve">Véase A/HRC/51/25.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75EC" w14:textId="16415136" w:rsidR="00324218" w:rsidRPr="00324218" w:rsidRDefault="00324218">
    <w:pPr>
      <w:pStyle w:val="Encabezado"/>
    </w:pPr>
    <w:r>
      <w:fldChar w:fldCharType="begin"/>
    </w:r>
    <w:r>
      <w:instrText xml:space="preserve"> TITLE  \* MERGEFORMAT </w:instrText>
    </w:r>
    <w:r>
      <w:fldChar w:fldCharType="separate"/>
    </w:r>
    <w:r w:rsidR="003F3141">
      <w:t>A/HRC/51/</w:t>
    </w:r>
    <w:proofErr w:type="spellStart"/>
    <w:r w:rsidR="003F3141">
      <w:t>L.22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F0A7" w14:textId="2917DF6B" w:rsidR="00324218" w:rsidRPr="00324218" w:rsidRDefault="00324218" w:rsidP="00324218">
    <w:pPr>
      <w:pStyle w:val="Encabezado"/>
      <w:jc w:val="right"/>
    </w:pPr>
    <w:r>
      <w:fldChar w:fldCharType="begin"/>
    </w:r>
    <w:r>
      <w:instrText xml:space="preserve"> TITLE  \* MERGEFORMAT </w:instrText>
    </w:r>
    <w:r>
      <w:fldChar w:fldCharType="separate"/>
    </w:r>
    <w:r w:rsidR="003F3141">
      <w:t>A/HRC/51/</w:t>
    </w:r>
    <w:proofErr w:type="spellStart"/>
    <w:r w:rsidR="003F3141">
      <w:t>L.22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24"/>
    <w:rsid w:val="00033EE1"/>
    <w:rsid w:val="00042B72"/>
    <w:rsid w:val="000558BD"/>
    <w:rsid w:val="0008244E"/>
    <w:rsid w:val="000B57E7"/>
    <w:rsid w:val="000B6373"/>
    <w:rsid w:val="000F09DF"/>
    <w:rsid w:val="000F61B2"/>
    <w:rsid w:val="001075E9"/>
    <w:rsid w:val="001116B4"/>
    <w:rsid w:val="001359DC"/>
    <w:rsid w:val="00180183"/>
    <w:rsid w:val="0018024D"/>
    <w:rsid w:val="0018649F"/>
    <w:rsid w:val="00196389"/>
    <w:rsid w:val="001B3EF6"/>
    <w:rsid w:val="001C7A89"/>
    <w:rsid w:val="002532E1"/>
    <w:rsid w:val="002624B6"/>
    <w:rsid w:val="002860ED"/>
    <w:rsid w:val="002A2EFC"/>
    <w:rsid w:val="002C0E18"/>
    <w:rsid w:val="002D5AAC"/>
    <w:rsid w:val="002D6166"/>
    <w:rsid w:val="002E5067"/>
    <w:rsid w:val="002F405F"/>
    <w:rsid w:val="002F7EEC"/>
    <w:rsid w:val="00301299"/>
    <w:rsid w:val="00307FB6"/>
    <w:rsid w:val="00317339"/>
    <w:rsid w:val="00322004"/>
    <w:rsid w:val="00324218"/>
    <w:rsid w:val="003402C2"/>
    <w:rsid w:val="00381C24"/>
    <w:rsid w:val="003958D0"/>
    <w:rsid w:val="003B00E5"/>
    <w:rsid w:val="003F3141"/>
    <w:rsid w:val="00407B78"/>
    <w:rsid w:val="00424203"/>
    <w:rsid w:val="00452493"/>
    <w:rsid w:val="00454E07"/>
    <w:rsid w:val="00472C5C"/>
    <w:rsid w:val="0050108D"/>
    <w:rsid w:val="00505AA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F5024"/>
    <w:rsid w:val="00825F8D"/>
    <w:rsid w:val="00834B71"/>
    <w:rsid w:val="0086445C"/>
    <w:rsid w:val="00894693"/>
    <w:rsid w:val="008A08D7"/>
    <w:rsid w:val="008B6909"/>
    <w:rsid w:val="00906890"/>
    <w:rsid w:val="00911BE4"/>
    <w:rsid w:val="00951972"/>
    <w:rsid w:val="009608F3"/>
    <w:rsid w:val="00982D57"/>
    <w:rsid w:val="009A24AC"/>
    <w:rsid w:val="00A312BC"/>
    <w:rsid w:val="00A84021"/>
    <w:rsid w:val="00A84D35"/>
    <w:rsid w:val="00A90665"/>
    <w:rsid w:val="00A917B3"/>
    <w:rsid w:val="00A978F1"/>
    <w:rsid w:val="00AB4B51"/>
    <w:rsid w:val="00AC3BAB"/>
    <w:rsid w:val="00B10CC7"/>
    <w:rsid w:val="00B42844"/>
    <w:rsid w:val="00B46C68"/>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28B5"/>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E596E"/>
  <w15:docId w15:val="{E663AC9A-E89F-479C-B036-319647DB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490</Words>
  <Characters>2674</Characters>
  <Application>Microsoft Office Word</Application>
  <DocSecurity>0</DocSecurity>
  <Lines>56</Lines>
  <Paragraphs>24</Paragraphs>
  <ScaleCrop>false</ScaleCrop>
  <HeadingPairs>
    <vt:vector size="2" baseType="variant">
      <vt:variant>
        <vt:lpstr>Título</vt:lpstr>
      </vt:variant>
      <vt:variant>
        <vt:i4>1</vt:i4>
      </vt:variant>
    </vt:vector>
  </HeadingPairs>
  <TitlesOfParts>
    <vt:vector size="1" baseType="lpstr">
      <vt:lpstr>A/HRC/51/L.22</vt:lpstr>
    </vt:vector>
  </TitlesOfParts>
  <Company>DCM</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A/HRC/51/L.22</dc:title>
  <dc:subject/>
  <dc:creator>Javier RODRIGUEZ PEREZ</dc:creator>
  <cp:keywords/>
  <cp:lastModifiedBy>Javier Rodriguez Perez</cp:lastModifiedBy>
  <cp:revision>3</cp:revision>
  <cp:lastPrinted>2022-10-04T12:52:00Z</cp:lastPrinted>
  <dcterms:created xsi:type="dcterms:W3CDTF">2022-10-04T12:52:00Z</dcterms:created>
  <dcterms:modified xsi:type="dcterms:W3CDTF">2022-10-04T12:53:00Z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