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47DBE45E" w14:textId="77777777" w:rsidTr="000E62AA">
        <w:trPr>
          <w:trHeight w:hRule="exact" w:val="851"/>
        </w:trPr>
        <w:tc>
          <w:tcPr>
            <w:tcW w:w="1280" w:type="dxa"/>
            <w:tcBorders>
              <w:bottom w:val="single" w:sz="4" w:space="0" w:color="auto"/>
            </w:tcBorders>
          </w:tcPr>
          <w:p w14:paraId="15125EB6" w14:textId="77777777" w:rsidR="00A1364C" w:rsidRPr="00F124C6" w:rsidRDefault="00A1364C" w:rsidP="00D02719"/>
        </w:tc>
        <w:tc>
          <w:tcPr>
            <w:tcW w:w="2273" w:type="dxa"/>
            <w:tcBorders>
              <w:bottom w:val="single" w:sz="4" w:space="0" w:color="auto"/>
            </w:tcBorders>
            <w:vAlign w:val="bottom"/>
          </w:tcPr>
          <w:p w14:paraId="7CC81972"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23853200" w14:textId="5B60A227" w:rsidR="00A1364C" w:rsidRPr="00ED3571" w:rsidRDefault="00F634B7"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/51/</w:t>
            </w:r>
            <w:proofErr w:type="spellStart"/>
            <w:r>
              <w:rPr>
                <w:sz w:val="20"/>
                <w:szCs w:val="21"/>
              </w:rPr>
              <w:t>L</w:t>
            </w:r>
            <w:r w:rsidR="00ED3571">
              <w:rPr>
                <w:sz w:val="20"/>
                <w:szCs w:val="21"/>
              </w:rPr>
              <w:t>.</w:t>
            </w:r>
            <w:r>
              <w:rPr>
                <w:sz w:val="20"/>
                <w:szCs w:val="21"/>
              </w:rPr>
              <w:t>22</w:t>
            </w:r>
            <w:proofErr w:type="spellEnd"/>
          </w:p>
        </w:tc>
      </w:tr>
      <w:tr w:rsidR="00A1364C" w:rsidRPr="00F124C6" w14:paraId="1A8F4DA6" w14:textId="77777777" w:rsidTr="000E62AA">
        <w:trPr>
          <w:trHeight w:hRule="exact" w:val="2835"/>
        </w:trPr>
        <w:tc>
          <w:tcPr>
            <w:tcW w:w="1280" w:type="dxa"/>
            <w:tcBorders>
              <w:top w:val="single" w:sz="4" w:space="0" w:color="auto"/>
              <w:bottom w:val="single" w:sz="12" w:space="0" w:color="auto"/>
            </w:tcBorders>
          </w:tcPr>
          <w:p w14:paraId="59D4D718" w14:textId="77777777" w:rsidR="00A1364C" w:rsidRPr="00F124C6" w:rsidRDefault="00A1364C" w:rsidP="000E62AA">
            <w:pPr>
              <w:spacing w:line="120" w:lineRule="atLeast"/>
              <w:rPr>
                <w:sz w:val="10"/>
                <w:szCs w:val="10"/>
              </w:rPr>
            </w:pPr>
          </w:p>
          <w:p w14:paraId="554C919A" w14:textId="77777777" w:rsidR="00A1364C" w:rsidRPr="00F124C6" w:rsidRDefault="00A1364C" w:rsidP="000E62AA">
            <w:pPr>
              <w:spacing w:line="120" w:lineRule="atLeast"/>
              <w:rPr>
                <w:sz w:val="10"/>
                <w:szCs w:val="10"/>
              </w:rPr>
            </w:pPr>
            <w:r>
              <w:rPr>
                <w:rFonts w:hint="eastAsia"/>
                <w:noProof/>
              </w:rPr>
              <w:drawing>
                <wp:inline distT="0" distB="0" distL="0" distR="0" wp14:anchorId="24F706B8" wp14:editId="33C9803C">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57AB1A2"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7EFD9B3E" w14:textId="29EE7165" w:rsidR="00A1364C" w:rsidRPr="00F124C6" w:rsidRDefault="00F634B7" w:rsidP="000E62AA">
            <w:pPr>
              <w:spacing w:before="240" w:line="240" w:lineRule="atLeast"/>
              <w:rPr>
                <w:sz w:val="20"/>
              </w:rPr>
            </w:pPr>
            <w:r>
              <w:rPr>
                <w:sz w:val="20"/>
              </w:rPr>
              <w:t>Distr.: Limited</w:t>
            </w:r>
          </w:p>
          <w:p w14:paraId="6239A26A" w14:textId="519754B8" w:rsidR="00A1364C" w:rsidRPr="00F124C6" w:rsidRDefault="00F634B7" w:rsidP="007A4727">
            <w:pPr>
              <w:spacing w:line="240" w:lineRule="atLeast"/>
              <w:rPr>
                <w:sz w:val="20"/>
              </w:rPr>
            </w:pPr>
            <w:r>
              <w:rPr>
                <w:sz w:val="20"/>
              </w:rPr>
              <w:t>3</w:t>
            </w:r>
            <w:r w:rsidR="009C7AE3">
              <w:rPr>
                <w:sz w:val="20"/>
              </w:rPr>
              <w:t xml:space="preserve"> </w:t>
            </w:r>
            <w:r>
              <w:rPr>
                <w:sz w:val="20"/>
              </w:rPr>
              <w:t>October</w:t>
            </w:r>
            <w:r w:rsidR="008B4347">
              <w:rPr>
                <w:sz w:val="20"/>
              </w:rPr>
              <w:t xml:space="preserve"> </w:t>
            </w:r>
            <w:r>
              <w:rPr>
                <w:sz w:val="20"/>
              </w:rPr>
              <w:t>2</w:t>
            </w:r>
            <w:r w:rsidR="008B4347">
              <w:rPr>
                <w:sz w:val="20"/>
              </w:rPr>
              <w:t>0</w:t>
            </w:r>
            <w:r>
              <w:rPr>
                <w:sz w:val="20"/>
              </w:rPr>
              <w:t>22</w:t>
            </w:r>
          </w:p>
          <w:p w14:paraId="5818B750" w14:textId="331253E0" w:rsidR="00A1364C" w:rsidRPr="00F124C6" w:rsidRDefault="00F634B7" w:rsidP="000E62AA">
            <w:pPr>
              <w:spacing w:line="240" w:lineRule="atLeast"/>
              <w:rPr>
                <w:sz w:val="20"/>
              </w:rPr>
            </w:pPr>
            <w:r>
              <w:rPr>
                <w:sz w:val="20"/>
              </w:rPr>
              <w:t>Chinese</w:t>
            </w:r>
            <w:r w:rsidR="00A1364C" w:rsidRPr="00F124C6">
              <w:rPr>
                <w:sz w:val="20"/>
              </w:rPr>
              <w:t xml:space="preserve"> </w:t>
            </w:r>
          </w:p>
          <w:p w14:paraId="473D6D1A" w14:textId="68FD5901" w:rsidR="00A1364C" w:rsidRPr="00F124C6" w:rsidRDefault="00F634B7" w:rsidP="000E62AA">
            <w:pPr>
              <w:spacing w:line="240" w:lineRule="atLeast"/>
            </w:pPr>
            <w:r>
              <w:rPr>
                <w:sz w:val="20"/>
              </w:rPr>
              <w:t>Original: English</w:t>
            </w:r>
          </w:p>
        </w:tc>
      </w:tr>
    </w:tbl>
    <w:p w14:paraId="30F75D58" w14:textId="77777777" w:rsidR="009C7AE3" w:rsidRDefault="009C7AE3" w:rsidP="00C7253F">
      <w:pPr>
        <w:spacing w:before="120"/>
        <w:rPr>
          <w:rFonts w:eastAsia="黑体"/>
          <w:sz w:val="24"/>
          <w:szCs w:val="24"/>
          <w:lang w:val="fr-CH"/>
        </w:rPr>
      </w:pPr>
      <w:r>
        <w:rPr>
          <w:rFonts w:eastAsia="黑体" w:hint="eastAsia"/>
          <w:sz w:val="24"/>
          <w:szCs w:val="24"/>
          <w:lang w:val="fr-CH"/>
        </w:rPr>
        <w:t>人权理事会</w:t>
      </w:r>
    </w:p>
    <w:p w14:paraId="3B62DD82" w14:textId="77777777" w:rsidR="009C7AE3" w:rsidRPr="009C7AE3" w:rsidRDefault="009C7AE3" w:rsidP="009C7AE3">
      <w:pPr>
        <w:rPr>
          <w:rFonts w:eastAsia="黑体" w:hint="eastAsia"/>
          <w:szCs w:val="21"/>
          <w:lang w:val="fr-CH"/>
        </w:rPr>
      </w:pPr>
      <w:r w:rsidRPr="009C7AE3">
        <w:rPr>
          <w:rFonts w:eastAsia="黑体" w:hint="eastAsia"/>
          <w:szCs w:val="21"/>
          <w:lang w:val="fr-CH"/>
        </w:rPr>
        <w:t>第五十一届会议</w:t>
      </w:r>
    </w:p>
    <w:p w14:paraId="5AD89E97" w14:textId="18CC2318" w:rsidR="009C7AE3" w:rsidRPr="009C7AE3" w:rsidRDefault="00F634B7" w:rsidP="009C7AE3">
      <w:pPr>
        <w:rPr>
          <w:rFonts w:ascii="Time New Roman" w:hAnsi="Time New Roman" w:hint="eastAsia"/>
          <w:szCs w:val="21"/>
          <w:lang w:val="fr-CH"/>
        </w:rPr>
      </w:pPr>
      <w:r>
        <w:rPr>
          <w:rFonts w:ascii="Time New Roman" w:hAnsi="Time New Roman" w:hint="eastAsia"/>
          <w:szCs w:val="21"/>
          <w:lang w:val="fr-CH"/>
        </w:rPr>
        <w:t>2</w:t>
      </w:r>
      <w:r w:rsidR="009C7AE3" w:rsidRPr="009C7AE3">
        <w:rPr>
          <w:rFonts w:ascii="Time New Roman" w:hAnsi="Time New Roman" w:hint="eastAsia"/>
          <w:szCs w:val="21"/>
          <w:lang w:val="fr-CH"/>
        </w:rPr>
        <w:t>0</w:t>
      </w:r>
      <w:r>
        <w:rPr>
          <w:rFonts w:ascii="Time New Roman" w:hAnsi="Time New Roman" w:hint="eastAsia"/>
          <w:szCs w:val="21"/>
          <w:lang w:val="fr-CH"/>
        </w:rPr>
        <w:t>22</w:t>
      </w:r>
      <w:r w:rsidR="009C7AE3" w:rsidRPr="009C7AE3">
        <w:rPr>
          <w:rFonts w:ascii="Time New Roman" w:hAnsi="Time New Roman" w:hint="eastAsia"/>
          <w:szCs w:val="21"/>
          <w:lang w:val="fr-CH"/>
        </w:rPr>
        <w:t>年</w:t>
      </w:r>
      <w:r>
        <w:rPr>
          <w:rFonts w:ascii="Time New Roman" w:hAnsi="Time New Roman" w:hint="eastAsia"/>
          <w:szCs w:val="21"/>
          <w:lang w:val="fr-CH"/>
        </w:rPr>
        <w:t>9</w:t>
      </w:r>
      <w:r w:rsidR="009C7AE3" w:rsidRPr="009C7AE3">
        <w:rPr>
          <w:rFonts w:ascii="Time New Roman" w:hAnsi="Time New Roman" w:hint="eastAsia"/>
          <w:szCs w:val="21"/>
          <w:lang w:val="fr-CH"/>
        </w:rPr>
        <w:t>月</w:t>
      </w:r>
      <w:r>
        <w:rPr>
          <w:rFonts w:ascii="Time New Roman" w:hAnsi="Time New Roman" w:hint="eastAsia"/>
          <w:szCs w:val="21"/>
          <w:lang w:val="fr-CH"/>
        </w:rPr>
        <w:t>12</w:t>
      </w:r>
      <w:r w:rsidR="009C7AE3" w:rsidRPr="009C7AE3">
        <w:rPr>
          <w:rFonts w:ascii="Time New Roman" w:hAnsi="Time New Roman" w:hint="eastAsia"/>
          <w:szCs w:val="21"/>
          <w:lang w:val="fr-CH"/>
        </w:rPr>
        <w:t>日至</w:t>
      </w:r>
      <w:r>
        <w:rPr>
          <w:rFonts w:ascii="Time New Roman" w:hAnsi="Time New Roman" w:hint="eastAsia"/>
          <w:szCs w:val="21"/>
          <w:lang w:val="fr-CH"/>
        </w:rPr>
        <w:t>1</w:t>
      </w:r>
      <w:r w:rsidR="009C7AE3" w:rsidRPr="009C7AE3">
        <w:rPr>
          <w:rFonts w:ascii="Time New Roman" w:hAnsi="Time New Roman" w:hint="eastAsia"/>
          <w:szCs w:val="21"/>
          <w:lang w:val="fr-CH"/>
        </w:rPr>
        <w:t>0</w:t>
      </w:r>
      <w:r w:rsidR="009C7AE3" w:rsidRPr="009C7AE3">
        <w:rPr>
          <w:rFonts w:ascii="Time New Roman" w:hAnsi="Time New Roman" w:hint="eastAsia"/>
          <w:szCs w:val="21"/>
          <w:lang w:val="fr-CH"/>
        </w:rPr>
        <w:t>月</w:t>
      </w:r>
      <w:r>
        <w:rPr>
          <w:rFonts w:ascii="Time New Roman" w:hAnsi="Time New Roman" w:hint="eastAsia"/>
          <w:szCs w:val="21"/>
          <w:lang w:val="fr-CH"/>
        </w:rPr>
        <w:t>7</w:t>
      </w:r>
      <w:r w:rsidR="009C7AE3" w:rsidRPr="009C7AE3">
        <w:rPr>
          <w:rFonts w:ascii="Time New Roman" w:hAnsi="Time New Roman" w:hint="eastAsia"/>
          <w:szCs w:val="21"/>
          <w:lang w:val="fr-CH"/>
        </w:rPr>
        <w:t>日</w:t>
      </w:r>
    </w:p>
    <w:p w14:paraId="4348E2F1" w14:textId="6DD5B9B1" w:rsidR="009C7AE3" w:rsidRPr="009C7AE3" w:rsidRDefault="009C7AE3" w:rsidP="009C7AE3">
      <w:pPr>
        <w:rPr>
          <w:rFonts w:ascii="Time New Roman" w:hAnsi="Time New Roman" w:hint="eastAsia"/>
          <w:szCs w:val="21"/>
          <w:lang w:val="fr-CH"/>
        </w:rPr>
      </w:pPr>
      <w:r w:rsidRPr="009C7AE3">
        <w:rPr>
          <w:rFonts w:ascii="Time New Roman" w:hAnsi="Time New Roman" w:hint="eastAsia"/>
          <w:szCs w:val="21"/>
          <w:lang w:val="fr-CH"/>
        </w:rPr>
        <w:t>议程项目</w:t>
      </w:r>
      <w:r w:rsidR="00F634B7">
        <w:rPr>
          <w:rFonts w:ascii="Time New Roman" w:hAnsi="Time New Roman" w:hint="eastAsia"/>
          <w:szCs w:val="21"/>
          <w:lang w:val="fr-CH"/>
        </w:rPr>
        <w:t>3</w:t>
      </w:r>
    </w:p>
    <w:p w14:paraId="1D3E9547" w14:textId="40F7836C" w:rsidR="009C7AE3" w:rsidRDefault="009C7AE3" w:rsidP="009C7AE3">
      <w:pPr>
        <w:rPr>
          <w:rFonts w:eastAsia="黑体"/>
          <w:lang w:val="fr-CH"/>
        </w:rPr>
      </w:pPr>
      <w:r w:rsidRPr="009C7AE3">
        <w:rPr>
          <w:rFonts w:eastAsia="黑体" w:hint="eastAsia"/>
          <w:szCs w:val="21"/>
          <w:lang w:val="fr-CH"/>
        </w:rPr>
        <w:t>促进和保护所有人权</w:t>
      </w:r>
      <w:r w:rsidR="001A02E5" w:rsidRPr="001A02E5">
        <w:rPr>
          <w:rFonts w:eastAsia="黑体" w:hint="eastAsia"/>
          <w:spacing w:val="-50"/>
          <w:szCs w:val="21"/>
          <w:lang w:val="fr-CH"/>
        </w:rPr>
        <w:t>―</w:t>
      </w:r>
      <w:r w:rsidR="001A02E5" w:rsidRPr="001A02E5">
        <w:rPr>
          <w:rFonts w:eastAsia="黑体" w:hint="eastAsia"/>
          <w:szCs w:val="21"/>
          <w:lang w:val="fr-CH"/>
        </w:rPr>
        <w:t>―</w:t>
      </w:r>
      <w:r w:rsidRPr="009C7AE3">
        <w:rPr>
          <w:rFonts w:eastAsia="黑体" w:hint="eastAsia"/>
          <w:szCs w:val="21"/>
          <w:lang w:val="fr-CH"/>
        </w:rPr>
        <w:t>公民权利、政治权利、</w:t>
      </w:r>
      <w:r w:rsidR="00F634B7">
        <w:rPr>
          <w:rFonts w:eastAsia="黑体"/>
          <w:szCs w:val="21"/>
          <w:lang w:val="fr-CH"/>
        </w:rPr>
        <w:br/>
      </w:r>
      <w:r w:rsidRPr="009C7AE3">
        <w:rPr>
          <w:rFonts w:eastAsia="黑体" w:hint="eastAsia"/>
          <w:szCs w:val="21"/>
          <w:lang w:val="fr-CH"/>
        </w:rPr>
        <w:t>经济、社会及文化权利</w:t>
      </w:r>
      <w:r w:rsidR="00F634B7">
        <w:rPr>
          <w:rFonts w:eastAsia="黑体" w:hint="eastAsia"/>
          <w:szCs w:val="21"/>
          <w:lang w:val="fr-CH"/>
        </w:rPr>
        <w:t>，</w:t>
      </w:r>
      <w:r w:rsidRPr="009C7AE3">
        <w:rPr>
          <w:rFonts w:eastAsia="黑体" w:hint="eastAsia"/>
          <w:szCs w:val="21"/>
          <w:lang w:val="fr-CH"/>
        </w:rPr>
        <w:t>包括发展权</w:t>
      </w:r>
    </w:p>
    <w:p w14:paraId="42D505E1" w14:textId="2D80F87A" w:rsidR="00F634B7" w:rsidRPr="00F634B7" w:rsidRDefault="00F634B7" w:rsidP="008E7E43">
      <w:pPr>
        <w:pStyle w:val="H23GC"/>
        <w:spacing w:before="440"/>
      </w:pPr>
      <w:r w:rsidRPr="002E1B09">
        <w:rPr>
          <w:spacing w:val="4"/>
          <w:lang w:val="fr-CH"/>
        </w:rPr>
        <w:tab/>
      </w:r>
      <w:r w:rsidRPr="002E1B09">
        <w:rPr>
          <w:spacing w:val="4"/>
          <w:lang w:val="fr-CH"/>
        </w:rPr>
        <w:tab/>
      </w:r>
      <w:r w:rsidRPr="002E1B09">
        <w:rPr>
          <w:spacing w:val="4"/>
          <w:lang w:val="fr-CH"/>
        </w:rPr>
        <w:t>多民族玻利维亚国、智利</w:t>
      </w:r>
      <w:r w:rsidR="002E1B09" w:rsidRPr="002E1B09">
        <w:rPr>
          <w:spacing w:val="4"/>
          <w:lang w:val="fr-CH"/>
        </w:rPr>
        <w:footnoteReference w:customMarkFollows="1" w:id="2"/>
        <w:t>*</w:t>
      </w:r>
      <w:r w:rsidRPr="002E1B09">
        <w:rPr>
          <w:spacing w:val="4"/>
          <w:lang w:val="fr-CH"/>
        </w:rPr>
        <w:t>、古巴、朝鲜民主主义人民共和国</w:t>
      </w:r>
      <w:r w:rsidR="002E1B09" w:rsidRPr="002E1B09">
        <w:rPr>
          <w:spacing w:val="4"/>
          <w:lang w:val="fr-CH"/>
        </w:rPr>
        <w:t>*</w:t>
      </w:r>
      <w:r w:rsidRPr="002E1B09">
        <w:rPr>
          <w:spacing w:val="4"/>
          <w:lang w:val="fr-CH"/>
        </w:rPr>
        <w:t>、埃及</w:t>
      </w:r>
      <w:r w:rsidR="002E1B09" w:rsidRPr="002E1B09">
        <w:rPr>
          <w:spacing w:val="4"/>
          <w:lang w:val="fr-CH"/>
        </w:rPr>
        <w:t>*</w:t>
      </w:r>
      <w:r w:rsidRPr="002E1B09">
        <w:rPr>
          <w:spacing w:val="4"/>
          <w:lang w:val="fr-CH"/>
        </w:rPr>
        <w:t>、纳</w:t>
      </w:r>
      <w:r w:rsidRPr="00F634B7">
        <w:rPr>
          <w:lang w:val="fr-CH"/>
        </w:rPr>
        <w:t>米比亚、尼加拉瓜</w:t>
      </w:r>
      <w:r w:rsidR="002E1B09" w:rsidRPr="00F634B7">
        <w:rPr>
          <w:lang w:val="fr-CH"/>
        </w:rPr>
        <w:t>*</w:t>
      </w:r>
      <w:r w:rsidRPr="00F634B7">
        <w:rPr>
          <w:lang w:val="fr-CH"/>
        </w:rPr>
        <w:t>、巴基斯坦和委内瑞拉玻利瓦尔共和国</w:t>
      </w:r>
      <w:r>
        <w:rPr>
          <w:lang w:val="fr-CH"/>
        </w:rPr>
        <w:t>：</w:t>
      </w:r>
      <w:r w:rsidRPr="00F634B7">
        <w:rPr>
          <w:lang w:val="fr-CH"/>
        </w:rPr>
        <w:t>决议草案</w:t>
      </w:r>
    </w:p>
    <w:p w14:paraId="014F571E" w14:textId="32507319" w:rsidR="00F634B7" w:rsidRPr="00F634B7" w:rsidRDefault="008B3059" w:rsidP="008E0F4E">
      <w:pPr>
        <w:pStyle w:val="H1GC"/>
        <w:tabs>
          <w:tab w:val="left" w:pos="1843"/>
        </w:tabs>
        <w:spacing w:after="320"/>
      </w:pPr>
      <w:r>
        <w:rPr>
          <w:lang w:val="fr-CH"/>
        </w:rPr>
        <w:tab/>
      </w:r>
      <w:r>
        <w:rPr>
          <w:lang w:val="fr-CH"/>
        </w:rPr>
        <w:tab/>
      </w:r>
      <w:r w:rsidR="00F634B7">
        <w:rPr>
          <w:lang w:val="fr-CH"/>
        </w:rPr>
        <w:t>51/</w:t>
      </w:r>
      <w:r w:rsidR="00F634B7" w:rsidRPr="00F634B7">
        <w:t>…</w:t>
      </w:r>
      <w:r>
        <w:tab/>
      </w:r>
      <w:r w:rsidR="00F634B7" w:rsidRPr="008B3059">
        <w:rPr>
          <w:spacing w:val="-6"/>
          <w:lang w:val="fr-CH"/>
        </w:rPr>
        <w:t>以雇佣军为手段侵犯人权并</w:t>
      </w:r>
      <w:r w:rsidR="00F634B7" w:rsidRPr="008E7E43">
        <w:rPr>
          <w:spacing w:val="-4"/>
          <w:lang w:val="fr-CH"/>
        </w:rPr>
        <w:t>阻挠行使民族</w:t>
      </w:r>
      <w:r w:rsidR="00F634B7" w:rsidRPr="008B3059">
        <w:rPr>
          <w:spacing w:val="-6"/>
          <w:lang w:val="fr-CH"/>
        </w:rPr>
        <w:t>自决权问</w:t>
      </w:r>
      <w:r w:rsidR="00F634B7" w:rsidRPr="008E7E43">
        <w:rPr>
          <w:spacing w:val="-4"/>
          <w:lang w:val="fr-CH"/>
        </w:rPr>
        <w:t>题工作组</w:t>
      </w:r>
      <w:r w:rsidR="00F634B7" w:rsidRPr="008B3059">
        <w:rPr>
          <w:spacing w:val="-6"/>
          <w:lang w:val="fr-CH"/>
        </w:rPr>
        <w:t>的任务</w:t>
      </w:r>
    </w:p>
    <w:p w14:paraId="5BCDCD39" w14:textId="0DA36436" w:rsidR="00F634B7" w:rsidRPr="00F634B7" w:rsidRDefault="00F634B7" w:rsidP="00F634B7">
      <w:pPr>
        <w:pStyle w:val="SingleTxtGC"/>
      </w:pPr>
      <w:r w:rsidRPr="00F634B7">
        <w:rPr>
          <w:lang w:val="fr-CH"/>
        </w:rPr>
        <w:tab/>
      </w:r>
      <w:r w:rsidRPr="008E0F4E">
        <w:rPr>
          <w:rFonts w:ascii="Time New Roman" w:eastAsia="楷体" w:hAnsi="Time New Roman"/>
          <w:lang w:val="fr-CH"/>
        </w:rPr>
        <w:t>人权理事会</w:t>
      </w:r>
      <w:r>
        <w:rPr>
          <w:lang w:val="fr-CH"/>
        </w:rPr>
        <w:t>，</w:t>
      </w:r>
    </w:p>
    <w:p w14:paraId="0146EDD0" w14:textId="698FA825" w:rsidR="00F634B7" w:rsidRPr="00F634B7" w:rsidRDefault="008E7E43" w:rsidP="00F634B7">
      <w:pPr>
        <w:pStyle w:val="SingleTxtGC"/>
      </w:pPr>
      <w:r>
        <w:rPr>
          <w:lang w:val="fr-CH"/>
        </w:rPr>
        <w:tab/>
      </w:r>
      <w:r w:rsidR="00F634B7" w:rsidRPr="008E0F4E">
        <w:rPr>
          <w:rFonts w:ascii="Time New Roman" w:eastAsia="楷体" w:hAnsi="Time New Roman"/>
          <w:lang w:val="fr-CH"/>
        </w:rPr>
        <w:t>回顾</w:t>
      </w:r>
      <w:r w:rsidR="00F634B7" w:rsidRPr="00F634B7">
        <w:rPr>
          <w:lang w:val="fr-CH"/>
        </w:rPr>
        <w:t>大会、人权理事会和人权委员会以往就</w:t>
      </w:r>
      <w:r w:rsidR="00F634B7" w:rsidRPr="00F634B7">
        <w:rPr>
          <w:rFonts w:hint="eastAsia"/>
          <w:lang w:val="fr-CH"/>
        </w:rPr>
        <w:t>此</w:t>
      </w:r>
      <w:r w:rsidR="00F634B7" w:rsidRPr="00F634B7">
        <w:rPr>
          <w:lang w:val="fr-CH"/>
        </w:rPr>
        <w:t>议题通过的所有决议</w:t>
      </w:r>
      <w:r w:rsidR="00F634B7">
        <w:rPr>
          <w:lang w:val="fr-CH"/>
        </w:rPr>
        <w:t>，</w:t>
      </w:r>
    </w:p>
    <w:p w14:paraId="191DE4EF" w14:textId="47327C0B" w:rsidR="00F634B7" w:rsidRPr="00F634B7" w:rsidRDefault="008E7E43" w:rsidP="00F634B7">
      <w:pPr>
        <w:pStyle w:val="SingleTxtGC"/>
      </w:pPr>
      <w:r>
        <w:rPr>
          <w:lang w:val="fr-CH"/>
        </w:rPr>
        <w:tab/>
      </w:r>
      <w:r w:rsidR="00F634B7" w:rsidRPr="008E0F4E">
        <w:rPr>
          <w:rFonts w:ascii="Time New Roman" w:eastAsia="楷体" w:hAnsi="Time New Roman"/>
          <w:lang w:val="fr-CH"/>
        </w:rPr>
        <w:t>又回顾</w:t>
      </w:r>
      <w:r w:rsidR="00F634B7" w:rsidRPr="00F634B7">
        <w:rPr>
          <w:lang w:val="fr-CH"/>
        </w:rPr>
        <w:t>人权理事会</w:t>
      </w:r>
      <w:r w:rsidR="00F634B7">
        <w:rPr>
          <w:lang w:val="fr-CH"/>
        </w:rPr>
        <w:t>2</w:t>
      </w:r>
      <w:r w:rsidR="00F634B7" w:rsidRPr="00F634B7">
        <w:rPr>
          <w:lang w:val="fr-CH"/>
        </w:rPr>
        <w:t>00</w:t>
      </w:r>
      <w:r w:rsidR="00F634B7">
        <w:rPr>
          <w:lang w:val="fr-CH"/>
        </w:rPr>
        <w:t>7</w:t>
      </w:r>
      <w:r w:rsidR="00F634B7" w:rsidRPr="00F634B7">
        <w:rPr>
          <w:lang w:val="fr-CH"/>
        </w:rPr>
        <w:t>年</w:t>
      </w:r>
      <w:r w:rsidR="00F634B7">
        <w:rPr>
          <w:lang w:val="fr-CH"/>
        </w:rPr>
        <w:t>6</w:t>
      </w:r>
      <w:r w:rsidR="00F634B7" w:rsidRPr="00F634B7">
        <w:rPr>
          <w:lang w:val="fr-CH"/>
        </w:rPr>
        <w:t>月</w:t>
      </w:r>
      <w:r w:rsidR="00F634B7">
        <w:rPr>
          <w:lang w:val="fr-CH"/>
        </w:rPr>
        <w:t>18</w:t>
      </w:r>
      <w:r w:rsidR="00F634B7" w:rsidRPr="00F634B7">
        <w:rPr>
          <w:lang w:val="fr-CH"/>
        </w:rPr>
        <w:t>日关于理事会体制建设的第</w:t>
      </w:r>
      <w:r w:rsidR="00F634B7">
        <w:rPr>
          <w:lang w:val="fr-CH"/>
        </w:rPr>
        <w:t>5/1</w:t>
      </w:r>
      <w:r w:rsidR="00F634B7" w:rsidRPr="00F634B7">
        <w:rPr>
          <w:lang w:val="fr-CH"/>
        </w:rPr>
        <w:t>号决议和</w:t>
      </w:r>
      <w:r w:rsidR="00F634B7" w:rsidRPr="00C71953">
        <w:rPr>
          <w:spacing w:val="2"/>
          <w:lang w:val="fr-CH"/>
        </w:rPr>
        <w:t>关于理事会特别程序任务负责人行为守则的第</w:t>
      </w:r>
      <w:r w:rsidR="00F634B7" w:rsidRPr="00C71953">
        <w:rPr>
          <w:spacing w:val="2"/>
          <w:lang w:val="fr-CH"/>
        </w:rPr>
        <w:t>5/2</w:t>
      </w:r>
      <w:r w:rsidR="00F634B7" w:rsidRPr="00C71953">
        <w:rPr>
          <w:spacing w:val="2"/>
          <w:lang w:val="fr-CH"/>
        </w:rPr>
        <w:t>号决议</w:t>
      </w:r>
      <w:r w:rsidR="00F634B7" w:rsidRPr="00C71953">
        <w:rPr>
          <w:spacing w:val="2"/>
          <w:lang w:val="fr-CH"/>
        </w:rPr>
        <w:t>，</w:t>
      </w:r>
      <w:r w:rsidR="00F634B7" w:rsidRPr="00C71953">
        <w:rPr>
          <w:spacing w:val="2"/>
          <w:lang w:val="fr-CH"/>
        </w:rPr>
        <w:t>强调指出所有任务负</w:t>
      </w:r>
      <w:r w:rsidR="00F634B7" w:rsidRPr="00F634B7">
        <w:rPr>
          <w:lang w:val="fr-CH"/>
        </w:rPr>
        <w:t>责人应根据这些决议及其附件履行职责</w:t>
      </w:r>
      <w:r w:rsidR="00F634B7">
        <w:rPr>
          <w:lang w:val="fr-CH"/>
        </w:rPr>
        <w:t>，</w:t>
      </w:r>
    </w:p>
    <w:p w14:paraId="2AE46A49" w14:textId="76CD7B59" w:rsidR="00F634B7" w:rsidRPr="00F634B7" w:rsidRDefault="008E7E43" w:rsidP="00F634B7">
      <w:pPr>
        <w:pStyle w:val="SingleTxtGC"/>
      </w:pPr>
      <w:r>
        <w:rPr>
          <w:lang w:val="fr-CH"/>
        </w:rPr>
        <w:tab/>
      </w:r>
      <w:r w:rsidR="00F634B7" w:rsidRPr="008E0F4E">
        <w:rPr>
          <w:rFonts w:ascii="Time New Roman" w:eastAsia="楷体" w:hAnsi="Time New Roman"/>
          <w:lang w:val="fr-CH"/>
        </w:rPr>
        <w:t>重申</w:t>
      </w:r>
      <w:r w:rsidR="00F634B7" w:rsidRPr="00F634B7">
        <w:rPr>
          <w:lang w:val="fr-CH"/>
        </w:rPr>
        <w:t>《联合国宪章》所载关于严格遵守各国主权平等、政治独立、领土完整、人民自决、在国际关系中不使用武力或威胁使用武力和不干涉各国国内管辖范围内事务等原则的宗旨和原则</w:t>
      </w:r>
      <w:r w:rsidR="00F634B7">
        <w:rPr>
          <w:lang w:val="fr-CH"/>
        </w:rPr>
        <w:t>，</w:t>
      </w:r>
    </w:p>
    <w:p w14:paraId="17CE401C" w14:textId="4401FEDE" w:rsidR="00F634B7" w:rsidRPr="00F634B7" w:rsidRDefault="008E7E43" w:rsidP="00F634B7">
      <w:pPr>
        <w:pStyle w:val="SingleTxtGC"/>
      </w:pPr>
      <w:r w:rsidRPr="00C71953">
        <w:rPr>
          <w:spacing w:val="2"/>
          <w:lang w:val="fr-CH"/>
        </w:rPr>
        <w:tab/>
      </w:r>
      <w:r w:rsidR="00F634B7" w:rsidRPr="00C71953">
        <w:rPr>
          <w:rFonts w:ascii="Time New Roman" w:eastAsia="楷体" w:hAnsi="Time New Roman" w:hint="eastAsia"/>
          <w:spacing w:val="2"/>
          <w:lang w:val="fr-CH"/>
        </w:rPr>
        <w:t>再次</w:t>
      </w:r>
      <w:r w:rsidR="00F634B7" w:rsidRPr="00C71953">
        <w:rPr>
          <w:rFonts w:ascii="Time New Roman" w:eastAsia="楷体" w:hAnsi="Time New Roman"/>
          <w:spacing w:val="2"/>
          <w:lang w:val="fr-CH"/>
        </w:rPr>
        <w:t>请</w:t>
      </w:r>
      <w:r w:rsidR="00F634B7" w:rsidRPr="00C71953">
        <w:rPr>
          <w:spacing w:val="2"/>
          <w:lang w:val="fr-CH"/>
        </w:rPr>
        <w:t>所有国家对以任何形式招募、训练、雇用或资助雇佣军的做法保持最</w:t>
      </w:r>
      <w:r w:rsidR="00F634B7" w:rsidRPr="00F634B7">
        <w:rPr>
          <w:lang w:val="fr-CH"/>
        </w:rPr>
        <w:t>高警惕</w:t>
      </w:r>
      <w:r w:rsidR="00F634B7">
        <w:rPr>
          <w:rFonts w:hint="eastAsia"/>
          <w:lang w:val="fr-CH"/>
        </w:rPr>
        <w:t>，</w:t>
      </w:r>
    </w:p>
    <w:p w14:paraId="5E7E3C3D" w14:textId="1B9B561B" w:rsidR="00F634B7" w:rsidRPr="00F634B7" w:rsidRDefault="008E7E43" w:rsidP="00F634B7">
      <w:pPr>
        <w:pStyle w:val="SingleTxtGC"/>
      </w:pPr>
      <w:r>
        <w:rPr>
          <w:lang w:val="fr-CH"/>
        </w:rPr>
        <w:tab/>
      </w:r>
      <w:r w:rsidR="00F634B7">
        <w:rPr>
          <w:lang w:val="fr-CH"/>
        </w:rPr>
        <w:t>1.</w:t>
      </w:r>
      <w:r w:rsidR="00F634B7" w:rsidRPr="00F634B7">
        <w:rPr>
          <w:lang w:val="fr-CH"/>
        </w:rPr>
        <w:tab/>
      </w:r>
      <w:r w:rsidR="00F634B7" w:rsidRPr="008E0F4E">
        <w:rPr>
          <w:rFonts w:ascii="Time New Roman" w:eastAsia="楷体" w:hAnsi="Time New Roman"/>
          <w:lang w:val="fr-CH"/>
        </w:rPr>
        <w:t>决定</w:t>
      </w:r>
      <w:r w:rsidR="00F634B7" w:rsidRPr="00F634B7">
        <w:rPr>
          <w:lang w:val="fr-CH"/>
        </w:rPr>
        <w:t>将以雇佣军为手段侵犯人权并阻挠行使</w:t>
      </w:r>
      <w:r w:rsidR="00F634B7" w:rsidRPr="00F634B7">
        <w:rPr>
          <w:rFonts w:hint="eastAsia"/>
          <w:lang w:val="fr-CH"/>
        </w:rPr>
        <w:t>民族</w:t>
      </w:r>
      <w:r w:rsidR="00F634B7" w:rsidRPr="00F634B7">
        <w:rPr>
          <w:lang w:val="fr-CH"/>
        </w:rPr>
        <w:t>自决权问题工作组的任务延长三年</w:t>
      </w:r>
      <w:r w:rsidR="00F634B7">
        <w:rPr>
          <w:lang w:val="fr-CH"/>
        </w:rPr>
        <w:t>，</w:t>
      </w:r>
      <w:r w:rsidR="00F634B7" w:rsidRPr="00F634B7">
        <w:rPr>
          <w:lang w:val="fr-CH"/>
        </w:rPr>
        <w:t>以便工作组继续</w:t>
      </w:r>
      <w:r w:rsidR="00F634B7" w:rsidRPr="00F634B7">
        <w:rPr>
          <w:rFonts w:hint="eastAsia"/>
          <w:lang w:val="fr-CH"/>
        </w:rPr>
        <w:t>依照</w:t>
      </w:r>
      <w:r w:rsidR="00F634B7" w:rsidRPr="00F634B7">
        <w:rPr>
          <w:lang w:val="fr-CH"/>
        </w:rPr>
        <w:t>人权理事会</w:t>
      </w:r>
      <w:r w:rsidR="00F634B7">
        <w:rPr>
          <w:lang w:val="fr-CH"/>
        </w:rPr>
        <w:t>2</w:t>
      </w:r>
      <w:r w:rsidR="00F634B7" w:rsidRPr="00F634B7">
        <w:rPr>
          <w:lang w:val="fr-CH"/>
        </w:rPr>
        <w:t>00</w:t>
      </w:r>
      <w:r w:rsidR="00F634B7">
        <w:rPr>
          <w:lang w:val="fr-CH"/>
        </w:rPr>
        <w:t>8</w:t>
      </w:r>
      <w:r w:rsidR="00F634B7" w:rsidRPr="00F634B7">
        <w:rPr>
          <w:lang w:val="fr-CH"/>
        </w:rPr>
        <w:t>年</w:t>
      </w:r>
      <w:r w:rsidR="00F634B7">
        <w:rPr>
          <w:lang w:val="fr-CH"/>
        </w:rPr>
        <w:t>3</w:t>
      </w:r>
      <w:r w:rsidR="00F634B7" w:rsidRPr="00F634B7">
        <w:rPr>
          <w:lang w:val="fr-CH"/>
        </w:rPr>
        <w:t>月</w:t>
      </w:r>
      <w:r w:rsidR="00F634B7">
        <w:rPr>
          <w:lang w:val="fr-CH"/>
        </w:rPr>
        <w:t>28</w:t>
      </w:r>
      <w:r w:rsidR="00F634B7" w:rsidRPr="00F634B7">
        <w:rPr>
          <w:lang w:val="fr-CH"/>
        </w:rPr>
        <w:t>日第</w:t>
      </w:r>
      <w:r w:rsidR="00F634B7">
        <w:rPr>
          <w:lang w:val="fr-CH"/>
        </w:rPr>
        <w:t>7/21</w:t>
      </w:r>
      <w:r w:rsidR="00F634B7" w:rsidRPr="00F634B7">
        <w:rPr>
          <w:lang w:val="fr-CH"/>
        </w:rPr>
        <w:t>号决议和其他相关决议开展工作</w:t>
      </w:r>
      <w:r w:rsidR="00F634B7" w:rsidRPr="00F634B7">
        <w:rPr>
          <w:vertAlign w:val="superscript"/>
          <w:lang w:val="fr-CH"/>
        </w:rPr>
        <w:footnoteReference w:id="3"/>
      </w:r>
      <w:r w:rsidR="00F634B7">
        <w:rPr>
          <w:lang w:val="fr-CH"/>
        </w:rPr>
        <w:t>；</w:t>
      </w:r>
    </w:p>
    <w:p w14:paraId="2BD9CBFD" w14:textId="3142F9EA" w:rsidR="00F634B7" w:rsidRPr="00F634B7" w:rsidRDefault="008E7E43" w:rsidP="00F634B7">
      <w:pPr>
        <w:pStyle w:val="SingleTxtGC"/>
      </w:pPr>
      <w:r>
        <w:rPr>
          <w:lang w:val="fr-CH"/>
        </w:rPr>
        <w:tab/>
      </w:r>
      <w:r w:rsidR="00F634B7">
        <w:rPr>
          <w:lang w:val="fr-CH"/>
        </w:rPr>
        <w:t>2.</w:t>
      </w:r>
      <w:r w:rsidR="00F634B7" w:rsidRPr="00F634B7">
        <w:rPr>
          <w:lang w:val="fr-CH"/>
        </w:rPr>
        <w:tab/>
      </w:r>
      <w:r w:rsidR="00F634B7" w:rsidRPr="008E0F4E">
        <w:rPr>
          <w:rFonts w:ascii="Time New Roman" w:eastAsia="楷体" w:hAnsi="Time New Roman"/>
          <w:lang w:val="fr-CH"/>
        </w:rPr>
        <w:t>促请</w:t>
      </w:r>
      <w:r w:rsidR="00F634B7" w:rsidRPr="00F634B7">
        <w:rPr>
          <w:lang w:val="fr-CH"/>
        </w:rPr>
        <w:t>所有国家全力配合工作组履行任务</w:t>
      </w:r>
      <w:r w:rsidR="00F634B7">
        <w:rPr>
          <w:lang w:val="fr-CH"/>
        </w:rPr>
        <w:t>；</w:t>
      </w:r>
    </w:p>
    <w:p w14:paraId="5D736035" w14:textId="717A5102" w:rsidR="00F634B7" w:rsidRPr="00F634B7" w:rsidRDefault="008E7E43" w:rsidP="00F634B7">
      <w:pPr>
        <w:pStyle w:val="SingleTxtGC"/>
      </w:pPr>
      <w:r w:rsidRPr="00BD03A0">
        <w:rPr>
          <w:spacing w:val="4"/>
          <w:lang w:val="fr-CH"/>
        </w:rPr>
        <w:tab/>
      </w:r>
      <w:r w:rsidR="00F634B7" w:rsidRPr="00BD03A0">
        <w:rPr>
          <w:spacing w:val="4"/>
          <w:lang w:val="fr-CH"/>
        </w:rPr>
        <w:t>3.</w:t>
      </w:r>
      <w:r w:rsidR="00F634B7" w:rsidRPr="00BD03A0">
        <w:rPr>
          <w:spacing w:val="4"/>
          <w:lang w:val="fr-CH"/>
        </w:rPr>
        <w:tab/>
      </w:r>
      <w:r w:rsidR="00F634B7" w:rsidRPr="00BD03A0">
        <w:rPr>
          <w:rFonts w:ascii="Time New Roman" w:eastAsia="楷体" w:hAnsi="Time New Roman"/>
          <w:spacing w:val="-2"/>
          <w:lang w:val="fr-CH"/>
        </w:rPr>
        <w:t>请</w:t>
      </w:r>
      <w:r w:rsidR="00F634B7" w:rsidRPr="00BD03A0">
        <w:rPr>
          <w:spacing w:val="-2"/>
          <w:lang w:val="fr-CH"/>
        </w:rPr>
        <w:t>秘书长和联合国人权事务高级专员向工作组提供履行任务所需的一切</w:t>
      </w:r>
      <w:r w:rsidR="00F634B7" w:rsidRPr="00F634B7">
        <w:rPr>
          <w:lang w:val="fr-CH"/>
        </w:rPr>
        <w:t>援助和支持</w:t>
      </w:r>
      <w:r w:rsidR="00F634B7">
        <w:rPr>
          <w:lang w:val="fr-CH"/>
        </w:rPr>
        <w:t>；</w:t>
      </w:r>
    </w:p>
    <w:p w14:paraId="2E3EAD0B" w14:textId="1043EC67" w:rsidR="00F634B7" w:rsidRPr="00F634B7" w:rsidRDefault="00B213C8" w:rsidP="00F634B7">
      <w:pPr>
        <w:pStyle w:val="SingleTxtGC"/>
      </w:pPr>
      <w:r w:rsidRPr="00BD03A0">
        <w:rPr>
          <w:spacing w:val="2"/>
          <w:lang w:val="fr-CH"/>
        </w:rPr>
        <w:lastRenderedPageBreak/>
        <w:tab/>
      </w:r>
      <w:r w:rsidR="00F634B7" w:rsidRPr="00BD03A0">
        <w:rPr>
          <w:spacing w:val="2"/>
          <w:lang w:val="fr-CH"/>
        </w:rPr>
        <w:t>4.</w:t>
      </w:r>
      <w:r w:rsidR="00F634B7" w:rsidRPr="00BD03A0">
        <w:rPr>
          <w:spacing w:val="2"/>
          <w:lang w:val="fr-CH"/>
        </w:rPr>
        <w:tab/>
      </w:r>
      <w:r w:rsidR="00F634B7" w:rsidRPr="00BD03A0">
        <w:rPr>
          <w:rFonts w:ascii="Time New Roman" w:eastAsia="楷体" w:hAnsi="Time New Roman"/>
          <w:spacing w:val="-4"/>
          <w:lang w:val="fr-CH"/>
        </w:rPr>
        <w:t>请</w:t>
      </w:r>
      <w:r w:rsidR="00F634B7" w:rsidRPr="00BD03A0">
        <w:rPr>
          <w:spacing w:val="-4"/>
          <w:lang w:val="fr-CH"/>
        </w:rPr>
        <w:t>工作组在执行本决议时</w:t>
      </w:r>
      <w:r w:rsidR="00F634B7" w:rsidRPr="00BD03A0">
        <w:rPr>
          <w:spacing w:val="-4"/>
          <w:lang w:val="fr-CH"/>
        </w:rPr>
        <w:t>，</w:t>
      </w:r>
      <w:r w:rsidR="00F634B7" w:rsidRPr="00BD03A0">
        <w:rPr>
          <w:spacing w:val="-4"/>
          <w:lang w:val="fr-CH"/>
        </w:rPr>
        <w:t>同各国、政府间组织和非政府组织以及包括</w:t>
      </w:r>
      <w:r w:rsidR="00F634B7" w:rsidRPr="00F634B7">
        <w:rPr>
          <w:lang w:val="fr-CH"/>
        </w:rPr>
        <w:t>民间社会组织在内的其他相关行为方协商</w:t>
      </w:r>
      <w:r w:rsidR="00F634B7">
        <w:rPr>
          <w:lang w:val="fr-CH"/>
        </w:rPr>
        <w:t>，</w:t>
      </w:r>
      <w:r w:rsidR="00F634B7" w:rsidRPr="00F634B7">
        <w:rPr>
          <w:lang w:val="fr-CH"/>
        </w:rPr>
        <w:t>并根据人权理事会和大会的工作方案</w:t>
      </w:r>
      <w:r w:rsidR="00F634B7">
        <w:rPr>
          <w:lang w:val="fr-CH"/>
        </w:rPr>
        <w:t>，</w:t>
      </w:r>
      <w:r w:rsidR="00F634B7" w:rsidRPr="00F634B7">
        <w:rPr>
          <w:lang w:val="fr-CH"/>
        </w:rPr>
        <w:t>向理事会和大会报告工作组的调查结果</w:t>
      </w:r>
      <w:r w:rsidR="00F634B7">
        <w:rPr>
          <w:lang w:val="fr-CH"/>
        </w:rPr>
        <w:t>；</w:t>
      </w:r>
    </w:p>
    <w:p w14:paraId="06A28C8F" w14:textId="1F4BD124" w:rsidR="00ED3571" w:rsidRDefault="00B213C8" w:rsidP="00F634B7">
      <w:pPr>
        <w:pStyle w:val="SingleTxtGC"/>
        <w:rPr>
          <w:lang w:val="fr-CH"/>
        </w:rPr>
      </w:pPr>
      <w:r>
        <w:rPr>
          <w:lang w:val="fr-CH"/>
        </w:rPr>
        <w:tab/>
      </w:r>
      <w:r w:rsidR="00F634B7">
        <w:rPr>
          <w:lang w:val="fr-CH"/>
        </w:rPr>
        <w:t>5.</w:t>
      </w:r>
      <w:r w:rsidR="00F634B7" w:rsidRPr="00F634B7">
        <w:rPr>
          <w:lang w:val="fr-CH"/>
        </w:rPr>
        <w:tab/>
      </w:r>
      <w:r w:rsidR="00F634B7" w:rsidRPr="00B213C8">
        <w:rPr>
          <w:rFonts w:ascii="Time New Roman" w:eastAsia="楷体" w:hAnsi="Time New Roman"/>
          <w:lang w:val="fr-CH"/>
        </w:rPr>
        <w:t>决定</w:t>
      </w:r>
      <w:r w:rsidR="00F634B7" w:rsidRPr="00F634B7">
        <w:rPr>
          <w:lang w:val="fr-CH"/>
        </w:rPr>
        <w:t>根据理事会工作方案在同一议程项目下继续审议此事。</w:t>
      </w:r>
    </w:p>
    <w:p w14:paraId="457FC0FF" w14:textId="77777777" w:rsidR="00B213C8" w:rsidRPr="002D6A9C" w:rsidRDefault="00B213C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213C8"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F227" w14:textId="77777777" w:rsidR="009716F6" w:rsidRPr="000D319F" w:rsidRDefault="009716F6" w:rsidP="000D319F">
      <w:pPr>
        <w:pStyle w:val="af0"/>
        <w:spacing w:after="240"/>
        <w:ind w:left="907"/>
        <w:rPr>
          <w:rFonts w:asciiTheme="majorBidi" w:eastAsia="宋体" w:hAnsiTheme="majorBidi" w:cstheme="majorBidi"/>
          <w:sz w:val="21"/>
          <w:szCs w:val="21"/>
          <w:lang w:val="en-US"/>
        </w:rPr>
      </w:pPr>
    </w:p>
    <w:p w14:paraId="3FFD9198" w14:textId="77777777" w:rsidR="009716F6" w:rsidRPr="000D319F" w:rsidRDefault="009716F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F6405A4" w14:textId="77777777" w:rsidR="009716F6" w:rsidRPr="000D319F" w:rsidRDefault="009716F6" w:rsidP="000D319F">
      <w:pPr>
        <w:pStyle w:val="af0"/>
      </w:pPr>
    </w:p>
  </w:endnote>
  <w:endnote w:type="continuationNotice" w:id="1">
    <w:p w14:paraId="001649C9" w14:textId="77777777" w:rsidR="009716F6" w:rsidRDefault="00971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98C7" w14:textId="77777777" w:rsidR="00ED3571" w:rsidRPr="00ED3571" w:rsidRDefault="00ED3571" w:rsidP="00ED3571">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D3571">
      <w:rPr>
        <w:rStyle w:val="af2"/>
        <w:b w:val="0"/>
        <w:snapToGrid w:val="0"/>
        <w:sz w:val="16"/>
      </w:rPr>
      <w:t>GE.22</w:t>
    </w:r>
    <w:proofErr w:type="spellEnd"/>
    <w:r w:rsidRPr="00ED3571">
      <w:rPr>
        <w:rStyle w:val="af2"/>
        <w:b w:val="0"/>
        <w:snapToGrid w:val="0"/>
        <w:sz w:val="16"/>
      </w:rPr>
      <w:t>-15539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0BAC" w14:textId="77777777" w:rsidR="00ED3571" w:rsidRPr="00ED3571" w:rsidRDefault="00ED3571" w:rsidP="00ED3571">
    <w:pPr>
      <w:pStyle w:val="af0"/>
      <w:tabs>
        <w:tab w:val="right" w:pos="9638"/>
      </w:tabs>
      <w:rPr>
        <w:rStyle w:val="af2"/>
      </w:rPr>
    </w:pPr>
    <w:proofErr w:type="spellStart"/>
    <w:r>
      <w:t>GE.22</w:t>
    </w:r>
    <w:proofErr w:type="spellEnd"/>
    <w:r>
      <w:t>-15539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A8B1" w14:textId="74CB2A38" w:rsidR="00056632" w:rsidRPr="00487939" w:rsidRDefault="00ED3571"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F3AC991" wp14:editId="6D53B2F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-15539</w:t>
    </w:r>
    <w:r w:rsidR="00731A42" w:rsidRPr="00EE277A">
      <w:rPr>
        <w:sz w:val="20"/>
        <w:lang w:eastAsia="zh-CN"/>
      </w:rPr>
      <w:t xml:space="preserve"> (C)</w:t>
    </w:r>
    <w:r w:rsidR="008B4347">
      <w:rPr>
        <w:sz w:val="20"/>
        <w:lang w:eastAsia="zh-CN"/>
      </w:rPr>
      <w:tab/>
      <w:t>0</w:t>
    </w:r>
    <w:r>
      <w:rPr>
        <w:sz w:val="20"/>
        <w:lang w:eastAsia="zh-CN"/>
      </w:rPr>
      <w:t>31</w:t>
    </w:r>
    <w:r w:rsidR="008B4347">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731A42" w:rsidRPr="00EE277A">
      <w:rPr>
        <w:sz w:val="20"/>
        <w:lang w:eastAsia="zh-CN"/>
      </w:rPr>
      <w:t>0</w:t>
    </w:r>
    <w:r>
      <w:rPr>
        <w:sz w:val="20"/>
        <w:lang w:eastAsia="zh-CN"/>
      </w:rPr>
      <w:t>31</w:t>
    </w:r>
    <w:r w:rsidR="00731A42">
      <w:rPr>
        <w:sz w:val="20"/>
        <w:lang w:eastAsia="zh-CN"/>
      </w:rPr>
      <w:t>0</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3F0682A8" wp14:editId="77CF2C7D">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FB8B" w14:textId="77777777" w:rsidR="009716F6" w:rsidRPr="000157B1" w:rsidRDefault="009716F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6299497F" w14:textId="77777777" w:rsidR="009716F6" w:rsidRPr="000157B1" w:rsidRDefault="009716F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3E8329F3" w14:textId="77777777" w:rsidR="009716F6" w:rsidRDefault="009716F6"/>
  </w:footnote>
  <w:footnote w:id="2">
    <w:p w14:paraId="44594899" w14:textId="77777777" w:rsidR="002E1B09" w:rsidRPr="009D1624" w:rsidRDefault="002E1B09" w:rsidP="002E1B09">
      <w:pPr>
        <w:pStyle w:val="a6"/>
      </w:pPr>
      <w:r>
        <w:rPr>
          <w:lang w:val="zh-CN"/>
        </w:rPr>
        <w:tab/>
        <w:t>*</w:t>
      </w:r>
      <w:r>
        <w:rPr>
          <w:lang w:val="zh-CN"/>
        </w:rPr>
        <w:tab/>
      </w:r>
      <w:r>
        <w:rPr>
          <w:lang w:val="zh-CN"/>
        </w:rPr>
        <w:t>非人权理事会成员国。</w:t>
      </w:r>
    </w:p>
  </w:footnote>
  <w:footnote w:id="3">
    <w:p w14:paraId="2D997858" w14:textId="77777777" w:rsidR="00F634B7" w:rsidRPr="00790AEA" w:rsidRDefault="00F634B7" w:rsidP="008B3059">
      <w:pPr>
        <w:pStyle w:val="a6"/>
      </w:pPr>
      <w:r>
        <w:rPr>
          <w:lang w:val="zh-CN"/>
        </w:rPr>
        <w:tab/>
      </w:r>
      <w:r>
        <w:rPr>
          <w:rStyle w:val="a8"/>
          <w:lang w:val="zh-CN"/>
        </w:rPr>
        <w:footnoteRef/>
      </w:r>
      <w:r>
        <w:rPr>
          <w:lang w:val="zh-CN"/>
        </w:rPr>
        <w:tab/>
      </w:r>
      <w:r>
        <w:rPr>
          <w:lang w:val="zh-CN"/>
        </w:rPr>
        <w:t>见</w:t>
      </w:r>
      <w:r>
        <w:rPr>
          <w:lang w:val="zh-CN"/>
        </w:rPr>
        <w:t>A/HRC/51/25</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2F61" w14:textId="77777777" w:rsidR="00056632" w:rsidRDefault="00ED3571" w:rsidP="00ED3571">
    <w:pPr>
      <w:pStyle w:val="af3"/>
    </w:pPr>
    <w:r>
      <w:t>A/</w:t>
    </w:r>
    <w:proofErr w:type="spellStart"/>
    <w:r>
      <w:t>HRC</w:t>
    </w:r>
    <w:proofErr w:type="spellEnd"/>
    <w:r>
      <w:t>/51/</w:t>
    </w:r>
    <w:proofErr w:type="spellStart"/>
    <w:r>
      <w:t>L.22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39CC" w14:textId="77777777" w:rsidR="00056632" w:rsidRPr="00202A30" w:rsidRDefault="00ED3571" w:rsidP="00ED3571">
    <w:pPr>
      <w:pStyle w:val="af3"/>
      <w:jc w:val="right"/>
    </w:pPr>
    <w:r>
      <w:t>A/</w:t>
    </w:r>
    <w:proofErr w:type="spellStart"/>
    <w:r>
      <w:t>HRC</w:t>
    </w:r>
    <w:proofErr w:type="spellEnd"/>
    <w:r>
      <w:t>/51/</w:t>
    </w:r>
    <w:proofErr w:type="spellStart"/>
    <w:r>
      <w:t>L.22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4"/>
  </w:num>
  <w:num w:numId="9">
    <w:abstractNumId w:val="4"/>
  </w:num>
  <w:num w:numId="10">
    <w:abstractNumId w:val="5"/>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F6"/>
    <w:rsid w:val="00011483"/>
    <w:rsid w:val="00031F0C"/>
    <w:rsid w:val="00054E5E"/>
    <w:rsid w:val="000B494F"/>
    <w:rsid w:val="000D319F"/>
    <w:rsid w:val="000D6BBD"/>
    <w:rsid w:val="000E4D0E"/>
    <w:rsid w:val="000E62AA"/>
    <w:rsid w:val="00144B69"/>
    <w:rsid w:val="00152D5C"/>
    <w:rsid w:val="00153E86"/>
    <w:rsid w:val="001737B8"/>
    <w:rsid w:val="00186C47"/>
    <w:rsid w:val="001A02E5"/>
    <w:rsid w:val="001B16DD"/>
    <w:rsid w:val="001B1BD1"/>
    <w:rsid w:val="001C3EF2"/>
    <w:rsid w:val="001D17F6"/>
    <w:rsid w:val="00204B42"/>
    <w:rsid w:val="0022146A"/>
    <w:rsid w:val="002231C3"/>
    <w:rsid w:val="0024417F"/>
    <w:rsid w:val="00250F8D"/>
    <w:rsid w:val="00256232"/>
    <w:rsid w:val="002939D6"/>
    <w:rsid w:val="002B3AC7"/>
    <w:rsid w:val="002E1B09"/>
    <w:rsid w:val="002E1C97"/>
    <w:rsid w:val="002F4D47"/>
    <w:rsid w:val="002F5834"/>
    <w:rsid w:val="003224E5"/>
    <w:rsid w:val="00326EBF"/>
    <w:rsid w:val="00327FE4"/>
    <w:rsid w:val="00346D15"/>
    <w:rsid w:val="003537E4"/>
    <w:rsid w:val="0037569F"/>
    <w:rsid w:val="00393259"/>
    <w:rsid w:val="003C0C9C"/>
    <w:rsid w:val="00427F63"/>
    <w:rsid w:val="00474C6B"/>
    <w:rsid w:val="004972E2"/>
    <w:rsid w:val="004C3F04"/>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505BE"/>
    <w:rsid w:val="00767E69"/>
    <w:rsid w:val="0077079A"/>
    <w:rsid w:val="007803C3"/>
    <w:rsid w:val="007A4727"/>
    <w:rsid w:val="007A5599"/>
    <w:rsid w:val="007C0CAE"/>
    <w:rsid w:val="007C7CBB"/>
    <w:rsid w:val="007E5DAD"/>
    <w:rsid w:val="00811540"/>
    <w:rsid w:val="00845338"/>
    <w:rsid w:val="00856233"/>
    <w:rsid w:val="00860F27"/>
    <w:rsid w:val="008B0560"/>
    <w:rsid w:val="008B2BFA"/>
    <w:rsid w:val="008B3059"/>
    <w:rsid w:val="008B4347"/>
    <w:rsid w:val="008D32CC"/>
    <w:rsid w:val="008E0F4E"/>
    <w:rsid w:val="008E7E43"/>
    <w:rsid w:val="00923C5A"/>
    <w:rsid w:val="00924843"/>
    <w:rsid w:val="0093206A"/>
    <w:rsid w:val="00932BA2"/>
    <w:rsid w:val="00936F03"/>
    <w:rsid w:val="00943B69"/>
    <w:rsid w:val="00944CB3"/>
    <w:rsid w:val="0094536F"/>
    <w:rsid w:val="00952103"/>
    <w:rsid w:val="009716F6"/>
    <w:rsid w:val="009B09D7"/>
    <w:rsid w:val="009C7AE3"/>
    <w:rsid w:val="009D35ED"/>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213C8"/>
    <w:rsid w:val="00B423E7"/>
    <w:rsid w:val="00B53320"/>
    <w:rsid w:val="00BB60B0"/>
    <w:rsid w:val="00BC1F4D"/>
    <w:rsid w:val="00BC6522"/>
    <w:rsid w:val="00BD03A0"/>
    <w:rsid w:val="00BF6D17"/>
    <w:rsid w:val="00C121D5"/>
    <w:rsid w:val="00C17349"/>
    <w:rsid w:val="00C278FA"/>
    <w:rsid w:val="00C351AA"/>
    <w:rsid w:val="00C52236"/>
    <w:rsid w:val="00C71175"/>
    <w:rsid w:val="00C71953"/>
    <w:rsid w:val="00C7253F"/>
    <w:rsid w:val="00C7577A"/>
    <w:rsid w:val="00C760F9"/>
    <w:rsid w:val="00C86376"/>
    <w:rsid w:val="00D02719"/>
    <w:rsid w:val="00D26A05"/>
    <w:rsid w:val="00D45C65"/>
    <w:rsid w:val="00D67E3B"/>
    <w:rsid w:val="00D85827"/>
    <w:rsid w:val="00D93FA6"/>
    <w:rsid w:val="00D97B98"/>
    <w:rsid w:val="00DB3E58"/>
    <w:rsid w:val="00DC671F"/>
    <w:rsid w:val="00DD2647"/>
    <w:rsid w:val="00DE4DA7"/>
    <w:rsid w:val="00E33B38"/>
    <w:rsid w:val="00E47FE5"/>
    <w:rsid w:val="00E574AF"/>
    <w:rsid w:val="00E71878"/>
    <w:rsid w:val="00E845B2"/>
    <w:rsid w:val="00ED3571"/>
    <w:rsid w:val="00EF457D"/>
    <w:rsid w:val="00F00D09"/>
    <w:rsid w:val="00F634B7"/>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A9FDC"/>
  <w15:docId w15:val="{AB44944A-0B43-49EE-B757-F8AAE6D9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656</Words>
  <Characters>738</Characters>
  <Application>Microsoft Office Word</Application>
  <DocSecurity>0</DocSecurity>
  <Lines>40</Lines>
  <Paragraphs>24</Paragraphs>
  <ScaleCrop>false</ScaleCrop>
  <Company>DCM</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A/HRC/51/L.22</dc:title>
  <dc:subject>2215539</dc:subject>
  <dc:creator>tian</dc:creator>
  <cp:keywords/>
  <dc:description/>
  <cp:lastModifiedBy>Hui Tian</cp:lastModifiedBy>
  <cp:revision>2</cp:revision>
  <cp:lastPrinted>2014-05-09T11:28:00Z</cp:lastPrinted>
  <dcterms:created xsi:type="dcterms:W3CDTF">2022-10-03T14:02:00Z</dcterms:created>
  <dcterms:modified xsi:type="dcterms:W3CDTF">2022-10-03T14:02:00Z</dcterms:modified>
</cp:coreProperties>
</file>