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2355" w14:textId="77777777" w:rsidR="00483E94" w:rsidRPr="00FA3966" w:rsidRDefault="00C80048" w:rsidP="00483E94">
      <w:pPr>
        <w:spacing w:after="360"/>
        <w:jc w:val="right"/>
        <w:outlineLvl w:val="0"/>
        <w:rPr>
          <w:b/>
          <w:lang w:val="fr-FR"/>
        </w:rPr>
      </w:pPr>
      <w:r>
        <w:rPr>
          <w:b/>
          <w:lang w:val="fr-FR"/>
        </w:rPr>
        <w:fldChar w:fldCharType="begin"/>
      </w:r>
      <w:r>
        <w:rPr>
          <w:b/>
          <w:lang w:val="fr-FR"/>
        </w:rPr>
        <w:instrText xml:space="preserve"> HYPERLINK "https://undocs.org/fr/A/74/18" </w:instrText>
      </w:r>
      <w:r>
        <w:rPr>
          <w:b/>
          <w:lang w:val="fr-FR"/>
        </w:rPr>
      </w:r>
      <w:r>
        <w:rPr>
          <w:b/>
          <w:lang w:val="fr-FR"/>
        </w:rPr>
        <w:fldChar w:fldCharType="separate"/>
      </w:r>
      <w:r w:rsidR="00045883" w:rsidRPr="00C80048">
        <w:rPr>
          <w:rStyle w:val="Lienhypertexte"/>
          <w:b/>
          <w:lang w:val="fr-FR"/>
        </w:rPr>
        <w:t>A/74/18</w:t>
      </w:r>
      <w:r>
        <w:rPr>
          <w:b/>
          <w:lang w:val="fr-FR"/>
        </w:rPr>
        <w:fldChar w:fldCharType="end"/>
      </w:r>
    </w:p>
    <w:p w14:paraId="15B03BAA" w14:textId="77777777" w:rsidR="00483E94" w:rsidRPr="00FA3966" w:rsidRDefault="001D12EC" w:rsidP="00483E94">
      <w:pPr>
        <w:ind w:left="1134"/>
        <w:rPr>
          <w:lang w:val="fr-FR"/>
        </w:rPr>
      </w:pPr>
      <w:r>
        <w:rPr>
          <w:noProof/>
          <w:lang w:eastAsia="fr-CH"/>
        </w:rPr>
        <w:drawing>
          <wp:inline distT="0" distB="0" distL="0" distR="0" wp14:anchorId="05F33676" wp14:editId="5E7CED89">
            <wp:extent cx="1190625" cy="1019175"/>
            <wp:effectExtent l="0" t="0" r="9525"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14:paraId="24ED9CAF" w14:textId="77777777" w:rsidR="00483E94" w:rsidRPr="00FA3966" w:rsidRDefault="00483E94" w:rsidP="00483E94">
      <w:pPr>
        <w:pStyle w:val="SMG"/>
        <w:spacing w:before="0" w:after="1080"/>
        <w:rPr>
          <w:lang w:val="fr-FR"/>
        </w:rPr>
      </w:pPr>
      <w:r w:rsidRPr="00FA3966">
        <w:rPr>
          <w:lang w:val="fr-FR"/>
        </w:rPr>
        <w:t>Nations Unies</w:t>
      </w:r>
    </w:p>
    <w:p w14:paraId="4AA0BAB1" w14:textId="77777777" w:rsidR="00483E94" w:rsidRPr="00FA3966" w:rsidRDefault="00483E94" w:rsidP="00483E94">
      <w:pPr>
        <w:pStyle w:val="SLG"/>
        <w:spacing w:after="960"/>
        <w:rPr>
          <w:lang w:val="fr-FR"/>
        </w:rPr>
      </w:pPr>
      <w:r w:rsidRPr="00FA3966">
        <w:rPr>
          <w:lang w:val="fr-FR"/>
        </w:rPr>
        <w:t xml:space="preserve">Rapport du </w:t>
      </w:r>
      <w:r w:rsidR="00972775" w:rsidRPr="00972775">
        <w:rPr>
          <w:lang w:val="fr-FR"/>
        </w:rPr>
        <w:t>Comité</w:t>
      </w:r>
      <w:r w:rsidR="00C80048">
        <w:rPr>
          <w:lang w:val="fr-FR"/>
        </w:rPr>
        <w:t xml:space="preserve"> </w:t>
      </w:r>
      <w:r w:rsidR="00972775" w:rsidRPr="00972775">
        <w:rPr>
          <w:lang w:val="fr-FR"/>
        </w:rPr>
        <w:br/>
        <w:t>pour l’élimination de</w:t>
      </w:r>
      <w:r w:rsidR="00C80048">
        <w:rPr>
          <w:lang w:val="fr-FR"/>
        </w:rPr>
        <w:t xml:space="preserve"> </w:t>
      </w:r>
      <w:r w:rsidR="00972775" w:rsidRPr="00972775">
        <w:rPr>
          <w:lang w:val="fr-FR"/>
        </w:rPr>
        <w:br/>
        <w:t>la discrimination raciale</w:t>
      </w:r>
    </w:p>
    <w:p w14:paraId="1326FF55" w14:textId="77777777" w:rsidR="00173145" w:rsidRPr="0065525C" w:rsidRDefault="00173145" w:rsidP="00173145">
      <w:pPr>
        <w:ind w:left="1134"/>
        <w:rPr>
          <w:b/>
          <w:sz w:val="36"/>
          <w:szCs w:val="36"/>
          <w:lang w:val="fr-FR"/>
        </w:rPr>
      </w:pPr>
      <w:bookmarkStart w:id="0" w:name="_Hlk18422871"/>
      <w:r w:rsidRPr="0065525C">
        <w:rPr>
          <w:b/>
          <w:sz w:val="36"/>
          <w:szCs w:val="36"/>
          <w:lang w:val="fr-FR"/>
        </w:rPr>
        <w:t>Quatre-vingt-seizième session</w:t>
      </w:r>
    </w:p>
    <w:p w14:paraId="5A1E09FD" w14:textId="77777777" w:rsidR="00173145" w:rsidRPr="0065525C" w:rsidRDefault="00173145" w:rsidP="00173145">
      <w:pPr>
        <w:spacing w:after="120"/>
        <w:ind w:left="1134" w:right="1134"/>
        <w:rPr>
          <w:b/>
          <w:sz w:val="36"/>
          <w:szCs w:val="36"/>
          <w:lang w:val="fr-FR"/>
        </w:rPr>
      </w:pPr>
      <w:r w:rsidRPr="0065525C">
        <w:rPr>
          <w:b/>
          <w:sz w:val="36"/>
          <w:szCs w:val="36"/>
          <w:lang w:val="fr-FR"/>
        </w:rPr>
        <w:t>(6-30 août 2018)</w:t>
      </w:r>
    </w:p>
    <w:p w14:paraId="4D720BE5" w14:textId="77777777" w:rsidR="00173145" w:rsidRPr="0065525C" w:rsidRDefault="00173145" w:rsidP="00173145">
      <w:pPr>
        <w:ind w:left="1134"/>
        <w:rPr>
          <w:b/>
          <w:sz w:val="36"/>
          <w:szCs w:val="36"/>
          <w:lang w:val="fr-FR"/>
        </w:rPr>
      </w:pPr>
      <w:r w:rsidRPr="0065525C">
        <w:rPr>
          <w:b/>
          <w:sz w:val="36"/>
          <w:szCs w:val="36"/>
          <w:lang w:val="fr-FR"/>
        </w:rPr>
        <w:t>Quatre-vingt-dix-septième session</w:t>
      </w:r>
    </w:p>
    <w:p w14:paraId="2B3F39FE" w14:textId="77777777" w:rsidR="00173145" w:rsidRPr="0065525C" w:rsidRDefault="00173145" w:rsidP="00173145">
      <w:pPr>
        <w:spacing w:after="120"/>
        <w:ind w:left="1134" w:right="1134"/>
        <w:rPr>
          <w:b/>
          <w:sz w:val="36"/>
          <w:szCs w:val="36"/>
          <w:lang w:val="fr-FR"/>
        </w:rPr>
      </w:pPr>
      <w:r w:rsidRPr="0065525C">
        <w:rPr>
          <w:b/>
          <w:sz w:val="36"/>
          <w:szCs w:val="36"/>
          <w:lang w:val="fr-FR"/>
        </w:rPr>
        <w:t>(26 novembre-14 décembre 2018)</w:t>
      </w:r>
    </w:p>
    <w:p w14:paraId="33A08B08" w14:textId="77777777" w:rsidR="00173145" w:rsidRPr="0065525C" w:rsidRDefault="00173145" w:rsidP="00173145">
      <w:pPr>
        <w:ind w:left="1134"/>
        <w:rPr>
          <w:b/>
          <w:sz w:val="36"/>
          <w:szCs w:val="36"/>
          <w:lang w:val="fr-FR"/>
        </w:rPr>
      </w:pPr>
      <w:r w:rsidRPr="0065525C">
        <w:rPr>
          <w:b/>
          <w:sz w:val="36"/>
          <w:szCs w:val="36"/>
          <w:lang w:val="fr-FR"/>
        </w:rPr>
        <w:t>Quatre-vingt-dix-huitième session</w:t>
      </w:r>
    </w:p>
    <w:p w14:paraId="31028FDE" w14:textId="77777777" w:rsidR="00483E94" w:rsidRPr="00FA3966" w:rsidRDefault="00173145" w:rsidP="00173145">
      <w:pPr>
        <w:spacing w:after="120"/>
        <w:ind w:left="1134" w:right="1134"/>
        <w:rPr>
          <w:b/>
          <w:sz w:val="36"/>
          <w:szCs w:val="36"/>
          <w:lang w:val="fr-FR"/>
        </w:rPr>
      </w:pPr>
      <w:r w:rsidRPr="0065525C">
        <w:rPr>
          <w:b/>
          <w:sz w:val="36"/>
          <w:szCs w:val="36"/>
          <w:lang w:val="fr-FR"/>
        </w:rPr>
        <w:t>(23 avril-10 mai 2019)</w:t>
      </w:r>
      <w:bookmarkEnd w:id="0"/>
    </w:p>
    <w:p w14:paraId="4A5608F2" w14:textId="77777777" w:rsidR="00483E94" w:rsidRPr="00FA3966" w:rsidRDefault="00483E94" w:rsidP="00173145">
      <w:pPr>
        <w:pStyle w:val="SMG"/>
        <w:spacing w:before="2520" w:after="0"/>
        <w:ind w:right="0"/>
        <w:rPr>
          <w:lang w:val="fr-FR"/>
        </w:rPr>
      </w:pPr>
      <w:r w:rsidRPr="00FA3966">
        <w:rPr>
          <w:lang w:val="fr-FR"/>
        </w:rPr>
        <w:t>Assemblée générale</w:t>
      </w:r>
    </w:p>
    <w:p w14:paraId="61A208D3" w14:textId="0E97748C" w:rsidR="00483E94" w:rsidRPr="00FA3966" w:rsidRDefault="00483E94" w:rsidP="00483E94">
      <w:pPr>
        <w:ind w:left="1134"/>
        <w:rPr>
          <w:b/>
          <w:sz w:val="28"/>
          <w:szCs w:val="28"/>
          <w:lang w:val="fr-FR"/>
        </w:rPr>
      </w:pPr>
      <w:r w:rsidRPr="00FA3966">
        <w:rPr>
          <w:b/>
          <w:sz w:val="28"/>
          <w:szCs w:val="28"/>
          <w:lang w:val="fr-FR"/>
        </w:rPr>
        <w:t>Documents officiels</w:t>
      </w:r>
      <w:bookmarkStart w:id="1" w:name="_GoBack"/>
      <w:bookmarkEnd w:id="1"/>
    </w:p>
    <w:p w14:paraId="2039697C" w14:textId="77777777" w:rsidR="00483E94" w:rsidRPr="00FA3966" w:rsidRDefault="00173145" w:rsidP="00483E94">
      <w:pPr>
        <w:ind w:left="1134" w:right="1134"/>
        <w:rPr>
          <w:b/>
          <w:sz w:val="28"/>
          <w:szCs w:val="28"/>
          <w:lang w:val="fr-FR"/>
        </w:rPr>
      </w:pPr>
      <w:r>
        <w:rPr>
          <w:b/>
          <w:sz w:val="28"/>
          <w:szCs w:val="28"/>
          <w:lang w:val="fr-FR"/>
        </w:rPr>
        <w:t>Soixante-quatorzième</w:t>
      </w:r>
      <w:r w:rsidR="00483E94">
        <w:rPr>
          <w:b/>
          <w:sz w:val="28"/>
          <w:szCs w:val="28"/>
          <w:lang w:val="fr-FR"/>
        </w:rPr>
        <w:t xml:space="preserve"> </w:t>
      </w:r>
      <w:r w:rsidR="00483E94" w:rsidRPr="00FA3966">
        <w:rPr>
          <w:b/>
          <w:sz w:val="28"/>
          <w:szCs w:val="28"/>
          <w:lang w:val="fr-FR"/>
        </w:rPr>
        <w:t>session</w:t>
      </w:r>
    </w:p>
    <w:p w14:paraId="559083ED" w14:textId="505FEF1E" w:rsidR="00483E94" w:rsidRDefault="00483E94" w:rsidP="00483E94">
      <w:pPr>
        <w:ind w:left="1134" w:right="1134"/>
        <w:rPr>
          <w:b/>
          <w:sz w:val="28"/>
          <w:szCs w:val="28"/>
          <w:lang w:val="fr-FR"/>
        </w:rPr>
      </w:pPr>
      <w:r w:rsidRPr="00FA3966">
        <w:rPr>
          <w:b/>
          <w:sz w:val="28"/>
          <w:szCs w:val="28"/>
          <w:lang w:val="fr-FR"/>
        </w:rPr>
        <w:t>Supplément n</w:t>
      </w:r>
      <w:r w:rsidRPr="00FA3966">
        <w:rPr>
          <w:b/>
          <w:sz w:val="28"/>
          <w:szCs w:val="28"/>
          <w:vertAlign w:val="superscript"/>
          <w:lang w:val="fr-FR"/>
        </w:rPr>
        <w:t>o</w:t>
      </w:r>
      <w:r w:rsidRPr="00FA3966">
        <w:rPr>
          <w:b/>
          <w:sz w:val="28"/>
          <w:szCs w:val="28"/>
          <w:lang w:val="fr-FR"/>
        </w:rPr>
        <w:t xml:space="preserve"> </w:t>
      </w:r>
      <w:r w:rsidR="00173145">
        <w:rPr>
          <w:b/>
          <w:sz w:val="28"/>
          <w:szCs w:val="28"/>
          <w:lang w:val="fr-FR"/>
        </w:rPr>
        <w:t>18</w:t>
      </w:r>
      <w:r w:rsidR="00FB1C8F">
        <w:rPr>
          <w:b/>
          <w:sz w:val="28"/>
          <w:szCs w:val="28"/>
          <w:lang w:val="fr-FR"/>
        </w:rPr>
        <w:t xml:space="preserve"> </w:t>
      </w:r>
    </w:p>
    <w:p w14:paraId="2421F8AF" w14:textId="77777777" w:rsidR="00483E94" w:rsidRDefault="00483E94" w:rsidP="00C451B9">
      <w:pPr>
        <w:sectPr w:rsidR="00483E94" w:rsidSect="00045883">
          <w:footerReference w:type="first" r:id="rId8"/>
          <w:endnotePr>
            <w:numFmt w:val="decimal"/>
          </w:endnotePr>
          <w:type w:val="oddPage"/>
          <w:pgSz w:w="11907" w:h="16840" w:code="9"/>
          <w:pgMar w:top="1417" w:right="1134" w:bottom="1134" w:left="1134" w:header="850" w:footer="567" w:gutter="0"/>
          <w:cols w:space="720"/>
          <w:titlePg/>
          <w:docGrid w:linePitch="272"/>
        </w:sectPr>
      </w:pPr>
    </w:p>
    <w:p w14:paraId="464E2665" w14:textId="77777777" w:rsidR="00541BE4" w:rsidRPr="00FA3966" w:rsidRDefault="00C80048" w:rsidP="00541BE4">
      <w:pPr>
        <w:spacing w:after="1200"/>
        <w:jc w:val="right"/>
        <w:outlineLvl w:val="0"/>
        <w:rPr>
          <w:b/>
          <w:lang w:val="fr-FR"/>
        </w:rPr>
      </w:pPr>
      <w:hyperlink r:id="rId9" w:history="1">
        <w:r w:rsidR="00045883" w:rsidRPr="00C80048">
          <w:rPr>
            <w:rStyle w:val="Lienhypertexte"/>
            <w:b/>
            <w:lang w:val="fr-FR"/>
          </w:rPr>
          <w:t>A/74/18</w:t>
        </w:r>
      </w:hyperlink>
    </w:p>
    <w:p w14:paraId="3F23BBD8" w14:textId="77777777" w:rsidR="00541BE4" w:rsidRPr="00FA3966" w:rsidRDefault="00541BE4" w:rsidP="00541BE4">
      <w:pPr>
        <w:rPr>
          <w:b/>
          <w:sz w:val="24"/>
          <w:szCs w:val="24"/>
          <w:lang w:val="fr-FR"/>
        </w:rPr>
      </w:pPr>
      <w:r w:rsidRPr="00FA3966">
        <w:rPr>
          <w:b/>
          <w:sz w:val="24"/>
          <w:szCs w:val="24"/>
          <w:lang w:val="fr-FR"/>
        </w:rPr>
        <w:t>Assemblée générale</w:t>
      </w:r>
    </w:p>
    <w:p w14:paraId="58EA2E6D" w14:textId="77777777" w:rsidR="00541BE4" w:rsidRPr="00FA3966" w:rsidRDefault="00541BE4" w:rsidP="00541BE4">
      <w:pPr>
        <w:rPr>
          <w:sz w:val="24"/>
          <w:szCs w:val="24"/>
          <w:lang w:val="fr-FR"/>
        </w:rPr>
      </w:pPr>
      <w:r w:rsidRPr="00FA3966">
        <w:rPr>
          <w:sz w:val="24"/>
          <w:szCs w:val="24"/>
          <w:lang w:val="fr-FR"/>
        </w:rPr>
        <w:t>Documents officiels</w:t>
      </w:r>
    </w:p>
    <w:p w14:paraId="2B03E716" w14:textId="77777777" w:rsidR="00541BE4" w:rsidRPr="00FA3966" w:rsidRDefault="00C80048" w:rsidP="00541BE4">
      <w:pPr>
        <w:rPr>
          <w:sz w:val="24"/>
          <w:szCs w:val="24"/>
          <w:lang w:val="fr-FR"/>
        </w:rPr>
      </w:pPr>
      <w:r>
        <w:rPr>
          <w:sz w:val="24"/>
          <w:szCs w:val="24"/>
          <w:lang w:val="fr-FR"/>
        </w:rPr>
        <w:t>Soixante-quatorzième</w:t>
      </w:r>
      <w:r w:rsidR="00541BE4">
        <w:rPr>
          <w:sz w:val="24"/>
          <w:szCs w:val="24"/>
          <w:lang w:val="fr-FR"/>
        </w:rPr>
        <w:t xml:space="preserve"> </w:t>
      </w:r>
      <w:r w:rsidR="00541BE4" w:rsidRPr="00FA3966">
        <w:rPr>
          <w:sz w:val="24"/>
          <w:szCs w:val="24"/>
          <w:lang w:val="fr-FR"/>
        </w:rPr>
        <w:t>session</w:t>
      </w:r>
    </w:p>
    <w:p w14:paraId="4FC50883" w14:textId="6E5BEFA2" w:rsidR="00541BE4" w:rsidRPr="00FA3966" w:rsidRDefault="00541BE4" w:rsidP="00541BE4">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sidR="00124804">
        <w:rPr>
          <w:sz w:val="24"/>
          <w:szCs w:val="24"/>
          <w:lang w:val="fr-FR"/>
        </w:rPr>
        <w:t> </w:t>
      </w:r>
      <w:r w:rsidR="00C80048">
        <w:rPr>
          <w:sz w:val="24"/>
          <w:szCs w:val="24"/>
          <w:lang w:val="fr-FR"/>
        </w:rPr>
        <w:t>18</w:t>
      </w:r>
      <w:r w:rsidR="00FB1C8F">
        <w:rPr>
          <w:sz w:val="24"/>
          <w:szCs w:val="24"/>
          <w:lang w:val="fr-FR"/>
        </w:rPr>
        <w:t xml:space="preserve"> </w:t>
      </w:r>
    </w:p>
    <w:p w14:paraId="54E47B68" w14:textId="77777777" w:rsidR="00541BE4" w:rsidRPr="00FA3966" w:rsidRDefault="00541BE4" w:rsidP="00DF4D0D">
      <w:pPr>
        <w:pStyle w:val="SMG"/>
        <w:spacing w:before="0" w:after="960"/>
        <w:rPr>
          <w:szCs w:val="40"/>
          <w:lang w:val="fr-FR"/>
        </w:rPr>
      </w:pPr>
      <w:r w:rsidRPr="00FA3966">
        <w:rPr>
          <w:lang w:val="fr-FR"/>
        </w:rPr>
        <w:t xml:space="preserve">Rapport du </w:t>
      </w:r>
      <w:r w:rsidR="00C80048" w:rsidRPr="00C80048">
        <w:rPr>
          <w:lang w:val="fr-FR"/>
        </w:rPr>
        <w:t>Comité pour l’élimination</w:t>
      </w:r>
      <w:r w:rsidR="00C80048" w:rsidRPr="00C80048">
        <w:rPr>
          <w:lang w:val="fr-FR"/>
        </w:rPr>
        <w:br/>
        <w:t>de la discrimination raciale</w:t>
      </w:r>
    </w:p>
    <w:p w14:paraId="5C5F1B3F" w14:textId="77777777" w:rsidR="00C80048" w:rsidRPr="0065525C" w:rsidRDefault="00C80048" w:rsidP="00C80048">
      <w:pPr>
        <w:spacing w:after="120"/>
        <w:ind w:left="1134"/>
        <w:rPr>
          <w:b/>
          <w:sz w:val="28"/>
          <w:szCs w:val="28"/>
          <w:lang w:val="fr-FR"/>
        </w:rPr>
      </w:pPr>
      <w:r w:rsidRPr="0065525C">
        <w:rPr>
          <w:b/>
          <w:sz w:val="28"/>
          <w:szCs w:val="28"/>
          <w:lang w:val="fr-FR"/>
        </w:rPr>
        <w:t>Quatre-vingt-seizième session</w:t>
      </w:r>
      <w:r>
        <w:rPr>
          <w:b/>
          <w:sz w:val="28"/>
          <w:szCs w:val="28"/>
          <w:lang w:val="fr-FR"/>
        </w:rPr>
        <w:t xml:space="preserve"> </w:t>
      </w:r>
      <w:r>
        <w:rPr>
          <w:b/>
          <w:sz w:val="28"/>
          <w:szCs w:val="28"/>
          <w:lang w:val="fr-FR"/>
        </w:rPr>
        <w:br/>
      </w:r>
      <w:r w:rsidRPr="0065525C">
        <w:rPr>
          <w:b/>
          <w:sz w:val="28"/>
          <w:szCs w:val="28"/>
          <w:lang w:val="fr-FR"/>
        </w:rPr>
        <w:t>(6-30 août 2018)</w:t>
      </w:r>
    </w:p>
    <w:p w14:paraId="47A53141" w14:textId="77777777" w:rsidR="00C80048" w:rsidRPr="0065525C" w:rsidRDefault="00C80048" w:rsidP="00C80048">
      <w:pPr>
        <w:spacing w:after="120"/>
        <w:ind w:left="1134"/>
        <w:rPr>
          <w:b/>
          <w:sz w:val="28"/>
          <w:szCs w:val="28"/>
          <w:lang w:val="fr-FR"/>
        </w:rPr>
      </w:pPr>
      <w:r w:rsidRPr="0065525C">
        <w:rPr>
          <w:b/>
          <w:sz w:val="28"/>
          <w:szCs w:val="28"/>
          <w:lang w:val="fr-FR"/>
        </w:rPr>
        <w:t>Quatre-vingt-dix-septième session</w:t>
      </w:r>
      <w:r>
        <w:rPr>
          <w:b/>
          <w:sz w:val="28"/>
          <w:szCs w:val="28"/>
          <w:lang w:val="fr-FR"/>
        </w:rPr>
        <w:t xml:space="preserve"> </w:t>
      </w:r>
      <w:r>
        <w:rPr>
          <w:b/>
          <w:sz w:val="28"/>
          <w:szCs w:val="28"/>
          <w:lang w:val="fr-FR"/>
        </w:rPr>
        <w:br/>
      </w:r>
      <w:r w:rsidRPr="0065525C">
        <w:rPr>
          <w:b/>
          <w:sz w:val="28"/>
          <w:szCs w:val="28"/>
          <w:lang w:val="fr-FR"/>
        </w:rPr>
        <w:t>(26 novembre-14 décembre 2018)</w:t>
      </w:r>
    </w:p>
    <w:p w14:paraId="275F5DA3" w14:textId="77777777" w:rsidR="00541BE4" w:rsidRPr="00FA3966" w:rsidRDefault="00C80048" w:rsidP="00C80048">
      <w:pPr>
        <w:spacing w:after="120"/>
        <w:ind w:left="1134"/>
        <w:rPr>
          <w:b/>
          <w:sz w:val="28"/>
          <w:szCs w:val="28"/>
          <w:lang w:val="fr-FR"/>
        </w:rPr>
      </w:pPr>
      <w:r w:rsidRPr="0065525C">
        <w:rPr>
          <w:b/>
          <w:sz w:val="28"/>
          <w:szCs w:val="28"/>
          <w:lang w:val="fr-FR"/>
        </w:rPr>
        <w:t>Quatre-vingt-dix-huitième session</w:t>
      </w:r>
      <w:r>
        <w:rPr>
          <w:b/>
          <w:sz w:val="28"/>
          <w:szCs w:val="28"/>
          <w:lang w:val="fr-FR"/>
        </w:rPr>
        <w:t xml:space="preserve"> </w:t>
      </w:r>
      <w:r>
        <w:rPr>
          <w:b/>
          <w:sz w:val="28"/>
          <w:szCs w:val="28"/>
          <w:lang w:val="fr-FR"/>
        </w:rPr>
        <w:br/>
      </w:r>
      <w:r w:rsidRPr="0065525C">
        <w:rPr>
          <w:b/>
          <w:sz w:val="28"/>
          <w:szCs w:val="28"/>
          <w:lang w:val="fr-FR"/>
        </w:rPr>
        <w:t>(23 avril-10 mai 2019)</w:t>
      </w:r>
    </w:p>
    <w:p w14:paraId="1097F396" w14:textId="77777777" w:rsidR="00DF4D0D" w:rsidRDefault="001D12EC" w:rsidP="00DF4D0D">
      <w:pPr>
        <w:spacing w:before="5200"/>
        <w:ind w:left="1134"/>
        <w:outlineLvl w:val="0"/>
      </w:pPr>
      <w:r>
        <w:rPr>
          <w:noProof/>
          <w:lang w:eastAsia="fr-CH"/>
        </w:rPr>
        <w:drawing>
          <wp:inline distT="0" distB="0" distL="0" distR="0" wp14:anchorId="79B18219" wp14:editId="29D8F76A">
            <wp:extent cx="5334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25" t="-133" r="-125" b="-133"/>
                    <a:stretch>
                      <a:fillRect/>
                    </a:stretch>
                  </pic:blipFill>
                  <pic:spPr bwMode="auto">
                    <a:xfrm>
                      <a:off x="0" y="0"/>
                      <a:ext cx="533400" cy="495300"/>
                    </a:xfrm>
                    <a:prstGeom prst="rect">
                      <a:avLst/>
                    </a:prstGeom>
                    <a:noFill/>
                    <a:ln>
                      <a:noFill/>
                    </a:ln>
                  </pic:spPr>
                </pic:pic>
              </a:graphicData>
            </a:graphic>
          </wp:inline>
        </w:drawing>
      </w:r>
      <w:r w:rsidR="00DF4D0D">
        <w:t xml:space="preserve"> </w:t>
      </w:r>
    </w:p>
    <w:p w14:paraId="30686BE7" w14:textId="77777777" w:rsidR="00541BE4" w:rsidRPr="00FA3966" w:rsidRDefault="00541BE4" w:rsidP="00541BE4">
      <w:pPr>
        <w:ind w:left="1134"/>
        <w:outlineLvl w:val="0"/>
        <w:rPr>
          <w:b/>
          <w:sz w:val="24"/>
          <w:szCs w:val="24"/>
          <w:lang w:val="fr-FR"/>
        </w:rPr>
      </w:pPr>
      <w:r w:rsidRPr="00FA3966">
        <w:rPr>
          <w:b/>
          <w:noProof/>
          <w:sz w:val="28"/>
          <w:lang w:val="fr-FR"/>
        </w:rPr>
        <w:t>Nations Unies</w:t>
      </w:r>
      <w:r w:rsidRPr="00FA3966">
        <w:rPr>
          <w:b/>
          <w:sz w:val="28"/>
          <w:lang w:val="fr-FR"/>
        </w:rPr>
        <w:t xml:space="preserve"> • New York, </w:t>
      </w:r>
      <w:r w:rsidR="00C80048">
        <w:rPr>
          <w:b/>
          <w:sz w:val="28"/>
          <w:lang w:val="fr-FR"/>
        </w:rPr>
        <w:t>2019</w:t>
      </w:r>
    </w:p>
    <w:p w14:paraId="399759C2" w14:textId="77777777" w:rsidR="00124804" w:rsidRDefault="00541BE4" w:rsidP="00124804">
      <w:pPr>
        <w:pStyle w:val="H4G"/>
        <w:rPr>
          <w:lang w:val="fr-FR"/>
        </w:rPr>
      </w:pPr>
      <w:r w:rsidRPr="00FA3966">
        <w:rPr>
          <w:lang w:val="fr-FR"/>
        </w:rPr>
        <w:br w:type="page"/>
      </w:r>
    </w:p>
    <w:p w14:paraId="0C6FE2EA" w14:textId="77777777" w:rsidR="00124804" w:rsidRDefault="00124804" w:rsidP="00124804">
      <w:pPr>
        <w:pStyle w:val="SingleTxtG"/>
        <w:spacing w:after="4320"/>
        <w:rPr>
          <w:lang w:val="fr-FR"/>
        </w:rPr>
      </w:pPr>
    </w:p>
    <w:p w14:paraId="31004F6A" w14:textId="7E5B3792" w:rsidR="00541BE4" w:rsidRPr="00FA3966" w:rsidRDefault="00124804" w:rsidP="00124804">
      <w:pPr>
        <w:pStyle w:val="H4G"/>
        <w:rPr>
          <w:lang w:val="fr-FR"/>
        </w:rPr>
      </w:pPr>
      <w:r>
        <w:rPr>
          <w:lang w:val="fr-FR"/>
        </w:rPr>
        <w:tab/>
      </w:r>
      <w:r>
        <w:rPr>
          <w:lang w:val="fr-FR"/>
        </w:rPr>
        <w:tab/>
      </w:r>
      <w:r w:rsidR="00541BE4" w:rsidRPr="00FA3966">
        <w:rPr>
          <w:lang w:val="fr-FR"/>
        </w:rPr>
        <w:t>Note</w:t>
      </w:r>
    </w:p>
    <w:p w14:paraId="73F36ED2" w14:textId="26D6830D" w:rsidR="00541BE4" w:rsidRPr="00FA3966" w:rsidRDefault="00541BE4" w:rsidP="00270821">
      <w:pPr>
        <w:pStyle w:val="SingleTxtG"/>
        <w:ind w:firstLine="567"/>
        <w:rPr>
          <w:lang w:val="fr-FR"/>
        </w:rPr>
      </w:pPr>
      <w:r w:rsidRPr="00FA3966">
        <w:rPr>
          <w:bCs/>
          <w:lang w:val="fr-FR"/>
        </w:rPr>
        <w:t>Les cotes des documents de l’Organisation des Nations Unies se composent de lettres majuscules et de chiffres</w:t>
      </w:r>
      <w:r w:rsidR="006A19EC" w:rsidRPr="006A19EC">
        <w:rPr>
          <w:bCs/>
          <w:lang w:val="fr-FR"/>
        </w:rPr>
        <w:t>.</w:t>
      </w:r>
      <w:r w:rsidRPr="00FA3966">
        <w:rPr>
          <w:bCs/>
          <w:lang w:val="fr-FR"/>
        </w:rPr>
        <w:t xml:space="preserve"> La simple mention d’une cote dans un texte signifie qu’il s’agit d’un document de l’Organisation</w:t>
      </w:r>
      <w:r w:rsidR="006A19EC" w:rsidRPr="006A19EC">
        <w:rPr>
          <w:bCs/>
          <w:lang w:val="fr-FR"/>
        </w:rPr>
        <w:t>.</w:t>
      </w:r>
      <w:r w:rsidR="007C3D01">
        <w:rPr>
          <w:bCs/>
          <w:lang w:val="fr-FR"/>
        </w:rPr>
        <w:t xml:space="preserve"> </w:t>
      </w:r>
    </w:p>
    <w:p w14:paraId="5CEF5BE8" w14:textId="77777777" w:rsidR="00541BE4" w:rsidRDefault="00541BE4" w:rsidP="00C451B9">
      <w:pPr>
        <w:sectPr w:rsidR="00541BE4" w:rsidSect="00045883">
          <w:headerReference w:type="default" r:id="rId11"/>
          <w:footerReference w:type="default" r:id="rId12"/>
          <w:headerReference w:type="first" r:id="rId13"/>
          <w:footerReference w:type="first" r:id="rId14"/>
          <w:endnotePr>
            <w:numFmt w:val="decimal"/>
          </w:endnotePr>
          <w:type w:val="oddPage"/>
          <w:pgSz w:w="11907" w:h="16840" w:code="9"/>
          <w:pgMar w:top="1417" w:right="1134" w:bottom="1134" w:left="1134" w:header="850" w:footer="567" w:gutter="0"/>
          <w:cols w:space="720"/>
          <w:titlePg/>
          <w:docGrid w:linePitch="272"/>
        </w:sectPr>
      </w:pPr>
    </w:p>
    <w:p w14:paraId="65A5C997" w14:textId="1C88CFA9" w:rsidR="00EF7D1D" w:rsidRDefault="007C3D01" w:rsidP="007C3D01">
      <w:pPr>
        <w:spacing w:after="120"/>
        <w:rPr>
          <w:sz w:val="28"/>
        </w:rPr>
      </w:pPr>
      <w:r w:rsidRPr="007C3D01">
        <w:rPr>
          <w:sz w:val="28"/>
        </w:rPr>
        <w:lastRenderedPageBreak/>
        <w:t>Table des matières</w:t>
      </w:r>
    </w:p>
    <w:p w14:paraId="78DD5220" w14:textId="77777777" w:rsidR="00124804" w:rsidRPr="007C3D01" w:rsidRDefault="00124804" w:rsidP="00124804">
      <w:pPr>
        <w:tabs>
          <w:tab w:val="right" w:pos="9638"/>
        </w:tabs>
        <w:spacing w:after="120"/>
        <w:ind w:left="283"/>
        <w:jc w:val="right"/>
        <w:rPr>
          <w:i/>
          <w:sz w:val="18"/>
        </w:rPr>
      </w:pPr>
      <w:r w:rsidRPr="007C3D01">
        <w:rPr>
          <w:i/>
          <w:sz w:val="18"/>
        </w:rPr>
        <w:t>Page</w:t>
      </w:r>
    </w:p>
    <w:p w14:paraId="6B5F8BAA" w14:textId="1362AA86" w:rsidR="007C3D01" w:rsidRPr="00124804" w:rsidRDefault="007C3D01" w:rsidP="00124804">
      <w:pPr>
        <w:tabs>
          <w:tab w:val="right" w:pos="850"/>
          <w:tab w:val="right" w:leader="dot" w:pos="8787"/>
          <w:tab w:val="right" w:pos="9638"/>
        </w:tabs>
        <w:spacing w:after="120"/>
        <w:ind w:left="1134" w:hanging="1134"/>
      </w:pPr>
      <w:r>
        <w:tab/>
      </w:r>
      <w:r>
        <w:tab/>
      </w:r>
      <w:r w:rsidR="00660D73" w:rsidRPr="00AB19E7">
        <w:rPr>
          <w:lang w:val="fr-FR"/>
        </w:rPr>
        <w:t>Lettre d’envoi</w:t>
      </w:r>
      <w:r>
        <w:tab/>
      </w:r>
      <w:r>
        <w:tab/>
      </w:r>
      <w:r w:rsidR="009C17E1">
        <w:t>1</w:t>
      </w:r>
    </w:p>
    <w:p w14:paraId="4B7DE242" w14:textId="7EAD10EF" w:rsidR="007C3D01" w:rsidRDefault="007C3D01" w:rsidP="007C3D01">
      <w:pPr>
        <w:tabs>
          <w:tab w:val="right" w:pos="850"/>
          <w:tab w:val="right" w:leader="dot" w:pos="8787"/>
          <w:tab w:val="right" w:pos="9638"/>
        </w:tabs>
        <w:spacing w:after="120"/>
        <w:ind w:left="1134" w:hanging="1134"/>
      </w:pPr>
      <w:r>
        <w:tab/>
        <w:t>I</w:t>
      </w:r>
      <w:r w:rsidR="006A19EC" w:rsidRPr="006A19EC">
        <w:t>.</w:t>
      </w:r>
      <w:r>
        <w:tab/>
      </w:r>
      <w:r w:rsidR="00660D73" w:rsidRPr="001C7648">
        <w:rPr>
          <w:lang w:val="fr-FR"/>
        </w:rPr>
        <w:t>Questions d’organisation et questions connexes</w:t>
      </w:r>
      <w:r>
        <w:tab/>
      </w:r>
      <w:r>
        <w:tab/>
      </w:r>
      <w:r w:rsidR="00892E54">
        <w:t>2</w:t>
      </w:r>
    </w:p>
    <w:p w14:paraId="375DCE3A" w14:textId="506FA2AD" w:rsidR="007C3D01" w:rsidRDefault="007C3D01" w:rsidP="007C3D01">
      <w:pPr>
        <w:tabs>
          <w:tab w:val="right" w:leader="dot" w:pos="8787"/>
          <w:tab w:val="right" w:pos="9638"/>
        </w:tabs>
        <w:spacing w:after="120"/>
        <w:ind w:left="1559" w:hanging="425"/>
      </w:pPr>
      <w:r>
        <w:t>A</w:t>
      </w:r>
      <w:r w:rsidR="006A19EC" w:rsidRPr="006A19EC">
        <w:t>.</w:t>
      </w:r>
      <w:r>
        <w:tab/>
      </w:r>
      <w:r w:rsidR="00660D73" w:rsidRPr="001C7648">
        <w:rPr>
          <w:lang w:val="fr-FR"/>
        </w:rPr>
        <w:t xml:space="preserve">États parties à la Convention internationale sur l’élimination de toutes les formes </w:t>
      </w:r>
      <w:r w:rsidR="00660D73">
        <w:rPr>
          <w:lang w:val="fr-FR"/>
        </w:rPr>
        <w:br/>
      </w:r>
      <w:r w:rsidR="00660D73" w:rsidRPr="001C7648">
        <w:rPr>
          <w:lang w:val="fr-FR"/>
        </w:rPr>
        <w:t>de discrimination raciale</w:t>
      </w:r>
      <w:r>
        <w:tab/>
      </w:r>
      <w:r>
        <w:tab/>
      </w:r>
      <w:r w:rsidR="00892E54">
        <w:t>2</w:t>
      </w:r>
    </w:p>
    <w:p w14:paraId="24BD4F27" w14:textId="65C09871" w:rsidR="007C3D01" w:rsidRDefault="007C3D01" w:rsidP="007C3D01">
      <w:pPr>
        <w:tabs>
          <w:tab w:val="right" w:leader="dot" w:pos="8787"/>
          <w:tab w:val="right" w:pos="9638"/>
        </w:tabs>
        <w:spacing w:after="120"/>
        <w:ind w:left="1559" w:hanging="425"/>
      </w:pPr>
      <w:r>
        <w:t>B</w:t>
      </w:r>
      <w:r w:rsidR="006A19EC" w:rsidRPr="006A19EC">
        <w:t>.</w:t>
      </w:r>
      <w:r>
        <w:tab/>
      </w:r>
      <w:r w:rsidR="00660D73" w:rsidRPr="001C7648">
        <w:rPr>
          <w:lang w:val="fr-FR"/>
        </w:rPr>
        <w:t>Sessions et ordres du jour</w:t>
      </w:r>
      <w:r>
        <w:tab/>
      </w:r>
      <w:r>
        <w:tab/>
      </w:r>
      <w:r w:rsidR="00892E54">
        <w:t>2</w:t>
      </w:r>
    </w:p>
    <w:p w14:paraId="0D925AF8" w14:textId="28A51FD6" w:rsidR="007C3D01" w:rsidRDefault="007C3D01" w:rsidP="007C3D01">
      <w:pPr>
        <w:tabs>
          <w:tab w:val="right" w:leader="dot" w:pos="8787"/>
          <w:tab w:val="right" w:pos="9638"/>
        </w:tabs>
        <w:spacing w:after="120"/>
        <w:ind w:left="1559" w:hanging="425"/>
      </w:pPr>
      <w:r>
        <w:t>C</w:t>
      </w:r>
      <w:r w:rsidR="006A19EC" w:rsidRPr="006A19EC">
        <w:t>.</w:t>
      </w:r>
      <w:r>
        <w:tab/>
      </w:r>
      <w:r w:rsidR="00660D73" w:rsidRPr="001C7648">
        <w:rPr>
          <w:lang w:val="fr-FR"/>
        </w:rPr>
        <w:t>Composition</w:t>
      </w:r>
      <w:r>
        <w:tab/>
      </w:r>
      <w:r>
        <w:tab/>
      </w:r>
      <w:r w:rsidR="00892E54">
        <w:t>2</w:t>
      </w:r>
    </w:p>
    <w:p w14:paraId="42B8A0BA" w14:textId="61C32716" w:rsidR="007C3D01" w:rsidRDefault="007C3D01" w:rsidP="007C3D01">
      <w:pPr>
        <w:tabs>
          <w:tab w:val="right" w:leader="dot" w:pos="8787"/>
          <w:tab w:val="right" w:pos="9638"/>
        </w:tabs>
        <w:spacing w:after="120"/>
        <w:ind w:left="1559" w:hanging="425"/>
      </w:pPr>
      <w:r>
        <w:t>D</w:t>
      </w:r>
      <w:r w:rsidR="006A19EC" w:rsidRPr="006A19EC">
        <w:t>.</w:t>
      </w:r>
      <w:r>
        <w:tab/>
      </w:r>
      <w:r w:rsidR="00660D73" w:rsidRPr="008E03F4">
        <w:rPr>
          <w:lang w:val="fr-FR"/>
        </w:rPr>
        <w:t>Bureau du Comité</w:t>
      </w:r>
      <w:r>
        <w:tab/>
      </w:r>
      <w:r>
        <w:tab/>
      </w:r>
      <w:r w:rsidR="00892E54">
        <w:t>3</w:t>
      </w:r>
    </w:p>
    <w:p w14:paraId="3FFAE818" w14:textId="16BF68BC" w:rsidR="007C3D01" w:rsidRDefault="007C3D01" w:rsidP="007C3D01">
      <w:pPr>
        <w:tabs>
          <w:tab w:val="right" w:leader="dot" w:pos="8787"/>
          <w:tab w:val="right" w:pos="9638"/>
        </w:tabs>
        <w:spacing w:after="120"/>
        <w:ind w:left="1559" w:hanging="425"/>
      </w:pPr>
      <w:r>
        <w:t>E</w:t>
      </w:r>
      <w:r w:rsidR="006A19EC" w:rsidRPr="006A19EC">
        <w:t>.</w:t>
      </w:r>
      <w:r>
        <w:tab/>
      </w:r>
      <w:r w:rsidR="00660D73" w:rsidRPr="008E03F4">
        <w:rPr>
          <w:lang w:val="fr-FR"/>
        </w:rPr>
        <w:t>Coopération avec l’Organisation internationale du Travail, le Haut</w:t>
      </w:r>
      <w:r w:rsidR="00660D73" w:rsidRPr="008E03F4">
        <w:rPr>
          <w:lang w:val="fr-FR"/>
        </w:rPr>
        <w:noBreakHyphen/>
        <w:t xml:space="preserve">Commissariat </w:t>
      </w:r>
      <w:r w:rsidR="00660D73">
        <w:rPr>
          <w:lang w:val="fr-FR"/>
        </w:rPr>
        <w:br/>
      </w:r>
      <w:r w:rsidR="00660D73" w:rsidRPr="008E03F4">
        <w:rPr>
          <w:lang w:val="fr-FR"/>
        </w:rPr>
        <w:t xml:space="preserve">des Nations Unies pour les réfugiés, l’Organisation des Nations Unies pour l’éducation, </w:t>
      </w:r>
      <w:r w:rsidR="00660D73">
        <w:rPr>
          <w:lang w:val="fr-FR"/>
        </w:rPr>
        <w:br/>
      </w:r>
      <w:r w:rsidR="00660D73" w:rsidRPr="008E03F4">
        <w:rPr>
          <w:lang w:val="fr-FR"/>
        </w:rPr>
        <w:t xml:space="preserve">la science et la culture, les procédures spéciales du Conseil des droits </w:t>
      </w:r>
      <w:r w:rsidR="00660D73" w:rsidRPr="008E03F4">
        <w:rPr>
          <w:lang w:val="fr-FR"/>
        </w:rPr>
        <w:br/>
        <w:t>de l’homme et les mécanismes régionaux des droits de l’homme</w:t>
      </w:r>
      <w:r>
        <w:tab/>
      </w:r>
      <w:r>
        <w:tab/>
      </w:r>
      <w:r w:rsidR="00892E54">
        <w:t>3</w:t>
      </w:r>
    </w:p>
    <w:p w14:paraId="17A6C979" w14:textId="4821C3CC" w:rsidR="007C3D01" w:rsidRDefault="007C3D01" w:rsidP="007C3D01">
      <w:pPr>
        <w:tabs>
          <w:tab w:val="right" w:leader="dot" w:pos="8787"/>
          <w:tab w:val="right" w:pos="9638"/>
        </w:tabs>
        <w:spacing w:after="120"/>
        <w:ind w:left="1559" w:hanging="425"/>
      </w:pPr>
      <w:r>
        <w:t>F</w:t>
      </w:r>
      <w:r w:rsidR="006A19EC" w:rsidRPr="006A19EC">
        <w:t>.</w:t>
      </w:r>
      <w:r>
        <w:tab/>
      </w:r>
      <w:r w:rsidR="00660D73" w:rsidRPr="008E03F4">
        <w:rPr>
          <w:lang w:val="fr-FR"/>
        </w:rPr>
        <w:t>Questions diverses</w:t>
      </w:r>
      <w:r>
        <w:tab/>
      </w:r>
      <w:r>
        <w:tab/>
      </w:r>
      <w:r w:rsidR="00892E54">
        <w:t>4</w:t>
      </w:r>
    </w:p>
    <w:p w14:paraId="748BD7E2" w14:textId="5261383C" w:rsidR="007C3D01" w:rsidRDefault="007C3D01" w:rsidP="007C3D01">
      <w:pPr>
        <w:tabs>
          <w:tab w:val="right" w:leader="dot" w:pos="8787"/>
          <w:tab w:val="right" w:pos="9638"/>
        </w:tabs>
        <w:spacing w:after="120"/>
        <w:ind w:left="1559" w:hanging="425"/>
      </w:pPr>
      <w:r>
        <w:t>G</w:t>
      </w:r>
      <w:r w:rsidR="006A19EC" w:rsidRPr="006A19EC">
        <w:t>.</w:t>
      </w:r>
      <w:r>
        <w:tab/>
      </w:r>
      <w:r w:rsidR="00660D73" w:rsidRPr="008E03F4">
        <w:rPr>
          <w:lang w:val="fr-FR"/>
        </w:rPr>
        <w:t>Adoption du rapport</w:t>
      </w:r>
      <w:r>
        <w:tab/>
      </w:r>
      <w:r>
        <w:tab/>
      </w:r>
      <w:r w:rsidR="00892E54">
        <w:t>4</w:t>
      </w:r>
    </w:p>
    <w:p w14:paraId="33E5EA65" w14:textId="171A2B70" w:rsidR="007C3D01" w:rsidRDefault="007C3D01" w:rsidP="007C3D01">
      <w:pPr>
        <w:tabs>
          <w:tab w:val="right" w:pos="850"/>
          <w:tab w:val="right" w:leader="dot" w:pos="8787"/>
          <w:tab w:val="right" w:pos="9638"/>
        </w:tabs>
        <w:spacing w:after="120"/>
        <w:ind w:left="1134" w:hanging="1134"/>
      </w:pPr>
      <w:r>
        <w:tab/>
        <w:t>II</w:t>
      </w:r>
      <w:r w:rsidR="006A19EC" w:rsidRPr="006A19EC">
        <w:t>.</w:t>
      </w:r>
      <w:r>
        <w:tab/>
      </w:r>
      <w:r w:rsidR="00660D73" w:rsidRPr="008E03F4">
        <w:rPr>
          <w:lang w:val="fr-FR"/>
        </w:rPr>
        <w:t xml:space="preserve">Prévention de la discrimination raciale, y compris les procédures d’alerte rapide </w:t>
      </w:r>
      <w:r w:rsidR="00660D73">
        <w:rPr>
          <w:lang w:val="fr-FR"/>
        </w:rPr>
        <w:br/>
      </w:r>
      <w:r w:rsidR="00660D73" w:rsidRPr="008E03F4">
        <w:rPr>
          <w:lang w:val="fr-FR"/>
        </w:rPr>
        <w:t>et d’intervention d’urgence</w:t>
      </w:r>
      <w:r>
        <w:tab/>
      </w:r>
      <w:r>
        <w:tab/>
      </w:r>
      <w:r w:rsidR="00892E54">
        <w:t>5</w:t>
      </w:r>
    </w:p>
    <w:p w14:paraId="6B975E4D" w14:textId="62011F82" w:rsidR="00892E54" w:rsidRDefault="00892E54" w:rsidP="007C3D01">
      <w:pPr>
        <w:tabs>
          <w:tab w:val="right" w:pos="850"/>
          <w:tab w:val="right" w:leader="dot" w:pos="8787"/>
          <w:tab w:val="right" w:pos="9638"/>
        </w:tabs>
        <w:spacing w:after="120"/>
        <w:ind w:left="1134" w:hanging="1134"/>
      </w:pPr>
      <w:r>
        <w:tab/>
      </w:r>
      <w:r>
        <w:tab/>
      </w:r>
      <w:r w:rsidRPr="008E03F4">
        <w:rPr>
          <w:lang w:val="fr-FR"/>
        </w:rPr>
        <w:t>Examen de situations au titre des procédures d’alerte rapide et d’intervention d’urgence</w:t>
      </w:r>
      <w:r>
        <w:tab/>
      </w:r>
      <w:r>
        <w:tab/>
        <w:t>5</w:t>
      </w:r>
    </w:p>
    <w:p w14:paraId="165DF0BF" w14:textId="6022A46D" w:rsidR="007C3D01" w:rsidRDefault="007C3D01" w:rsidP="007C3D01">
      <w:pPr>
        <w:tabs>
          <w:tab w:val="right" w:pos="850"/>
          <w:tab w:val="right" w:leader="dot" w:pos="8787"/>
          <w:tab w:val="right" w:pos="9638"/>
        </w:tabs>
        <w:spacing w:after="120"/>
        <w:ind w:left="1134" w:hanging="1134"/>
      </w:pPr>
      <w:r>
        <w:tab/>
        <w:t>III</w:t>
      </w:r>
      <w:r w:rsidR="006A19EC" w:rsidRPr="006A19EC">
        <w:t>.</w:t>
      </w:r>
      <w:r>
        <w:tab/>
      </w:r>
      <w:r w:rsidR="00660D73" w:rsidRPr="00A73F44">
        <w:rPr>
          <w:lang w:val="fr-FR"/>
        </w:rPr>
        <w:t xml:space="preserve">Examen des rapports, observations et renseignements soumis par les États parties </w:t>
      </w:r>
      <w:r w:rsidR="00660D73">
        <w:rPr>
          <w:lang w:val="fr-FR"/>
        </w:rPr>
        <w:br/>
      </w:r>
      <w:r w:rsidR="00660D73" w:rsidRPr="00A73F44">
        <w:rPr>
          <w:lang w:val="fr-FR"/>
        </w:rPr>
        <w:t>en application de l’article 9 de la Convention</w:t>
      </w:r>
      <w:r>
        <w:tab/>
      </w:r>
      <w:r>
        <w:tab/>
      </w:r>
      <w:r w:rsidR="00892E54">
        <w:t>9</w:t>
      </w:r>
    </w:p>
    <w:p w14:paraId="2CE990E0" w14:textId="3853BF2F" w:rsidR="007C3D01" w:rsidRDefault="007C3D01" w:rsidP="007C3D01">
      <w:pPr>
        <w:tabs>
          <w:tab w:val="right" w:pos="850"/>
          <w:tab w:val="right" w:leader="dot" w:pos="8787"/>
          <w:tab w:val="right" w:pos="9638"/>
        </w:tabs>
        <w:spacing w:after="120"/>
        <w:ind w:left="1134" w:hanging="1134"/>
      </w:pPr>
      <w:r>
        <w:tab/>
        <w:t>IV</w:t>
      </w:r>
      <w:r w:rsidR="006A19EC" w:rsidRPr="006A19EC">
        <w:t>.</w:t>
      </w:r>
      <w:r>
        <w:tab/>
      </w:r>
      <w:r w:rsidR="00660D73" w:rsidRPr="00A73F44">
        <w:rPr>
          <w:lang w:val="fr-FR"/>
        </w:rPr>
        <w:t xml:space="preserve">Suivi de l’examen des rapports soumis par les États parties en application </w:t>
      </w:r>
      <w:r w:rsidR="00660D73">
        <w:rPr>
          <w:lang w:val="fr-FR"/>
        </w:rPr>
        <w:br/>
      </w:r>
      <w:r w:rsidR="00660D73" w:rsidRPr="00A73F44">
        <w:rPr>
          <w:lang w:val="fr-FR"/>
        </w:rPr>
        <w:t>de l’article 9 de la Convention</w:t>
      </w:r>
      <w:r>
        <w:tab/>
      </w:r>
      <w:r>
        <w:tab/>
      </w:r>
      <w:r w:rsidR="00892E54">
        <w:t>10</w:t>
      </w:r>
    </w:p>
    <w:p w14:paraId="1767B1C7" w14:textId="700C1B75" w:rsidR="007C3D01" w:rsidRDefault="007C3D01" w:rsidP="007C3D01">
      <w:pPr>
        <w:tabs>
          <w:tab w:val="right" w:pos="850"/>
          <w:tab w:val="right" w:leader="dot" w:pos="8787"/>
          <w:tab w:val="right" w:pos="9638"/>
        </w:tabs>
        <w:spacing w:after="120"/>
        <w:ind w:left="1134" w:hanging="1134"/>
      </w:pPr>
      <w:r>
        <w:tab/>
        <w:t>V</w:t>
      </w:r>
      <w:r w:rsidR="006A19EC" w:rsidRPr="006A19EC">
        <w:t>.</w:t>
      </w:r>
      <w:r>
        <w:tab/>
      </w:r>
      <w:r w:rsidR="008779A2" w:rsidRPr="00A73F44">
        <w:rPr>
          <w:lang w:val="fr-FR"/>
        </w:rPr>
        <w:t>Examen des communications soumises en vertu de l’article 11 de la Convention</w:t>
      </w:r>
      <w:r>
        <w:tab/>
      </w:r>
      <w:r>
        <w:tab/>
      </w:r>
      <w:r w:rsidR="00892E54">
        <w:t>11</w:t>
      </w:r>
    </w:p>
    <w:p w14:paraId="001BCEF4" w14:textId="0BF68B78" w:rsidR="007C3D01" w:rsidRDefault="007C3D01" w:rsidP="007C3D01">
      <w:pPr>
        <w:tabs>
          <w:tab w:val="right" w:pos="850"/>
          <w:tab w:val="right" w:leader="dot" w:pos="8787"/>
          <w:tab w:val="right" w:pos="9638"/>
        </w:tabs>
        <w:spacing w:after="120"/>
        <w:ind w:left="1134" w:hanging="1134"/>
      </w:pPr>
      <w:r>
        <w:tab/>
        <w:t>VI</w:t>
      </w:r>
      <w:r w:rsidR="006A19EC" w:rsidRPr="006A19EC">
        <w:t>.</w:t>
      </w:r>
      <w:r>
        <w:tab/>
      </w:r>
      <w:r w:rsidR="008779A2" w:rsidRPr="00A73F44">
        <w:rPr>
          <w:lang w:val="fr-FR"/>
        </w:rPr>
        <w:t>Représailles</w:t>
      </w:r>
      <w:r>
        <w:tab/>
      </w:r>
      <w:r>
        <w:tab/>
      </w:r>
      <w:r w:rsidR="00892E54">
        <w:t>13</w:t>
      </w:r>
    </w:p>
    <w:p w14:paraId="45DF07D5" w14:textId="232A45A6" w:rsidR="007C3D01" w:rsidRDefault="007C3D01" w:rsidP="007C3D01">
      <w:pPr>
        <w:tabs>
          <w:tab w:val="right" w:pos="850"/>
          <w:tab w:val="right" w:leader="dot" w:pos="8787"/>
          <w:tab w:val="right" w:pos="9638"/>
        </w:tabs>
        <w:spacing w:after="120"/>
        <w:ind w:left="1134" w:hanging="1134"/>
      </w:pPr>
      <w:r>
        <w:tab/>
        <w:t>VII</w:t>
      </w:r>
      <w:r w:rsidR="006A19EC" w:rsidRPr="006A19EC">
        <w:t>.</w:t>
      </w:r>
      <w:r>
        <w:tab/>
      </w:r>
      <w:r w:rsidR="008779A2" w:rsidRPr="00A73F44">
        <w:rPr>
          <w:lang w:val="fr-FR"/>
        </w:rPr>
        <w:t>États parties dont les rapports sont très en retard</w:t>
      </w:r>
      <w:r>
        <w:tab/>
      </w:r>
      <w:r>
        <w:tab/>
      </w:r>
      <w:r w:rsidR="00892E54">
        <w:t>14</w:t>
      </w:r>
    </w:p>
    <w:p w14:paraId="183C6221" w14:textId="3C1861CB" w:rsidR="007C3D01" w:rsidRDefault="007C3D01" w:rsidP="007C3D01">
      <w:pPr>
        <w:tabs>
          <w:tab w:val="right" w:leader="dot" w:pos="8787"/>
          <w:tab w:val="right" w:pos="9638"/>
        </w:tabs>
        <w:spacing w:after="120"/>
        <w:ind w:left="1559" w:hanging="425"/>
      </w:pPr>
      <w:r>
        <w:t>A</w:t>
      </w:r>
      <w:r w:rsidR="006A19EC" w:rsidRPr="006A19EC">
        <w:t>.</w:t>
      </w:r>
      <w:r>
        <w:tab/>
      </w:r>
      <w:r w:rsidR="008779A2" w:rsidRPr="00A73F44">
        <w:rPr>
          <w:lang w:val="fr-FR"/>
        </w:rPr>
        <w:t>Rapports en retard d’au moins dix ans</w:t>
      </w:r>
      <w:r>
        <w:tab/>
      </w:r>
      <w:r>
        <w:tab/>
      </w:r>
      <w:r w:rsidR="00892E54">
        <w:t>14</w:t>
      </w:r>
    </w:p>
    <w:p w14:paraId="5F8D557E" w14:textId="738FC986" w:rsidR="007C3D01" w:rsidRDefault="007C3D01" w:rsidP="007C3D01">
      <w:pPr>
        <w:tabs>
          <w:tab w:val="right" w:leader="dot" w:pos="8787"/>
          <w:tab w:val="right" w:pos="9638"/>
        </w:tabs>
        <w:spacing w:after="120"/>
        <w:ind w:left="1559" w:hanging="425"/>
      </w:pPr>
      <w:r>
        <w:t>B</w:t>
      </w:r>
      <w:r w:rsidR="006A19EC" w:rsidRPr="006A19EC">
        <w:t>.</w:t>
      </w:r>
      <w:r>
        <w:tab/>
      </w:r>
      <w:r w:rsidR="008779A2" w:rsidRPr="00A73F44">
        <w:rPr>
          <w:lang w:val="fr-FR"/>
        </w:rPr>
        <w:t>Rapports en retard d’au moins cinq ans</w:t>
      </w:r>
      <w:r>
        <w:tab/>
      </w:r>
      <w:r>
        <w:tab/>
      </w:r>
      <w:r w:rsidR="00892E54">
        <w:t>15</w:t>
      </w:r>
    </w:p>
    <w:p w14:paraId="4C15A3E1" w14:textId="3832D355" w:rsidR="007C3D01" w:rsidRDefault="007C3D01" w:rsidP="007C3D01">
      <w:pPr>
        <w:tabs>
          <w:tab w:val="right" w:leader="dot" w:pos="8787"/>
          <w:tab w:val="right" w:pos="9638"/>
        </w:tabs>
        <w:spacing w:after="120"/>
        <w:ind w:left="1559" w:hanging="425"/>
      </w:pPr>
      <w:r>
        <w:t>C</w:t>
      </w:r>
      <w:r w:rsidR="006A19EC" w:rsidRPr="006A19EC">
        <w:t>.</w:t>
      </w:r>
      <w:r>
        <w:tab/>
      </w:r>
      <w:r w:rsidR="008779A2" w:rsidRPr="00A73F44">
        <w:rPr>
          <w:lang w:val="fr-FR"/>
        </w:rPr>
        <w:t>Mesures que le Comité a prises pour amener les États parties à soumettre leurs rapports</w:t>
      </w:r>
      <w:r>
        <w:tab/>
      </w:r>
      <w:r>
        <w:tab/>
      </w:r>
      <w:r w:rsidR="00892E54">
        <w:t>16</w:t>
      </w:r>
    </w:p>
    <w:p w14:paraId="753CD829" w14:textId="53918011" w:rsidR="007C3D01" w:rsidRDefault="007C3D01" w:rsidP="007C3D01">
      <w:pPr>
        <w:tabs>
          <w:tab w:val="right" w:pos="850"/>
          <w:tab w:val="right" w:leader="dot" w:pos="8787"/>
          <w:tab w:val="right" w:pos="9638"/>
        </w:tabs>
        <w:spacing w:after="120"/>
        <w:ind w:left="1134" w:hanging="1134"/>
      </w:pPr>
      <w:r>
        <w:tab/>
        <w:t>VIII</w:t>
      </w:r>
      <w:r w:rsidR="006A19EC" w:rsidRPr="006A19EC">
        <w:t>.</w:t>
      </w:r>
      <w:r>
        <w:tab/>
      </w:r>
      <w:r w:rsidR="008779A2" w:rsidRPr="00A73F44">
        <w:rPr>
          <w:lang w:val="fr-FR"/>
        </w:rPr>
        <w:t>Examen des communications soumises en vertu de l’article 14 de la Convention</w:t>
      </w:r>
      <w:r>
        <w:tab/>
      </w:r>
      <w:r>
        <w:tab/>
      </w:r>
      <w:r w:rsidR="00892E54">
        <w:t>17</w:t>
      </w:r>
    </w:p>
    <w:p w14:paraId="3A3D8C8A" w14:textId="4078C548" w:rsidR="007C3D01" w:rsidRDefault="007C3D01" w:rsidP="007C3D01">
      <w:pPr>
        <w:tabs>
          <w:tab w:val="right" w:pos="850"/>
          <w:tab w:val="right" w:leader="dot" w:pos="8787"/>
          <w:tab w:val="right" w:pos="9638"/>
        </w:tabs>
        <w:spacing w:after="120"/>
        <w:ind w:left="1134" w:hanging="1134"/>
      </w:pPr>
      <w:r>
        <w:tab/>
        <w:t>IX</w:t>
      </w:r>
      <w:r w:rsidR="006A19EC" w:rsidRPr="006A19EC">
        <w:t>.</w:t>
      </w:r>
      <w:r>
        <w:tab/>
      </w:r>
      <w:r w:rsidR="008779A2" w:rsidRPr="00A73F44">
        <w:rPr>
          <w:lang w:val="fr-FR"/>
        </w:rPr>
        <w:t>Suivi des communications individuelles</w:t>
      </w:r>
      <w:r>
        <w:tab/>
      </w:r>
      <w:r>
        <w:tab/>
      </w:r>
      <w:r w:rsidR="00892E54">
        <w:t>18</w:t>
      </w:r>
    </w:p>
    <w:p w14:paraId="6645567C" w14:textId="38BD669E" w:rsidR="007C3D01" w:rsidRDefault="007C3D01" w:rsidP="007C3D01">
      <w:pPr>
        <w:tabs>
          <w:tab w:val="right" w:pos="850"/>
          <w:tab w:val="right" w:leader="dot" w:pos="8787"/>
          <w:tab w:val="right" w:pos="9638"/>
        </w:tabs>
        <w:spacing w:after="120"/>
        <w:ind w:left="1134" w:hanging="1134"/>
      </w:pPr>
      <w:r>
        <w:tab/>
        <w:t>X</w:t>
      </w:r>
      <w:r w:rsidR="006A19EC" w:rsidRPr="006A19EC">
        <w:t>.</w:t>
      </w:r>
      <w:r>
        <w:tab/>
      </w:r>
      <w:r w:rsidR="008779A2" w:rsidRPr="008779A2">
        <w:rPr>
          <w:lang w:val="fr-FR"/>
        </w:rPr>
        <w:t xml:space="preserve">Suite donnée à la Conférence mondiale contre le racisme, la discrimination raciale, </w:t>
      </w:r>
      <w:r w:rsidR="008779A2">
        <w:rPr>
          <w:lang w:val="fr-FR"/>
        </w:rPr>
        <w:br/>
      </w:r>
      <w:r w:rsidR="008779A2" w:rsidRPr="008779A2">
        <w:rPr>
          <w:lang w:val="fr-FR"/>
        </w:rPr>
        <w:t>la xénophobie et l’intolérance qui y est associée, et de la Conférence d’examen de Durban</w:t>
      </w:r>
      <w:r>
        <w:tab/>
      </w:r>
      <w:r>
        <w:tab/>
      </w:r>
      <w:r w:rsidR="00892E54">
        <w:t>21</w:t>
      </w:r>
    </w:p>
    <w:p w14:paraId="0D13B069" w14:textId="5FEF053E" w:rsidR="007C3D01" w:rsidRDefault="007C3D01" w:rsidP="007C3D01">
      <w:pPr>
        <w:tabs>
          <w:tab w:val="right" w:pos="850"/>
          <w:tab w:val="right" w:leader="dot" w:pos="8787"/>
          <w:tab w:val="right" w:pos="9638"/>
        </w:tabs>
        <w:spacing w:after="120"/>
        <w:ind w:left="1134" w:hanging="1134"/>
      </w:pPr>
      <w:r>
        <w:tab/>
        <w:t>XI</w:t>
      </w:r>
      <w:r w:rsidR="006A19EC" w:rsidRPr="006A19EC">
        <w:t>.</w:t>
      </w:r>
      <w:r>
        <w:tab/>
      </w:r>
      <w:r w:rsidR="00390B56" w:rsidRPr="00390B56">
        <w:rPr>
          <w:spacing w:val="-3"/>
          <w:lang w:val="fr-FR"/>
        </w:rPr>
        <w:t>Élaboration d’une recommandation générale sur la prévention et l’élimination du profilage racial</w:t>
      </w:r>
      <w:r>
        <w:tab/>
      </w:r>
      <w:r>
        <w:tab/>
      </w:r>
      <w:r w:rsidR="00892E54">
        <w:t>22</w:t>
      </w:r>
    </w:p>
    <w:p w14:paraId="47636C0F" w14:textId="4207695E" w:rsidR="007C3D01" w:rsidRDefault="007C3D01" w:rsidP="007C3D01">
      <w:pPr>
        <w:tabs>
          <w:tab w:val="right" w:pos="850"/>
          <w:tab w:val="right" w:leader="dot" w:pos="8787"/>
          <w:tab w:val="right" w:pos="9638"/>
        </w:tabs>
        <w:spacing w:after="120"/>
        <w:ind w:left="1134" w:hanging="1134"/>
      </w:pPr>
      <w:r>
        <w:tab/>
        <w:t>XII</w:t>
      </w:r>
      <w:r w:rsidR="006A19EC" w:rsidRPr="006A19EC">
        <w:t>.</w:t>
      </w:r>
      <w:r>
        <w:tab/>
      </w:r>
      <w:r w:rsidR="0002210C" w:rsidRPr="0002210C">
        <w:rPr>
          <w:lang w:val="fr-FR"/>
        </w:rPr>
        <w:t>Sixième réunion informelle avec les États parties</w:t>
      </w:r>
      <w:r>
        <w:tab/>
      </w:r>
      <w:r>
        <w:tab/>
      </w:r>
      <w:r w:rsidR="00892E54">
        <w:t>23</w:t>
      </w:r>
    </w:p>
    <w:p w14:paraId="4C3552F7" w14:textId="1BA675C1" w:rsidR="007C3D01" w:rsidRDefault="007C3D01" w:rsidP="007C3D01">
      <w:pPr>
        <w:tabs>
          <w:tab w:val="right" w:pos="850"/>
          <w:tab w:val="right" w:leader="dot" w:pos="8787"/>
          <w:tab w:val="right" w:pos="9638"/>
        </w:tabs>
        <w:spacing w:after="120"/>
        <w:ind w:left="1134" w:hanging="1134"/>
      </w:pPr>
      <w:r>
        <w:tab/>
        <w:t>XIII</w:t>
      </w:r>
      <w:r w:rsidR="006A19EC" w:rsidRPr="006A19EC">
        <w:t>.</w:t>
      </w:r>
      <w:r>
        <w:tab/>
      </w:r>
      <w:r w:rsidR="0002210C" w:rsidRPr="0002210C">
        <w:rPr>
          <w:lang w:val="fr-FR"/>
        </w:rPr>
        <w:t>Débat sur le renforcement des organes conventionnels</w:t>
      </w:r>
      <w:r>
        <w:tab/>
      </w:r>
      <w:r>
        <w:tab/>
      </w:r>
      <w:r w:rsidR="00892E54">
        <w:t>24</w:t>
      </w:r>
    </w:p>
    <w:p w14:paraId="34BCAD91" w14:textId="77777777" w:rsidR="007C3D01" w:rsidRPr="007C3D01" w:rsidRDefault="007C3D01" w:rsidP="007C3D01">
      <w:pPr>
        <w:tabs>
          <w:tab w:val="right" w:pos="850"/>
        </w:tabs>
        <w:spacing w:after="120"/>
      </w:pPr>
      <w:r>
        <w:tab/>
        <w:t>Annexes</w:t>
      </w:r>
    </w:p>
    <w:p w14:paraId="455B535D" w14:textId="10AC1BF4" w:rsidR="007C3D01" w:rsidRDefault="007C3D01" w:rsidP="007C3D01">
      <w:pPr>
        <w:tabs>
          <w:tab w:val="right" w:pos="850"/>
          <w:tab w:val="right" w:leader="dot" w:pos="8787"/>
          <w:tab w:val="right" w:pos="9638"/>
        </w:tabs>
        <w:spacing w:after="120"/>
        <w:ind w:left="1134" w:hanging="1134"/>
      </w:pPr>
      <w:r>
        <w:tab/>
        <w:t>I</w:t>
      </w:r>
      <w:r w:rsidR="006A19EC" w:rsidRPr="006A19EC">
        <w:t>.</w:t>
      </w:r>
      <w:r>
        <w:tab/>
      </w:r>
      <w:r w:rsidR="0002210C" w:rsidRPr="0002210C">
        <w:rPr>
          <w:lang w:val="fr-FR"/>
        </w:rPr>
        <w:t xml:space="preserve">Renseignements sur la suite donnée aux communications pour lesquelles le Comité </w:t>
      </w:r>
      <w:r w:rsidR="0002210C">
        <w:rPr>
          <w:lang w:val="fr-FR"/>
        </w:rPr>
        <w:br/>
      </w:r>
      <w:r w:rsidR="0002210C" w:rsidRPr="0002210C">
        <w:rPr>
          <w:lang w:val="fr-FR"/>
        </w:rPr>
        <w:t>a adopté des recommandations</w:t>
      </w:r>
      <w:r>
        <w:tab/>
      </w:r>
      <w:r>
        <w:tab/>
      </w:r>
      <w:r w:rsidR="00892E54">
        <w:t>25</w:t>
      </w:r>
    </w:p>
    <w:p w14:paraId="5B99FFC2" w14:textId="1BE50C1F" w:rsidR="007C3D01" w:rsidRDefault="00032629" w:rsidP="00032629">
      <w:pPr>
        <w:tabs>
          <w:tab w:val="right" w:pos="850"/>
          <w:tab w:val="right" w:leader="dot" w:pos="8787"/>
          <w:tab w:val="right" w:pos="9638"/>
        </w:tabs>
        <w:spacing w:after="120"/>
        <w:ind w:left="1134" w:hanging="1134"/>
      </w:pPr>
      <w:r>
        <w:tab/>
        <w:t>II</w:t>
      </w:r>
      <w:r w:rsidR="006A19EC" w:rsidRPr="006A19EC">
        <w:t>.</w:t>
      </w:r>
      <w:r>
        <w:tab/>
      </w:r>
      <w:r w:rsidR="0002210C" w:rsidRPr="0002210C">
        <w:rPr>
          <w:spacing w:val="-2"/>
          <w:lang w:val="fr-FR"/>
        </w:rPr>
        <w:t xml:space="preserve">Règlement intérieur applicable aux auditions tenues en application de l’article 11 </w:t>
      </w:r>
      <w:r w:rsidR="0002210C" w:rsidRPr="0002210C">
        <w:rPr>
          <w:spacing w:val="-2"/>
          <w:lang w:val="fr-FR"/>
        </w:rPr>
        <w:br/>
        <w:t>de la Convention internationale sur l’élimination de toutes les formes de discrimination raciale</w:t>
      </w:r>
      <w:r>
        <w:tab/>
      </w:r>
      <w:r>
        <w:tab/>
      </w:r>
      <w:r w:rsidR="00892E54">
        <w:t>28</w:t>
      </w:r>
    </w:p>
    <w:p w14:paraId="5A9DD098" w14:textId="20960417" w:rsidR="00CD044C" w:rsidRDefault="00D0430C" w:rsidP="00D0430C">
      <w:pPr>
        <w:pStyle w:val="SingleTxtG"/>
        <w:jc w:val="left"/>
      </w:pPr>
      <w:r>
        <w:rPr>
          <w:lang w:val="fr-FR"/>
        </w:rPr>
        <w:t xml:space="preserve"> </w:t>
      </w:r>
    </w:p>
    <w:p w14:paraId="73584343" w14:textId="77777777" w:rsidR="00045883" w:rsidRDefault="00045883" w:rsidP="00C451B9">
      <w:pPr>
        <w:sectPr w:rsidR="00045883" w:rsidSect="00045883">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1417" w:right="1134" w:bottom="1134" w:left="1134" w:header="850" w:footer="567" w:gutter="0"/>
          <w:pgNumType w:fmt="lowerRoman" w:start="3"/>
          <w:cols w:space="720"/>
          <w:titlePg/>
          <w:docGrid w:linePitch="272"/>
        </w:sectPr>
      </w:pPr>
    </w:p>
    <w:p w14:paraId="242F298D" w14:textId="77777777" w:rsidR="00833B7C" w:rsidRPr="00AB19E7" w:rsidRDefault="00833B7C" w:rsidP="00833B7C">
      <w:pPr>
        <w:pStyle w:val="HChG"/>
      </w:pPr>
      <w:r w:rsidRPr="00AB19E7">
        <w:rPr>
          <w:lang w:val="fr-FR"/>
        </w:rPr>
        <w:lastRenderedPageBreak/>
        <w:tab/>
      </w:r>
      <w:r w:rsidRPr="00AB19E7">
        <w:rPr>
          <w:lang w:val="fr-FR"/>
        </w:rPr>
        <w:tab/>
        <w:t>Lettre d’envoi</w:t>
      </w:r>
    </w:p>
    <w:p w14:paraId="4059BB1D" w14:textId="77777777" w:rsidR="00833B7C" w:rsidRPr="00AB19E7" w:rsidRDefault="00833B7C" w:rsidP="00833B7C">
      <w:pPr>
        <w:pStyle w:val="SingleTxtG"/>
        <w:jc w:val="right"/>
      </w:pPr>
      <w:r w:rsidRPr="00AB19E7">
        <w:rPr>
          <w:lang w:val="fr-FR"/>
        </w:rPr>
        <w:t>5 août 2019</w:t>
      </w:r>
    </w:p>
    <w:p w14:paraId="4D6C1B44" w14:textId="77777777" w:rsidR="00833B7C" w:rsidRPr="00AB19E7" w:rsidRDefault="00833B7C" w:rsidP="00833B7C">
      <w:pPr>
        <w:pStyle w:val="SingleTxtG"/>
        <w:spacing w:line="220" w:lineRule="atLeast"/>
        <w:ind w:firstLine="567"/>
        <w:rPr>
          <w:lang w:val="fr-FR"/>
        </w:rPr>
      </w:pPr>
      <w:r w:rsidRPr="00AB19E7">
        <w:rPr>
          <w:lang w:val="fr-FR"/>
        </w:rPr>
        <w:t>Monsieur le Secrétaire général,</w:t>
      </w:r>
    </w:p>
    <w:p w14:paraId="475EEC0D" w14:textId="77777777" w:rsidR="00833B7C" w:rsidRPr="00AB19E7" w:rsidRDefault="00833B7C" w:rsidP="00833B7C">
      <w:pPr>
        <w:pStyle w:val="SingleTxtG"/>
        <w:spacing w:line="220" w:lineRule="atLeast"/>
        <w:ind w:firstLine="567"/>
      </w:pPr>
      <w:r w:rsidRPr="00AB19E7">
        <w:rPr>
          <w:lang w:val="fr-FR"/>
        </w:rPr>
        <w:t>J’ai l’honneur de vous faire tenir le rapport annuel du Comité pour l’élimination de la discrimination raciale</w:t>
      </w:r>
      <w:r w:rsidRPr="006A19EC">
        <w:rPr>
          <w:lang w:val="fr-FR"/>
        </w:rPr>
        <w:t>.</w:t>
      </w:r>
    </w:p>
    <w:p w14:paraId="1F927B3A" w14:textId="77777777" w:rsidR="00833B7C" w:rsidRPr="00AB19E7" w:rsidRDefault="00833B7C" w:rsidP="00833B7C">
      <w:pPr>
        <w:pStyle w:val="SingleTxtG"/>
        <w:spacing w:line="220" w:lineRule="atLeast"/>
        <w:ind w:firstLine="567"/>
      </w:pPr>
      <w:r w:rsidRPr="00AB19E7">
        <w:rPr>
          <w:lang w:val="fr-FR"/>
        </w:rPr>
        <w:t>Ce rapport comprend des renseignements relatifs aux quatre-vingt-seizième, quatre</w:t>
      </w:r>
      <w:r w:rsidRPr="00AB19E7">
        <w:rPr>
          <w:lang w:val="fr-FR"/>
        </w:rPr>
        <w:noBreakHyphen/>
        <w:t>vingt-dix-septième et quatre-vingt-dix-huitième sessions du Comité (qui se sont tenues du 6 au 30 août 2018, du 26 novembre au 14 décembre 2018 et du 23 avril au 10 mai 2019)</w:t>
      </w:r>
      <w:r w:rsidRPr="006A19EC">
        <w:rPr>
          <w:lang w:val="fr-FR"/>
        </w:rPr>
        <w:t>.</w:t>
      </w:r>
    </w:p>
    <w:p w14:paraId="518E2501" w14:textId="77777777" w:rsidR="00833B7C" w:rsidRPr="00AB19E7" w:rsidRDefault="00833B7C" w:rsidP="00833B7C">
      <w:pPr>
        <w:pStyle w:val="SingleTxtG"/>
        <w:spacing w:line="220" w:lineRule="atLeast"/>
        <w:ind w:firstLine="567"/>
      </w:pPr>
      <w:r w:rsidRPr="00AB19E7">
        <w:rPr>
          <w:lang w:val="fr-FR"/>
        </w:rPr>
        <w:t>Aujourd’hui, 181 États ont ratifié la Convention internationale sur l’élimination de toutes les formes de discrimination raciale, base normative sur laquelle doivent reposer les efforts internationaux de lutte contre la discrimination raciale</w:t>
      </w:r>
      <w:r w:rsidRPr="006A19EC">
        <w:rPr>
          <w:lang w:val="fr-FR"/>
        </w:rPr>
        <w:t>.</w:t>
      </w:r>
    </w:p>
    <w:p w14:paraId="552E7566" w14:textId="77777777" w:rsidR="00833B7C" w:rsidRPr="00AB19E7" w:rsidRDefault="00833B7C" w:rsidP="00833B7C">
      <w:pPr>
        <w:pStyle w:val="SingleTxtG"/>
        <w:spacing w:line="220" w:lineRule="atLeast"/>
        <w:ind w:firstLine="567"/>
        <w:rPr>
          <w:lang w:val="fr-FR"/>
        </w:rPr>
      </w:pPr>
      <w:r w:rsidRPr="00AB19E7">
        <w:rPr>
          <w:lang w:val="fr-FR"/>
        </w:rPr>
        <w:t>À ses quatre-vingt-seizième, quatre</w:t>
      </w:r>
      <w:r w:rsidRPr="00AB19E7">
        <w:rPr>
          <w:lang w:val="fr-FR"/>
        </w:rPr>
        <w:noBreakHyphen/>
        <w:t>vingt-dix-septième et quatre-vingt-dix-huitième sessions, le Comité a de nouveau traité un volume de travail important concernant l’examen des rapports des États parties (voir chap</w:t>
      </w:r>
      <w:r w:rsidRPr="006A19EC">
        <w:rPr>
          <w:lang w:val="fr-FR"/>
        </w:rPr>
        <w:t>.</w:t>
      </w:r>
      <w:r w:rsidRPr="00AB19E7">
        <w:rPr>
          <w:lang w:val="fr-FR"/>
        </w:rPr>
        <w:t> III) et des communications présentées au titre des articles 11 et 14 (voir chap</w:t>
      </w:r>
      <w:r w:rsidRPr="006A19EC">
        <w:rPr>
          <w:lang w:val="fr-FR"/>
        </w:rPr>
        <w:t>.</w:t>
      </w:r>
      <w:r w:rsidRPr="00AB19E7">
        <w:rPr>
          <w:lang w:val="fr-FR"/>
        </w:rPr>
        <w:t xml:space="preserve"> V et VIII)</w:t>
      </w:r>
      <w:r w:rsidRPr="006A19EC">
        <w:rPr>
          <w:lang w:val="fr-FR"/>
        </w:rPr>
        <w:t>.</w:t>
      </w:r>
      <w:r w:rsidRPr="00AB19E7">
        <w:rPr>
          <w:lang w:val="fr-FR"/>
        </w:rPr>
        <w:t xml:space="preserve"> </w:t>
      </w:r>
    </w:p>
    <w:p w14:paraId="725AA251" w14:textId="77777777" w:rsidR="00833B7C" w:rsidRPr="00AB19E7" w:rsidRDefault="00833B7C" w:rsidP="00833B7C">
      <w:pPr>
        <w:pStyle w:val="SingleTxtG"/>
        <w:spacing w:line="220" w:lineRule="atLeast"/>
        <w:ind w:firstLine="567"/>
        <w:rPr>
          <w:lang w:val="fr-FR"/>
        </w:rPr>
      </w:pPr>
      <w:r w:rsidRPr="00AB19E7">
        <w:rPr>
          <w:lang w:val="fr-FR"/>
        </w:rPr>
        <w:t>Le Comité a examiné la situation de plusieurs États parties au titre de ses procédures d’alerte rapide et d’intervention d’urgence (voir chap</w:t>
      </w:r>
      <w:r w:rsidRPr="006A19EC">
        <w:rPr>
          <w:lang w:val="fr-FR"/>
        </w:rPr>
        <w:t>.</w:t>
      </w:r>
      <w:r w:rsidRPr="00AB19E7">
        <w:rPr>
          <w:lang w:val="fr-FR"/>
        </w:rPr>
        <w:t> II)</w:t>
      </w:r>
      <w:r w:rsidRPr="006A19EC">
        <w:rPr>
          <w:lang w:val="fr-FR"/>
        </w:rPr>
        <w:t>.</w:t>
      </w:r>
      <w:r w:rsidRPr="00AB19E7">
        <w:rPr>
          <w:lang w:val="fr-FR"/>
        </w:rPr>
        <w:t xml:space="preserve"> Il a aussi examiné des informations communiquées par plusieurs États parties au titre de sa procédure de suivi </w:t>
      </w:r>
      <w:r w:rsidRPr="00AB19E7">
        <w:t>de l’examen des rapports</w:t>
      </w:r>
      <w:r w:rsidRPr="00AB19E7">
        <w:rPr>
          <w:lang w:val="fr-FR"/>
        </w:rPr>
        <w:t xml:space="preserve"> (voir chap</w:t>
      </w:r>
      <w:r w:rsidRPr="006A19EC">
        <w:rPr>
          <w:lang w:val="fr-FR"/>
        </w:rPr>
        <w:t>.</w:t>
      </w:r>
      <w:r w:rsidRPr="00AB19E7">
        <w:rPr>
          <w:lang w:val="fr-FR"/>
        </w:rPr>
        <w:t> IV)</w:t>
      </w:r>
      <w:r w:rsidRPr="006A19EC">
        <w:rPr>
          <w:lang w:val="fr-FR"/>
        </w:rPr>
        <w:t>.</w:t>
      </w:r>
      <w:r w:rsidRPr="00AB19E7">
        <w:rPr>
          <w:lang w:val="fr-FR"/>
        </w:rPr>
        <w:t xml:space="preserve"> Il a également entrepris d’autres activités, notamment tenu une réunion avec les États parties à sa quatre-vingt-dix-septième session et lancé l’élaboration d’une recommandation générale sur la prévention du profilage racial et la lutte contre celui</w:t>
      </w:r>
      <w:r>
        <w:rPr>
          <w:lang w:val="fr-FR"/>
        </w:rPr>
        <w:noBreakHyphen/>
      </w:r>
      <w:r w:rsidRPr="00AB19E7">
        <w:rPr>
          <w:lang w:val="fr-FR"/>
        </w:rPr>
        <w:t>ci à ses quatre-vingt-dix-septième et quatre-vingt-dix-huitième sessions</w:t>
      </w:r>
      <w:r w:rsidRPr="006A19EC">
        <w:rPr>
          <w:lang w:val="fr-FR"/>
        </w:rPr>
        <w:t>.</w:t>
      </w:r>
      <w:r w:rsidRPr="00AB19E7">
        <w:rPr>
          <w:lang w:val="fr-FR"/>
        </w:rPr>
        <w:t xml:space="preserve"> Il a continué à examiner la suite donnée à la résolution </w:t>
      </w:r>
      <w:hyperlink r:id="rId21" w:history="1">
        <w:r w:rsidRPr="00124804">
          <w:rPr>
            <w:rStyle w:val="Lienhypertexte"/>
            <w:lang w:val="fr-FR"/>
          </w:rPr>
          <w:t>68/268</w:t>
        </w:r>
      </w:hyperlink>
      <w:r w:rsidRPr="00AB19E7">
        <w:rPr>
          <w:lang w:val="fr-FR"/>
        </w:rPr>
        <w:t xml:space="preserve"> de l’Assemblée générale, sur le renforcement et l’amélioration </w:t>
      </w:r>
      <w:r w:rsidRPr="00AB19E7">
        <w:t>du fonctionnement de l’ensemble des organes conventionnels des droits de l’homme</w:t>
      </w:r>
      <w:r w:rsidRPr="006A19EC">
        <w:rPr>
          <w:lang w:val="fr-FR"/>
        </w:rPr>
        <w:t>.</w:t>
      </w:r>
      <w:r w:rsidRPr="00AB19E7">
        <w:rPr>
          <w:lang w:val="fr-FR"/>
        </w:rPr>
        <w:t xml:space="preserve"> La Présidente de l’Assemblée générale a invité le Président à prendre la parole au nom du Comité à la séance plénière commémorative que l’Assemblée générale a tenue à l’occasion de la Journée internationale pour l’élimination de la discrimination raciale, le 25</w:t>
      </w:r>
      <w:r>
        <w:rPr>
          <w:lang w:val="fr-FR"/>
        </w:rPr>
        <w:t> </w:t>
      </w:r>
      <w:r w:rsidRPr="00AB19E7">
        <w:rPr>
          <w:lang w:val="fr-FR"/>
        </w:rPr>
        <w:t>mars 2019, à New York, laquelle était consacrée aux moyens d’enrayer et de combattre la montée du populisme nationaliste et des idéologies suprémacistes extrémistes</w:t>
      </w:r>
      <w:r w:rsidRPr="006A19EC">
        <w:rPr>
          <w:lang w:val="fr-FR"/>
        </w:rPr>
        <w:t>.</w:t>
      </w:r>
    </w:p>
    <w:p w14:paraId="1A11FC95" w14:textId="77777777" w:rsidR="00833B7C" w:rsidRDefault="00833B7C" w:rsidP="00833B7C">
      <w:pPr>
        <w:pStyle w:val="SingleTxtG"/>
        <w:spacing w:line="220" w:lineRule="atLeast"/>
        <w:ind w:firstLine="567"/>
        <w:rPr>
          <w:lang w:val="fr-FR"/>
        </w:rPr>
      </w:pPr>
      <w:r w:rsidRPr="00AB19E7">
        <w:rPr>
          <w:lang w:val="fr-FR"/>
        </w:rPr>
        <w:t>Le Comité s’efforce constamment d’améliorer ses méthodes de travail pour les rendre plus efficaces et d’adopter des approches novatrices de la lutte contre les formes contemporaines de discrimination raciale</w:t>
      </w:r>
      <w:r w:rsidRPr="006A19EC">
        <w:rPr>
          <w:lang w:val="fr-FR"/>
        </w:rPr>
        <w:t>.</w:t>
      </w:r>
      <w:r w:rsidRPr="00AB19E7">
        <w:rPr>
          <w:lang w:val="fr-FR"/>
        </w:rPr>
        <w:t xml:space="preserve"> Ses recommandations générales, ses opinions sur les communications individuelles, ses décisions et ses observations finales témoignent de l’évolution de sa pratique et de son interprétation de la Convention</w:t>
      </w:r>
      <w:r w:rsidRPr="006A19EC">
        <w:rPr>
          <w:lang w:val="fr-FR"/>
        </w:rPr>
        <w:t>.</w:t>
      </w:r>
      <w:r>
        <w:rPr>
          <w:lang w:val="fr-FR"/>
        </w:rPr>
        <w:t xml:space="preserve"> </w:t>
      </w:r>
    </w:p>
    <w:p w14:paraId="3F139D0C" w14:textId="77777777" w:rsidR="00833B7C" w:rsidRPr="001477DD" w:rsidRDefault="00833B7C" w:rsidP="00833B7C">
      <w:pPr>
        <w:pStyle w:val="SingleTxtG"/>
        <w:spacing w:line="220" w:lineRule="atLeast"/>
        <w:ind w:firstLine="567"/>
        <w:rPr>
          <w:i/>
          <w:spacing w:val="-2"/>
        </w:rPr>
      </w:pPr>
      <w:r w:rsidRPr="001477DD">
        <w:rPr>
          <w:spacing w:val="-2"/>
          <w:lang w:val="fr-FR"/>
        </w:rPr>
        <w:t>Il est manifeste qu’en dépit des progrès accomplis, de multiples obstacles de taille continuent d’entraver l’élimination de la discrimination raciale, notamment la persistance des discours de haine raciste, la résurgence du populisme nationaliste et des organisations qui défendent des idéologies de supériorité raciale, et les difficultés que rencontrent les États parties qui s’efforcent de lutter contre ces phénomènes</w:t>
      </w:r>
      <w:r w:rsidRPr="006A19EC">
        <w:rPr>
          <w:spacing w:val="-2"/>
          <w:lang w:val="fr-FR"/>
        </w:rPr>
        <w:t>.</w:t>
      </w:r>
      <w:r w:rsidRPr="001477DD">
        <w:rPr>
          <w:spacing w:val="-2"/>
          <w:lang w:val="fr-FR"/>
        </w:rPr>
        <w:t xml:space="preserve"> Je ne doute pas que, grâce au dévouement et au professionnalisme de ses membres du Comité, ainsi qu’à la nature pluraliste et multidisciplinaire de leurs contributions, le Comité continuera de jouer un rôle important dans la mise en œuvre de la Convention et le suivi de la</w:t>
      </w:r>
      <w:r>
        <w:rPr>
          <w:spacing w:val="-2"/>
          <w:lang w:val="fr-FR"/>
        </w:rPr>
        <w:t xml:space="preserve"> </w:t>
      </w:r>
      <w:r w:rsidRPr="001477DD">
        <w:rPr>
          <w:spacing w:val="-2"/>
          <w:lang w:val="fr-FR"/>
        </w:rPr>
        <w:t>Conférence mondiale contre le racisme, la discrimination raciale, la xénophobie et l’intolérance qui y est associée dans les années à venir</w:t>
      </w:r>
      <w:r w:rsidRPr="006A19EC">
        <w:rPr>
          <w:spacing w:val="-2"/>
          <w:lang w:val="fr-FR"/>
        </w:rPr>
        <w:t>.</w:t>
      </w:r>
    </w:p>
    <w:p w14:paraId="6E7CA2AF" w14:textId="77777777" w:rsidR="00833B7C" w:rsidRPr="001477DD" w:rsidRDefault="00833B7C" w:rsidP="00833B7C">
      <w:pPr>
        <w:pStyle w:val="SingleTxtG"/>
        <w:spacing w:line="220" w:lineRule="atLeast"/>
        <w:ind w:firstLine="567"/>
      </w:pPr>
      <w:r w:rsidRPr="001477DD">
        <w:rPr>
          <w:lang w:val="fr-FR"/>
        </w:rPr>
        <w:t>Veuillez agréer, Monsieur le Secrétaire général, les assurances de ma très haute considération</w:t>
      </w:r>
      <w:r w:rsidRPr="006A19EC">
        <w:rPr>
          <w:lang w:val="fr-FR"/>
        </w:rPr>
        <w:t>.</w:t>
      </w:r>
    </w:p>
    <w:p w14:paraId="3E79FECC" w14:textId="77777777" w:rsidR="00833B7C" w:rsidRPr="001477DD" w:rsidRDefault="00833B7C" w:rsidP="00833B7C">
      <w:pPr>
        <w:pStyle w:val="SingleTxtG"/>
        <w:ind w:firstLine="567"/>
        <w:jc w:val="right"/>
        <w:rPr>
          <w:b/>
          <w:lang w:val="fr-FR"/>
        </w:rPr>
      </w:pPr>
      <w:r w:rsidRPr="001477DD">
        <w:rPr>
          <w:lang w:val="fr-FR"/>
        </w:rPr>
        <w:t xml:space="preserve">Le Président du Comité </w:t>
      </w:r>
      <w:r w:rsidRPr="001477DD">
        <w:rPr>
          <w:lang w:val="fr-FR"/>
        </w:rPr>
        <w:br/>
        <w:t xml:space="preserve">pour l’élimination de la discrimination raciale, </w:t>
      </w:r>
      <w:r w:rsidRPr="001477DD">
        <w:rPr>
          <w:lang w:val="fr-FR"/>
        </w:rPr>
        <w:br/>
        <w:t>(</w:t>
      </w:r>
      <w:r w:rsidRPr="001477DD">
        <w:rPr>
          <w:i/>
          <w:iCs/>
          <w:lang w:val="fr-FR"/>
        </w:rPr>
        <w:t>Signé</w:t>
      </w:r>
      <w:r w:rsidRPr="001477DD">
        <w:rPr>
          <w:lang w:val="fr-FR"/>
        </w:rPr>
        <w:t xml:space="preserve">) Nourredine </w:t>
      </w:r>
      <w:r w:rsidRPr="001477DD">
        <w:rPr>
          <w:b/>
          <w:lang w:val="fr-FR"/>
        </w:rPr>
        <w:t>Amir</w:t>
      </w:r>
    </w:p>
    <w:p w14:paraId="7FFC096A" w14:textId="4A7DD36A" w:rsidR="00833B7C" w:rsidRDefault="00833B7C" w:rsidP="00833B7C">
      <w:pPr>
        <w:pStyle w:val="SingleTxtG"/>
        <w:jc w:val="left"/>
        <w:rPr>
          <w:sz w:val="28"/>
          <w:lang w:val="fr-FR"/>
        </w:rPr>
      </w:pPr>
      <w:r w:rsidRPr="001477DD">
        <w:rPr>
          <w:lang w:val="fr-FR"/>
        </w:rPr>
        <w:t>S</w:t>
      </w:r>
      <w:r w:rsidRPr="006A19EC">
        <w:rPr>
          <w:lang w:val="fr-FR"/>
        </w:rPr>
        <w:t>.</w:t>
      </w:r>
      <w:r w:rsidRPr="001477DD">
        <w:rPr>
          <w:lang w:val="fr-FR"/>
        </w:rPr>
        <w:t> E</w:t>
      </w:r>
      <w:r w:rsidRPr="006A19EC">
        <w:rPr>
          <w:lang w:val="fr-FR"/>
        </w:rPr>
        <w:t>.</w:t>
      </w:r>
      <w:r w:rsidRPr="001477DD">
        <w:rPr>
          <w:lang w:val="fr-FR"/>
        </w:rPr>
        <w:t xml:space="preserve"> M</w:t>
      </w:r>
      <w:r w:rsidRPr="006A19EC">
        <w:rPr>
          <w:lang w:val="fr-FR"/>
        </w:rPr>
        <w:t>.</w:t>
      </w:r>
      <w:r w:rsidRPr="001477DD">
        <w:rPr>
          <w:lang w:val="fr-FR"/>
        </w:rPr>
        <w:t> </w:t>
      </w:r>
      <w:r w:rsidRPr="001477DD">
        <w:t>António Guterres</w:t>
      </w:r>
      <w:r>
        <w:t xml:space="preserve"> </w:t>
      </w:r>
      <w:r w:rsidRPr="001477DD">
        <w:rPr>
          <w:lang w:val="fr-FR"/>
        </w:rPr>
        <w:br/>
        <w:t xml:space="preserve">Secrétaire général de l’Organisation des Nations Unies </w:t>
      </w:r>
      <w:r w:rsidRPr="001477DD">
        <w:rPr>
          <w:lang w:val="fr-FR"/>
        </w:rPr>
        <w:br/>
        <w:t>New York</w:t>
      </w:r>
      <w:r>
        <w:rPr>
          <w:lang w:val="fr-FR"/>
        </w:rPr>
        <w:t xml:space="preserve"> </w:t>
      </w:r>
      <w:r>
        <w:rPr>
          <w:lang w:val="fr-FR"/>
        </w:rPr>
        <w:br w:type="page"/>
      </w:r>
    </w:p>
    <w:p w14:paraId="1C195EB3" w14:textId="2595D43E" w:rsidR="001C7648" w:rsidRPr="001C7648" w:rsidRDefault="001C7648" w:rsidP="001C7648">
      <w:pPr>
        <w:pStyle w:val="HChG"/>
      </w:pPr>
      <w:r w:rsidRPr="001C7648">
        <w:rPr>
          <w:lang w:val="fr-FR"/>
        </w:rPr>
        <w:tab/>
        <w:t>I</w:t>
      </w:r>
      <w:r w:rsidR="006A19EC" w:rsidRPr="006A19EC">
        <w:rPr>
          <w:lang w:val="fr-FR"/>
        </w:rPr>
        <w:t>.</w:t>
      </w:r>
      <w:r w:rsidRPr="001C7648">
        <w:rPr>
          <w:lang w:val="fr-FR"/>
        </w:rPr>
        <w:tab/>
        <w:t>Questions d’organisation et questions connexes</w:t>
      </w:r>
      <w:bookmarkStart w:id="2" w:name="_Toc428794276"/>
      <w:bookmarkEnd w:id="2"/>
    </w:p>
    <w:p w14:paraId="1452A829" w14:textId="5D41A3BE" w:rsidR="001C7648" w:rsidRPr="001C7648" w:rsidRDefault="001C7648" w:rsidP="001C7648">
      <w:pPr>
        <w:pStyle w:val="H1G"/>
      </w:pPr>
      <w:r w:rsidRPr="001C7648">
        <w:rPr>
          <w:lang w:val="fr-FR"/>
        </w:rPr>
        <w:tab/>
        <w:t>A</w:t>
      </w:r>
      <w:r w:rsidR="006A19EC" w:rsidRPr="006A19EC">
        <w:rPr>
          <w:lang w:val="fr-FR"/>
        </w:rPr>
        <w:t>.</w:t>
      </w:r>
      <w:r w:rsidRPr="001C7648">
        <w:rPr>
          <w:lang w:val="fr-FR"/>
        </w:rPr>
        <w:tab/>
        <w:t xml:space="preserve">États parties à la Convention internationale sur l’élimination </w:t>
      </w:r>
      <w:r w:rsidRPr="001C7648">
        <w:rPr>
          <w:lang w:val="fr-FR"/>
        </w:rPr>
        <w:br/>
        <w:t>de toutes les formes de discrimination raciale</w:t>
      </w:r>
      <w:bookmarkStart w:id="3" w:name="_Toc428794277"/>
      <w:bookmarkEnd w:id="3"/>
    </w:p>
    <w:p w14:paraId="4209EA09" w14:textId="7040EB7A" w:rsidR="001C7648" w:rsidRPr="001C7648" w:rsidRDefault="001C7648" w:rsidP="001C7648">
      <w:pPr>
        <w:pStyle w:val="SingleTxtG"/>
      </w:pPr>
      <w:r w:rsidRPr="001C7648">
        <w:rPr>
          <w:lang w:val="fr-FR"/>
        </w:rPr>
        <w:t>1</w:t>
      </w:r>
      <w:r w:rsidR="006A19EC" w:rsidRPr="006A19EC">
        <w:rPr>
          <w:lang w:val="fr-FR"/>
        </w:rPr>
        <w:t>.</w:t>
      </w:r>
      <w:r w:rsidRPr="001C7648">
        <w:rPr>
          <w:lang w:val="fr-FR"/>
        </w:rPr>
        <w:tab/>
        <w:t xml:space="preserve">Au 10 mai 2019, date de la clôture de la quatre-vingt-dix-huitième session du Comité pour l’élimination de la discrimination raciale, 181 États étaient parties à la Convention internationale sur l’élimination de toutes les formes de discrimination raciale, adoptée par l’Assemblée générale des Nations Unies dans sa résolution </w:t>
      </w:r>
      <w:hyperlink r:id="rId22" w:history="1">
        <w:r w:rsidRPr="00DE4E2C">
          <w:rPr>
            <w:rStyle w:val="Lienhypertexte"/>
            <w:lang w:val="fr-FR"/>
          </w:rPr>
          <w:t>2</w:t>
        </w:r>
        <w:r w:rsidRPr="00DE4E2C">
          <w:rPr>
            <w:rStyle w:val="Lienhypertexte"/>
            <w:lang w:val="fr-FR"/>
          </w:rPr>
          <w:t>1</w:t>
        </w:r>
        <w:r w:rsidRPr="00DE4E2C">
          <w:rPr>
            <w:rStyle w:val="Lienhypertexte"/>
            <w:lang w:val="fr-FR"/>
          </w:rPr>
          <w:t>0</w:t>
        </w:r>
        <w:r w:rsidRPr="00DE4E2C">
          <w:rPr>
            <w:rStyle w:val="Lienhypertexte"/>
            <w:lang w:val="fr-FR"/>
          </w:rPr>
          <w:t>6</w:t>
        </w:r>
      </w:hyperlink>
      <w:r w:rsidR="00DE4E2C">
        <w:rPr>
          <w:lang w:val="fr-FR"/>
        </w:rPr>
        <w:t> </w:t>
      </w:r>
      <w:r w:rsidRPr="00DE4E2C">
        <w:rPr>
          <w:lang w:val="fr-FR"/>
        </w:rPr>
        <w:t>A</w:t>
      </w:r>
      <w:r w:rsidRPr="001C7648">
        <w:rPr>
          <w:lang w:val="fr-FR"/>
        </w:rPr>
        <w:t xml:space="preserve"> (XX), du 21 décembre 1965, et ouverte à la signature et à la ratification à New York le 7 mars 1966</w:t>
      </w:r>
      <w:r w:rsidR="006A19EC" w:rsidRPr="006A19EC">
        <w:rPr>
          <w:lang w:val="fr-FR"/>
        </w:rPr>
        <w:t>.</w:t>
      </w:r>
      <w:r w:rsidRPr="001C7648">
        <w:rPr>
          <w:lang w:val="fr-FR"/>
        </w:rPr>
        <w:t xml:space="preserve"> La Convention est entrée en vigueur le 4 janvier 1969, conformément aux dispositions de son article 19</w:t>
      </w:r>
      <w:r w:rsidR="006A19EC" w:rsidRPr="006A19EC">
        <w:rPr>
          <w:lang w:val="fr-FR"/>
        </w:rPr>
        <w:t>.</w:t>
      </w:r>
      <w:r w:rsidRPr="001C7648">
        <w:t xml:space="preserve"> Au cours de la période considérée, la Dominique et les Îles Marshall ont adhéré à la Convention</w:t>
      </w:r>
      <w:r w:rsidR="006A19EC" w:rsidRPr="006A19EC">
        <w:t>.</w:t>
      </w:r>
    </w:p>
    <w:p w14:paraId="11643D81" w14:textId="1E9CF6D4" w:rsidR="001C7648" w:rsidRPr="001C7648" w:rsidRDefault="001C7648" w:rsidP="001C7648">
      <w:pPr>
        <w:pStyle w:val="SingleTxtG"/>
      </w:pPr>
      <w:r w:rsidRPr="001C7648">
        <w:rPr>
          <w:lang w:val="fr-FR"/>
        </w:rPr>
        <w:t>2</w:t>
      </w:r>
      <w:r w:rsidR="006A19EC" w:rsidRPr="006A19EC">
        <w:rPr>
          <w:lang w:val="fr-FR"/>
        </w:rPr>
        <w:t>.</w:t>
      </w:r>
      <w:r w:rsidRPr="001C7648">
        <w:rPr>
          <w:lang w:val="fr-FR"/>
        </w:rPr>
        <w:tab/>
        <w:t>À la date de clôture de la quatre-vingt-dix-huitième session, 58 des 181 États parties à la Convention avaient fait la déclaration prévue au paragraphe 1 de l’article 14 de cet instrument, reconnaissant ainsi la compétence du Comité pour recevoir et examiner les communications émanant de particuliers ou de groupes de particuliers qui affirment qu’un État partie a violé l’un quelconque des droits que leur donne la Convention</w:t>
      </w:r>
      <w:r w:rsidR="006A19EC" w:rsidRPr="006A19EC">
        <w:rPr>
          <w:lang w:val="fr-FR"/>
        </w:rPr>
        <w:t>.</w:t>
      </w:r>
      <w:r w:rsidRPr="001C7648">
        <w:rPr>
          <w:lang w:val="fr-FR"/>
        </w:rPr>
        <w:t xml:space="preserve"> </w:t>
      </w:r>
      <w:r w:rsidRPr="001C7648">
        <w:t>La compétence du Comité pour exercer les fonctions prévues à l’article 14 a pris effet le 3 décembre 1982, après le dépôt auprès du Secrétaire général de la dixième déclaration</w:t>
      </w:r>
      <w:r w:rsidR="006A19EC" w:rsidRPr="006A19EC">
        <w:t>.</w:t>
      </w:r>
    </w:p>
    <w:p w14:paraId="4D98365C" w14:textId="49973853" w:rsidR="001C7648" w:rsidRPr="001C7648" w:rsidRDefault="001C7648" w:rsidP="001C7648">
      <w:pPr>
        <w:pStyle w:val="SingleTxtG"/>
        <w:rPr>
          <w:lang w:val="fr-FR"/>
        </w:rPr>
      </w:pPr>
      <w:r w:rsidRPr="001C7648">
        <w:rPr>
          <w:lang w:val="fr-FR"/>
        </w:rPr>
        <w:t>3</w:t>
      </w:r>
      <w:r w:rsidR="006A19EC" w:rsidRPr="006A19EC">
        <w:rPr>
          <w:lang w:val="fr-FR"/>
        </w:rPr>
        <w:t>.</w:t>
      </w:r>
      <w:r w:rsidRPr="001C7648">
        <w:rPr>
          <w:lang w:val="fr-FR"/>
        </w:rPr>
        <w:tab/>
      </w:r>
      <w:r w:rsidRPr="001C7648">
        <w:t xml:space="preserve">Quarante-neuf États parties ont accepté l’amendement au paragraphe 6 de l’article 8 de la Convention concernant le financement des activités du Comité, adopté le 15 janvier 1992 à la quatorzième réunion des États parties et approuvé par l’Assemblée générale dans la résolution </w:t>
      </w:r>
      <w:hyperlink r:id="rId23" w:history="1">
        <w:r w:rsidRPr="001C7648">
          <w:rPr>
            <w:rStyle w:val="Lienhypertexte"/>
          </w:rPr>
          <w:t>47/111</w:t>
        </w:r>
      </w:hyperlink>
      <w:r w:rsidRPr="001C7648">
        <w:t>, du 16 décembre 1992</w:t>
      </w:r>
      <w:r w:rsidR="006A19EC" w:rsidRPr="006A19EC">
        <w:rPr>
          <w:lang w:val="fr-FR"/>
        </w:rPr>
        <w:t>.</w:t>
      </w:r>
    </w:p>
    <w:p w14:paraId="636A3F9C" w14:textId="70225CD1" w:rsidR="001C7648" w:rsidRPr="001C7648" w:rsidRDefault="001C7648" w:rsidP="001C7648">
      <w:pPr>
        <w:pStyle w:val="SingleTxtG"/>
        <w:rPr>
          <w:lang w:val="fr-FR"/>
        </w:rPr>
      </w:pPr>
      <w:r w:rsidRPr="001C7648">
        <w:rPr>
          <w:lang w:val="fr-FR"/>
        </w:rPr>
        <w:t>4</w:t>
      </w:r>
      <w:r w:rsidR="006A19EC" w:rsidRPr="006A19EC">
        <w:rPr>
          <w:lang w:val="fr-FR"/>
        </w:rPr>
        <w:t>.</w:t>
      </w:r>
      <w:r>
        <w:rPr>
          <w:lang w:val="fr-FR"/>
        </w:rPr>
        <w:tab/>
      </w:r>
      <w:r w:rsidRPr="001C7648">
        <w:t xml:space="preserve">La liste des États parties qui ont fait la déclaration prévue à l’article 14 et de ceux qui ont accepté l’amendement au paragraphe 6 de l’article 8 de la Convention peut être consultée sur le site Web de la Collection des traités des Nations Unies (voir </w:t>
      </w:r>
      <w:hyperlink r:id="rId24" w:history="1">
        <w:r w:rsidRPr="001C7648">
          <w:rPr>
            <w:rStyle w:val="Lienhypertexte"/>
          </w:rPr>
          <w:t>https://treaties</w:t>
        </w:r>
        <w:r w:rsidR="006A19EC" w:rsidRPr="006A19EC">
          <w:rPr>
            <w:rStyle w:val="Lienhypertexte"/>
          </w:rPr>
          <w:t>.</w:t>
        </w:r>
        <w:r w:rsidRPr="001C7648">
          <w:rPr>
            <w:rStyle w:val="Lienhypertexte"/>
          </w:rPr>
          <w:t>un</w:t>
        </w:r>
        <w:r w:rsidR="006A19EC" w:rsidRPr="006A19EC">
          <w:rPr>
            <w:rStyle w:val="Lienhypertexte"/>
          </w:rPr>
          <w:t>.</w:t>
        </w:r>
        <w:r w:rsidRPr="001C7648">
          <w:rPr>
            <w:rStyle w:val="Lienhypertexte"/>
          </w:rPr>
          <w:t>org/</w:t>
        </w:r>
        <w:r w:rsidR="001E32CA">
          <w:rPr>
            <w:rStyle w:val="Lienhypertexte"/>
          </w:rPr>
          <w:t xml:space="preserve"> </w:t>
        </w:r>
        <w:r w:rsidRPr="001C7648">
          <w:rPr>
            <w:rStyle w:val="Lienhypertexte"/>
          </w:rPr>
          <w:t>Pages/</w:t>
        </w:r>
        <w:proofErr w:type="spellStart"/>
        <w:r w:rsidRPr="001C7648">
          <w:rPr>
            <w:rStyle w:val="Lienhypertexte"/>
          </w:rPr>
          <w:t>Treaties</w:t>
        </w:r>
        <w:r w:rsidR="006A19EC" w:rsidRPr="006A19EC">
          <w:rPr>
            <w:rStyle w:val="Lienhypertexte"/>
          </w:rPr>
          <w:t>.</w:t>
        </w:r>
        <w:r w:rsidRPr="001C7648">
          <w:rPr>
            <w:rStyle w:val="Lienhypertexte"/>
          </w:rPr>
          <w:t>aspx?id</w:t>
        </w:r>
        <w:proofErr w:type="spellEnd"/>
        <w:r w:rsidRPr="001C7648">
          <w:rPr>
            <w:rStyle w:val="Lienhypertexte"/>
          </w:rPr>
          <w:t>=4&amp;subid=</w:t>
        </w:r>
        <w:proofErr w:type="spellStart"/>
        <w:r w:rsidRPr="001C7648">
          <w:rPr>
            <w:rStyle w:val="Lienhypertexte"/>
          </w:rPr>
          <w:t>A&amp;lang</w:t>
        </w:r>
        <w:proofErr w:type="spellEnd"/>
        <w:r w:rsidRPr="001C7648">
          <w:rPr>
            <w:rStyle w:val="Lienhypertexte"/>
          </w:rPr>
          <w:t>=</w:t>
        </w:r>
        <w:proofErr w:type="spellStart"/>
        <w:r w:rsidRPr="001C7648">
          <w:rPr>
            <w:rStyle w:val="Lienhypertexte"/>
          </w:rPr>
          <w:t>fr</w:t>
        </w:r>
        <w:proofErr w:type="spellEnd"/>
      </w:hyperlink>
      <w:r w:rsidRPr="001C7648">
        <w:rPr>
          <w:lang w:val="fr-FR"/>
        </w:rPr>
        <w:t>)</w:t>
      </w:r>
      <w:r w:rsidR="006A19EC" w:rsidRPr="006A19EC">
        <w:rPr>
          <w:lang w:val="fr-FR"/>
        </w:rPr>
        <w:t>.</w:t>
      </w:r>
    </w:p>
    <w:p w14:paraId="7E173BDA" w14:textId="1A0197F7" w:rsidR="001C7648" w:rsidRPr="001C7648" w:rsidRDefault="001C7648" w:rsidP="001C7648">
      <w:pPr>
        <w:pStyle w:val="H1G"/>
      </w:pPr>
      <w:r>
        <w:rPr>
          <w:lang w:val="fr-FR"/>
        </w:rPr>
        <w:tab/>
      </w:r>
      <w:r w:rsidRPr="001C7648">
        <w:rPr>
          <w:lang w:val="fr-FR"/>
        </w:rPr>
        <w:t>B</w:t>
      </w:r>
      <w:r w:rsidR="006A19EC" w:rsidRPr="006A19EC">
        <w:rPr>
          <w:lang w:val="fr-FR"/>
        </w:rPr>
        <w:t>.</w:t>
      </w:r>
      <w:r w:rsidRPr="001C7648">
        <w:rPr>
          <w:lang w:val="fr-FR"/>
        </w:rPr>
        <w:tab/>
      </w:r>
      <w:r w:rsidRPr="001C7648">
        <w:rPr>
          <w:lang w:val="fr-FR"/>
        </w:rPr>
        <w:tab/>
        <w:t>Sessions et ordres du jour</w:t>
      </w:r>
      <w:bookmarkStart w:id="4" w:name="_Toc428794278"/>
      <w:bookmarkEnd w:id="4"/>
    </w:p>
    <w:p w14:paraId="5C6027E2" w14:textId="1D65AAA3" w:rsidR="001C7648" w:rsidRPr="001C7648" w:rsidRDefault="001C7648" w:rsidP="001C7648">
      <w:pPr>
        <w:pStyle w:val="SingleTxtG"/>
      </w:pPr>
      <w:r w:rsidRPr="001C7648">
        <w:rPr>
          <w:lang w:val="fr-FR"/>
        </w:rPr>
        <w:t>5</w:t>
      </w:r>
      <w:r w:rsidR="006A19EC" w:rsidRPr="006A19EC">
        <w:rPr>
          <w:lang w:val="fr-FR"/>
        </w:rPr>
        <w:t>.</w:t>
      </w:r>
      <w:r w:rsidRPr="001C7648">
        <w:rPr>
          <w:lang w:val="fr-FR"/>
        </w:rPr>
        <w:tab/>
        <w:t>Le Comité a tenu trois sessions au cours de la période considérée</w:t>
      </w:r>
      <w:r w:rsidR="006A19EC" w:rsidRPr="006A19EC">
        <w:rPr>
          <w:lang w:val="fr-FR"/>
        </w:rPr>
        <w:t>.</w:t>
      </w:r>
      <w:r w:rsidRPr="001C7648">
        <w:rPr>
          <w:lang w:val="fr-FR"/>
        </w:rPr>
        <w:t xml:space="preserve"> </w:t>
      </w:r>
      <w:r w:rsidRPr="001C7648">
        <w:t>La quatre-vingt-seizième session (2645</w:t>
      </w:r>
      <w:r w:rsidRPr="001C7648">
        <w:rPr>
          <w:vertAlign w:val="superscript"/>
        </w:rPr>
        <w:t>e</w:t>
      </w:r>
      <w:r w:rsidRPr="001C7648">
        <w:t xml:space="preserve"> à 2679</w:t>
      </w:r>
      <w:r w:rsidRPr="001E32CA">
        <w:rPr>
          <w:vertAlign w:val="superscript"/>
        </w:rPr>
        <w:t>e</w:t>
      </w:r>
      <w:r w:rsidRPr="001C7648">
        <w:t xml:space="preserve"> séances), la quatre-vingt-dix-septième session (2680</w:t>
      </w:r>
      <w:r w:rsidRPr="001C7648">
        <w:rPr>
          <w:vertAlign w:val="superscript"/>
        </w:rPr>
        <w:t>e</w:t>
      </w:r>
      <w:r w:rsidRPr="001C7648">
        <w:t xml:space="preserve"> à 2709</w:t>
      </w:r>
      <w:r w:rsidRPr="001E32CA">
        <w:rPr>
          <w:vertAlign w:val="superscript"/>
        </w:rPr>
        <w:t>e</w:t>
      </w:r>
      <w:r w:rsidR="001E32CA">
        <w:t> </w:t>
      </w:r>
      <w:r w:rsidRPr="001C7648">
        <w:t>séances) et la quatre-vingt-dix-huitième session (2710</w:t>
      </w:r>
      <w:r w:rsidRPr="001C7648">
        <w:rPr>
          <w:vertAlign w:val="superscript"/>
        </w:rPr>
        <w:t>e</w:t>
      </w:r>
      <w:r w:rsidRPr="001C7648">
        <w:t xml:space="preserve"> à 2737</w:t>
      </w:r>
      <w:r w:rsidRPr="001E32CA">
        <w:rPr>
          <w:vertAlign w:val="superscript"/>
        </w:rPr>
        <w:t>e</w:t>
      </w:r>
      <w:r w:rsidRPr="001C7648">
        <w:t xml:space="preserve"> séances</w:t>
      </w:r>
      <w:r w:rsidRPr="001C7648">
        <w:rPr>
          <w:lang w:val="fr-FR"/>
        </w:rPr>
        <w:t>) ont eu lieu à l’Office des Nations Unies à Genève du 6 au 30 août 2018, du 26 novembre au 14 décembre 2018 et du 23 avril au 10 mai 2019</w:t>
      </w:r>
      <w:r w:rsidR="006A19EC" w:rsidRPr="006A19EC">
        <w:rPr>
          <w:lang w:val="fr-FR"/>
        </w:rPr>
        <w:t>.</w:t>
      </w:r>
    </w:p>
    <w:p w14:paraId="6FE6F585" w14:textId="4F0095FF" w:rsidR="001C7648" w:rsidRPr="001C7648" w:rsidRDefault="001C7648" w:rsidP="001C7648">
      <w:pPr>
        <w:pStyle w:val="SingleTxtG"/>
      </w:pPr>
      <w:r w:rsidRPr="001C7648">
        <w:rPr>
          <w:lang w:val="fr-FR"/>
        </w:rPr>
        <w:t>6</w:t>
      </w:r>
      <w:r w:rsidR="006A19EC" w:rsidRPr="006A19EC">
        <w:rPr>
          <w:lang w:val="fr-FR"/>
        </w:rPr>
        <w:t>.</w:t>
      </w:r>
      <w:r w:rsidRPr="001C7648">
        <w:rPr>
          <w:lang w:val="fr-FR"/>
        </w:rPr>
        <w:tab/>
        <w:t xml:space="preserve">Les ordres du jour provisoires de la </w:t>
      </w:r>
      <w:r w:rsidRPr="001C7648">
        <w:t xml:space="preserve">quatre-vingt-seizième session et de la quatre-vingt-dix-huitième </w:t>
      </w:r>
      <w:r w:rsidRPr="001C7648">
        <w:rPr>
          <w:lang w:val="fr-FR"/>
        </w:rPr>
        <w:t xml:space="preserve">session ont été adoptés par le Comité sans modification (voir </w:t>
      </w:r>
      <w:hyperlink r:id="rId25" w:history="1">
        <w:r w:rsidRPr="001C7648">
          <w:rPr>
            <w:rStyle w:val="Lienhypertexte"/>
            <w:lang w:val="fr-FR"/>
          </w:rPr>
          <w:t>CERD/C/96/1</w:t>
        </w:r>
      </w:hyperlink>
      <w:r w:rsidRPr="001C7648">
        <w:rPr>
          <w:lang w:val="fr-FR"/>
        </w:rPr>
        <w:t xml:space="preserve"> et </w:t>
      </w:r>
      <w:hyperlink r:id="rId26" w:history="1">
        <w:r w:rsidRPr="001C7648">
          <w:rPr>
            <w:rStyle w:val="Lienhypertexte"/>
            <w:lang w:val="fr-FR"/>
          </w:rPr>
          <w:t>CERD/C/98/1</w:t>
        </w:r>
      </w:hyperlink>
      <w:r w:rsidRPr="001C7648">
        <w:rPr>
          <w:lang w:val="fr-FR"/>
        </w:rPr>
        <w:t>)</w:t>
      </w:r>
      <w:r w:rsidR="006A19EC" w:rsidRPr="006A19EC">
        <w:rPr>
          <w:lang w:val="fr-FR"/>
        </w:rPr>
        <w:t>.</w:t>
      </w:r>
      <w:r w:rsidRPr="001C7648">
        <w:rPr>
          <w:lang w:val="fr-FR"/>
        </w:rPr>
        <w:t xml:space="preserve"> Une révision de l’ordre du jour de la quatre-vingt-dix-septième session (</w:t>
      </w:r>
      <w:hyperlink r:id="rId27" w:history="1">
        <w:r w:rsidRPr="001C7648">
          <w:rPr>
            <w:rStyle w:val="Lienhypertexte"/>
            <w:lang w:val="fr-FR"/>
          </w:rPr>
          <w:t>CERD/C/97/1</w:t>
        </w:r>
      </w:hyperlink>
      <w:r w:rsidRPr="001C7648">
        <w:rPr>
          <w:lang w:val="fr-FR"/>
        </w:rPr>
        <w:t>) a été annoncée à la séance d’ouverture de cette session</w:t>
      </w:r>
      <w:r w:rsidR="006A19EC" w:rsidRPr="006A19EC">
        <w:rPr>
          <w:lang w:val="fr-FR"/>
        </w:rPr>
        <w:t>.</w:t>
      </w:r>
      <w:r w:rsidRPr="001C7648">
        <w:rPr>
          <w:lang w:val="fr-FR"/>
        </w:rPr>
        <w:t xml:space="preserve"> </w:t>
      </w:r>
    </w:p>
    <w:p w14:paraId="0A65E927" w14:textId="3425689A" w:rsidR="001C7648" w:rsidRPr="001C7648" w:rsidRDefault="001C7648" w:rsidP="001C7648">
      <w:pPr>
        <w:pStyle w:val="H1G"/>
      </w:pPr>
      <w:r w:rsidRPr="001C7648">
        <w:rPr>
          <w:lang w:val="fr-FR"/>
        </w:rPr>
        <w:tab/>
        <w:t>C</w:t>
      </w:r>
      <w:r w:rsidR="006A19EC" w:rsidRPr="006A19EC">
        <w:rPr>
          <w:lang w:val="fr-FR"/>
        </w:rPr>
        <w:t>.</w:t>
      </w:r>
      <w:r w:rsidRPr="001C7648">
        <w:rPr>
          <w:lang w:val="fr-FR"/>
        </w:rPr>
        <w:tab/>
        <w:t>Composition</w:t>
      </w:r>
      <w:bookmarkStart w:id="5" w:name="_Toc428794279"/>
      <w:bookmarkEnd w:id="5"/>
    </w:p>
    <w:p w14:paraId="02AE3E23" w14:textId="721422A1" w:rsidR="00AB19E7" w:rsidRDefault="001C7648" w:rsidP="001C7648">
      <w:pPr>
        <w:pStyle w:val="SingleTxtG"/>
        <w:rPr>
          <w:lang w:val="fr-FR"/>
        </w:rPr>
      </w:pPr>
      <w:r w:rsidRPr="001C7648">
        <w:rPr>
          <w:lang w:val="fr-FR"/>
        </w:rPr>
        <w:t>7</w:t>
      </w:r>
      <w:r w:rsidR="006A19EC" w:rsidRPr="006A19EC">
        <w:rPr>
          <w:lang w:val="fr-FR"/>
        </w:rPr>
        <w:t>.</w:t>
      </w:r>
      <w:r>
        <w:rPr>
          <w:lang w:val="fr-FR"/>
        </w:rPr>
        <w:tab/>
      </w:r>
      <w:r w:rsidRPr="001C7648">
        <w:rPr>
          <w:lang w:val="fr-FR"/>
        </w:rPr>
        <w:t>La liste des membres du Comité pour les quatre-vingt-seizième et quatre</w:t>
      </w:r>
      <w:r w:rsidRPr="001C7648">
        <w:rPr>
          <w:lang w:val="fr-FR"/>
        </w:rPr>
        <w:noBreakHyphen/>
        <w:t>vingt</w:t>
      </w:r>
      <w:r w:rsidRPr="001C7648">
        <w:rPr>
          <w:lang w:val="fr-FR"/>
        </w:rPr>
        <w:noBreakHyphen/>
        <w:t>dix-septième sessions s’établissait comme suit :</w:t>
      </w:r>
    </w:p>
    <w:tbl>
      <w:tblPr>
        <w:tblW w:w="7370" w:type="dxa"/>
        <w:tblInd w:w="1134" w:type="dxa"/>
        <w:tblLayout w:type="fixed"/>
        <w:tblCellMar>
          <w:left w:w="0" w:type="dxa"/>
          <w:right w:w="0" w:type="dxa"/>
        </w:tblCellMar>
        <w:tblLook w:val="01E0" w:firstRow="1" w:lastRow="1" w:firstColumn="1" w:lastColumn="1" w:noHBand="0" w:noVBand="0"/>
      </w:tblPr>
      <w:tblGrid>
        <w:gridCol w:w="3119"/>
        <w:gridCol w:w="2268"/>
        <w:gridCol w:w="1983"/>
      </w:tblGrid>
      <w:tr w:rsidR="008E03F4" w:rsidRPr="008E03F4" w14:paraId="71C64F1E" w14:textId="77777777" w:rsidTr="008E03F4">
        <w:trPr>
          <w:cantSplit/>
          <w:tblHeader/>
        </w:trPr>
        <w:tc>
          <w:tcPr>
            <w:tcW w:w="3119" w:type="dxa"/>
            <w:tcBorders>
              <w:top w:val="single" w:sz="4" w:space="0" w:color="auto"/>
              <w:bottom w:val="single" w:sz="12" w:space="0" w:color="auto"/>
            </w:tcBorders>
            <w:shd w:val="clear" w:color="auto" w:fill="auto"/>
            <w:vAlign w:val="bottom"/>
          </w:tcPr>
          <w:p w14:paraId="71926455" w14:textId="77777777" w:rsidR="008E03F4" w:rsidRPr="008E03F4" w:rsidRDefault="008E03F4" w:rsidP="008E03F4">
            <w:pPr>
              <w:spacing w:before="80" w:after="80" w:line="200" w:lineRule="exact"/>
              <w:ind w:right="113"/>
              <w:rPr>
                <w:i/>
                <w:sz w:val="16"/>
              </w:rPr>
            </w:pPr>
            <w:r w:rsidRPr="008E03F4">
              <w:rPr>
                <w:i/>
                <w:sz w:val="16"/>
                <w:lang w:val="fr-FR"/>
              </w:rPr>
              <w:t>Nom</w:t>
            </w:r>
          </w:p>
        </w:tc>
        <w:tc>
          <w:tcPr>
            <w:tcW w:w="2268" w:type="dxa"/>
            <w:tcBorders>
              <w:top w:val="single" w:sz="4" w:space="0" w:color="auto"/>
              <w:bottom w:val="single" w:sz="12" w:space="0" w:color="auto"/>
            </w:tcBorders>
            <w:shd w:val="clear" w:color="auto" w:fill="auto"/>
            <w:vAlign w:val="bottom"/>
          </w:tcPr>
          <w:p w14:paraId="182003C0" w14:textId="77777777" w:rsidR="008E03F4" w:rsidRPr="008E03F4" w:rsidRDefault="008E03F4" w:rsidP="008E03F4">
            <w:pPr>
              <w:spacing w:before="80" w:after="80" w:line="200" w:lineRule="exact"/>
              <w:ind w:right="113"/>
              <w:rPr>
                <w:i/>
                <w:sz w:val="16"/>
              </w:rPr>
            </w:pPr>
            <w:r w:rsidRPr="008E03F4">
              <w:rPr>
                <w:i/>
                <w:sz w:val="16"/>
                <w:lang w:val="fr-FR"/>
              </w:rPr>
              <w:t>Nationalité</w:t>
            </w:r>
          </w:p>
        </w:tc>
        <w:tc>
          <w:tcPr>
            <w:tcW w:w="1983" w:type="dxa"/>
            <w:tcBorders>
              <w:top w:val="single" w:sz="4" w:space="0" w:color="auto"/>
              <w:bottom w:val="single" w:sz="12" w:space="0" w:color="auto"/>
            </w:tcBorders>
            <w:shd w:val="clear" w:color="auto" w:fill="auto"/>
            <w:vAlign w:val="bottom"/>
          </w:tcPr>
          <w:p w14:paraId="1F3C9253" w14:textId="00A16C56" w:rsidR="008E03F4" w:rsidRPr="008E03F4" w:rsidRDefault="008E03F4" w:rsidP="008E03F4">
            <w:pPr>
              <w:spacing w:before="80" w:after="80" w:line="200" w:lineRule="exact"/>
              <w:ind w:right="113"/>
              <w:rPr>
                <w:i/>
                <w:sz w:val="16"/>
              </w:rPr>
            </w:pPr>
            <w:r w:rsidRPr="008E03F4">
              <w:rPr>
                <w:i/>
                <w:sz w:val="16"/>
                <w:lang w:val="fr-FR"/>
              </w:rPr>
              <w:t xml:space="preserve">Mandat venant à expiration le 19 janvier </w:t>
            </w:r>
          </w:p>
        </w:tc>
      </w:tr>
      <w:tr w:rsidR="008E03F4" w:rsidRPr="008E03F4" w14:paraId="5D39CDF8" w14:textId="77777777" w:rsidTr="008E03F4">
        <w:trPr>
          <w:cantSplit/>
          <w:trHeight w:hRule="exact" w:val="113"/>
          <w:tblHeader/>
        </w:trPr>
        <w:tc>
          <w:tcPr>
            <w:tcW w:w="3119" w:type="dxa"/>
            <w:tcBorders>
              <w:top w:val="single" w:sz="12" w:space="0" w:color="auto"/>
            </w:tcBorders>
            <w:shd w:val="clear" w:color="auto" w:fill="auto"/>
          </w:tcPr>
          <w:p w14:paraId="5FD6315A" w14:textId="77777777" w:rsidR="008E03F4" w:rsidRPr="008E03F4" w:rsidRDefault="008E03F4" w:rsidP="008E03F4">
            <w:pPr>
              <w:spacing w:before="40" w:after="120"/>
              <w:ind w:right="113"/>
              <w:rPr>
                <w:lang w:val="fr-FR"/>
              </w:rPr>
            </w:pPr>
          </w:p>
        </w:tc>
        <w:tc>
          <w:tcPr>
            <w:tcW w:w="2268" w:type="dxa"/>
            <w:tcBorders>
              <w:top w:val="single" w:sz="12" w:space="0" w:color="auto"/>
            </w:tcBorders>
            <w:shd w:val="clear" w:color="auto" w:fill="auto"/>
          </w:tcPr>
          <w:p w14:paraId="3730227C" w14:textId="77777777" w:rsidR="008E03F4" w:rsidRPr="008E03F4" w:rsidRDefault="008E03F4" w:rsidP="008E03F4">
            <w:pPr>
              <w:spacing w:before="40" w:after="120"/>
              <w:ind w:right="113"/>
              <w:rPr>
                <w:lang w:val="fr-FR"/>
              </w:rPr>
            </w:pPr>
          </w:p>
        </w:tc>
        <w:tc>
          <w:tcPr>
            <w:tcW w:w="1983" w:type="dxa"/>
            <w:tcBorders>
              <w:top w:val="single" w:sz="12" w:space="0" w:color="auto"/>
            </w:tcBorders>
            <w:shd w:val="clear" w:color="auto" w:fill="auto"/>
          </w:tcPr>
          <w:p w14:paraId="4CA7D240" w14:textId="77777777" w:rsidR="008E03F4" w:rsidRPr="008E03F4" w:rsidRDefault="008E03F4" w:rsidP="008E03F4">
            <w:pPr>
              <w:spacing w:before="40" w:after="120"/>
              <w:ind w:right="113"/>
              <w:rPr>
                <w:lang w:val="fr-FR"/>
              </w:rPr>
            </w:pPr>
          </w:p>
        </w:tc>
      </w:tr>
      <w:tr w:rsidR="008E03F4" w:rsidRPr="008E03F4" w14:paraId="6E56D7E9" w14:textId="77777777" w:rsidTr="008E03F4">
        <w:trPr>
          <w:cantSplit/>
        </w:trPr>
        <w:tc>
          <w:tcPr>
            <w:tcW w:w="3119" w:type="dxa"/>
            <w:shd w:val="clear" w:color="auto" w:fill="auto"/>
          </w:tcPr>
          <w:p w14:paraId="3DC1A961" w14:textId="60208BD5" w:rsidR="008E03F4" w:rsidRPr="008E03F4" w:rsidRDefault="008E03F4" w:rsidP="008E03F4">
            <w:pPr>
              <w:spacing w:before="40" w:after="120"/>
              <w:ind w:right="113"/>
              <w:rPr>
                <w:lang w:val="es-ES"/>
              </w:rPr>
            </w:pPr>
            <w:r w:rsidRPr="008E03F4">
              <w:rPr>
                <w:lang w:val="es-ES"/>
              </w:rPr>
              <w:t xml:space="preserve">Silvio José </w:t>
            </w:r>
            <w:r w:rsidRPr="008E03F4">
              <w:rPr>
                <w:b/>
                <w:lang w:val="es-ES"/>
              </w:rPr>
              <w:t>Albuquerque e Silva</w:t>
            </w:r>
          </w:p>
        </w:tc>
        <w:tc>
          <w:tcPr>
            <w:tcW w:w="2268" w:type="dxa"/>
            <w:shd w:val="clear" w:color="auto" w:fill="auto"/>
          </w:tcPr>
          <w:p w14:paraId="13704E77" w14:textId="07AFEC8B" w:rsidR="008E03F4" w:rsidRPr="008E03F4" w:rsidRDefault="008E03F4" w:rsidP="008E03F4">
            <w:pPr>
              <w:spacing w:before="40" w:after="120"/>
              <w:ind w:right="113"/>
            </w:pPr>
            <w:r w:rsidRPr="008E03F4">
              <w:t>Brésil</w:t>
            </w:r>
          </w:p>
        </w:tc>
        <w:tc>
          <w:tcPr>
            <w:tcW w:w="1983" w:type="dxa"/>
            <w:shd w:val="clear" w:color="auto" w:fill="auto"/>
          </w:tcPr>
          <w:p w14:paraId="5DD9246A" w14:textId="2F090274" w:rsidR="008E03F4" w:rsidRPr="008E03F4" w:rsidRDefault="008E03F4" w:rsidP="008E03F4">
            <w:pPr>
              <w:spacing w:before="40" w:after="120"/>
              <w:ind w:right="113"/>
            </w:pPr>
            <w:r w:rsidRPr="008E03F4">
              <w:t>2022</w:t>
            </w:r>
          </w:p>
        </w:tc>
      </w:tr>
      <w:tr w:rsidR="00236481" w:rsidRPr="008E03F4" w14:paraId="7080A61A" w14:textId="77777777" w:rsidTr="008E03F4">
        <w:trPr>
          <w:cantSplit/>
        </w:trPr>
        <w:tc>
          <w:tcPr>
            <w:tcW w:w="3119" w:type="dxa"/>
            <w:shd w:val="clear" w:color="auto" w:fill="auto"/>
          </w:tcPr>
          <w:p w14:paraId="45271096" w14:textId="63AC32AA" w:rsidR="00236481" w:rsidRPr="008E03F4" w:rsidRDefault="00236481" w:rsidP="008E03F4">
            <w:pPr>
              <w:spacing w:before="40" w:after="120"/>
              <w:ind w:right="113"/>
              <w:rPr>
                <w:lang w:val="es-ES"/>
              </w:rPr>
            </w:pPr>
            <w:r w:rsidRPr="008E03F4">
              <w:rPr>
                <w:lang w:val="es-ES"/>
              </w:rPr>
              <w:t xml:space="preserve">Noureddine </w:t>
            </w:r>
            <w:r w:rsidRPr="008E03F4">
              <w:rPr>
                <w:b/>
                <w:lang w:val="es-ES"/>
              </w:rPr>
              <w:t>Amir</w:t>
            </w:r>
          </w:p>
        </w:tc>
        <w:tc>
          <w:tcPr>
            <w:tcW w:w="2268" w:type="dxa"/>
            <w:shd w:val="clear" w:color="auto" w:fill="auto"/>
          </w:tcPr>
          <w:p w14:paraId="06B41859" w14:textId="70633FB7" w:rsidR="00236481" w:rsidRPr="008E03F4" w:rsidRDefault="00236481" w:rsidP="008E03F4">
            <w:pPr>
              <w:spacing w:before="40" w:after="120"/>
              <w:ind w:right="113"/>
            </w:pPr>
            <w:r w:rsidRPr="008E03F4">
              <w:t>Algérie</w:t>
            </w:r>
          </w:p>
        </w:tc>
        <w:tc>
          <w:tcPr>
            <w:tcW w:w="1983" w:type="dxa"/>
            <w:shd w:val="clear" w:color="auto" w:fill="auto"/>
          </w:tcPr>
          <w:p w14:paraId="4616B73E" w14:textId="12966763" w:rsidR="00236481" w:rsidRPr="008E03F4" w:rsidRDefault="00236481" w:rsidP="008E03F4">
            <w:pPr>
              <w:spacing w:before="40" w:after="120"/>
              <w:ind w:right="113"/>
            </w:pPr>
            <w:r w:rsidRPr="008E03F4">
              <w:t>2022</w:t>
            </w:r>
          </w:p>
        </w:tc>
      </w:tr>
      <w:tr w:rsidR="008E03F4" w:rsidRPr="008E03F4" w14:paraId="3E639885" w14:textId="77777777" w:rsidTr="008E03F4">
        <w:trPr>
          <w:cantSplit/>
        </w:trPr>
        <w:tc>
          <w:tcPr>
            <w:tcW w:w="3119" w:type="dxa"/>
            <w:shd w:val="clear" w:color="auto" w:fill="auto"/>
          </w:tcPr>
          <w:p w14:paraId="14A60AF2" w14:textId="47A5C61D" w:rsidR="008E03F4" w:rsidRPr="008E03F4" w:rsidRDefault="008E03F4" w:rsidP="008E03F4">
            <w:pPr>
              <w:spacing w:before="40" w:after="120"/>
              <w:ind w:right="113"/>
            </w:pPr>
            <w:r w:rsidRPr="008E03F4">
              <w:t>Alexei S</w:t>
            </w:r>
            <w:r w:rsidR="006A19EC" w:rsidRPr="006A19EC">
              <w:t>.</w:t>
            </w:r>
            <w:r w:rsidRPr="008E03F4">
              <w:t xml:space="preserve"> </w:t>
            </w:r>
            <w:r w:rsidRPr="008E03F4">
              <w:rPr>
                <w:b/>
              </w:rPr>
              <w:t>Avtonomov</w:t>
            </w:r>
          </w:p>
        </w:tc>
        <w:tc>
          <w:tcPr>
            <w:tcW w:w="2268" w:type="dxa"/>
            <w:shd w:val="clear" w:color="auto" w:fill="auto"/>
          </w:tcPr>
          <w:p w14:paraId="40FE9EC9" w14:textId="77777777" w:rsidR="008E03F4" w:rsidRPr="008E03F4" w:rsidRDefault="008E03F4" w:rsidP="008E03F4">
            <w:pPr>
              <w:spacing w:before="40" w:after="120"/>
              <w:ind w:right="113"/>
            </w:pPr>
            <w:r w:rsidRPr="008E03F4">
              <w:t>Fédération de Russie</w:t>
            </w:r>
          </w:p>
        </w:tc>
        <w:tc>
          <w:tcPr>
            <w:tcW w:w="1983" w:type="dxa"/>
            <w:shd w:val="clear" w:color="auto" w:fill="auto"/>
          </w:tcPr>
          <w:p w14:paraId="031E59B1" w14:textId="77777777" w:rsidR="008E03F4" w:rsidRPr="008E03F4" w:rsidRDefault="008E03F4" w:rsidP="008E03F4">
            <w:pPr>
              <w:spacing w:before="40" w:after="120"/>
              <w:ind w:right="113"/>
            </w:pPr>
            <w:r w:rsidRPr="008E03F4">
              <w:t>2020</w:t>
            </w:r>
          </w:p>
        </w:tc>
      </w:tr>
      <w:tr w:rsidR="008E03F4" w:rsidRPr="008E03F4" w14:paraId="1E8C4A91" w14:textId="77777777" w:rsidTr="008E03F4">
        <w:trPr>
          <w:cantSplit/>
        </w:trPr>
        <w:tc>
          <w:tcPr>
            <w:tcW w:w="3119" w:type="dxa"/>
            <w:shd w:val="clear" w:color="auto" w:fill="auto"/>
          </w:tcPr>
          <w:p w14:paraId="0DDEE928" w14:textId="77777777" w:rsidR="008E03F4" w:rsidRPr="008E03F4" w:rsidRDefault="008E03F4" w:rsidP="008E03F4">
            <w:pPr>
              <w:spacing w:before="40" w:after="120"/>
              <w:ind w:right="113"/>
            </w:pPr>
            <w:r w:rsidRPr="008E03F4">
              <w:lastRenderedPageBreak/>
              <w:t xml:space="preserve">Marc </w:t>
            </w:r>
            <w:r w:rsidRPr="008E03F4">
              <w:rPr>
                <w:b/>
              </w:rPr>
              <w:t>Bossuyt</w:t>
            </w:r>
          </w:p>
        </w:tc>
        <w:tc>
          <w:tcPr>
            <w:tcW w:w="2268" w:type="dxa"/>
            <w:shd w:val="clear" w:color="auto" w:fill="auto"/>
          </w:tcPr>
          <w:p w14:paraId="3BA36EE9" w14:textId="77777777" w:rsidR="008E03F4" w:rsidRPr="008E03F4" w:rsidRDefault="008E03F4" w:rsidP="008E03F4">
            <w:pPr>
              <w:spacing w:before="40" w:after="120"/>
              <w:ind w:right="113"/>
            </w:pPr>
            <w:r w:rsidRPr="008E03F4">
              <w:t>Belgique</w:t>
            </w:r>
          </w:p>
        </w:tc>
        <w:tc>
          <w:tcPr>
            <w:tcW w:w="1983" w:type="dxa"/>
            <w:shd w:val="clear" w:color="auto" w:fill="auto"/>
          </w:tcPr>
          <w:p w14:paraId="07E2B026" w14:textId="77777777" w:rsidR="008E03F4" w:rsidRPr="008E03F4" w:rsidRDefault="008E03F4" w:rsidP="008E03F4">
            <w:pPr>
              <w:spacing w:before="40" w:after="120"/>
              <w:ind w:right="113"/>
            </w:pPr>
            <w:r w:rsidRPr="008E03F4">
              <w:t>2022</w:t>
            </w:r>
          </w:p>
        </w:tc>
      </w:tr>
      <w:tr w:rsidR="008E03F4" w:rsidRPr="008E03F4" w14:paraId="605D98B6" w14:textId="77777777" w:rsidTr="008E03F4">
        <w:trPr>
          <w:cantSplit/>
        </w:trPr>
        <w:tc>
          <w:tcPr>
            <w:tcW w:w="3119" w:type="dxa"/>
            <w:shd w:val="clear" w:color="auto" w:fill="auto"/>
          </w:tcPr>
          <w:p w14:paraId="07156F53" w14:textId="77777777" w:rsidR="008E03F4" w:rsidRPr="008E03F4" w:rsidRDefault="008E03F4" w:rsidP="008E03F4">
            <w:pPr>
              <w:spacing w:before="40" w:after="120"/>
              <w:ind w:right="113"/>
            </w:pPr>
            <w:r w:rsidRPr="008E03F4">
              <w:t xml:space="preserve">José Francisco </w:t>
            </w:r>
            <w:r w:rsidRPr="008E03F4">
              <w:rPr>
                <w:b/>
              </w:rPr>
              <w:t>Calí Tzay</w:t>
            </w:r>
          </w:p>
        </w:tc>
        <w:tc>
          <w:tcPr>
            <w:tcW w:w="2268" w:type="dxa"/>
            <w:shd w:val="clear" w:color="auto" w:fill="auto"/>
          </w:tcPr>
          <w:p w14:paraId="5C5C840A" w14:textId="77777777" w:rsidR="008E03F4" w:rsidRPr="008E03F4" w:rsidRDefault="008E03F4" w:rsidP="008E03F4">
            <w:pPr>
              <w:spacing w:before="40" w:after="120"/>
              <w:ind w:right="113"/>
            </w:pPr>
            <w:r w:rsidRPr="008E03F4">
              <w:t>Guatemala</w:t>
            </w:r>
          </w:p>
        </w:tc>
        <w:tc>
          <w:tcPr>
            <w:tcW w:w="1983" w:type="dxa"/>
            <w:shd w:val="clear" w:color="auto" w:fill="auto"/>
          </w:tcPr>
          <w:p w14:paraId="64425902" w14:textId="77777777" w:rsidR="008E03F4" w:rsidRPr="008E03F4" w:rsidRDefault="008E03F4" w:rsidP="008E03F4">
            <w:pPr>
              <w:spacing w:before="40" w:after="120"/>
              <w:ind w:right="113"/>
            </w:pPr>
            <w:r w:rsidRPr="008E03F4">
              <w:t>2020</w:t>
            </w:r>
          </w:p>
        </w:tc>
      </w:tr>
      <w:tr w:rsidR="008E03F4" w:rsidRPr="008E03F4" w14:paraId="4E64E09E" w14:textId="77777777" w:rsidTr="008E03F4">
        <w:trPr>
          <w:cantSplit/>
        </w:trPr>
        <w:tc>
          <w:tcPr>
            <w:tcW w:w="3119" w:type="dxa"/>
            <w:shd w:val="clear" w:color="auto" w:fill="auto"/>
          </w:tcPr>
          <w:p w14:paraId="01B8690B" w14:textId="77777777" w:rsidR="008E03F4" w:rsidRPr="008E03F4" w:rsidRDefault="008E03F4" w:rsidP="008E03F4">
            <w:pPr>
              <w:spacing w:before="40" w:after="120"/>
              <w:ind w:right="113"/>
            </w:pPr>
            <w:r w:rsidRPr="008E03F4">
              <w:t xml:space="preserve">Chinsung </w:t>
            </w:r>
            <w:r w:rsidRPr="008E03F4">
              <w:rPr>
                <w:b/>
              </w:rPr>
              <w:t>Chung</w:t>
            </w:r>
            <w:r w:rsidRPr="008E03F4">
              <w:t xml:space="preserve"> </w:t>
            </w:r>
          </w:p>
        </w:tc>
        <w:tc>
          <w:tcPr>
            <w:tcW w:w="2268" w:type="dxa"/>
            <w:shd w:val="clear" w:color="auto" w:fill="auto"/>
          </w:tcPr>
          <w:p w14:paraId="1AA28631" w14:textId="77777777" w:rsidR="008E03F4" w:rsidRPr="008E03F4" w:rsidRDefault="008E03F4" w:rsidP="008E03F4">
            <w:pPr>
              <w:spacing w:before="40" w:after="120"/>
              <w:ind w:right="113"/>
            </w:pPr>
            <w:r w:rsidRPr="008E03F4">
              <w:t xml:space="preserve">République de Corée </w:t>
            </w:r>
          </w:p>
        </w:tc>
        <w:tc>
          <w:tcPr>
            <w:tcW w:w="1983" w:type="dxa"/>
            <w:shd w:val="clear" w:color="auto" w:fill="auto"/>
          </w:tcPr>
          <w:p w14:paraId="6802CC4F" w14:textId="77777777" w:rsidR="008E03F4" w:rsidRPr="008E03F4" w:rsidRDefault="008E03F4" w:rsidP="008E03F4">
            <w:pPr>
              <w:spacing w:before="40" w:after="120"/>
              <w:ind w:right="113"/>
            </w:pPr>
            <w:r w:rsidRPr="008E03F4">
              <w:t xml:space="preserve">2022 </w:t>
            </w:r>
          </w:p>
        </w:tc>
      </w:tr>
      <w:tr w:rsidR="008E03F4" w:rsidRPr="008E03F4" w14:paraId="658C4840" w14:textId="77777777" w:rsidTr="008E03F4">
        <w:trPr>
          <w:cantSplit/>
        </w:trPr>
        <w:tc>
          <w:tcPr>
            <w:tcW w:w="3119" w:type="dxa"/>
            <w:shd w:val="clear" w:color="auto" w:fill="auto"/>
          </w:tcPr>
          <w:p w14:paraId="0F09F926" w14:textId="77777777" w:rsidR="008E03F4" w:rsidRPr="008E03F4" w:rsidRDefault="008E03F4" w:rsidP="008E03F4">
            <w:pPr>
              <w:spacing w:before="40" w:after="120"/>
              <w:ind w:right="113"/>
            </w:pPr>
            <w:r w:rsidRPr="008E03F4">
              <w:t xml:space="preserve">Fatimata-Binta Victoire </w:t>
            </w:r>
            <w:r w:rsidRPr="008E03F4">
              <w:rPr>
                <w:b/>
              </w:rPr>
              <w:t>Dah</w:t>
            </w:r>
          </w:p>
        </w:tc>
        <w:tc>
          <w:tcPr>
            <w:tcW w:w="2268" w:type="dxa"/>
            <w:shd w:val="clear" w:color="auto" w:fill="auto"/>
          </w:tcPr>
          <w:p w14:paraId="0CA7E1ED" w14:textId="77777777" w:rsidR="008E03F4" w:rsidRPr="008E03F4" w:rsidRDefault="008E03F4" w:rsidP="008E03F4">
            <w:pPr>
              <w:spacing w:before="40" w:after="120"/>
              <w:ind w:right="113"/>
            </w:pPr>
            <w:r w:rsidRPr="008E03F4">
              <w:t>Burkina Faso</w:t>
            </w:r>
          </w:p>
        </w:tc>
        <w:tc>
          <w:tcPr>
            <w:tcW w:w="1983" w:type="dxa"/>
            <w:shd w:val="clear" w:color="auto" w:fill="auto"/>
          </w:tcPr>
          <w:p w14:paraId="1F9300A4" w14:textId="77777777" w:rsidR="008E03F4" w:rsidRPr="008E03F4" w:rsidRDefault="008E03F4" w:rsidP="008E03F4">
            <w:pPr>
              <w:spacing w:before="40" w:after="120"/>
              <w:ind w:right="113"/>
            </w:pPr>
            <w:r w:rsidRPr="008E03F4">
              <w:t>2020</w:t>
            </w:r>
          </w:p>
        </w:tc>
      </w:tr>
      <w:tr w:rsidR="008E03F4" w:rsidRPr="008E03F4" w14:paraId="1B3E6909" w14:textId="77777777" w:rsidTr="008E03F4">
        <w:trPr>
          <w:cantSplit/>
        </w:trPr>
        <w:tc>
          <w:tcPr>
            <w:tcW w:w="3119" w:type="dxa"/>
            <w:shd w:val="clear" w:color="auto" w:fill="auto"/>
          </w:tcPr>
          <w:p w14:paraId="51BCB3B0" w14:textId="77777777" w:rsidR="008E03F4" w:rsidRPr="008E03F4" w:rsidRDefault="008E03F4" w:rsidP="008E03F4">
            <w:pPr>
              <w:spacing w:before="40" w:after="120"/>
              <w:ind w:right="113"/>
            </w:pPr>
            <w:r w:rsidRPr="008E03F4">
              <w:t>Bakari Sidiki</w:t>
            </w:r>
            <w:r w:rsidRPr="008E03F4" w:rsidDel="00A37F52">
              <w:t xml:space="preserve"> </w:t>
            </w:r>
            <w:r w:rsidRPr="008E03F4">
              <w:rPr>
                <w:b/>
              </w:rPr>
              <w:t>Diaby</w:t>
            </w:r>
            <w:r w:rsidRPr="008E03F4">
              <w:t xml:space="preserve"> </w:t>
            </w:r>
          </w:p>
        </w:tc>
        <w:tc>
          <w:tcPr>
            <w:tcW w:w="2268" w:type="dxa"/>
            <w:shd w:val="clear" w:color="auto" w:fill="auto"/>
          </w:tcPr>
          <w:p w14:paraId="4F464B1E" w14:textId="77777777" w:rsidR="008E03F4" w:rsidRPr="008E03F4" w:rsidRDefault="008E03F4" w:rsidP="008E03F4">
            <w:pPr>
              <w:spacing w:before="40" w:after="120"/>
              <w:ind w:right="113"/>
            </w:pPr>
            <w:r w:rsidRPr="008E03F4">
              <w:t xml:space="preserve">Côte d’Ivoire </w:t>
            </w:r>
          </w:p>
        </w:tc>
        <w:tc>
          <w:tcPr>
            <w:tcW w:w="1983" w:type="dxa"/>
            <w:shd w:val="clear" w:color="auto" w:fill="auto"/>
          </w:tcPr>
          <w:p w14:paraId="56BC921E" w14:textId="77777777" w:rsidR="008E03F4" w:rsidRPr="008E03F4" w:rsidRDefault="008E03F4" w:rsidP="008E03F4">
            <w:pPr>
              <w:spacing w:before="40" w:after="120"/>
              <w:ind w:right="113"/>
            </w:pPr>
            <w:r w:rsidRPr="008E03F4">
              <w:t xml:space="preserve">2022 </w:t>
            </w:r>
          </w:p>
        </w:tc>
      </w:tr>
      <w:tr w:rsidR="008E03F4" w:rsidRPr="008E03F4" w14:paraId="12E3A0FF" w14:textId="77777777" w:rsidTr="008E03F4">
        <w:trPr>
          <w:cantSplit/>
        </w:trPr>
        <w:tc>
          <w:tcPr>
            <w:tcW w:w="3119" w:type="dxa"/>
            <w:shd w:val="clear" w:color="auto" w:fill="auto"/>
          </w:tcPr>
          <w:p w14:paraId="44503378" w14:textId="77777777" w:rsidR="008E03F4" w:rsidRPr="008E03F4" w:rsidRDefault="008E03F4" w:rsidP="008E03F4">
            <w:pPr>
              <w:spacing w:before="40" w:after="120"/>
              <w:ind w:right="113"/>
            </w:pPr>
            <w:r w:rsidRPr="008E03F4">
              <w:t xml:space="preserve">Rita </w:t>
            </w:r>
            <w:r w:rsidRPr="008E03F4">
              <w:rPr>
                <w:b/>
              </w:rPr>
              <w:t>Izsák-Ndiaye</w:t>
            </w:r>
            <w:r w:rsidRPr="008E03F4">
              <w:t xml:space="preserve"> </w:t>
            </w:r>
          </w:p>
        </w:tc>
        <w:tc>
          <w:tcPr>
            <w:tcW w:w="2268" w:type="dxa"/>
            <w:shd w:val="clear" w:color="auto" w:fill="auto"/>
          </w:tcPr>
          <w:p w14:paraId="53D35B15" w14:textId="77777777" w:rsidR="008E03F4" w:rsidRPr="008E03F4" w:rsidRDefault="008E03F4" w:rsidP="008E03F4">
            <w:pPr>
              <w:spacing w:before="40" w:after="120"/>
              <w:ind w:right="113"/>
            </w:pPr>
            <w:r w:rsidRPr="008E03F4">
              <w:t xml:space="preserve">Hongrie </w:t>
            </w:r>
          </w:p>
        </w:tc>
        <w:tc>
          <w:tcPr>
            <w:tcW w:w="1983" w:type="dxa"/>
            <w:shd w:val="clear" w:color="auto" w:fill="auto"/>
          </w:tcPr>
          <w:p w14:paraId="6E5A2252" w14:textId="77777777" w:rsidR="008E03F4" w:rsidRPr="008E03F4" w:rsidRDefault="008E03F4" w:rsidP="008E03F4">
            <w:pPr>
              <w:spacing w:before="40" w:after="120"/>
              <w:ind w:right="113"/>
            </w:pPr>
            <w:r w:rsidRPr="008E03F4">
              <w:t xml:space="preserve">2022 </w:t>
            </w:r>
          </w:p>
        </w:tc>
      </w:tr>
      <w:tr w:rsidR="008E03F4" w:rsidRPr="008E03F4" w14:paraId="6C130C81" w14:textId="77777777" w:rsidTr="008E03F4">
        <w:trPr>
          <w:cantSplit/>
        </w:trPr>
        <w:tc>
          <w:tcPr>
            <w:tcW w:w="3119" w:type="dxa"/>
            <w:shd w:val="clear" w:color="auto" w:fill="auto"/>
          </w:tcPr>
          <w:p w14:paraId="41A41E32" w14:textId="77777777" w:rsidR="008E03F4" w:rsidRPr="008E03F4" w:rsidRDefault="008E03F4" w:rsidP="008E03F4">
            <w:pPr>
              <w:spacing w:before="40" w:after="120"/>
              <w:ind w:right="113"/>
            </w:pPr>
            <w:r w:rsidRPr="008E03F4">
              <w:t xml:space="preserve">Keiko </w:t>
            </w:r>
            <w:r w:rsidRPr="008E03F4">
              <w:rPr>
                <w:b/>
              </w:rPr>
              <w:t>Ko</w:t>
            </w:r>
            <w:r w:rsidRPr="008E03F4">
              <w:t xml:space="preserve"> </w:t>
            </w:r>
          </w:p>
        </w:tc>
        <w:tc>
          <w:tcPr>
            <w:tcW w:w="2268" w:type="dxa"/>
            <w:shd w:val="clear" w:color="auto" w:fill="auto"/>
          </w:tcPr>
          <w:p w14:paraId="5027298C" w14:textId="77777777" w:rsidR="008E03F4" w:rsidRPr="008E03F4" w:rsidRDefault="008E03F4" w:rsidP="008E03F4">
            <w:pPr>
              <w:spacing w:before="40" w:after="120"/>
              <w:ind w:right="113"/>
            </w:pPr>
            <w:r w:rsidRPr="008E03F4">
              <w:t xml:space="preserve">Japon </w:t>
            </w:r>
          </w:p>
        </w:tc>
        <w:tc>
          <w:tcPr>
            <w:tcW w:w="1983" w:type="dxa"/>
            <w:shd w:val="clear" w:color="auto" w:fill="auto"/>
          </w:tcPr>
          <w:p w14:paraId="0971C158" w14:textId="77777777" w:rsidR="008E03F4" w:rsidRPr="008E03F4" w:rsidRDefault="008E03F4" w:rsidP="008E03F4">
            <w:pPr>
              <w:spacing w:before="40" w:after="120"/>
              <w:ind w:right="113"/>
            </w:pPr>
            <w:r w:rsidRPr="008E03F4">
              <w:t xml:space="preserve">2022 </w:t>
            </w:r>
          </w:p>
        </w:tc>
      </w:tr>
      <w:tr w:rsidR="008E03F4" w:rsidRPr="008E03F4" w14:paraId="11B36612" w14:textId="77777777" w:rsidTr="008E03F4">
        <w:trPr>
          <w:cantSplit/>
        </w:trPr>
        <w:tc>
          <w:tcPr>
            <w:tcW w:w="3119" w:type="dxa"/>
            <w:shd w:val="clear" w:color="auto" w:fill="auto"/>
          </w:tcPr>
          <w:p w14:paraId="31D3B244" w14:textId="77777777" w:rsidR="008E03F4" w:rsidRPr="008E03F4" w:rsidRDefault="008E03F4" w:rsidP="008E03F4">
            <w:pPr>
              <w:spacing w:before="40" w:after="120"/>
              <w:ind w:right="113"/>
            </w:pPr>
            <w:r w:rsidRPr="008E03F4">
              <w:t xml:space="preserve">Gun </w:t>
            </w:r>
            <w:r w:rsidRPr="008E03F4">
              <w:rPr>
                <w:b/>
              </w:rPr>
              <w:t>Kut</w:t>
            </w:r>
          </w:p>
        </w:tc>
        <w:tc>
          <w:tcPr>
            <w:tcW w:w="2268" w:type="dxa"/>
            <w:shd w:val="clear" w:color="auto" w:fill="auto"/>
          </w:tcPr>
          <w:p w14:paraId="216AA8DB" w14:textId="77777777" w:rsidR="008E03F4" w:rsidRPr="008E03F4" w:rsidRDefault="008E03F4" w:rsidP="008E03F4">
            <w:pPr>
              <w:spacing w:before="40" w:after="120"/>
              <w:ind w:right="113"/>
            </w:pPr>
            <w:r w:rsidRPr="008E03F4">
              <w:t>Turquie</w:t>
            </w:r>
          </w:p>
        </w:tc>
        <w:tc>
          <w:tcPr>
            <w:tcW w:w="1983" w:type="dxa"/>
            <w:shd w:val="clear" w:color="auto" w:fill="auto"/>
          </w:tcPr>
          <w:p w14:paraId="13DC9E59" w14:textId="77777777" w:rsidR="008E03F4" w:rsidRPr="008E03F4" w:rsidRDefault="008E03F4" w:rsidP="008E03F4">
            <w:pPr>
              <w:spacing w:before="40" w:after="120"/>
              <w:ind w:right="113"/>
            </w:pPr>
            <w:r w:rsidRPr="008E03F4">
              <w:t>2022</w:t>
            </w:r>
          </w:p>
        </w:tc>
      </w:tr>
      <w:tr w:rsidR="008E03F4" w:rsidRPr="008E03F4" w14:paraId="318181BA" w14:textId="77777777" w:rsidTr="008E03F4">
        <w:trPr>
          <w:cantSplit/>
        </w:trPr>
        <w:tc>
          <w:tcPr>
            <w:tcW w:w="3119" w:type="dxa"/>
            <w:shd w:val="clear" w:color="auto" w:fill="auto"/>
          </w:tcPr>
          <w:p w14:paraId="2A5F7AAF" w14:textId="77777777" w:rsidR="008E03F4" w:rsidRPr="008E03F4" w:rsidRDefault="008E03F4" w:rsidP="008E03F4">
            <w:pPr>
              <w:spacing w:before="40" w:after="120"/>
              <w:ind w:right="113"/>
              <w:rPr>
                <w:b/>
                <w:lang w:val="fr-FR"/>
              </w:rPr>
            </w:pPr>
            <w:r w:rsidRPr="008E03F4">
              <w:t xml:space="preserve">Yanduan </w:t>
            </w:r>
            <w:r w:rsidRPr="008E03F4">
              <w:rPr>
                <w:b/>
              </w:rPr>
              <w:t>Li</w:t>
            </w:r>
            <w:r w:rsidRPr="008E03F4">
              <w:t xml:space="preserve"> </w:t>
            </w:r>
          </w:p>
        </w:tc>
        <w:tc>
          <w:tcPr>
            <w:tcW w:w="2268" w:type="dxa"/>
            <w:shd w:val="clear" w:color="auto" w:fill="auto"/>
          </w:tcPr>
          <w:p w14:paraId="2BF2639E" w14:textId="77777777" w:rsidR="008E03F4" w:rsidRPr="008E03F4" w:rsidRDefault="008E03F4" w:rsidP="008E03F4">
            <w:pPr>
              <w:spacing w:before="40" w:after="120"/>
              <w:ind w:right="113"/>
              <w:rPr>
                <w:lang w:val="fr-FR"/>
              </w:rPr>
            </w:pPr>
            <w:r w:rsidRPr="008E03F4">
              <w:t xml:space="preserve">Chine </w:t>
            </w:r>
          </w:p>
        </w:tc>
        <w:tc>
          <w:tcPr>
            <w:tcW w:w="1983" w:type="dxa"/>
            <w:shd w:val="clear" w:color="auto" w:fill="auto"/>
          </w:tcPr>
          <w:p w14:paraId="0CE46849" w14:textId="77777777" w:rsidR="008E03F4" w:rsidRPr="008E03F4" w:rsidRDefault="008E03F4" w:rsidP="008E03F4">
            <w:pPr>
              <w:spacing w:before="40" w:after="120"/>
              <w:ind w:right="113"/>
            </w:pPr>
            <w:r w:rsidRPr="008E03F4">
              <w:t xml:space="preserve">2020 </w:t>
            </w:r>
          </w:p>
        </w:tc>
      </w:tr>
      <w:tr w:rsidR="008E03F4" w:rsidRPr="008E03F4" w:rsidDel="00785636" w14:paraId="07050BE5" w14:textId="77777777" w:rsidTr="008E03F4">
        <w:trPr>
          <w:cantSplit/>
        </w:trPr>
        <w:tc>
          <w:tcPr>
            <w:tcW w:w="3119" w:type="dxa"/>
            <w:shd w:val="clear" w:color="auto" w:fill="auto"/>
          </w:tcPr>
          <w:p w14:paraId="505A81CE" w14:textId="77777777" w:rsidR="008E03F4" w:rsidRPr="008E03F4" w:rsidDel="00785636" w:rsidRDefault="008E03F4" w:rsidP="008E03F4">
            <w:pPr>
              <w:spacing w:before="40" w:after="120"/>
              <w:ind w:right="113"/>
            </w:pPr>
            <w:r w:rsidRPr="008E03F4">
              <w:t xml:space="preserve">Nicolás </w:t>
            </w:r>
            <w:r w:rsidRPr="008E03F4">
              <w:rPr>
                <w:b/>
              </w:rPr>
              <w:t>Marugán</w:t>
            </w:r>
          </w:p>
        </w:tc>
        <w:tc>
          <w:tcPr>
            <w:tcW w:w="2268" w:type="dxa"/>
            <w:shd w:val="clear" w:color="auto" w:fill="auto"/>
          </w:tcPr>
          <w:p w14:paraId="3B328F62" w14:textId="77777777" w:rsidR="008E03F4" w:rsidRPr="008E03F4" w:rsidDel="00785636" w:rsidRDefault="008E03F4" w:rsidP="008E03F4">
            <w:pPr>
              <w:spacing w:before="40" w:after="120"/>
              <w:ind w:right="113"/>
            </w:pPr>
            <w:r w:rsidRPr="008E03F4">
              <w:t>Espagne</w:t>
            </w:r>
          </w:p>
        </w:tc>
        <w:tc>
          <w:tcPr>
            <w:tcW w:w="1983" w:type="dxa"/>
            <w:shd w:val="clear" w:color="auto" w:fill="auto"/>
          </w:tcPr>
          <w:p w14:paraId="1DB36A63" w14:textId="77777777" w:rsidR="008E03F4" w:rsidRPr="008E03F4" w:rsidDel="00785636" w:rsidRDefault="008E03F4" w:rsidP="008E03F4">
            <w:pPr>
              <w:spacing w:before="40" w:after="120"/>
              <w:ind w:right="113"/>
            </w:pPr>
            <w:r w:rsidRPr="008E03F4">
              <w:t>2020</w:t>
            </w:r>
          </w:p>
        </w:tc>
      </w:tr>
      <w:tr w:rsidR="008E03F4" w:rsidRPr="008E03F4" w14:paraId="4972292A" w14:textId="77777777" w:rsidTr="008E03F4">
        <w:trPr>
          <w:cantSplit/>
        </w:trPr>
        <w:tc>
          <w:tcPr>
            <w:tcW w:w="3119" w:type="dxa"/>
            <w:shd w:val="clear" w:color="auto" w:fill="auto"/>
          </w:tcPr>
          <w:p w14:paraId="67A5FEF2" w14:textId="77777777" w:rsidR="008E03F4" w:rsidRPr="008E03F4" w:rsidRDefault="008E03F4" w:rsidP="008E03F4">
            <w:pPr>
              <w:spacing w:before="40" w:after="120"/>
              <w:ind w:right="113"/>
            </w:pPr>
            <w:r w:rsidRPr="008E03F4">
              <w:t xml:space="preserve">Gay </w:t>
            </w:r>
            <w:r w:rsidRPr="008E03F4">
              <w:rPr>
                <w:b/>
              </w:rPr>
              <w:t>McDougall</w:t>
            </w:r>
          </w:p>
        </w:tc>
        <w:tc>
          <w:tcPr>
            <w:tcW w:w="2268" w:type="dxa"/>
            <w:shd w:val="clear" w:color="auto" w:fill="auto"/>
          </w:tcPr>
          <w:p w14:paraId="663270F0" w14:textId="77777777" w:rsidR="008E03F4" w:rsidRPr="008E03F4" w:rsidRDefault="008E03F4" w:rsidP="008E03F4">
            <w:pPr>
              <w:spacing w:before="40" w:after="120"/>
              <w:ind w:right="113"/>
            </w:pPr>
            <w:r w:rsidRPr="008E03F4">
              <w:rPr>
                <w:rFonts w:eastAsia="MS Mincho"/>
              </w:rPr>
              <w:t>États</w:t>
            </w:r>
            <w:r w:rsidRPr="008E03F4">
              <w:rPr>
                <w:rFonts w:eastAsia="MS Mincho"/>
              </w:rPr>
              <w:noBreakHyphen/>
              <w:t>Unis d’Amérique</w:t>
            </w:r>
          </w:p>
        </w:tc>
        <w:tc>
          <w:tcPr>
            <w:tcW w:w="1983" w:type="dxa"/>
            <w:shd w:val="clear" w:color="auto" w:fill="auto"/>
          </w:tcPr>
          <w:p w14:paraId="38239E06" w14:textId="77777777" w:rsidR="008E03F4" w:rsidRPr="008E03F4" w:rsidRDefault="008E03F4" w:rsidP="008E03F4">
            <w:pPr>
              <w:spacing w:before="40" w:after="120"/>
              <w:ind w:right="113"/>
            </w:pPr>
            <w:r w:rsidRPr="008E03F4">
              <w:t>2020</w:t>
            </w:r>
          </w:p>
        </w:tc>
      </w:tr>
      <w:tr w:rsidR="008E03F4" w:rsidRPr="008E03F4" w14:paraId="5554B147" w14:textId="77777777" w:rsidTr="008E03F4">
        <w:trPr>
          <w:cantSplit/>
        </w:trPr>
        <w:tc>
          <w:tcPr>
            <w:tcW w:w="3119" w:type="dxa"/>
            <w:shd w:val="clear" w:color="auto" w:fill="auto"/>
          </w:tcPr>
          <w:p w14:paraId="3BA21A0F" w14:textId="77777777" w:rsidR="008E03F4" w:rsidRPr="008E03F4" w:rsidRDefault="008E03F4" w:rsidP="008E03F4">
            <w:pPr>
              <w:spacing w:before="40" w:after="120"/>
              <w:ind w:right="113"/>
            </w:pPr>
            <w:r w:rsidRPr="008E03F4">
              <w:t xml:space="preserve">Yemhelhe Mint </w:t>
            </w:r>
            <w:r w:rsidRPr="008E03F4">
              <w:rPr>
                <w:b/>
              </w:rPr>
              <w:t>Mohamed</w:t>
            </w:r>
          </w:p>
        </w:tc>
        <w:tc>
          <w:tcPr>
            <w:tcW w:w="2268" w:type="dxa"/>
            <w:shd w:val="clear" w:color="auto" w:fill="auto"/>
          </w:tcPr>
          <w:p w14:paraId="54CE7735" w14:textId="77777777" w:rsidR="008E03F4" w:rsidRPr="008E03F4" w:rsidRDefault="008E03F4" w:rsidP="008E03F4">
            <w:pPr>
              <w:spacing w:before="40" w:after="120"/>
              <w:ind w:right="113"/>
            </w:pPr>
            <w:r w:rsidRPr="008E03F4">
              <w:t>Mauritanie</w:t>
            </w:r>
          </w:p>
        </w:tc>
        <w:tc>
          <w:tcPr>
            <w:tcW w:w="1983" w:type="dxa"/>
            <w:shd w:val="clear" w:color="auto" w:fill="auto"/>
          </w:tcPr>
          <w:p w14:paraId="0FC00A38" w14:textId="77777777" w:rsidR="008E03F4" w:rsidRPr="008E03F4" w:rsidRDefault="008E03F4" w:rsidP="008E03F4">
            <w:pPr>
              <w:spacing w:before="40" w:after="120"/>
              <w:ind w:right="113"/>
            </w:pPr>
            <w:r w:rsidRPr="008E03F4">
              <w:t>2020</w:t>
            </w:r>
          </w:p>
        </w:tc>
      </w:tr>
      <w:tr w:rsidR="008E03F4" w:rsidRPr="008E03F4" w14:paraId="40E39914" w14:textId="77777777" w:rsidTr="008E03F4">
        <w:trPr>
          <w:cantSplit/>
        </w:trPr>
        <w:tc>
          <w:tcPr>
            <w:tcW w:w="3119" w:type="dxa"/>
            <w:shd w:val="clear" w:color="auto" w:fill="auto"/>
          </w:tcPr>
          <w:p w14:paraId="2D21CDB5" w14:textId="77777777" w:rsidR="008E03F4" w:rsidRPr="008E03F4" w:rsidRDefault="008E03F4" w:rsidP="008E03F4">
            <w:pPr>
              <w:spacing w:before="40" w:after="120"/>
              <w:ind w:right="113"/>
            </w:pPr>
            <w:r w:rsidRPr="008E03F4">
              <w:t xml:space="preserve">Pastor Elias </w:t>
            </w:r>
            <w:r w:rsidRPr="008E03F4">
              <w:rPr>
                <w:b/>
              </w:rPr>
              <w:t>Murillo Martínez</w:t>
            </w:r>
          </w:p>
        </w:tc>
        <w:tc>
          <w:tcPr>
            <w:tcW w:w="2268" w:type="dxa"/>
            <w:shd w:val="clear" w:color="auto" w:fill="auto"/>
          </w:tcPr>
          <w:p w14:paraId="04DD553A" w14:textId="77777777" w:rsidR="008E03F4" w:rsidRPr="008E03F4" w:rsidRDefault="008E03F4" w:rsidP="008E03F4">
            <w:pPr>
              <w:spacing w:before="40" w:after="120"/>
              <w:ind w:right="113"/>
            </w:pPr>
            <w:r w:rsidRPr="008E03F4">
              <w:t>Colombie</w:t>
            </w:r>
          </w:p>
        </w:tc>
        <w:tc>
          <w:tcPr>
            <w:tcW w:w="1983" w:type="dxa"/>
            <w:shd w:val="clear" w:color="auto" w:fill="auto"/>
          </w:tcPr>
          <w:p w14:paraId="3A1B3596" w14:textId="77777777" w:rsidR="008E03F4" w:rsidRPr="008E03F4" w:rsidRDefault="008E03F4" w:rsidP="008E03F4">
            <w:pPr>
              <w:spacing w:before="40" w:after="120"/>
              <w:ind w:right="113"/>
            </w:pPr>
            <w:r w:rsidRPr="008E03F4">
              <w:t>2020</w:t>
            </w:r>
          </w:p>
        </w:tc>
      </w:tr>
      <w:tr w:rsidR="008E03F4" w:rsidRPr="008E03F4" w14:paraId="43C35C7D" w14:textId="77777777" w:rsidTr="008E03F4">
        <w:trPr>
          <w:cantSplit/>
        </w:trPr>
        <w:tc>
          <w:tcPr>
            <w:tcW w:w="3119" w:type="dxa"/>
            <w:shd w:val="clear" w:color="auto" w:fill="auto"/>
          </w:tcPr>
          <w:p w14:paraId="76746915" w14:textId="77777777" w:rsidR="008E03F4" w:rsidRPr="008E03F4" w:rsidRDefault="008E03F4" w:rsidP="008E03F4">
            <w:pPr>
              <w:spacing w:before="40" w:after="120"/>
              <w:ind w:right="113"/>
            </w:pPr>
            <w:r w:rsidRPr="008E03F4">
              <w:t xml:space="preserve">Verene Albertha </w:t>
            </w:r>
            <w:r w:rsidRPr="008E03F4">
              <w:rPr>
                <w:b/>
              </w:rPr>
              <w:t>Shepherd</w:t>
            </w:r>
          </w:p>
        </w:tc>
        <w:tc>
          <w:tcPr>
            <w:tcW w:w="2268" w:type="dxa"/>
            <w:shd w:val="clear" w:color="auto" w:fill="auto"/>
          </w:tcPr>
          <w:p w14:paraId="6AF03C25" w14:textId="77777777" w:rsidR="008E03F4" w:rsidRPr="008E03F4" w:rsidRDefault="008E03F4" w:rsidP="008E03F4">
            <w:pPr>
              <w:spacing w:before="40" w:after="120"/>
              <w:ind w:right="113"/>
            </w:pPr>
            <w:r w:rsidRPr="008E03F4">
              <w:t>Jamaïque</w:t>
            </w:r>
          </w:p>
        </w:tc>
        <w:tc>
          <w:tcPr>
            <w:tcW w:w="1983" w:type="dxa"/>
            <w:shd w:val="clear" w:color="auto" w:fill="auto"/>
          </w:tcPr>
          <w:p w14:paraId="1D40387A" w14:textId="77777777" w:rsidR="008E03F4" w:rsidRPr="008E03F4" w:rsidRDefault="008E03F4" w:rsidP="008E03F4">
            <w:pPr>
              <w:spacing w:before="40" w:after="120"/>
              <w:ind w:right="113"/>
            </w:pPr>
            <w:r w:rsidRPr="008E03F4">
              <w:t>2020</w:t>
            </w:r>
          </w:p>
        </w:tc>
      </w:tr>
      <w:tr w:rsidR="008E03F4" w:rsidRPr="008E03F4" w14:paraId="09E4630D" w14:textId="77777777" w:rsidTr="008E03F4">
        <w:trPr>
          <w:cantSplit/>
        </w:trPr>
        <w:tc>
          <w:tcPr>
            <w:tcW w:w="3119" w:type="dxa"/>
            <w:tcBorders>
              <w:bottom w:val="single" w:sz="12" w:space="0" w:color="auto"/>
            </w:tcBorders>
            <w:shd w:val="clear" w:color="auto" w:fill="auto"/>
          </w:tcPr>
          <w:p w14:paraId="38BFFBC8" w14:textId="77777777" w:rsidR="008E03F4" w:rsidRPr="008E03F4" w:rsidDel="00785636" w:rsidRDefault="008E03F4" w:rsidP="008E03F4">
            <w:pPr>
              <w:spacing w:before="40" w:after="120"/>
              <w:ind w:right="113"/>
              <w:rPr>
                <w:lang w:val="en-US"/>
              </w:rPr>
            </w:pPr>
            <w:r w:rsidRPr="008E03F4">
              <w:rPr>
                <w:lang w:val="en-US"/>
              </w:rPr>
              <w:t xml:space="preserve">Yeung Kam John </w:t>
            </w:r>
            <w:r w:rsidRPr="008E03F4">
              <w:rPr>
                <w:b/>
                <w:lang w:val="en-US"/>
              </w:rPr>
              <w:t>Yeung Sik Yuen</w:t>
            </w:r>
          </w:p>
        </w:tc>
        <w:tc>
          <w:tcPr>
            <w:tcW w:w="2268" w:type="dxa"/>
            <w:tcBorders>
              <w:bottom w:val="single" w:sz="12" w:space="0" w:color="auto"/>
            </w:tcBorders>
            <w:shd w:val="clear" w:color="auto" w:fill="auto"/>
          </w:tcPr>
          <w:p w14:paraId="382AEF5D" w14:textId="77777777" w:rsidR="008E03F4" w:rsidRPr="008E03F4" w:rsidDel="00785636" w:rsidRDefault="008E03F4" w:rsidP="008E03F4">
            <w:pPr>
              <w:spacing w:before="40" w:after="120"/>
              <w:ind w:right="113"/>
            </w:pPr>
            <w:r w:rsidRPr="008E03F4">
              <w:t>Maurice</w:t>
            </w:r>
          </w:p>
        </w:tc>
        <w:tc>
          <w:tcPr>
            <w:tcW w:w="1983" w:type="dxa"/>
            <w:tcBorders>
              <w:bottom w:val="single" w:sz="12" w:space="0" w:color="auto"/>
            </w:tcBorders>
            <w:shd w:val="clear" w:color="auto" w:fill="auto"/>
          </w:tcPr>
          <w:p w14:paraId="622D961B" w14:textId="77777777" w:rsidR="008E03F4" w:rsidRPr="008E03F4" w:rsidDel="00785636" w:rsidRDefault="008E03F4" w:rsidP="008E03F4">
            <w:pPr>
              <w:spacing w:before="40" w:after="120"/>
              <w:ind w:right="113"/>
            </w:pPr>
            <w:r w:rsidRPr="008E03F4">
              <w:t>2022</w:t>
            </w:r>
          </w:p>
        </w:tc>
      </w:tr>
    </w:tbl>
    <w:p w14:paraId="19B8AA04" w14:textId="10D8B380" w:rsidR="008E03F4" w:rsidRPr="001E32CA" w:rsidRDefault="008E03F4" w:rsidP="002F3A04">
      <w:pPr>
        <w:pStyle w:val="SingleTxtG"/>
        <w:spacing w:before="240"/>
        <w:rPr>
          <w:spacing w:val="-2"/>
          <w:lang w:val="fr-FR"/>
        </w:rPr>
      </w:pPr>
      <w:r w:rsidRPr="008E03F4">
        <w:rPr>
          <w:lang w:val="fr-FR"/>
        </w:rPr>
        <w:t>8</w:t>
      </w:r>
      <w:r w:rsidR="006A19EC" w:rsidRPr="006A19EC">
        <w:rPr>
          <w:lang w:val="fr-FR"/>
        </w:rPr>
        <w:t>.</w:t>
      </w:r>
      <w:r w:rsidR="002F3A04">
        <w:rPr>
          <w:lang w:val="fr-FR"/>
        </w:rPr>
        <w:tab/>
      </w:r>
      <w:r w:rsidRPr="001E32CA">
        <w:rPr>
          <w:spacing w:val="-2"/>
        </w:rPr>
        <w:t>Dans une lettre datée du 3 février 2019, M</w:t>
      </w:r>
      <w:r w:rsidR="006A19EC" w:rsidRPr="006A19EC">
        <w:rPr>
          <w:spacing w:val="-2"/>
        </w:rPr>
        <w:t>.</w:t>
      </w:r>
      <w:r w:rsidRPr="001E32CA">
        <w:rPr>
          <w:spacing w:val="-2"/>
        </w:rPr>
        <w:t xml:space="preserve"> Marugán a informé le Comité de sa décision de démissionner de ses fonctions de membre du Comité</w:t>
      </w:r>
      <w:r w:rsidR="006A19EC" w:rsidRPr="006A19EC">
        <w:rPr>
          <w:spacing w:val="-2"/>
          <w:lang w:val="fr-FR"/>
        </w:rPr>
        <w:t>.</w:t>
      </w:r>
      <w:r w:rsidRPr="001E32CA">
        <w:rPr>
          <w:spacing w:val="-2"/>
          <w:lang w:val="fr-FR"/>
        </w:rPr>
        <w:t xml:space="preserve"> </w:t>
      </w:r>
      <w:r w:rsidRPr="001E32CA">
        <w:rPr>
          <w:spacing w:val="-2"/>
        </w:rPr>
        <w:t>Dans une lettre datée du 8</w:t>
      </w:r>
      <w:r w:rsidR="001E32CA" w:rsidRPr="001E32CA">
        <w:rPr>
          <w:spacing w:val="-2"/>
        </w:rPr>
        <w:t> </w:t>
      </w:r>
      <w:r w:rsidRPr="001E32CA">
        <w:rPr>
          <w:spacing w:val="-2"/>
        </w:rPr>
        <w:t>avril 2019, le Gouvernement espagnol a nommé María Teresa Verdugo Moreno pour la durée du mandat de M</w:t>
      </w:r>
      <w:r w:rsidR="006A19EC" w:rsidRPr="006A19EC">
        <w:rPr>
          <w:spacing w:val="-2"/>
        </w:rPr>
        <w:t>.</w:t>
      </w:r>
      <w:r w:rsidRPr="001E32CA">
        <w:rPr>
          <w:spacing w:val="-2"/>
        </w:rPr>
        <w:t xml:space="preserve"> Marugán restant à courir, soit jusqu’au 19 janvier 2020</w:t>
      </w:r>
      <w:r w:rsidR="006A19EC" w:rsidRPr="006A19EC">
        <w:rPr>
          <w:spacing w:val="-2"/>
        </w:rPr>
        <w:t>.</w:t>
      </w:r>
      <w:r w:rsidRPr="001E32CA">
        <w:rPr>
          <w:spacing w:val="-2"/>
        </w:rPr>
        <w:t xml:space="preserve"> M</w:t>
      </w:r>
      <w:r w:rsidRPr="001E32CA">
        <w:rPr>
          <w:spacing w:val="-2"/>
          <w:vertAlign w:val="superscript"/>
        </w:rPr>
        <w:t>me</w:t>
      </w:r>
      <w:r w:rsidRPr="001E32CA">
        <w:rPr>
          <w:spacing w:val="-2"/>
        </w:rPr>
        <w:t xml:space="preserve"> Verdugo Moreno a fait sa déclaration solennelle à la quatre-vingt-dix-huitième session du Comité</w:t>
      </w:r>
      <w:r w:rsidR="006A19EC" w:rsidRPr="006A19EC">
        <w:rPr>
          <w:spacing w:val="-2"/>
        </w:rPr>
        <w:t>.</w:t>
      </w:r>
      <w:r w:rsidRPr="001E32CA">
        <w:rPr>
          <w:spacing w:val="-2"/>
          <w:lang w:val="fr-FR"/>
        </w:rPr>
        <w:t xml:space="preserve"> </w:t>
      </w:r>
    </w:p>
    <w:p w14:paraId="5C5F0915" w14:textId="75C041BF" w:rsidR="008E03F4" w:rsidRPr="008E03F4" w:rsidRDefault="008E03F4" w:rsidP="006911E2">
      <w:pPr>
        <w:pStyle w:val="H1G"/>
      </w:pPr>
      <w:r w:rsidRPr="008E03F4">
        <w:rPr>
          <w:lang w:val="fr-FR"/>
        </w:rPr>
        <w:tab/>
        <w:t>D</w:t>
      </w:r>
      <w:r w:rsidR="006A19EC" w:rsidRPr="006A19EC">
        <w:rPr>
          <w:lang w:val="fr-FR"/>
        </w:rPr>
        <w:t>.</w:t>
      </w:r>
      <w:r w:rsidRPr="008E03F4">
        <w:rPr>
          <w:lang w:val="fr-FR"/>
        </w:rPr>
        <w:tab/>
        <w:t>Bureau du Comité</w:t>
      </w:r>
      <w:bookmarkStart w:id="6" w:name="_Toc428794280"/>
      <w:bookmarkEnd w:id="6"/>
    </w:p>
    <w:p w14:paraId="44EC5C38" w14:textId="0850CFAD" w:rsidR="008E03F4" w:rsidRPr="008E03F4" w:rsidRDefault="008E03F4" w:rsidP="008E03F4">
      <w:pPr>
        <w:pStyle w:val="SingleTxtG"/>
      </w:pPr>
      <w:r w:rsidRPr="008E03F4">
        <w:rPr>
          <w:lang w:val="fr-FR"/>
        </w:rPr>
        <w:t>9</w:t>
      </w:r>
      <w:r w:rsidR="006A19EC" w:rsidRPr="006A19EC">
        <w:rPr>
          <w:lang w:val="fr-FR"/>
        </w:rPr>
        <w:t>.</w:t>
      </w:r>
      <w:r w:rsidRPr="008E03F4">
        <w:rPr>
          <w:lang w:val="fr-FR"/>
        </w:rPr>
        <w:tab/>
      </w:r>
      <w:r w:rsidRPr="008E03F4">
        <w:t>Pour la période considérée, le Bureau du Comité était composé des membres suivants, élus pour un mandat de deux ans (2018-2020)</w:t>
      </w:r>
      <w:r w:rsidR="001E32CA">
        <w:t> </w:t>
      </w:r>
      <w:r w:rsidRPr="008E03F4">
        <w:rPr>
          <w:lang w:val="fr-FR"/>
        </w:rPr>
        <w:t>:</w:t>
      </w:r>
    </w:p>
    <w:p w14:paraId="3A9AB845" w14:textId="77777777" w:rsidR="008E03F4" w:rsidRPr="008E03F4" w:rsidRDefault="008E03F4" w:rsidP="006911E2">
      <w:pPr>
        <w:pStyle w:val="SingleTxtG"/>
        <w:ind w:left="3402" w:hanging="2268"/>
      </w:pPr>
      <w:r w:rsidRPr="008E03F4">
        <w:rPr>
          <w:i/>
          <w:lang w:val="fr-FR"/>
        </w:rPr>
        <w:t>Président</w:t>
      </w:r>
      <w:r w:rsidRPr="008E03F4">
        <w:rPr>
          <w:lang w:val="fr-FR"/>
        </w:rPr>
        <w:t> :</w:t>
      </w:r>
      <w:r w:rsidRPr="008E03F4">
        <w:rPr>
          <w:lang w:val="fr-FR"/>
        </w:rPr>
        <w:tab/>
        <w:t>Nourredine Amir</w:t>
      </w:r>
    </w:p>
    <w:p w14:paraId="5C9C066E" w14:textId="77777777" w:rsidR="008E03F4" w:rsidRPr="00124804" w:rsidRDefault="008E03F4" w:rsidP="006911E2">
      <w:pPr>
        <w:pStyle w:val="SingleTxtG"/>
        <w:ind w:left="3402" w:hanging="2268"/>
        <w:jc w:val="left"/>
      </w:pPr>
      <w:r w:rsidRPr="008E03F4">
        <w:rPr>
          <w:i/>
          <w:lang w:val="fr-FR"/>
        </w:rPr>
        <w:t>Vice-Présidents </w:t>
      </w:r>
      <w:r w:rsidRPr="008E03F4">
        <w:rPr>
          <w:lang w:val="fr-FR"/>
        </w:rPr>
        <w:t>:</w:t>
      </w:r>
      <w:r w:rsidRPr="008E03F4">
        <w:rPr>
          <w:lang w:val="fr-FR"/>
        </w:rPr>
        <w:tab/>
        <w:t>Gay McDougall</w:t>
      </w:r>
      <w:r w:rsidR="006911E2">
        <w:rPr>
          <w:lang w:val="fr-FR"/>
        </w:rPr>
        <w:t xml:space="preserve"> </w:t>
      </w:r>
      <w:r w:rsidR="006911E2">
        <w:rPr>
          <w:lang w:val="fr-FR"/>
        </w:rPr>
        <w:br/>
      </w:r>
      <w:r w:rsidRPr="008E03F4">
        <w:rPr>
          <w:lang w:val="fr-FR"/>
        </w:rPr>
        <w:tab/>
      </w:r>
      <w:r w:rsidRPr="008E03F4">
        <w:t>Yanduan Li</w:t>
      </w:r>
      <w:r w:rsidR="006911E2" w:rsidRPr="006911E2">
        <w:t xml:space="preserve"> </w:t>
      </w:r>
      <w:r w:rsidR="006911E2">
        <w:br/>
      </w:r>
      <w:r w:rsidRPr="008E03F4">
        <w:tab/>
      </w:r>
      <w:r w:rsidRPr="00124804">
        <w:t>Pastor Elias Murillo Martínez</w:t>
      </w:r>
    </w:p>
    <w:p w14:paraId="68AFA238" w14:textId="77777777" w:rsidR="008E03F4" w:rsidRPr="008E03F4" w:rsidRDefault="008E03F4" w:rsidP="006911E2">
      <w:pPr>
        <w:pStyle w:val="SingleTxtG"/>
        <w:ind w:left="3402" w:hanging="2268"/>
        <w:rPr>
          <w:lang w:val="fr-FR"/>
        </w:rPr>
      </w:pPr>
      <w:r w:rsidRPr="008E03F4">
        <w:rPr>
          <w:i/>
          <w:lang w:val="fr-FR"/>
        </w:rPr>
        <w:t>Rapporteuse </w:t>
      </w:r>
      <w:r w:rsidRPr="008E03F4">
        <w:rPr>
          <w:lang w:val="fr-FR"/>
        </w:rPr>
        <w:t>:</w:t>
      </w:r>
      <w:r w:rsidRPr="008E03F4">
        <w:rPr>
          <w:lang w:val="fr-FR"/>
        </w:rPr>
        <w:tab/>
      </w:r>
      <w:r w:rsidRPr="008E03F4">
        <w:t>Rita Izsák-Ndiaye</w:t>
      </w:r>
      <w:r w:rsidRPr="008E03F4">
        <w:rPr>
          <w:lang w:val="fr-FR"/>
        </w:rPr>
        <w:t xml:space="preserve"> </w:t>
      </w:r>
    </w:p>
    <w:p w14:paraId="34EF2CA4" w14:textId="572C518B" w:rsidR="008E03F4" w:rsidRPr="008E03F4" w:rsidRDefault="008E03F4" w:rsidP="006911E2">
      <w:pPr>
        <w:pStyle w:val="H1G"/>
      </w:pPr>
      <w:r w:rsidRPr="008E03F4">
        <w:rPr>
          <w:lang w:val="fr-FR"/>
        </w:rPr>
        <w:tab/>
        <w:t>E</w:t>
      </w:r>
      <w:r w:rsidR="006A19EC" w:rsidRPr="006A19EC">
        <w:rPr>
          <w:lang w:val="fr-FR"/>
        </w:rPr>
        <w:t>.</w:t>
      </w:r>
      <w:r w:rsidRPr="008E03F4">
        <w:rPr>
          <w:lang w:val="fr-FR"/>
        </w:rPr>
        <w:tab/>
        <w:t xml:space="preserve">Coopération avec l’Organisation internationale du Travail, </w:t>
      </w:r>
      <w:r w:rsidRPr="008E03F4">
        <w:rPr>
          <w:lang w:val="fr-FR"/>
        </w:rPr>
        <w:br/>
        <w:t>le Haut</w:t>
      </w:r>
      <w:r w:rsidRPr="008E03F4">
        <w:rPr>
          <w:lang w:val="fr-FR"/>
        </w:rPr>
        <w:noBreakHyphen/>
        <w:t xml:space="preserve">Commissariat des Nations Unies pour les réfugiés, l’Organisation des Nations Unies pour l’éducation, la science </w:t>
      </w:r>
      <w:r w:rsidRPr="008E03F4">
        <w:rPr>
          <w:lang w:val="fr-FR"/>
        </w:rPr>
        <w:br/>
        <w:t xml:space="preserve">et la culture, les procédures spéciales du Conseil des droits </w:t>
      </w:r>
      <w:r w:rsidRPr="008E03F4">
        <w:rPr>
          <w:lang w:val="fr-FR"/>
        </w:rPr>
        <w:br/>
        <w:t>de l’homme et les mécanismes régionaux des droits de l’homme</w:t>
      </w:r>
      <w:bookmarkStart w:id="7" w:name="_Toc428794281"/>
      <w:bookmarkEnd w:id="7"/>
    </w:p>
    <w:p w14:paraId="56905170" w14:textId="1B94B660" w:rsidR="008E03F4" w:rsidRPr="008E03F4" w:rsidRDefault="008E03F4" w:rsidP="008E03F4">
      <w:pPr>
        <w:pStyle w:val="SingleTxtG"/>
      </w:pPr>
      <w:r w:rsidRPr="008E03F4">
        <w:rPr>
          <w:lang w:val="fr-FR"/>
        </w:rPr>
        <w:t>10</w:t>
      </w:r>
      <w:r w:rsidR="006A19EC" w:rsidRPr="006A19EC">
        <w:rPr>
          <w:lang w:val="fr-FR"/>
        </w:rPr>
        <w:t>.</w:t>
      </w:r>
      <w:r w:rsidRPr="008E03F4">
        <w:rPr>
          <w:lang w:val="fr-FR"/>
        </w:rPr>
        <w:tab/>
        <w:t>Conformément à la décision</w:t>
      </w:r>
      <w:r w:rsidR="00044560">
        <w:rPr>
          <w:lang w:val="fr-FR"/>
        </w:rPr>
        <w:t> </w:t>
      </w:r>
      <w:r w:rsidRPr="008E03F4">
        <w:rPr>
          <w:lang w:val="fr-FR"/>
        </w:rPr>
        <w:t>2</w:t>
      </w:r>
      <w:r w:rsidR="00044560">
        <w:rPr>
          <w:lang w:val="fr-FR"/>
        </w:rPr>
        <w:t> </w:t>
      </w:r>
      <w:r w:rsidRPr="008E03F4">
        <w:rPr>
          <w:lang w:val="fr-FR"/>
        </w:rPr>
        <w:t>(VI) du Comité, en date du 21 août 1972, sur la</w:t>
      </w:r>
      <w:r w:rsidR="00044560">
        <w:rPr>
          <w:lang w:val="fr-FR"/>
        </w:rPr>
        <w:t xml:space="preserve"> </w:t>
      </w:r>
      <w:r w:rsidRPr="008E03F4">
        <w:rPr>
          <w:lang w:val="fr-FR"/>
        </w:rPr>
        <w:t>coopération avec l’Organisation internationale du Travail (OIT) et l’Organisation des</w:t>
      </w:r>
      <w:r w:rsidR="00044560">
        <w:rPr>
          <w:lang w:val="fr-FR"/>
        </w:rPr>
        <w:t xml:space="preserve"> </w:t>
      </w:r>
      <w:r w:rsidRPr="008E03F4">
        <w:rPr>
          <w:lang w:val="fr-FR"/>
        </w:rPr>
        <w:t>Nations Unies pour l’éducation, la science et la culture (UNESCO)</w:t>
      </w:r>
      <w:r w:rsidRPr="001E77AC">
        <w:rPr>
          <w:rStyle w:val="Appelnotedebasdep"/>
        </w:rPr>
        <w:footnoteReference w:id="2"/>
      </w:r>
      <w:r w:rsidRPr="008E03F4">
        <w:rPr>
          <w:lang w:val="fr-FR"/>
        </w:rPr>
        <w:t xml:space="preserve">, ces deux </w:t>
      </w:r>
      <w:r w:rsidRPr="008E03F4">
        <w:rPr>
          <w:lang w:val="fr-FR"/>
        </w:rPr>
        <w:lastRenderedPageBreak/>
        <w:t>organisations ont été invitées à se faire représenter aux sessions du Comité</w:t>
      </w:r>
      <w:r w:rsidR="006A19EC" w:rsidRPr="006A19EC">
        <w:rPr>
          <w:lang w:val="fr-FR"/>
        </w:rPr>
        <w:t>.</w:t>
      </w:r>
      <w:r w:rsidRPr="008E03F4">
        <w:rPr>
          <w:lang w:val="fr-FR"/>
        </w:rPr>
        <w:t xml:space="preserve"> Le Haut</w:t>
      </w:r>
      <w:r w:rsidRPr="008E03F4">
        <w:rPr>
          <w:lang w:val="fr-FR"/>
        </w:rPr>
        <w:noBreakHyphen/>
        <w:t>Commissariat des Nations Unies pour les réfugiés et le Fonds des Nations Unies pour l’enfance (UNICEF) ont également été invités à s’y faire représenter</w:t>
      </w:r>
      <w:r w:rsidR="006A19EC" w:rsidRPr="006A19EC">
        <w:rPr>
          <w:lang w:val="fr-FR"/>
        </w:rPr>
        <w:t>.</w:t>
      </w:r>
    </w:p>
    <w:p w14:paraId="799128ED" w14:textId="3D1560C0" w:rsidR="008E03F4" w:rsidRPr="008E03F4" w:rsidRDefault="008E03F4" w:rsidP="008E03F4">
      <w:pPr>
        <w:pStyle w:val="SingleTxtG"/>
        <w:rPr>
          <w:lang w:val="fr-FR"/>
        </w:rPr>
      </w:pPr>
      <w:r w:rsidRPr="008E03F4">
        <w:rPr>
          <w:lang w:val="fr-FR"/>
        </w:rPr>
        <w:t>11</w:t>
      </w:r>
      <w:r w:rsidR="006A19EC" w:rsidRPr="006A19EC">
        <w:rPr>
          <w:lang w:val="fr-FR"/>
        </w:rPr>
        <w:t>.</w:t>
      </w:r>
      <w:r w:rsidRPr="008E03F4">
        <w:rPr>
          <w:lang w:val="fr-FR"/>
        </w:rPr>
        <w:tab/>
      </w:r>
      <w:r w:rsidR="002F3A04">
        <w:rPr>
          <w:lang w:val="fr-FR"/>
        </w:rPr>
        <w:t>À</w:t>
      </w:r>
      <w:r w:rsidRPr="008E03F4">
        <w:rPr>
          <w:lang w:val="fr-FR"/>
        </w:rPr>
        <w:t xml:space="preserve"> </w:t>
      </w:r>
      <w:r w:rsidRPr="008E03F4">
        <w:t xml:space="preserve">la quatre-vingt-dix-huitième session du Comité, les </w:t>
      </w:r>
      <w:r w:rsidRPr="008E03F4">
        <w:rPr>
          <w:lang w:val="fr-FR"/>
        </w:rPr>
        <w:t>rapports que la Commission d’experts de l’OIT pour l’application des conventions et recommandations avait présentés à la Conférence internationale du Travail ont été mis à la disposition des membres du Comité, conformément aux accords de coopération entre les deux comités</w:t>
      </w:r>
      <w:r w:rsidR="006A19EC" w:rsidRPr="006A19EC">
        <w:rPr>
          <w:lang w:val="fr-FR"/>
        </w:rPr>
        <w:t>.</w:t>
      </w:r>
      <w:r w:rsidRPr="008E03F4">
        <w:t xml:space="preserve"> Le Comité a pris note avec satisfaction des rapports de la Commission d’experts</w:t>
      </w:r>
      <w:r w:rsidR="006A19EC" w:rsidRPr="006A19EC">
        <w:t>.</w:t>
      </w:r>
    </w:p>
    <w:p w14:paraId="50DBF3DF" w14:textId="0193776A" w:rsidR="008E03F4" w:rsidRPr="008E03F4" w:rsidRDefault="008E03F4" w:rsidP="005C3008">
      <w:pPr>
        <w:pStyle w:val="H1G"/>
        <w:rPr>
          <w:lang w:val="fr-FR"/>
        </w:rPr>
      </w:pPr>
      <w:r w:rsidRPr="008E03F4">
        <w:rPr>
          <w:lang w:val="fr-FR"/>
        </w:rPr>
        <w:tab/>
        <w:t>F</w:t>
      </w:r>
      <w:r w:rsidR="006A19EC" w:rsidRPr="006A19EC">
        <w:rPr>
          <w:lang w:val="fr-FR"/>
        </w:rPr>
        <w:t>.</w:t>
      </w:r>
      <w:r w:rsidRPr="008E03F4">
        <w:rPr>
          <w:lang w:val="fr-FR"/>
        </w:rPr>
        <w:tab/>
        <w:t>Questions diverses</w:t>
      </w:r>
    </w:p>
    <w:p w14:paraId="2127A1E2" w14:textId="01E0BA76" w:rsidR="008E03F4" w:rsidRPr="008E03F4" w:rsidRDefault="008E03F4" w:rsidP="008E03F4">
      <w:pPr>
        <w:pStyle w:val="SingleTxtG"/>
        <w:rPr>
          <w:lang w:val="fr-FR"/>
        </w:rPr>
      </w:pPr>
      <w:r w:rsidRPr="008E03F4">
        <w:rPr>
          <w:lang w:val="fr-FR"/>
        </w:rPr>
        <w:t>12</w:t>
      </w:r>
      <w:r w:rsidR="006A19EC" w:rsidRPr="006A19EC">
        <w:rPr>
          <w:lang w:val="fr-FR"/>
        </w:rPr>
        <w:t>.</w:t>
      </w:r>
      <w:r w:rsidRPr="008E03F4">
        <w:rPr>
          <w:lang w:val="fr-FR"/>
        </w:rPr>
        <w:tab/>
        <w:t xml:space="preserve">À </w:t>
      </w:r>
      <w:r w:rsidRPr="008E03F4">
        <w:t>sa quatre-vingt-dix-septième session, le Comité a rencontré le Groupe de travail d’experts sur les personnes d’ascendance africaine pour échanger des vues et des informations sur des questions d’intérêt commun</w:t>
      </w:r>
      <w:r w:rsidR="006A19EC" w:rsidRPr="006A19EC">
        <w:rPr>
          <w:lang w:val="fr-FR"/>
        </w:rPr>
        <w:t>.</w:t>
      </w:r>
      <w:r w:rsidRPr="008E03F4">
        <w:rPr>
          <w:lang w:val="fr-FR"/>
        </w:rPr>
        <w:t xml:space="preserve"> </w:t>
      </w:r>
    </w:p>
    <w:p w14:paraId="087A15D9" w14:textId="65A49B48" w:rsidR="008E03F4" w:rsidRPr="008E03F4" w:rsidRDefault="008E03F4" w:rsidP="008E03F4">
      <w:pPr>
        <w:pStyle w:val="SingleTxtG"/>
        <w:rPr>
          <w:lang w:val="fr-FR"/>
        </w:rPr>
      </w:pPr>
      <w:r w:rsidRPr="008E03F4">
        <w:rPr>
          <w:lang w:val="fr-FR"/>
        </w:rPr>
        <w:t>13</w:t>
      </w:r>
      <w:r w:rsidR="006A19EC" w:rsidRPr="006A19EC">
        <w:rPr>
          <w:lang w:val="fr-FR"/>
        </w:rPr>
        <w:t>.</w:t>
      </w:r>
      <w:r w:rsidRPr="008E03F4">
        <w:rPr>
          <w:lang w:val="fr-FR"/>
        </w:rPr>
        <w:tab/>
        <w:t xml:space="preserve">À </w:t>
      </w:r>
      <w:r w:rsidRPr="008E03F4">
        <w:t xml:space="preserve">sa quatre-vingt-dix-huitième session, le Comité a rencontré le </w:t>
      </w:r>
      <w:r w:rsidRPr="008E03F4">
        <w:rPr>
          <w:lang w:val="fr-FR"/>
        </w:rPr>
        <w:t>Groupe d’éminents experts indépendants sur la mise en œuvre de la Déclaration et du Programme d’action de Durban</w:t>
      </w:r>
      <w:r w:rsidRPr="008E03F4">
        <w:t xml:space="preserve"> pour échanger des vues sur des questions d’intérêt commun</w:t>
      </w:r>
      <w:r w:rsidR="006A19EC" w:rsidRPr="006A19EC">
        <w:t>.</w:t>
      </w:r>
    </w:p>
    <w:p w14:paraId="4EA4E8E4" w14:textId="49A0B7BB" w:rsidR="008E03F4" w:rsidRPr="008E03F4" w:rsidRDefault="008E03F4" w:rsidP="008E03F4">
      <w:pPr>
        <w:pStyle w:val="SingleTxtG"/>
        <w:rPr>
          <w:lang w:val="fr-FR"/>
        </w:rPr>
      </w:pPr>
      <w:r w:rsidRPr="008E03F4">
        <w:rPr>
          <w:lang w:val="fr-FR"/>
        </w:rPr>
        <w:t>14</w:t>
      </w:r>
      <w:r w:rsidR="006A19EC" w:rsidRPr="006A19EC">
        <w:rPr>
          <w:lang w:val="fr-FR"/>
        </w:rPr>
        <w:t>.</w:t>
      </w:r>
      <w:r w:rsidR="00044560">
        <w:rPr>
          <w:lang w:val="fr-FR"/>
        </w:rPr>
        <w:tab/>
      </w:r>
      <w:r w:rsidRPr="008E03F4">
        <w:rPr>
          <w:lang w:val="fr-FR"/>
        </w:rPr>
        <w:t>La Haute-Commissaire des Nations Unies aux droits de l’homme s’est adressée au Comité le 7 mai 2019, à sa quatre-vingt-dix-huitième session</w:t>
      </w:r>
      <w:r w:rsidR="006A19EC" w:rsidRPr="006A19EC">
        <w:rPr>
          <w:lang w:val="fr-FR"/>
        </w:rPr>
        <w:t>.</w:t>
      </w:r>
    </w:p>
    <w:p w14:paraId="27876279" w14:textId="0790C4D1" w:rsidR="008E03F4" w:rsidRPr="008E03F4" w:rsidRDefault="008E03F4" w:rsidP="005C3008">
      <w:pPr>
        <w:pStyle w:val="H1G"/>
      </w:pPr>
      <w:r w:rsidRPr="008E03F4">
        <w:rPr>
          <w:lang w:val="fr-FR"/>
        </w:rPr>
        <w:tab/>
        <w:t>G</w:t>
      </w:r>
      <w:r w:rsidR="006A19EC" w:rsidRPr="006A19EC">
        <w:rPr>
          <w:lang w:val="fr-FR"/>
        </w:rPr>
        <w:t>.</w:t>
      </w:r>
      <w:r w:rsidRPr="008E03F4">
        <w:rPr>
          <w:lang w:val="fr-FR"/>
        </w:rPr>
        <w:tab/>
        <w:t>Adoption du rapport</w:t>
      </w:r>
      <w:bookmarkStart w:id="8" w:name="_Toc428794283"/>
      <w:bookmarkEnd w:id="8"/>
    </w:p>
    <w:p w14:paraId="0FD9882A" w14:textId="5BFB89A7" w:rsidR="008E03F4" w:rsidRPr="008E03F4" w:rsidRDefault="008E03F4" w:rsidP="008E03F4">
      <w:pPr>
        <w:pStyle w:val="SingleTxtG"/>
        <w:rPr>
          <w:lang w:val="fr-FR"/>
        </w:rPr>
      </w:pPr>
      <w:r w:rsidRPr="008E03F4">
        <w:rPr>
          <w:lang w:val="fr-FR"/>
        </w:rPr>
        <w:t>15</w:t>
      </w:r>
      <w:r w:rsidR="006A19EC" w:rsidRPr="006A19EC">
        <w:rPr>
          <w:lang w:val="fr-FR"/>
        </w:rPr>
        <w:t>.</w:t>
      </w:r>
      <w:r w:rsidRPr="008E03F4">
        <w:rPr>
          <w:lang w:val="fr-FR"/>
        </w:rPr>
        <w:tab/>
        <w:t>À sa 2738</w:t>
      </w:r>
      <w:r w:rsidRPr="008E03F4">
        <w:rPr>
          <w:vertAlign w:val="superscript"/>
          <w:lang w:val="fr-FR"/>
        </w:rPr>
        <w:t>e</w:t>
      </w:r>
      <w:r w:rsidRPr="008E03F4">
        <w:rPr>
          <w:lang w:val="fr-FR"/>
        </w:rPr>
        <w:t> séance (quatre-vingt-dix-neuvième session), le Comité a adopté son rapport annuel à l’Assemblée générale</w:t>
      </w:r>
      <w:r w:rsidR="006A19EC" w:rsidRPr="006A19EC">
        <w:rPr>
          <w:lang w:val="fr-FR"/>
        </w:rPr>
        <w:t>.</w:t>
      </w:r>
    </w:p>
    <w:p w14:paraId="27495C52" w14:textId="77777777" w:rsidR="005C3008" w:rsidRDefault="005C3008">
      <w:pPr>
        <w:suppressAutoHyphens w:val="0"/>
        <w:kinsoku/>
        <w:overflowPunct/>
        <w:autoSpaceDE/>
        <w:autoSpaceDN/>
        <w:adjustRightInd/>
        <w:snapToGrid/>
        <w:spacing w:line="240" w:lineRule="auto"/>
      </w:pPr>
      <w:r>
        <w:br w:type="page"/>
      </w:r>
    </w:p>
    <w:p w14:paraId="44677DF2" w14:textId="3BCEB200" w:rsidR="008E03F4" w:rsidRPr="008E03F4" w:rsidRDefault="005C3008" w:rsidP="005C3008">
      <w:pPr>
        <w:pStyle w:val="HChG"/>
      </w:pPr>
      <w:r>
        <w:rPr>
          <w:lang w:val="fr-FR"/>
        </w:rPr>
        <w:lastRenderedPageBreak/>
        <w:tab/>
      </w:r>
      <w:r w:rsidR="008E03F4" w:rsidRPr="008E03F4">
        <w:rPr>
          <w:lang w:val="fr-FR"/>
        </w:rPr>
        <w:t>II</w:t>
      </w:r>
      <w:r w:rsidR="006A19EC" w:rsidRPr="006A19EC">
        <w:rPr>
          <w:lang w:val="fr-FR"/>
        </w:rPr>
        <w:t>.</w:t>
      </w:r>
      <w:r w:rsidR="008E03F4" w:rsidRPr="008E03F4">
        <w:rPr>
          <w:lang w:val="fr-FR"/>
        </w:rPr>
        <w:tab/>
      </w:r>
      <w:r w:rsidR="008E03F4" w:rsidRPr="008E03F4">
        <w:rPr>
          <w:lang w:val="fr-FR"/>
        </w:rPr>
        <w:tab/>
        <w:t xml:space="preserve">Prévention de la discrimination raciale, y compris </w:t>
      </w:r>
      <w:r>
        <w:rPr>
          <w:lang w:val="fr-FR"/>
        </w:rPr>
        <w:br/>
      </w:r>
      <w:r w:rsidR="008E03F4" w:rsidRPr="008E03F4">
        <w:rPr>
          <w:lang w:val="fr-FR"/>
        </w:rPr>
        <w:t>les procédures d’alerte rapide et d’intervention d’urgence</w:t>
      </w:r>
      <w:bookmarkStart w:id="9" w:name="_Toc428794284"/>
      <w:bookmarkEnd w:id="9"/>
    </w:p>
    <w:p w14:paraId="515783AE" w14:textId="06BF0413" w:rsidR="008E03F4" w:rsidRPr="008E03F4" w:rsidRDefault="008E03F4" w:rsidP="008E03F4">
      <w:pPr>
        <w:pStyle w:val="SingleTxtG"/>
      </w:pPr>
      <w:r w:rsidRPr="008E03F4">
        <w:rPr>
          <w:lang w:val="fr-FR"/>
        </w:rPr>
        <w:t>16</w:t>
      </w:r>
      <w:r w:rsidR="006A19EC" w:rsidRPr="006A19EC">
        <w:rPr>
          <w:lang w:val="fr-FR"/>
        </w:rPr>
        <w:t>.</w:t>
      </w:r>
      <w:r w:rsidRPr="008E03F4">
        <w:rPr>
          <w:lang w:val="fr-FR"/>
        </w:rPr>
        <w:tab/>
        <w:t xml:space="preserve">Les travaux que mène </w:t>
      </w:r>
      <w:r w:rsidR="00CF4346">
        <w:rPr>
          <w:lang w:val="fr-FR"/>
        </w:rPr>
        <w:t xml:space="preserve">le </w:t>
      </w:r>
      <w:r w:rsidRPr="008E03F4">
        <w:rPr>
          <w:lang w:val="fr-FR"/>
        </w:rPr>
        <w:t>Comité</w:t>
      </w:r>
      <w:r w:rsidR="001E77AC">
        <w:rPr>
          <w:lang w:val="fr-FR"/>
        </w:rPr>
        <w:t xml:space="preserve"> </w:t>
      </w:r>
      <w:r w:rsidRPr="008E03F4">
        <w:rPr>
          <w:lang w:val="fr-FR"/>
        </w:rPr>
        <w:t>au titre de ses procédures d’alerte rapide et d’intervention d’urgence ont pour but de prévenir</w:t>
      </w:r>
      <w:r w:rsidR="001E77AC">
        <w:rPr>
          <w:lang w:val="fr-FR"/>
        </w:rPr>
        <w:t xml:space="preserve"> </w:t>
      </w:r>
      <w:r w:rsidRPr="008E03F4">
        <w:rPr>
          <w:lang w:val="fr-FR"/>
        </w:rPr>
        <w:t>des violations graves de la Convention internationale sur l’élimination de toutes les formes de discrimination raciale et d’intervenir en cas de violation</w:t>
      </w:r>
      <w:r w:rsidR="006A19EC" w:rsidRPr="006A19EC">
        <w:rPr>
          <w:lang w:val="fr-FR"/>
        </w:rPr>
        <w:t>.</w:t>
      </w:r>
      <w:r w:rsidRPr="008E03F4">
        <w:rPr>
          <w:lang w:val="fr-FR"/>
        </w:rPr>
        <w:t xml:space="preserve"> Ces travaux sont fondés sur des directives que le Comité a adoptées à sa soixante et onzième session, en août 2007</w:t>
      </w:r>
      <w:r w:rsidRPr="001E77AC">
        <w:rPr>
          <w:rStyle w:val="Appelnotedebasdep"/>
        </w:rPr>
        <w:footnoteReference w:id="3"/>
      </w:r>
      <w:r w:rsidR="006A19EC" w:rsidRPr="006A19EC">
        <w:rPr>
          <w:lang w:val="fr-FR"/>
        </w:rPr>
        <w:t>.</w:t>
      </w:r>
    </w:p>
    <w:p w14:paraId="25639117" w14:textId="1913CDB7" w:rsidR="008E03F4" w:rsidRPr="008E03F4" w:rsidRDefault="008E03F4" w:rsidP="008E03F4">
      <w:pPr>
        <w:pStyle w:val="SingleTxtG"/>
      </w:pPr>
      <w:r w:rsidRPr="008E03F4">
        <w:rPr>
          <w:lang w:val="fr-FR"/>
        </w:rPr>
        <w:t>17</w:t>
      </w:r>
      <w:r w:rsidR="006A19EC" w:rsidRPr="006A19EC">
        <w:rPr>
          <w:lang w:val="fr-FR"/>
        </w:rPr>
        <w:t>.</w:t>
      </w:r>
      <w:r w:rsidRPr="008E03F4">
        <w:rPr>
          <w:lang w:val="fr-FR"/>
        </w:rPr>
        <w:tab/>
        <w:t>Le Groupe de travail du Comité sur les procédures d’alerte rapide et d’intervention d’urgence a été créé à la soixante-cinquième session du Comité, en août 2004</w:t>
      </w:r>
      <w:r w:rsidR="006A19EC" w:rsidRPr="006A19EC">
        <w:rPr>
          <w:lang w:val="fr-FR"/>
        </w:rPr>
        <w:t>.</w:t>
      </w:r>
      <w:r w:rsidRPr="008E03F4">
        <w:rPr>
          <w:lang w:val="fr-FR"/>
        </w:rPr>
        <w:t xml:space="preserve"> </w:t>
      </w:r>
      <w:r w:rsidRPr="008E03F4">
        <w:t>M</w:t>
      </w:r>
      <w:r w:rsidR="006A19EC" w:rsidRPr="006A19EC">
        <w:t>.</w:t>
      </w:r>
      <w:r w:rsidRPr="008E03F4">
        <w:t xml:space="preserve"> Marugán ayant démissionné le 3 février 2019, la composition du groupe de travail est la suivante à compter de la quatre-vingt-dix-huitième session</w:t>
      </w:r>
      <w:r w:rsidR="001E77AC">
        <w:t> </w:t>
      </w:r>
      <w:r w:rsidRPr="008E03F4">
        <w:rPr>
          <w:lang w:val="fr-FR"/>
        </w:rPr>
        <w:t>:</w:t>
      </w:r>
    </w:p>
    <w:p w14:paraId="77C1E1E4" w14:textId="77777777" w:rsidR="008E03F4" w:rsidRPr="008E03F4" w:rsidRDefault="008E03F4" w:rsidP="005C3008">
      <w:pPr>
        <w:pStyle w:val="SingleTxtG"/>
        <w:ind w:left="3402" w:hanging="2268"/>
        <w:jc w:val="left"/>
      </w:pPr>
      <w:r w:rsidRPr="008E03F4">
        <w:rPr>
          <w:i/>
          <w:lang w:val="fr-FR"/>
        </w:rPr>
        <w:t>Coordonnateur</w:t>
      </w:r>
      <w:r w:rsidRPr="008E03F4">
        <w:rPr>
          <w:lang w:val="fr-FR"/>
        </w:rPr>
        <w:t> :</w:t>
      </w:r>
      <w:r w:rsidRPr="008E03F4">
        <w:rPr>
          <w:lang w:val="fr-FR"/>
        </w:rPr>
        <w:tab/>
        <w:t xml:space="preserve">José Francisco Calí Tzay </w:t>
      </w:r>
    </w:p>
    <w:p w14:paraId="6403CD0E" w14:textId="3099D14A" w:rsidR="008E03F4" w:rsidRPr="008E03F4" w:rsidRDefault="008E03F4" w:rsidP="005C3008">
      <w:pPr>
        <w:pStyle w:val="SingleTxtG"/>
        <w:ind w:left="3402" w:hanging="2268"/>
        <w:jc w:val="left"/>
        <w:rPr>
          <w:lang w:val="fr-FR"/>
        </w:rPr>
      </w:pPr>
      <w:r w:rsidRPr="008E03F4">
        <w:rPr>
          <w:i/>
          <w:lang w:val="fr-FR"/>
        </w:rPr>
        <w:t>Membres</w:t>
      </w:r>
      <w:r w:rsidRPr="008E03F4">
        <w:rPr>
          <w:lang w:val="fr-FR"/>
        </w:rPr>
        <w:t> :</w:t>
      </w:r>
      <w:r w:rsidRPr="008E03F4">
        <w:rPr>
          <w:lang w:val="fr-FR"/>
        </w:rPr>
        <w:tab/>
        <w:t>Alexei S</w:t>
      </w:r>
      <w:r w:rsidR="006A19EC" w:rsidRPr="006A19EC">
        <w:rPr>
          <w:lang w:val="fr-FR"/>
        </w:rPr>
        <w:t>.</w:t>
      </w:r>
      <w:r w:rsidRPr="008E03F4">
        <w:rPr>
          <w:lang w:val="fr-FR"/>
        </w:rPr>
        <w:t xml:space="preserve"> Avtonomov </w:t>
      </w:r>
      <w:r w:rsidRPr="008E03F4">
        <w:rPr>
          <w:lang w:val="fr-FR"/>
        </w:rPr>
        <w:br/>
        <w:t>Chinsung Chung</w:t>
      </w:r>
      <w:r w:rsidR="005C3008">
        <w:rPr>
          <w:lang w:val="fr-FR"/>
        </w:rPr>
        <w:t xml:space="preserve"> </w:t>
      </w:r>
      <w:r w:rsidR="005C3008">
        <w:rPr>
          <w:lang w:val="fr-FR"/>
        </w:rPr>
        <w:br/>
      </w:r>
      <w:r w:rsidRPr="008E03F4">
        <w:rPr>
          <w:lang w:val="fr-FR"/>
        </w:rPr>
        <w:tab/>
        <w:t>Bakari Sidiki Diaby</w:t>
      </w:r>
      <w:r w:rsidR="005C3008">
        <w:rPr>
          <w:lang w:val="fr-FR"/>
        </w:rPr>
        <w:t xml:space="preserve"> </w:t>
      </w:r>
      <w:r w:rsidRPr="008E03F4">
        <w:rPr>
          <w:lang w:val="fr-FR"/>
        </w:rPr>
        <w:br/>
        <w:t>Yanduan Li</w:t>
      </w:r>
      <w:r w:rsidR="005C3008">
        <w:rPr>
          <w:lang w:val="fr-FR"/>
        </w:rPr>
        <w:t xml:space="preserve"> </w:t>
      </w:r>
      <w:r w:rsidRPr="008E03F4">
        <w:rPr>
          <w:lang w:val="fr-FR"/>
        </w:rPr>
        <w:br/>
        <w:t>Gay McDougall</w:t>
      </w:r>
    </w:p>
    <w:p w14:paraId="00DE7B37" w14:textId="77777777" w:rsidR="008E03F4" w:rsidRPr="008E03F4" w:rsidRDefault="005C3008" w:rsidP="005C3008">
      <w:pPr>
        <w:pStyle w:val="H1G"/>
        <w:rPr>
          <w:lang w:val="fr-FR"/>
        </w:rPr>
      </w:pPr>
      <w:r>
        <w:rPr>
          <w:lang w:val="fr-FR"/>
        </w:rPr>
        <w:tab/>
      </w:r>
      <w:r>
        <w:rPr>
          <w:lang w:val="fr-FR"/>
        </w:rPr>
        <w:tab/>
      </w:r>
      <w:r w:rsidR="008E03F4" w:rsidRPr="008E03F4">
        <w:rPr>
          <w:lang w:val="fr-FR"/>
        </w:rPr>
        <w:t xml:space="preserve">Examen de situations au titre des procédures d’alerte rapide </w:t>
      </w:r>
      <w:r>
        <w:rPr>
          <w:lang w:val="fr-FR"/>
        </w:rPr>
        <w:br/>
      </w:r>
      <w:r w:rsidR="008E03F4" w:rsidRPr="008E03F4">
        <w:rPr>
          <w:lang w:val="fr-FR"/>
        </w:rPr>
        <w:t>et d’intervention d’urgence</w:t>
      </w:r>
    </w:p>
    <w:p w14:paraId="72299A62" w14:textId="188795B1" w:rsidR="008E03F4" w:rsidRPr="008E03F4" w:rsidRDefault="008E03F4" w:rsidP="008E03F4">
      <w:pPr>
        <w:pStyle w:val="SingleTxtG"/>
        <w:rPr>
          <w:lang w:val="fr-FR"/>
        </w:rPr>
      </w:pPr>
      <w:r w:rsidRPr="008E03F4">
        <w:rPr>
          <w:lang w:val="fr-FR"/>
        </w:rPr>
        <w:t>18</w:t>
      </w:r>
      <w:r w:rsidR="006A19EC" w:rsidRPr="006A19EC">
        <w:rPr>
          <w:lang w:val="fr-FR"/>
        </w:rPr>
        <w:t>.</w:t>
      </w:r>
      <w:r w:rsidRPr="008E03F4">
        <w:rPr>
          <w:lang w:val="fr-FR"/>
        </w:rPr>
        <w:tab/>
        <w:t>Au cours de la période considérée, le Comité a examiné un certain nombre de situations au titre de ses procédures d’alerte rapide et d’intervention d’urgence ; on trouvera des précisions</w:t>
      </w:r>
      <w:r w:rsidR="001E77AC">
        <w:rPr>
          <w:lang w:val="fr-FR"/>
        </w:rPr>
        <w:t xml:space="preserve"> </w:t>
      </w:r>
      <w:r w:rsidRPr="008E03F4">
        <w:rPr>
          <w:lang w:val="fr-FR"/>
        </w:rPr>
        <w:t>ci-après</w:t>
      </w:r>
      <w:r w:rsidR="006A19EC" w:rsidRPr="006A19EC">
        <w:rPr>
          <w:lang w:val="fr-FR"/>
        </w:rPr>
        <w:t>.</w:t>
      </w:r>
    </w:p>
    <w:p w14:paraId="4114A4A7" w14:textId="1FD888E1" w:rsidR="008E03F4" w:rsidRPr="008E03F4" w:rsidRDefault="008E03F4" w:rsidP="008E03F4">
      <w:pPr>
        <w:pStyle w:val="SingleTxtG"/>
        <w:rPr>
          <w:lang w:val="fr-FR"/>
        </w:rPr>
      </w:pPr>
      <w:r w:rsidRPr="008E03F4">
        <w:rPr>
          <w:lang w:val="fr-FR"/>
        </w:rPr>
        <w:t>19</w:t>
      </w:r>
      <w:r w:rsidR="006A19EC" w:rsidRPr="006A19EC">
        <w:rPr>
          <w:lang w:val="fr-FR"/>
        </w:rPr>
        <w:t>.</w:t>
      </w:r>
      <w:r w:rsidRPr="008E03F4">
        <w:rPr>
          <w:lang w:val="fr-FR"/>
        </w:rPr>
        <w:tab/>
        <w:t>À la lumière d’une lettre du 16 juillet 2018 que lui a adressée le Gouvernement indien en réponse à sa précédente lettre, du 17 mai 2018, concernant des agressions dont auraient fait l’objet des étudiants originaires du Cachemire et d’Afrique, le Comité a, dans une lettre du 30 août 2018, pris note des informations fournies par l’État partie et demandé des renseignements complémentaires sur les mesures prises pour que des enquêtes soient menées, que les auteurs soient poursuivis et punis et que les victimes reçoivent réparation</w:t>
      </w:r>
      <w:r w:rsidR="006A19EC" w:rsidRPr="006A19EC">
        <w:rPr>
          <w:lang w:val="fr-FR"/>
        </w:rPr>
        <w:t>.</w:t>
      </w:r>
      <w:r w:rsidRPr="008E03F4">
        <w:rPr>
          <w:lang w:val="fr-FR"/>
        </w:rPr>
        <w:t xml:space="preserve"> </w:t>
      </w:r>
    </w:p>
    <w:p w14:paraId="4FFD7435" w14:textId="2BBB932A" w:rsidR="008E03F4" w:rsidRPr="008E03F4" w:rsidRDefault="008E03F4" w:rsidP="008E03F4">
      <w:pPr>
        <w:pStyle w:val="SingleTxtG"/>
        <w:rPr>
          <w:lang w:val="fr-FR"/>
        </w:rPr>
      </w:pPr>
      <w:r w:rsidRPr="008E03F4">
        <w:rPr>
          <w:lang w:val="fr-FR"/>
        </w:rPr>
        <w:t>20</w:t>
      </w:r>
      <w:r w:rsidR="006A19EC" w:rsidRPr="006A19EC">
        <w:rPr>
          <w:lang w:val="fr-FR"/>
        </w:rPr>
        <w:t>.</w:t>
      </w:r>
      <w:r w:rsidRPr="008E03F4">
        <w:rPr>
          <w:lang w:val="fr-FR"/>
        </w:rPr>
        <w:tab/>
        <w:t>Le 30 août 2018, le Comité a adressé au Gouvernement philippin une lettre dans laquelle il prenait note des informations fournies par l’État partie dans sa lettre du 6 août 2018, par laquelle il avait répondu à la décision 1 (95) du Comité, en date du 8 mai 2018</w:t>
      </w:r>
      <w:r w:rsidRPr="001E77AC">
        <w:rPr>
          <w:rStyle w:val="Appelnotedebasdep"/>
        </w:rPr>
        <w:footnoteReference w:id="4"/>
      </w:r>
      <w:r w:rsidR="006A19EC" w:rsidRPr="006A19EC">
        <w:rPr>
          <w:lang w:val="fr-FR"/>
        </w:rPr>
        <w:t>.</w:t>
      </w:r>
      <w:r w:rsidRPr="008E03F4">
        <w:rPr>
          <w:lang w:val="fr-FR"/>
        </w:rPr>
        <w:t xml:space="preserve"> Cette décision faisait suite à une requête déposée par le Procureur général des Philippines, qui contenait une liste de centaines d’individus accusés d’appartenir à des organisations terroristes présumées, dont beaucoup étaient des dirigeants autochtones, des défenseurs des droits de l’homme et des experts indépendants de l’ONU</w:t>
      </w:r>
      <w:r w:rsidR="006A19EC" w:rsidRPr="006A19EC">
        <w:rPr>
          <w:lang w:val="fr-FR"/>
        </w:rPr>
        <w:t>.</w:t>
      </w:r>
      <w:r w:rsidRPr="008E03F4">
        <w:rPr>
          <w:lang w:val="fr-FR"/>
        </w:rPr>
        <w:t xml:space="preserve"> Dans sa lettre, le Comité rappelait les préoccupations exprimées dans sa décision et regrettait l’absence d’informations sur les enquêtes, les poursuites et les condamnations concernant les meurtres de défenseurs des droits de l’homme</w:t>
      </w:r>
      <w:r w:rsidR="006A19EC" w:rsidRPr="006A19EC">
        <w:rPr>
          <w:lang w:val="fr-FR"/>
        </w:rPr>
        <w:t>.</w:t>
      </w:r>
      <w:r w:rsidRPr="008E03F4">
        <w:rPr>
          <w:lang w:val="fr-FR"/>
        </w:rPr>
        <w:t xml:space="preserve"> </w:t>
      </w:r>
    </w:p>
    <w:p w14:paraId="495FF16A" w14:textId="6B54F996" w:rsidR="008E03F4" w:rsidRPr="008E03F4" w:rsidRDefault="008E03F4" w:rsidP="008E03F4">
      <w:pPr>
        <w:pStyle w:val="SingleTxtG"/>
        <w:rPr>
          <w:lang w:val="fr-FR"/>
        </w:rPr>
      </w:pPr>
      <w:r w:rsidRPr="008E03F4">
        <w:rPr>
          <w:lang w:val="fr-FR"/>
        </w:rPr>
        <w:t>21</w:t>
      </w:r>
      <w:r w:rsidR="006A19EC" w:rsidRPr="006A19EC">
        <w:rPr>
          <w:lang w:val="fr-FR"/>
        </w:rPr>
        <w:t>.</w:t>
      </w:r>
      <w:r w:rsidRPr="008E03F4">
        <w:rPr>
          <w:lang w:val="fr-FR"/>
        </w:rPr>
        <w:tab/>
        <w:t>Le 30 août 2018, le Comité a adressé au Gouvernement ukrainien une lettre concernant sa nouvelle loi sur l’éducation, adoptée en septembre 2017, qui serait discriminatoire envers certaines minorités</w:t>
      </w:r>
      <w:r w:rsidR="006A19EC" w:rsidRPr="006A19EC">
        <w:rPr>
          <w:lang w:val="fr-FR"/>
        </w:rPr>
        <w:t>.</w:t>
      </w:r>
      <w:r w:rsidRPr="008E03F4">
        <w:rPr>
          <w:lang w:val="fr-FR"/>
        </w:rPr>
        <w:t xml:space="preserve"> Il a demandé des informations sur les effets discriminatoires de la loi et sur les mesures prises pour que les droits linguistiques de toutes les minorités soient préservés dans le système éducatif, dans des conditions d’égalité</w:t>
      </w:r>
      <w:r w:rsidR="006A19EC" w:rsidRPr="006A19EC">
        <w:rPr>
          <w:lang w:val="fr-FR"/>
        </w:rPr>
        <w:t>.</w:t>
      </w:r>
    </w:p>
    <w:p w14:paraId="00BD5963" w14:textId="66B57AD6" w:rsidR="008E03F4" w:rsidRPr="008E03F4" w:rsidRDefault="008E03F4" w:rsidP="008E03F4">
      <w:pPr>
        <w:pStyle w:val="SingleTxtG"/>
        <w:rPr>
          <w:lang w:val="fr-FR"/>
        </w:rPr>
      </w:pPr>
      <w:r w:rsidRPr="008E03F4">
        <w:rPr>
          <w:lang w:val="fr-FR"/>
        </w:rPr>
        <w:t>22</w:t>
      </w:r>
      <w:r w:rsidR="006A19EC" w:rsidRPr="006A19EC">
        <w:rPr>
          <w:lang w:val="fr-FR"/>
        </w:rPr>
        <w:t>.</w:t>
      </w:r>
      <w:r w:rsidRPr="008E03F4">
        <w:rPr>
          <w:lang w:val="fr-FR"/>
        </w:rPr>
        <w:tab/>
        <w:t xml:space="preserve">Le 30 août 2018, le Comité a adressé au Gouvernement des États-Unis d’Amérique une lettre par laquelle il exprimait sa préoccupation au sujet de la politique de tolérance zéro à l’égard des migrations adoptée en avril 2018, qui avait des effets discriminatoires pour les </w:t>
      </w:r>
      <w:r w:rsidRPr="008E03F4">
        <w:rPr>
          <w:lang w:val="fr-FR"/>
        </w:rPr>
        <w:lastRenderedPageBreak/>
        <w:t>migrants et les demandeurs d’asile, en particulier ceux d’origine autochtone, qui avaient franchi la frontière sud-ouest du territoire sans papiers</w:t>
      </w:r>
      <w:r w:rsidR="006A19EC" w:rsidRPr="006A19EC">
        <w:rPr>
          <w:lang w:val="fr-FR"/>
        </w:rPr>
        <w:t>.</w:t>
      </w:r>
      <w:r w:rsidRPr="008E03F4">
        <w:rPr>
          <w:lang w:val="fr-FR"/>
        </w:rPr>
        <w:t xml:space="preserve"> Le Comité était, entre autres, préoccupé par le fait que l’application de la politique de tolérance zéro avait abouti à des situations qui n’étaient conformes ni à la Convention, ni à d’autres normes pertinentes relatives aux droits de l’homme</w:t>
      </w:r>
      <w:r w:rsidR="006A19EC" w:rsidRPr="006A19EC">
        <w:rPr>
          <w:lang w:val="fr-FR"/>
        </w:rPr>
        <w:t>.</w:t>
      </w:r>
      <w:r w:rsidRPr="008E03F4">
        <w:rPr>
          <w:lang w:val="fr-FR"/>
        </w:rPr>
        <w:t xml:space="preserve"> Il demandait des informations sur les mesures prises pour que toutes les normes minimales applicables en matière de droits de l’homme soient respectées et que des garanties de procédure soient offertes à tous les migrants et demandeurs d’asile</w:t>
      </w:r>
      <w:r w:rsidR="006A19EC" w:rsidRPr="006A19EC">
        <w:rPr>
          <w:lang w:val="fr-FR"/>
        </w:rPr>
        <w:t>.</w:t>
      </w:r>
      <w:r w:rsidRPr="008E03F4">
        <w:rPr>
          <w:lang w:val="fr-FR"/>
        </w:rPr>
        <w:t xml:space="preserve"> </w:t>
      </w:r>
    </w:p>
    <w:p w14:paraId="7B1AD153" w14:textId="7AB33D49" w:rsidR="008E03F4" w:rsidRPr="008E03F4" w:rsidRDefault="008E03F4" w:rsidP="008E03F4">
      <w:pPr>
        <w:pStyle w:val="SingleTxtG"/>
        <w:rPr>
          <w:lang w:val="fr-FR"/>
        </w:rPr>
      </w:pPr>
      <w:r w:rsidRPr="008E03F4">
        <w:rPr>
          <w:lang w:val="fr-FR"/>
        </w:rPr>
        <w:t>23</w:t>
      </w:r>
      <w:r w:rsidR="006A19EC" w:rsidRPr="006A19EC">
        <w:rPr>
          <w:lang w:val="fr-FR"/>
        </w:rPr>
        <w:t>.</w:t>
      </w:r>
      <w:r w:rsidRPr="008E03F4">
        <w:rPr>
          <w:lang w:val="fr-FR"/>
        </w:rPr>
        <w:tab/>
        <w:t>Le 14 décembre 2018, le Comité a adressé au Gouvernement australien une lettre dans laquelle il se disait préoccupé par des informations selon lesquelles tous les membres des groupes issus des peuples wangan et jagalingou qui revendiquaient des droits fonciers autochtones n’auraient pas été consultés et n’auraient pas donné leur consentement préalable, libre et éclairé sur le projet minier et ferroviaire Carmichael qu’il était prévu d’exécuter sur leurs terres ancestrales, dans le Queensland</w:t>
      </w:r>
      <w:r w:rsidR="006A19EC" w:rsidRPr="006A19EC">
        <w:rPr>
          <w:lang w:val="fr-FR"/>
        </w:rPr>
        <w:t>.</w:t>
      </w:r>
      <w:r w:rsidRPr="008E03F4">
        <w:rPr>
          <w:lang w:val="fr-FR"/>
        </w:rPr>
        <w:t xml:space="preserve"> Le Comité a demandé des informations sur les mesures prises en vue de garantir le respect du droit à la consultation et de la règle du consentement préalable, libre et éclairé obtenu conformément aux mécanismes de décision des peuples autochtones eux-mêmes, et en vue de suspendre le projet jusqu’à ce que le consentement des peuples autochtones concernés ait été obtenu</w:t>
      </w:r>
      <w:r w:rsidR="006A19EC" w:rsidRPr="006A19EC">
        <w:rPr>
          <w:lang w:val="fr-FR"/>
        </w:rPr>
        <w:t>.</w:t>
      </w:r>
      <w:r w:rsidRPr="008E03F4">
        <w:rPr>
          <w:lang w:val="fr-FR"/>
        </w:rPr>
        <w:t xml:space="preserve"> </w:t>
      </w:r>
    </w:p>
    <w:p w14:paraId="4EDD5D5B" w14:textId="0C431934" w:rsidR="008E03F4" w:rsidRPr="008E03F4" w:rsidRDefault="008E03F4" w:rsidP="008E03F4">
      <w:pPr>
        <w:pStyle w:val="SingleTxtG"/>
        <w:rPr>
          <w:lang w:val="fr-FR"/>
        </w:rPr>
      </w:pPr>
      <w:r w:rsidRPr="008E03F4">
        <w:rPr>
          <w:lang w:val="fr-FR"/>
        </w:rPr>
        <w:t>24</w:t>
      </w:r>
      <w:r w:rsidR="006A19EC" w:rsidRPr="006A19EC">
        <w:rPr>
          <w:lang w:val="fr-FR"/>
        </w:rPr>
        <w:t>.</w:t>
      </w:r>
      <w:r w:rsidRPr="008E03F4">
        <w:rPr>
          <w:lang w:val="fr-FR"/>
        </w:rPr>
        <w:tab/>
        <w:t xml:space="preserve">Le 14 décembre 2018, le Comité a adressé une lettre au Gouvernement canadien afin de lui faire part de ses préoccupations au sujet d’allégations selon lesquelles la réforme du Ministère des </w:t>
      </w:r>
      <w:r w:rsidR="00A86ECF">
        <w:rPr>
          <w:lang w:val="fr-FR"/>
        </w:rPr>
        <w:t>a</w:t>
      </w:r>
      <w:r w:rsidRPr="008E03F4">
        <w:rPr>
          <w:lang w:val="fr-FR"/>
        </w:rPr>
        <w:t xml:space="preserve">ffaires indiennes et du Nord canadien et l’élaboration d’un </w:t>
      </w:r>
      <w:r w:rsidR="009A7C4A">
        <w:rPr>
          <w:lang w:val="fr-FR"/>
        </w:rPr>
        <w:t>« </w:t>
      </w:r>
      <w:r w:rsidRPr="008E03F4">
        <w:rPr>
          <w:lang w:val="fr-FR"/>
        </w:rPr>
        <w:t>cadre de reconnaissance et de mise en œuvre des droits ancestraux</w:t>
      </w:r>
      <w:r w:rsidR="009A7C4A">
        <w:rPr>
          <w:lang w:val="fr-FR"/>
        </w:rPr>
        <w:t> »</w:t>
      </w:r>
      <w:r w:rsidRPr="008E03F4">
        <w:rPr>
          <w:lang w:val="fr-FR"/>
        </w:rPr>
        <w:t xml:space="preserve"> avait été menée sans consultation et sans le consentement préalable, libre et éclairé des peuples autochtones</w:t>
      </w:r>
      <w:r w:rsidR="006A19EC" w:rsidRPr="006A19EC">
        <w:rPr>
          <w:lang w:val="fr-FR"/>
        </w:rPr>
        <w:t>.</w:t>
      </w:r>
      <w:r w:rsidRPr="008E03F4">
        <w:rPr>
          <w:lang w:val="fr-FR"/>
        </w:rPr>
        <w:t xml:space="preserve"> Il a demandé des informations sur les mesures prises pour assurer le respect du droit à la consultation et de la règle selon laquelle un consentement préalable, libre et éclairé doit être obtenu chaque fois qu’il est envisagé</w:t>
      </w:r>
      <w:r w:rsidR="001E77AC">
        <w:rPr>
          <w:lang w:val="fr-FR"/>
        </w:rPr>
        <w:t xml:space="preserve"> </w:t>
      </w:r>
      <w:r w:rsidRPr="008E03F4">
        <w:rPr>
          <w:lang w:val="fr-FR"/>
        </w:rPr>
        <w:t>d’adopter une nouvelle politique ou un nouveau cadre institutionnel relatif aux droits des peuples autochtones, conformément aux processus de décision de ces peuples</w:t>
      </w:r>
      <w:r w:rsidR="006A19EC" w:rsidRPr="006A19EC">
        <w:rPr>
          <w:lang w:val="fr-FR"/>
        </w:rPr>
        <w:t>.</w:t>
      </w:r>
      <w:r w:rsidRPr="008E03F4">
        <w:rPr>
          <w:lang w:val="fr-FR"/>
        </w:rPr>
        <w:t xml:space="preserve"> </w:t>
      </w:r>
    </w:p>
    <w:p w14:paraId="1D534959" w14:textId="04C83438" w:rsidR="008E03F4" w:rsidRPr="008E03F4" w:rsidRDefault="008E03F4" w:rsidP="008E03F4">
      <w:pPr>
        <w:pStyle w:val="SingleTxtG"/>
        <w:rPr>
          <w:lang w:val="fr-FR"/>
        </w:rPr>
      </w:pPr>
      <w:r w:rsidRPr="008E03F4">
        <w:rPr>
          <w:lang w:val="fr-FR"/>
        </w:rPr>
        <w:t>25</w:t>
      </w:r>
      <w:r w:rsidR="006A19EC" w:rsidRPr="006A19EC">
        <w:rPr>
          <w:lang w:val="fr-FR"/>
        </w:rPr>
        <w:t>.</w:t>
      </w:r>
      <w:r w:rsidRPr="008E03F4">
        <w:rPr>
          <w:lang w:val="fr-FR"/>
        </w:rPr>
        <w:tab/>
        <w:t>Le 14 décembre 2018, le Comité a adressé au Gouvernement canadien une lettre dans laquelle il se disait préoccupé par les allégations selon lesquelles il n’aurait pas été pris de mesures</w:t>
      </w:r>
      <w:r w:rsidR="001E77AC">
        <w:rPr>
          <w:lang w:val="fr-FR"/>
        </w:rPr>
        <w:t xml:space="preserve"> </w:t>
      </w:r>
      <w:r w:rsidRPr="008E03F4">
        <w:rPr>
          <w:lang w:val="fr-FR"/>
        </w:rPr>
        <w:t>pour consulter les peuples autochtones de</w:t>
      </w:r>
      <w:r w:rsidR="001E77AC">
        <w:rPr>
          <w:lang w:val="fr-FR"/>
        </w:rPr>
        <w:t xml:space="preserve"> </w:t>
      </w:r>
      <w:r w:rsidRPr="008E03F4">
        <w:rPr>
          <w:lang w:val="fr-FR"/>
        </w:rPr>
        <w:t>Colombie britannique touchés par la construction du barrage du site C, qui aurait des répercussions définitives sur leurs droits fonciers, et pour obtenir leur consentement préalable, libre et éclairé</w:t>
      </w:r>
      <w:r w:rsidR="006A19EC" w:rsidRPr="006A19EC">
        <w:rPr>
          <w:lang w:val="fr-FR"/>
        </w:rPr>
        <w:t>.</w:t>
      </w:r>
      <w:r w:rsidRPr="008E03F4">
        <w:rPr>
          <w:lang w:val="fr-FR"/>
        </w:rPr>
        <w:t xml:space="preserve"> Le Comité a demandé des informations sur les mesures prises pour que le projet de barrage du site C soit suspendu jusqu’à ce que le consentement préalable, libre et éclairé des peuples autochtones ait été obtenu</w:t>
      </w:r>
      <w:r w:rsidR="006A19EC" w:rsidRPr="006A19EC">
        <w:rPr>
          <w:lang w:val="fr-FR"/>
        </w:rPr>
        <w:t>.</w:t>
      </w:r>
      <w:r w:rsidRPr="008E03F4">
        <w:rPr>
          <w:lang w:val="fr-FR"/>
        </w:rPr>
        <w:t xml:space="preserve"> </w:t>
      </w:r>
    </w:p>
    <w:p w14:paraId="1F319448" w14:textId="19CB21C1" w:rsidR="008E03F4" w:rsidRPr="008E03F4" w:rsidRDefault="008E03F4" w:rsidP="008E03F4">
      <w:pPr>
        <w:pStyle w:val="SingleTxtG"/>
        <w:rPr>
          <w:lang w:val="fr-FR"/>
        </w:rPr>
      </w:pPr>
      <w:r w:rsidRPr="008E03F4">
        <w:rPr>
          <w:lang w:val="fr-FR"/>
        </w:rPr>
        <w:t>26</w:t>
      </w:r>
      <w:r w:rsidR="006A19EC" w:rsidRPr="006A19EC">
        <w:rPr>
          <w:lang w:val="fr-FR"/>
        </w:rPr>
        <w:t>.</w:t>
      </w:r>
      <w:r w:rsidRPr="008E03F4">
        <w:rPr>
          <w:lang w:val="fr-FR"/>
        </w:rPr>
        <w:tab/>
        <w:t>Le 14 décembre 2018, le Comité a adressé au Gouvernement canadien une lettre concernant les conséquences du projet d’extension de l’oléoduc Trans Mountain sur les terres du peuple autochtone secwepemc, en Colombie britannique</w:t>
      </w:r>
      <w:r w:rsidR="006A19EC" w:rsidRPr="006A19EC">
        <w:rPr>
          <w:lang w:val="fr-FR"/>
        </w:rPr>
        <w:t>.</w:t>
      </w:r>
      <w:r w:rsidRPr="008E03F4">
        <w:rPr>
          <w:lang w:val="fr-FR"/>
        </w:rPr>
        <w:t xml:space="preserve"> Il constatait que l’État partie avait engagé de nouvelles consultations de durée indéterminée sur le projet d’extension, qui, réalisé sans le consentement préalable, libre et éclairé du peuple autochtone secwepemc, porterait définitivement atteinte aux droits fonciers de celui-ci</w:t>
      </w:r>
      <w:r w:rsidR="006A19EC" w:rsidRPr="006A19EC">
        <w:rPr>
          <w:lang w:val="fr-FR"/>
        </w:rPr>
        <w:t>.</w:t>
      </w:r>
      <w:r w:rsidRPr="008E03F4">
        <w:rPr>
          <w:lang w:val="fr-FR"/>
        </w:rPr>
        <w:t xml:space="preserve"> Le Comité a demandé des informations sur les mesures prises pour assurer, dans le cadre de ce projet, le respect du droit du peuple secwepemc à la consultation et de la règle du consentement préalable, libre et éclairé</w:t>
      </w:r>
      <w:r w:rsidR="006A19EC" w:rsidRPr="006A19EC">
        <w:rPr>
          <w:lang w:val="fr-FR"/>
        </w:rPr>
        <w:t>.</w:t>
      </w:r>
      <w:r w:rsidRPr="008E03F4">
        <w:rPr>
          <w:lang w:val="fr-FR"/>
        </w:rPr>
        <w:t xml:space="preserve"> </w:t>
      </w:r>
    </w:p>
    <w:p w14:paraId="4C12436E" w14:textId="31BF5D1A" w:rsidR="008E03F4" w:rsidRPr="008E03F4" w:rsidRDefault="008E03F4" w:rsidP="008E03F4">
      <w:pPr>
        <w:pStyle w:val="SingleTxtG"/>
        <w:rPr>
          <w:lang w:val="fr-FR"/>
        </w:rPr>
      </w:pPr>
      <w:r w:rsidRPr="008E03F4">
        <w:rPr>
          <w:lang w:val="fr-FR"/>
        </w:rPr>
        <w:t>27</w:t>
      </w:r>
      <w:r w:rsidR="006A19EC" w:rsidRPr="006A19EC">
        <w:rPr>
          <w:lang w:val="fr-FR"/>
        </w:rPr>
        <w:t>.</w:t>
      </w:r>
      <w:r w:rsidRPr="008E03F4">
        <w:rPr>
          <w:lang w:val="fr-FR"/>
        </w:rPr>
        <w:tab/>
        <w:t>Le 14 décembre 2018, le Comité a adressé au Gouvernement français une lettre dans laquelle il se disait préoccupé par le fait que le projet minier de la Montagne d’or était réalisé sans consultation et sans le consentement préalable, libre et éclairé des peuples autochtones de la Guyane française, en dépit des effets négatifs qu’aurait le projet sur le contrôle et l’utilisation par ces peuples de leurs terres</w:t>
      </w:r>
      <w:r w:rsidR="006A19EC" w:rsidRPr="006A19EC">
        <w:rPr>
          <w:lang w:val="fr-FR"/>
        </w:rPr>
        <w:t>.</w:t>
      </w:r>
      <w:r w:rsidRPr="008E03F4">
        <w:rPr>
          <w:lang w:val="fr-FR"/>
        </w:rPr>
        <w:t xml:space="preserve"> Le Comité a demandé des informations sur les mesures prises pour garantir le respect du droit à la consultation et de la règle du consentement préalable, libre et éclairé et pour que le projet soit suspendu jusqu’à ce qu’un tel consentement ait été obtenu de tous les peuples autochtones touchés</w:t>
      </w:r>
      <w:r w:rsidR="006A19EC" w:rsidRPr="006A19EC">
        <w:rPr>
          <w:lang w:val="fr-FR"/>
        </w:rPr>
        <w:t>.</w:t>
      </w:r>
      <w:r w:rsidRPr="008E03F4">
        <w:rPr>
          <w:lang w:val="fr-FR"/>
        </w:rPr>
        <w:t xml:space="preserve"> </w:t>
      </w:r>
    </w:p>
    <w:p w14:paraId="73B1B26B" w14:textId="24FDB77E" w:rsidR="008E03F4" w:rsidRPr="008E03F4" w:rsidRDefault="008E03F4" w:rsidP="008E03F4">
      <w:pPr>
        <w:pStyle w:val="SingleTxtG"/>
        <w:rPr>
          <w:lang w:val="fr-FR"/>
        </w:rPr>
      </w:pPr>
      <w:r w:rsidRPr="008E03F4">
        <w:rPr>
          <w:lang w:val="fr-FR"/>
        </w:rPr>
        <w:t>28</w:t>
      </w:r>
      <w:r w:rsidR="006A19EC" w:rsidRPr="006A19EC">
        <w:rPr>
          <w:lang w:val="fr-FR"/>
        </w:rPr>
        <w:t>.</w:t>
      </w:r>
      <w:r w:rsidRPr="008E03F4">
        <w:rPr>
          <w:lang w:val="fr-FR"/>
        </w:rPr>
        <w:tab/>
        <w:t xml:space="preserve">Le 14 décembre 2018, le Comité a adressé au Gouvernement guyanien une lettre dans laquelle il se disait préoccupé par des allégations selon lesquelles la version préliminaire de l’évaluation de l’impact environnemental et social du projet d’exploitation minière du mont </w:t>
      </w:r>
      <w:r w:rsidRPr="008E03F4">
        <w:rPr>
          <w:lang w:val="fr-FR"/>
        </w:rPr>
        <w:lastRenderedPageBreak/>
        <w:t>Marudi aurait été établie sans la pleine participation du peuple autochtone wapichan</w:t>
      </w:r>
      <w:r w:rsidR="006A19EC" w:rsidRPr="006A19EC">
        <w:rPr>
          <w:lang w:val="fr-FR"/>
        </w:rPr>
        <w:t>.</w:t>
      </w:r>
      <w:r w:rsidRPr="008E03F4">
        <w:rPr>
          <w:lang w:val="fr-FR"/>
        </w:rPr>
        <w:t xml:space="preserve"> Le Comité a demandé des informations sur les mesures prises pour</w:t>
      </w:r>
      <w:r w:rsidR="001E77AC">
        <w:rPr>
          <w:lang w:val="fr-FR"/>
        </w:rPr>
        <w:t xml:space="preserve"> </w:t>
      </w:r>
      <w:r w:rsidRPr="008E03F4">
        <w:rPr>
          <w:lang w:val="fr-FR"/>
        </w:rPr>
        <w:t>que la version préliminaire de l’évaluation de l’impact environnemental et social soit abandonnée, qu’une nouvelle évaluation soit faite avec la pleine participation de tous les peuples autochtones touchés par le projet minier et pour que le projet soit suspendu jusqu’à ce que le consentement préalable, libre et éclairé de ces peuples ait été obtenu</w:t>
      </w:r>
      <w:r w:rsidR="006A19EC" w:rsidRPr="006A19EC">
        <w:rPr>
          <w:lang w:val="fr-FR"/>
        </w:rPr>
        <w:t>.</w:t>
      </w:r>
      <w:r w:rsidRPr="008E03F4">
        <w:rPr>
          <w:lang w:val="fr-FR"/>
        </w:rPr>
        <w:t xml:space="preserve"> </w:t>
      </w:r>
    </w:p>
    <w:p w14:paraId="03169C73" w14:textId="7374D6FB" w:rsidR="008E03F4" w:rsidRPr="008E03F4" w:rsidRDefault="008E03F4" w:rsidP="008E03F4">
      <w:pPr>
        <w:pStyle w:val="SingleTxtG"/>
        <w:rPr>
          <w:lang w:val="fr-FR"/>
        </w:rPr>
      </w:pPr>
      <w:r w:rsidRPr="008E03F4">
        <w:rPr>
          <w:lang w:val="fr-FR"/>
        </w:rPr>
        <w:t>29</w:t>
      </w:r>
      <w:r w:rsidR="006A19EC" w:rsidRPr="006A19EC">
        <w:rPr>
          <w:lang w:val="fr-FR"/>
        </w:rPr>
        <w:t>.</w:t>
      </w:r>
      <w:r w:rsidRPr="008E03F4">
        <w:rPr>
          <w:lang w:val="fr-FR"/>
        </w:rPr>
        <w:tab/>
        <w:t>Le 14 décembre 2018, le Comité a adressé au Gouvernement indien une lettre dans laquelle il exprimait sa préoccupation face aux allégations selon lesquelles les Rohingyas étaient la cible de discours de haine et de violences en Inde et devraient peut-être retourner au Myanmar, où ils seraient en butte à la discrimination, aux persécutions et à la haine et où ils avaient subi de graves violations des droits de l’homme</w:t>
      </w:r>
      <w:r w:rsidR="006A19EC" w:rsidRPr="006A19EC">
        <w:rPr>
          <w:lang w:val="fr-FR"/>
        </w:rPr>
        <w:t>.</w:t>
      </w:r>
      <w:r w:rsidRPr="008E03F4">
        <w:rPr>
          <w:lang w:val="fr-FR"/>
        </w:rPr>
        <w:t xml:space="preserve"> Il a demandé des informations sur les mesures prises afin de dégager des moyens suffisants pour remplacer les camps de détention par des installations d’accueil, pour fournir des abris adéquats, des services de base et une assistance humanitaire, et pour garantir le plein respect de l’obligation de non-refoulement</w:t>
      </w:r>
      <w:r w:rsidR="006A19EC" w:rsidRPr="006A19EC">
        <w:rPr>
          <w:lang w:val="fr-FR"/>
        </w:rPr>
        <w:t>.</w:t>
      </w:r>
      <w:r w:rsidRPr="008E03F4">
        <w:rPr>
          <w:lang w:val="fr-FR"/>
        </w:rPr>
        <w:t xml:space="preserve"> </w:t>
      </w:r>
    </w:p>
    <w:p w14:paraId="157C98B5" w14:textId="0102B355" w:rsidR="008E03F4" w:rsidRPr="008E03F4" w:rsidRDefault="008E03F4" w:rsidP="008E03F4">
      <w:pPr>
        <w:pStyle w:val="SingleTxtG"/>
        <w:rPr>
          <w:lang w:val="fr-FR"/>
        </w:rPr>
      </w:pPr>
      <w:r w:rsidRPr="008E03F4">
        <w:rPr>
          <w:lang w:val="fr-FR"/>
        </w:rPr>
        <w:t>30</w:t>
      </w:r>
      <w:r w:rsidR="006A19EC" w:rsidRPr="006A19EC">
        <w:rPr>
          <w:lang w:val="fr-FR"/>
        </w:rPr>
        <w:t>.</w:t>
      </w:r>
      <w:r w:rsidRPr="008E03F4">
        <w:rPr>
          <w:lang w:val="fr-FR"/>
        </w:rPr>
        <w:tab/>
        <w:t>Le 14 décembre 2018, le Comité a adressé au Gouvernement papouan-néo-guinéen une lettre dans laquelle il exprimait sa préoccupation face aux allégations selon lesquelles le Gouvernement continuait d’autoriser des sociétés étrangères à occuper et à utiliser des terres autochtones, notamment à des fins d’exploitation forestière et agricole à grande échelle, dans le cadre de baux commerciaux agricoles spéciaux, malgré les effets négatifs que ces pratiques avaient sur le mode traditionnel de subsistance des peuples autochtones et sur l’environnement</w:t>
      </w:r>
      <w:r w:rsidR="006A19EC" w:rsidRPr="006A19EC">
        <w:rPr>
          <w:lang w:val="fr-FR"/>
        </w:rPr>
        <w:t>.</w:t>
      </w:r>
      <w:r w:rsidRPr="008E03F4">
        <w:rPr>
          <w:lang w:val="fr-FR"/>
        </w:rPr>
        <w:t xml:space="preserve"> Le Comité a demandé des informations sur les mesures prises pour donner suite aux recommandations qu’il avait formulées dans ses précédentes lettres</w:t>
      </w:r>
      <w:r w:rsidR="006A19EC" w:rsidRPr="006A19EC">
        <w:rPr>
          <w:lang w:val="fr-FR"/>
        </w:rPr>
        <w:t>.</w:t>
      </w:r>
      <w:r w:rsidRPr="008E03F4">
        <w:rPr>
          <w:lang w:val="fr-FR"/>
        </w:rPr>
        <w:t xml:space="preserve"> </w:t>
      </w:r>
    </w:p>
    <w:p w14:paraId="67FB22AF" w14:textId="05BC5D40" w:rsidR="008E03F4" w:rsidRPr="008E03F4" w:rsidRDefault="008E03F4" w:rsidP="008E03F4">
      <w:pPr>
        <w:pStyle w:val="SingleTxtG"/>
        <w:rPr>
          <w:lang w:val="fr-FR"/>
        </w:rPr>
      </w:pPr>
      <w:r w:rsidRPr="008E03F4">
        <w:rPr>
          <w:lang w:val="fr-FR"/>
        </w:rPr>
        <w:t>31</w:t>
      </w:r>
      <w:r w:rsidR="006A19EC" w:rsidRPr="006A19EC">
        <w:rPr>
          <w:lang w:val="fr-FR"/>
        </w:rPr>
        <w:t>.</w:t>
      </w:r>
      <w:r w:rsidRPr="008E03F4">
        <w:rPr>
          <w:lang w:val="fr-FR"/>
        </w:rPr>
        <w:tab/>
        <w:t>Le 10 mai 2019, le Comité a adressé au Gouvernement brésilien une lettre dans laquelle il se disait préoccupé par les incidences négatives que la construction d’autoroutes et de voies ferrées dans l’État du Mato Grosso avait pour les droits des Xavante et d’autres peuples autochtones</w:t>
      </w:r>
      <w:r w:rsidR="006A19EC" w:rsidRPr="006A19EC">
        <w:rPr>
          <w:lang w:val="fr-FR"/>
        </w:rPr>
        <w:t>.</w:t>
      </w:r>
      <w:r w:rsidRPr="008E03F4">
        <w:rPr>
          <w:lang w:val="fr-FR"/>
        </w:rPr>
        <w:t xml:space="preserve"> Il s’est également déclaré préoccupé par les allégations selon lesquelles les peuples autochtones concernés n’avaient pas été consultés et n’avaient pas donné leur consentement préalable, libre et éclairé</w:t>
      </w:r>
      <w:r w:rsidR="006A19EC" w:rsidRPr="006A19EC">
        <w:rPr>
          <w:lang w:val="fr-FR"/>
        </w:rPr>
        <w:t>.</w:t>
      </w:r>
      <w:r w:rsidRPr="008E03F4">
        <w:rPr>
          <w:lang w:val="fr-FR"/>
        </w:rPr>
        <w:t xml:space="preserve"> Il a en particulier demandé des informations sur les mesures prises pour que la construction de routes et d’autres ouvrages sur les terres et territoires traditionnels ou à proximité soit suspendue jusqu’à ce que le consentement préalable, libre et éclairé des intéressés ait été obtenu</w:t>
      </w:r>
      <w:r w:rsidR="006A19EC" w:rsidRPr="006A19EC">
        <w:rPr>
          <w:lang w:val="fr-FR"/>
        </w:rPr>
        <w:t>.</w:t>
      </w:r>
      <w:r w:rsidR="001E77AC">
        <w:rPr>
          <w:lang w:val="fr-FR"/>
        </w:rPr>
        <w:t xml:space="preserve"> </w:t>
      </w:r>
    </w:p>
    <w:p w14:paraId="286E76A2" w14:textId="171D6FAF" w:rsidR="008E03F4" w:rsidRPr="008E03F4" w:rsidRDefault="008E03F4" w:rsidP="008E03F4">
      <w:pPr>
        <w:pStyle w:val="SingleTxtG"/>
        <w:rPr>
          <w:lang w:val="fr-FR"/>
        </w:rPr>
      </w:pPr>
      <w:r w:rsidRPr="008E03F4">
        <w:rPr>
          <w:lang w:val="fr-FR"/>
        </w:rPr>
        <w:t>32</w:t>
      </w:r>
      <w:r w:rsidR="006A19EC" w:rsidRPr="006A19EC">
        <w:rPr>
          <w:lang w:val="fr-FR"/>
        </w:rPr>
        <w:t>.</w:t>
      </w:r>
      <w:r w:rsidRPr="008E03F4">
        <w:rPr>
          <w:lang w:val="fr-FR"/>
        </w:rPr>
        <w:tab/>
        <w:t>Le 10 mai 2019, le Comité a adressé au Gouvernement camerounais une lettre dans laquelle il constatait que l’État partie avait accordé à la société Palm Resources Cameroon, au titre d’une dérogation spéciale, un bail à long terme concernant des zones forestières situées sur les terres ancestrales des Bagyeli sans avoir mené de consultations et sans avoir obtenu le consentement préalable, libre et éclairé des communautés concernées</w:t>
      </w:r>
      <w:r w:rsidR="006A19EC" w:rsidRPr="006A19EC">
        <w:rPr>
          <w:lang w:val="fr-FR"/>
        </w:rPr>
        <w:t>.</w:t>
      </w:r>
      <w:r w:rsidRPr="008E03F4">
        <w:rPr>
          <w:lang w:val="fr-FR"/>
        </w:rPr>
        <w:t xml:space="preserve"> Il s’est déclaré préoccupé par les dispositions discriminatoires de la législation de 1974 sur les droits fonciers</w:t>
      </w:r>
      <w:r w:rsidR="006A19EC" w:rsidRPr="006A19EC">
        <w:rPr>
          <w:lang w:val="fr-FR"/>
        </w:rPr>
        <w:t>.</w:t>
      </w:r>
      <w:r w:rsidRPr="008E03F4">
        <w:rPr>
          <w:lang w:val="fr-FR"/>
        </w:rPr>
        <w:t xml:space="preserve"> Il a demandé des informations sur les mesures prises en vue de garantir le respect du droit de ces communautés à la consultation et</w:t>
      </w:r>
      <w:r w:rsidR="001E77AC">
        <w:rPr>
          <w:lang w:val="fr-FR"/>
        </w:rPr>
        <w:t xml:space="preserve"> </w:t>
      </w:r>
      <w:r w:rsidRPr="008E03F4">
        <w:rPr>
          <w:lang w:val="fr-FR"/>
        </w:rPr>
        <w:t>de la règle du consentement préalable, libre et éclairé, pour que ces communautés reçoivent immédiatement</w:t>
      </w:r>
      <w:r w:rsidR="001E77AC">
        <w:rPr>
          <w:lang w:val="fr-FR"/>
        </w:rPr>
        <w:t xml:space="preserve"> </w:t>
      </w:r>
      <w:r w:rsidRPr="008E03F4">
        <w:rPr>
          <w:lang w:val="fr-FR"/>
        </w:rPr>
        <w:t>une réparation complète, y compris sous forme d’indemnisation, et pour que la législation de 1974 soit revue de sorte que les droits des peuples autochtones relatifs à leurs terres traditionnelles soient reconnus, protégés et consacrés par des titres de propriété</w:t>
      </w:r>
      <w:r w:rsidR="006A19EC" w:rsidRPr="006A19EC">
        <w:rPr>
          <w:lang w:val="fr-FR"/>
        </w:rPr>
        <w:t>.</w:t>
      </w:r>
      <w:r w:rsidRPr="008E03F4">
        <w:rPr>
          <w:lang w:val="fr-FR"/>
        </w:rPr>
        <w:t xml:space="preserve"> </w:t>
      </w:r>
    </w:p>
    <w:p w14:paraId="30C9DD46" w14:textId="5EAB8D4E" w:rsidR="008E03F4" w:rsidRPr="008E03F4" w:rsidRDefault="008E03F4" w:rsidP="008E03F4">
      <w:pPr>
        <w:pStyle w:val="SingleTxtG"/>
        <w:rPr>
          <w:lang w:val="fr-FR"/>
        </w:rPr>
      </w:pPr>
      <w:r w:rsidRPr="008E03F4">
        <w:rPr>
          <w:lang w:val="fr-FR"/>
        </w:rPr>
        <w:t>33</w:t>
      </w:r>
      <w:r w:rsidR="006A19EC" w:rsidRPr="006A19EC">
        <w:rPr>
          <w:lang w:val="fr-FR"/>
        </w:rPr>
        <w:t>.</w:t>
      </w:r>
      <w:r w:rsidRPr="008E03F4">
        <w:rPr>
          <w:lang w:val="fr-FR"/>
        </w:rPr>
        <w:tab/>
        <w:t>À la lumière de la réponse que le Gouvernement canadien</w:t>
      </w:r>
      <w:r w:rsidR="001E77AC">
        <w:rPr>
          <w:lang w:val="fr-FR"/>
        </w:rPr>
        <w:t xml:space="preserve"> </w:t>
      </w:r>
      <w:r w:rsidRPr="008E03F4">
        <w:rPr>
          <w:lang w:val="fr-FR"/>
        </w:rPr>
        <w:t>avait faite le 17 avril 2019 à sa précédente lettre, du 14 décembre 2018, le Comité s’est, dans une lettre du 10 mai 2019,</w:t>
      </w:r>
      <w:r w:rsidR="001E77AC">
        <w:rPr>
          <w:lang w:val="fr-FR"/>
        </w:rPr>
        <w:t xml:space="preserve"> </w:t>
      </w:r>
      <w:r w:rsidRPr="008E03F4">
        <w:rPr>
          <w:lang w:val="fr-FR"/>
        </w:rPr>
        <w:t>dit satisfait des informations fournies par l’État partie et</w:t>
      </w:r>
      <w:r w:rsidR="001E77AC">
        <w:rPr>
          <w:lang w:val="fr-FR"/>
        </w:rPr>
        <w:t xml:space="preserve"> </w:t>
      </w:r>
      <w:r w:rsidRPr="008E03F4">
        <w:rPr>
          <w:lang w:val="fr-FR"/>
        </w:rPr>
        <w:t>déclaré préoccupé par les allégations selon lesquelles le peuple autochtone secwepemc n’avait pas donné son accord à l’issue de la consultation relative à la troisième phase du projet d’extension de l’oléoduc Trans Mountain et toutes les communautés concernées n’avaient pas été consultées</w:t>
      </w:r>
      <w:r w:rsidR="006A19EC" w:rsidRPr="006A19EC">
        <w:rPr>
          <w:lang w:val="fr-FR"/>
        </w:rPr>
        <w:t>.</w:t>
      </w:r>
      <w:r w:rsidRPr="008E03F4">
        <w:rPr>
          <w:lang w:val="fr-FR"/>
        </w:rPr>
        <w:t xml:space="preserve"> En particulier, il a instamment prié l’État partie de veiller à ce qu’aucune décision concernant ce projet ne soit prise sans le consentement préalable, libre et éclairé du peuple autochtone secwepemc</w:t>
      </w:r>
      <w:r w:rsidR="006A19EC" w:rsidRPr="006A19EC">
        <w:rPr>
          <w:lang w:val="fr-FR"/>
        </w:rPr>
        <w:t>.</w:t>
      </w:r>
    </w:p>
    <w:p w14:paraId="4B3A97A7" w14:textId="2C5B4F78" w:rsidR="008E03F4" w:rsidRPr="008E03F4" w:rsidRDefault="008E03F4" w:rsidP="008E03F4">
      <w:pPr>
        <w:pStyle w:val="SingleTxtG"/>
        <w:rPr>
          <w:lang w:val="fr-FR"/>
        </w:rPr>
      </w:pPr>
      <w:r w:rsidRPr="008E03F4">
        <w:rPr>
          <w:lang w:val="fr-FR"/>
        </w:rPr>
        <w:t>34</w:t>
      </w:r>
      <w:r w:rsidR="006A19EC" w:rsidRPr="006A19EC">
        <w:rPr>
          <w:lang w:val="fr-FR"/>
        </w:rPr>
        <w:t>.</w:t>
      </w:r>
      <w:r w:rsidRPr="008E03F4">
        <w:rPr>
          <w:lang w:val="fr-FR"/>
        </w:rPr>
        <w:tab/>
        <w:t xml:space="preserve">À la lumière de la réponse que le Gouvernement canadien avait faite le 3 avril 2019 à sa précédente lettre, du 14 décembre 2018, le Comité s’est, dans une lettre du 10 mai 2019, dit satisfait des informations fournies par l’État partie et à nouveau dit préoccupé par le peu de renseignements fournis au sujet des mesures prises pour obtenir le consentement préalable, </w:t>
      </w:r>
      <w:r w:rsidRPr="008E03F4">
        <w:rPr>
          <w:lang w:val="fr-FR"/>
        </w:rPr>
        <w:lastRenderedPageBreak/>
        <w:t>libre et éclairé des intéressés au sujet du cadre relatif aux droits des peuples autochtones et de la nouvelle politique fondée sur les droits qui devait être mise en application en juin 2019</w:t>
      </w:r>
      <w:r w:rsidR="006A19EC" w:rsidRPr="006A19EC">
        <w:rPr>
          <w:lang w:val="fr-FR"/>
        </w:rPr>
        <w:t>.</w:t>
      </w:r>
      <w:r w:rsidRPr="008E03F4">
        <w:rPr>
          <w:lang w:val="fr-FR"/>
        </w:rPr>
        <w:t xml:space="preserve"> Le Comité a instamment prié l’État partie de veiller à ce qu’aucune décision concernant le cadre relatif aux droits des peuples autochtones ou tout autre texte de ce type ne soit prise sans consultation et sans le consentement préalable, libre et éclairé desdits peuples</w:t>
      </w:r>
      <w:r w:rsidR="006A19EC" w:rsidRPr="006A19EC">
        <w:rPr>
          <w:lang w:val="fr-FR"/>
        </w:rPr>
        <w:t>.</w:t>
      </w:r>
    </w:p>
    <w:p w14:paraId="21D8B79D" w14:textId="6CBA1998" w:rsidR="008E03F4" w:rsidRPr="008E03F4" w:rsidRDefault="008E03F4" w:rsidP="008E03F4">
      <w:pPr>
        <w:pStyle w:val="SingleTxtG"/>
        <w:rPr>
          <w:lang w:val="fr-FR"/>
        </w:rPr>
      </w:pPr>
      <w:r w:rsidRPr="008E03F4">
        <w:rPr>
          <w:lang w:val="fr-FR"/>
        </w:rPr>
        <w:t>35</w:t>
      </w:r>
      <w:r w:rsidR="006A19EC" w:rsidRPr="006A19EC">
        <w:rPr>
          <w:lang w:val="fr-FR"/>
        </w:rPr>
        <w:t>.</w:t>
      </w:r>
      <w:r w:rsidRPr="008E03F4">
        <w:rPr>
          <w:lang w:val="fr-FR"/>
        </w:rPr>
        <w:tab/>
        <w:t>Le 10 mai 2019, le Comité a adressé au Gouvernement chilien une lettre dans laquelle il se disait préoccupé par des allégations de profanation du site sacré de Chinay, situé dans le parc national de Villarrica, et d’autres actes de profanation de sites sacrés des peuples autochtones qui auraient eu lieu sur le territoire de l’État partie</w:t>
      </w:r>
      <w:r w:rsidR="006A19EC" w:rsidRPr="006A19EC">
        <w:rPr>
          <w:lang w:val="fr-FR"/>
        </w:rPr>
        <w:t>.</w:t>
      </w:r>
      <w:r w:rsidRPr="008E03F4">
        <w:rPr>
          <w:lang w:val="fr-FR"/>
        </w:rPr>
        <w:t xml:space="preserve"> Il a rappelé les recommandations qu’il avait faites à l’État partie aux paragraphes 11 et 13 de ses précédentes observations finales (</w:t>
      </w:r>
      <w:hyperlink r:id="rId28" w:history="1">
        <w:r w:rsidRPr="001E32CA">
          <w:rPr>
            <w:rStyle w:val="Lienhypertexte"/>
            <w:lang w:val="fr-FR"/>
          </w:rPr>
          <w:t>CERD/C/CHL/CO/19-21</w:t>
        </w:r>
      </w:hyperlink>
      <w:r w:rsidRPr="008E03F4">
        <w:rPr>
          <w:lang w:val="fr-FR"/>
        </w:rPr>
        <w:t>), en 2013</w:t>
      </w:r>
      <w:r w:rsidR="006A19EC" w:rsidRPr="006A19EC">
        <w:rPr>
          <w:lang w:val="fr-FR"/>
        </w:rPr>
        <w:t>.</w:t>
      </w:r>
    </w:p>
    <w:p w14:paraId="1208C2A0" w14:textId="28A4E0AD" w:rsidR="008E03F4" w:rsidRPr="008E03F4" w:rsidRDefault="008E03F4" w:rsidP="008E03F4">
      <w:pPr>
        <w:pStyle w:val="SingleTxtG"/>
        <w:rPr>
          <w:lang w:val="fr-FR"/>
        </w:rPr>
      </w:pPr>
      <w:r w:rsidRPr="008E03F4">
        <w:rPr>
          <w:lang w:val="fr-FR"/>
        </w:rPr>
        <w:t>36</w:t>
      </w:r>
      <w:r w:rsidR="006A19EC" w:rsidRPr="006A19EC">
        <w:rPr>
          <w:lang w:val="fr-FR"/>
        </w:rPr>
        <w:t>.</w:t>
      </w:r>
      <w:r w:rsidRPr="008E03F4">
        <w:rPr>
          <w:lang w:val="fr-FR"/>
        </w:rPr>
        <w:tab/>
        <w:t>Le 10 mai 2019, le Comité a adressé au Gouvernement indien une lettre dans laquelle il se disait préoccupé par le projet de politique forestière nationale soumis à une consultation publique en mars 2018, qui porterait atteinte aux droits des peuples autochtones relatifs à leurs terres traditionnelles et à leur droit d’exercer un contrôle effectif sur les ressources forestières communautaires, notamment en sapant leur structure d’administration (</w:t>
      </w:r>
      <w:r w:rsidRPr="008E03F4">
        <w:rPr>
          <w:i/>
          <w:iCs/>
          <w:lang w:val="fr-FR"/>
        </w:rPr>
        <w:t>Gram Sabhas</w:t>
      </w:r>
      <w:r w:rsidRPr="008E03F4">
        <w:rPr>
          <w:lang w:val="fr-FR"/>
        </w:rPr>
        <w:t>)</w:t>
      </w:r>
      <w:r w:rsidR="006A19EC" w:rsidRPr="006A19EC">
        <w:rPr>
          <w:lang w:val="fr-FR"/>
        </w:rPr>
        <w:t>.</w:t>
      </w:r>
      <w:r w:rsidRPr="008E03F4">
        <w:rPr>
          <w:lang w:val="fr-FR"/>
        </w:rPr>
        <w:t xml:space="preserve"> Il a demandé des informations sur les mesures prises pour que le projet de politique forestière nationale soit abandonné, pour que les peuples autochtones puissent exercer les droits relatifs à leurs terres et territoires et pour qu’il ne soit pas adopté de loi ou de politique qui porte atteinte aux droits des peuples autochtones</w:t>
      </w:r>
      <w:r w:rsidR="006A19EC" w:rsidRPr="006A19EC">
        <w:rPr>
          <w:lang w:val="fr-FR"/>
        </w:rPr>
        <w:t>.</w:t>
      </w:r>
      <w:r w:rsidRPr="008E03F4">
        <w:rPr>
          <w:lang w:val="fr-FR"/>
        </w:rPr>
        <w:t xml:space="preserve"> </w:t>
      </w:r>
    </w:p>
    <w:p w14:paraId="751F3DA0" w14:textId="2BF130B4" w:rsidR="008E03F4" w:rsidRPr="008E03F4" w:rsidRDefault="008E03F4" w:rsidP="008E03F4">
      <w:pPr>
        <w:pStyle w:val="SingleTxtG"/>
        <w:rPr>
          <w:lang w:val="fr-FR"/>
        </w:rPr>
      </w:pPr>
      <w:r w:rsidRPr="008E03F4">
        <w:rPr>
          <w:lang w:val="fr-FR"/>
        </w:rPr>
        <w:t>37</w:t>
      </w:r>
      <w:r w:rsidR="006A19EC" w:rsidRPr="006A19EC">
        <w:rPr>
          <w:lang w:val="fr-FR"/>
        </w:rPr>
        <w:t>.</w:t>
      </w:r>
      <w:r w:rsidRPr="008E03F4">
        <w:rPr>
          <w:lang w:val="fr-FR"/>
        </w:rPr>
        <w:tab/>
        <w:t xml:space="preserve">Le 10 mai 2019, le Comité a adressé au Gouvernement letton une lettre dans laquelle il exprimait sa crainte que le nouveau règlement </w:t>
      </w:r>
      <w:r w:rsidR="00FA4FD9" w:rsidRPr="00FA4FD9">
        <w:rPr>
          <w:rFonts w:eastAsia="MS Mincho"/>
          <w:lang w:val="fr-FR"/>
        </w:rPr>
        <w:t>n</w:t>
      </w:r>
      <w:r w:rsidR="00FA4FD9" w:rsidRPr="00FA4FD9">
        <w:rPr>
          <w:rFonts w:eastAsia="MS Mincho"/>
          <w:vertAlign w:val="superscript"/>
          <w:lang w:val="fr-FR"/>
        </w:rPr>
        <w:t>o</w:t>
      </w:r>
      <w:r w:rsidR="00FA4FD9">
        <w:rPr>
          <w:lang w:val="fr-FR"/>
        </w:rPr>
        <w:t> </w:t>
      </w:r>
      <w:r w:rsidRPr="008E03F4">
        <w:rPr>
          <w:lang w:val="fr-FR"/>
        </w:rPr>
        <w:t xml:space="preserve"> 716 du 21 novembre 2018 sur l’éducation préscolaire ne soit discriminatoire à l’égard des minorités ethniques</w:t>
      </w:r>
      <w:r w:rsidR="006A19EC" w:rsidRPr="006A19EC">
        <w:rPr>
          <w:lang w:val="fr-FR"/>
        </w:rPr>
        <w:t>.</w:t>
      </w:r>
      <w:r w:rsidRPr="008E03F4">
        <w:rPr>
          <w:lang w:val="fr-FR"/>
        </w:rPr>
        <w:t xml:space="preserve"> Il a recommandé à l’État partie de prendre des mesures afin que sa politique et sa législation en matière de langues ne créent pas de discrimination directe ou indirecte et ne restreignent pas les droits des minorités ethniques à l’éducation, à l’emploi et aux services de base</w:t>
      </w:r>
      <w:r w:rsidR="006A19EC" w:rsidRPr="006A19EC">
        <w:rPr>
          <w:lang w:val="fr-FR"/>
        </w:rPr>
        <w:t>.</w:t>
      </w:r>
      <w:r w:rsidRPr="008E03F4">
        <w:rPr>
          <w:lang w:val="fr-FR"/>
        </w:rPr>
        <w:t xml:space="preserve"> Il a également recommandé à l’État partie d’envisager à nouveau de modifier la loi sur l’éducation et demandé des informations sur les mesures prises afin de rendre le nouveau règlement </w:t>
      </w:r>
      <w:r w:rsidR="00BE7987" w:rsidRPr="00BE7987">
        <w:rPr>
          <w:rFonts w:eastAsia="MS Mincho"/>
          <w:lang w:val="fr-FR"/>
        </w:rPr>
        <w:t>n</w:t>
      </w:r>
      <w:r w:rsidR="00BE7987" w:rsidRPr="00BE7987">
        <w:rPr>
          <w:rFonts w:eastAsia="MS Mincho"/>
          <w:vertAlign w:val="superscript"/>
          <w:lang w:val="fr-FR"/>
        </w:rPr>
        <w:t>o</w:t>
      </w:r>
      <w:r w:rsidR="00BE7987">
        <w:rPr>
          <w:lang w:val="fr-FR"/>
        </w:rPr>
        <w:t> </w:t>
      </w:r>
      <w:r w:rsidRPr="008E03F4">
        <w:rPr>
          <w:lang w:val="fr-FR"/>
        </w:rPr>
        <w:t>716 sur l’éducation préscolaire conforme à la Convention</w:t>
      </w:r>
      <w:r w:rsidR="006A19EC" w:rsidRPr="006A19EC">
        <w:rPr>
          <w:lang w:val="fr-FR"/>
        </w:rPr>
        <w:t>.</w:t>
      </w:r>
      <w:r w:rsidRPr="008E03F4">
        <w:rPr>
          <w:lang w:val="fr-FR"/>
        </w:rPr>
        <w:t xml:space="preserve"> </w:t>
      </w:r>
    </w:p>
    <w:p w14:paraId="4A8C2A98" w14:textId="095633DB" w:rsidR="008E03F4" w:rsidRPr="008E03F4" w:rsidRDefault="008E03F4" w:rsidP="008E03F4">
      <w:pPr>
        <w:pStyle w:val="SingleTxtG"/>
        <w:rPr>
          <w:lang w:val="fr-FR"/>
        </w:rPr>
      </w:pPr>
      <w:r w:rsidRPr="008E03F4">
        <w:rPr>
          <w:lang w:val="fr-FR"/>
        </w:rPr>
        <w:t>38</w:t>
      </w:r>
      <w:r w:rsidR="006A19EC" w:rsidRPr="006A19EC">
        <w:rPr>
          <w:lang w:val="fr-FR"/>
        </w:rPr>
        <w:t>.</w:t>
      </w:r>
      <w:r w:rsidRPr="008E03F4">
        <w:rPr>
          <w:lang w:val="fr-FR"/>
        </w:rPr>
        <w:tab/>
        <w:t>Le 10 mai 2019, le Comité a adressé au Gouvernement des États-Unis d’Amérique une lettre dans laquelle il exprimait sa crainte que le projet de construction d’un télescope de 30 mètres sur le volcan Mauna Kea, dans l’État d’Hawaii, ne porte atteinte aux droits des peuples autochtones relatifs à leurs terres ancestrales</w:t>
      </w:r>
      <w:r w:rsidR="006A19EC" w:rsidRPr="006A19EC">
        <w:rPr>
          <w:lang w:val="fr-FR"/>
        </w:rPr>
        <w:t>.</w:t>
      </w:r>
      <w:r w:rsidRPr="008E03F4">
        <w:rPr>
          <w:lang w:val="fr-FR"/>
        </w:rPr>
        <w:t xml:space="preserve"> Il s’est également dit préoccupé par des allégations selon lesquelles les peuples autochtones n’auraient pas été suffisamment consultés et n’auraient pas été invités à donner un consentement préalable, libre et éclairé</w:t>
      </w:r>
      <w:r w:rsidR="006A19EC" w:rsidRPr="006A19EC">
        <w:rPr>
          <w:lang w:val="fr-FR"/>
        </w:rPr>
        <w:t>.</w:t>
      </w:r>
      <w:r w:rsidRPr="008E03F4">
        <w:rPr>
          <w:lang w:val="fr-FR"/>
        </w:rPr>
        <w:t xml:space="preserve"> Il a demandé des renseignements sur les mesures prises en vue de garantir le respect du droit à la consultation et de la règle selon laquelle les autochtones hawaïens touchés par des projets devant être réalisés sur leurs terres et territoires ancestraux ou à proximité devaient donner un consentement préalable, libre et éclairé, et pour que le projet de télescope</w:t>
      </w:r>
      <w:r w:rsidR="001E77AC">
        <w:rPr>
          <w:lang w:val="fr-FR"/>
        </w:rPr>
        <w:t xml:space="preserve"> </w:t>
      </w:r>
      <w:r w:rsidRPr="008E03F4">
        <w:rPr>
          <w:lang w:val="fr-FR"/>
        </w:rPr>
        <w:t>soit suspendu jusqu’à ce que le consentement préalable, libre et éclairé des intéressés ait été obtenu</w:t>
      </w:r>
      <w:r w:rsidR="006A19EC" w:rsidRPr="006A19EC">
        <w:rPr>
          <w:lang w:val="fr-FR"/>
        </w:rPr>
        <w:t>.</w:t>
      </w:r>
      <w:r w:rsidR="001E77AC">
        <w:rPr>
          <w:lang w:val="fr-FR"/>
        </w:rPr>
        <w:t xml:space="preserve"> </w:t>
      </w:r>
    </w:p>
    <w:p w14:paraId="7E4AF2A4" w14:textId="57C0EE10" w:rsidR="001C7648" w:rsidRDefault="008E03F4" w:rsidP="008E03F4">
      <w:pPr>
        <w:pStyle w:val="SingleTxtG"/>
        <w:rPr>
          <w:lang w:val="fr-FR"/>
        </w:rPr>
      </w:pPr>
      <w:r w:rsidRPr="008E03F4">
        <w:rPr>
          <w:lang w:val="fr-FR"/>
        </w:rPr>
        <w:t>39</w:t>
      </w:r>
      <w:r w:rsidR="006A19EC" w:rsidRPr="006A19EC">
        <w:rPr>
          <w:lang w:val="fr-FR"/>
        </w:rPr>
        <w:t>.</w:t>
      </w:r>
      <w:r w:rsidRPr="008E03F4">
        <w:rPr>
          <w:lang w:val="fr-FR"/>
        </w:rPr>
        <w:tab/>
        <w:t>Le 10 mai 2019, le Comité a adressé au Gouvernement des États-Unis d’Amérique une lettre au sujet de la profanation du complexe de dunes de sable de Pu’uone, lieu de sépulture du peuple autochtone kanaka maoli situé au centre de Maui (État d’Hawaii), qui aurait été utilisé pendant des années, sans le consentement préalable, libre et éclairé des Kanaka Maoli, pour des activités extractives qui auraient fait disparaître d’innombrables sépultures</w:t>
      </w:r>
      <w:r w:rsidR="006A19EC" w:rsidRPr="006A19EC">
        <w:rPr>
          <w:lang w:val="fr-FR"/>
        </w:rPr>
        <w:t>.</w:t>
      </w:r>
      <w:r w:rsidRPr="008E03F4">
        <w:rPr>
          <w:lang w:val="fr-FR"/>
        </w:rPr>
        <w:t xml:space="preserve"> Le Comité s’est dit préoccupé par le fait que le cadre juridique établissait des règles plus complexes pour les autochtones hawaiiens que pour le reste de la population s’agissant de la revendication de l’héritage culturel d’un site funéraire</w:t>
      </w:r>
      <w:r w:rsidR="006A19EC" w:rsidRPr="006A19EC">
        <w:rPr>
          <w:lang w:val="fr-FR"/>
        </w:rPr>
        <w:t>.</w:t>
      </w:r>
      <w:r w:rsidRPr="008E03F4">
        <w:rPr>
          <w:lang w:val="fr-FR"/>
        </w:rPr>
        <w:t xml:space="preserve"> </w:t>
      </w:r>
      <w:r w:rsidRPr="008E03F4">
        <w:t>Le Comité a demandé des informations sur les mesures prises en vue de garantir le respect du droit à la consultation et de la règle selon laquelle le consentement préalable, libre et éclairé du peuple autochtone kanaka maoli devait être obtenu pour tout projet en cours ou futur touchant leurs terres traditionnelles, et en vue de réviser la législation en vigueur concernant les lieux de sépulture</w:t>
      </w:r>
      <w:r w:rsidR="006A19EC" w:rsidRPr="006A19EC">
        <w:rPr>
          <w:lang w:val="fr-FR"/>
        </w:rPr>
        <w:t>.</w:t>
      </w:r>
    </w:p>
    <w:p w14:paraId="1C4B6D39" w14:textId="77777777" w:rsidR="00414B29" w:rsidRDefault="00414B29" w:rsidP="00A73F44">
      <w:pPr>
        <w:pStyle w:val="SingleTxtG"/>
      </w:pPr>
      <w:r>
        <w:br w:type="page"/>
      </w:r>
    </w:p>
    <w:p w14:paraId="14A9F010" w14:textId="1F22EC56" w:rsidR="00A73F44" w:rsidRPr="00A73F44" w:rsidRDefault="00A73F44" w:rsidP="00A73F44">
      <w:pPr>
        <w:pStyle w:val="HChG"/>
        <w:rPr>
          <w:lang w:val="fr-FR"/>
        </w:rPr>
      </w:pPr>
      <w:r w:rsidRPr="00A73F44">
        <w:rPr>
          <w:lang w:val="fr-FR"/>
        </w:rPr>
        <w:lastRenderedPageBreak/>
        <w:tab/>
      </w:r>
      <w:bookmarkStart w:id="10" w:name="_Toc428794287"/>
      <w:bookmarkStart w:id="11" w:name="_Toc17361299"/>
      <w:r w:rsidRPr="00A73F44">
        <w:rPr>
          <w:lang w:val="fr-FR"/>
        </w:rPr>
        <w:t>III</w:t>
      </w:r>
      <w:r w:rsidR="006A19EC" w:rsidRPr="006A19EC">
        <w:rPr>
          <w:lang w:val="fr-FR"/>
        </w:rPr>
        <w:t>.</w:t>
      </w:r>
      <w:r w:rsidRPr="00A73F44">
        <w:rPr>
          <w:lang w:val="fr-FR"/>
        </w:rPr>
        <w:tab/>
        <w:t xml:space="preserve">Examen des rapports, observations et renseignements </w:t>
      </w:r>
      <w:r>
        <w:rPr>
          <w:lang w:val="fr-FR"/>
        </w:rPr>
        <w:br/>
      </w:r>
      <w:r w:rsidRPr="00A73F44">
        <w:rPr>
          <w:lang w:val="fr-FR"/>
        </w:rPr>
        <w:t xml:space="preserve">soumis par les États parties en application </w:t>
      </w:r>
      <w:r>
        <w:rPr>
          <w:lang w:val="fr-FR"/>
        </w:rPr>
        <w:br/>
      </w:r>
      <w:r w:rsidRPr="00A73F44">
        <w:rPr>
          <w:lang w:val="fr-FR"/>
        </w:rPr>
        <w:t xml:space="preserve">de l’article 9 de la Convention </w:t>
      </w:r>
      <w:bookmarkEnd w:id="10"/>
      <w:bookmarkEnd w:id="11"/>
    </w:p>
    <w:p w14:paraId="566B4CCF" w14:textId="2BF4B80E" w:rsidR="00A73F44" w:rsidRPr="00A73F44" w:rsidRDefault="00580407" w:rsidP="00A73F44">
      <w:pPr>
        <w:pStyle w:val="SingleTxtG"/>
        <w:rPr>
          <w:bCs/>
          <w:lang w:val="fr-FR"/>
        </w:rPr>
      </w:pPr>
      <w:r>
        <w:rPr>
          <w:bCs/>
          <w:lang w:val="fr-FR"/>
        </w:rPr>
        <w:t>40</w:t>
      </w:r>
      <w:r w:rsidR="006A19EC" w:rsidRPr="006A19EC">
        <w:rPr>
          <w:bCs/>
          <w:lang w:val="fr-FR"/>
        </w:rPr>
        <w:t>.</w:t>
      </w:r>
      <w:r w:rsidR="00A73F44" w:rsidRPr="00A73F44">
        <w:rPr>
          <w:bCs/>
          <w:lang w:val="fr-FR"/>
        </w:rPr>
        <w:tab/>
      </w:r>
      <w:r w:rsidR="00A73F44" w:rsidRPr="00A73F44">
        <w:rPr>
          <w:lang w:val="fr-FR"/>
        </w:rPr>
        <w:t xml:space="preserve">À sa quatre-vingt-seizième session, le Comité a adopté des observations finales concernant les sept États parties suivants : </w:t>
      </w:r>
      <w:r w:rsidR="00A73F44" w:rsidRPr="00A73F44">
        <w:rPr>
          <w:bCs/>
          <w:lang w:val="fr-FR"/>
        </w:rPr>
        <w:t>Bosnie</w:t>
      </w:r>
      <w:r w:rsidR="00A73F44" w:rsidRPr="00A73F44">
        <w:rPr>
          <w:bCs/>
          <w:lang w:val="fr-FR"/>
        </w:rPr>
        <w:noBreakHyphen/>
        <w:t xml:space="preserve">Herzégovine </w:t>
      </w:r>
      <w:r w:rsidR="00A73F44" w:rsidRPr="00A73F44">
        <w:rPr>
          <w:lang w:val="fr-FR"/>
        </w:rPr>
        <w:t>(</w:t>
      </w:r>
      <w:hyperlink r:id="rId29" w:history="1">
        <w:r w:rsidR="00A73F44" w:rsidRPr="00A73F44">
          <w:rPr>
            <w:rStyle w:val="Lienhypertexte"/>
            <w:lang w:val="fr-FR"/>
          </w:rPr>
          <w:t>CERD/C/BIH/CO/12-13</w:t>
        </w:r>
      </w:hyperlink>
      <w:r w:rsidR="00A73F44" w:rsidRPr="00A73F44">
        <w:rPr>
          <w:lang w:val="fr-FR"/>
        </w:rPr>
        <w:t>), Chine (y compris Hong Kong (Chine) et Macao (Chine)) (</w:t>
      </w:r>
      <w:hyperlink r:id="rId30" w:history="1">
        <w:r w:rsidR="00A73F44" w:rsidRPr="00A73F44">
          <w:rPr>
            <w:rStyle w:val="Lienhypertexte"/>
            <w:lang w:val="fr-FR"/>
          </w:rPr>
          <w:t>CERD/C/CHN/CO/14-17</w:t>
        </w:r>
      </w:hyperlink>
      <w:r w:rsidR="00A73F44" w:rsidRPr="00A73F44">
        <w:rPr>
          <w:lang w:val="fr-FR"/>
        </w:rPr>
        <w:t>), Cuba (</w:t>
      </w:r>
      <w:hyperlink r:id="rId31" w:history="1">
        <w:r w:rsidR="00A73F44" w:rsidRPr="00A73F44">
          <w:rPr>
            <w:rStyle w:val="Lienhypertexte"/>
            <w:lang w:val="fr-FR"/>
          </w:rPr>
          <w:t>CERD/C/CUB/CO/19-21</w:t>
        </w:r>
      </w:hyperlink>
      <w:r w:rsidR="00A73F44" w:rsidRPr="00A73F44">
        <w:rPr>
          <w:lang w:val="fr-FR"/>
        </w:rPr>
        <w:t>), Japon (</w:t>
      </w:r>
      <w:hyperlink r:id="rId32" w:history="1">
        <w:r w:rsidR="00A73F44" w:rsidRPr="00A73F44">
          <w:rPr>
            <w:rStyle w:val="Lienhypertexte"/>
            <w:lang w:val="fr-FR"/>
          </w:rPr>
          <w:t>CERD/C/JPN/CO/10-11</w:t>
        </w:r>
      </w:hyperlink>
      <w:r w:rsidR="00A73F44" w:rsidRPr="00A73F44">
        <w:rPr>
          <w:lang w:val="fr-FR"/>
        </w:rPr>
        <w:t>), Lettonie (</w:t>
      </w:r>
      <w:hyperlink r:id="rId33" w:history="1">
        <w:r w:rsidR="00A73F44" w:rsidRPr="00A73F44">
          <w:rPr>
            <w:rStyle w:val="Lienhypertexte"/>
            <w:bCs/>
            <w:lang w:val="fr-FR"/>
          </w:rPr>
          <w:t>CERD/C/LVA/CO/6-12</w:t>
        </w:r>
      </w:hyperlink>
      <w:r w:rsidR="00A73F44" w:rsidRPr="00A73F44">
        <w:rPr>
          <w:bCs/>
          <w:lang w:val="fr-FR"/>
        </w:rPr>
        <w:t>), Maurice (</w:t>
      </w:r>
      <w:bookmarkStart w:id="12" w:name="_Hlk17128982"/>
      <w:r w:rsidR="00A73F44" w:rsidRPr="00A73F44">
        <w:rPr>
          <w:bCs/>
          <w:lang w:val="fr-FR"/>
        </w:rPr>
        <w:fldChar w:fldCharType="begin"/>
      </w:r>
      <w:r w:rsidR="00A73F44" w:rsidRPr="00A73F44">
        <w:rPr>
          <w:bCs/>
          <w:lang w:val="fr-FR"/>
        </w:rPr>
        <w:instrText>HYPERLINK "http://undocs.org/fr/CERD/C/MUS/CO/20-23"</w:instrText>
      </w:r>
      <w:r w:rsidR="00A73F44" w:rsidRPr="00A73F44">
        <w:rPr>
          <w:bCs/>
          <w:lang w:val="fr-FR"/>
        </w:rPr>
        <w:fldChar w:fldCharType="separate"/>
      </w:r>
      <w:r w:rsidR="00A73F44" w:rsidRPr="00A73F44">
        <w:rPr>
          <w:rStyle w:val="Lienhypertexte"/>
          <w:bCs/>
          <w:lang w:val="fr-FR"/>
        </w:rPr>
        <w:t>CERD/C/MUS/C</w:t>
      </w:r>
      <w:r w:rsidR="00A73F44" w:rsidRPr="00A73F44">
        <w:rPr>
          <w:rStyle w:val="Lienhypertexte"/>
          <w:bCs/>
          <w:lang w:val="fr-FR"/>
        </w:rPr>
        <w:t>O</w:t>
      </w:r>
      <w:r w:rsidR="00A73F44" w:rsidRPr="00A73F44">
        <w:rPr>
          <w:rStyle w:val="Lienhypertexte"/>
          <w:bCs/>
          <w:lang w:val="fr-FR"/>
        </w:rPr>
        <w:t>/20-23</w:t>
      </w:r>
      <w:r w:rsidR="00A73F44" w:rsidRPr="00A73F44">
        <w:fldChar w:fldCharType="end"/>
      </w:r>
      <w:bookmarkEnd w:id="12"/>
      <w:r w:rsidR="00A73F44" w:rsidRPr="00A73F44">
        <w:rPr>
          <w:bCs/>
          <w:lang w:val="fr-FR"/>
        </w:rPr>
        <w:t>) et Monténégro (</w:t>
      </w:r>
      <w:hyperlink r:id="rId34" w:history="1">
        <w:r w:rsidR="00A73F44" w:rsidRPr="00A73F44">
          <w:rPr>
            <w:rStyle w:val="Lienhypertexte"/>
            <w:bCs/>
            <w:lang w:val="fr-FR"/>
          </w:rPr>
          <w:t>CERD/C/MNE/CO/4-6</w:t>
        </w:r>
      </w:hyperlink>
      <w:r w:rsidR="00A73F44" w:rsidRPr="00A73F44">
        <w:rPr>
          <w:bCs/>
          <w:lang w:val="fr-FR"/>
        </w:rPr>
        <w:t>)</w:t>
      </w:r>
      <w:r w:rsidR="006A19EC" w:rsidRPr="006A19EC">
        <w:rPr>
          <w:bCs/>
          <w:lang w:val="fr-FR"/>
        </w:rPr>
        <w:t>.</w:t>
      </w:r>
      <w:r w:rsidR="00A73F44" w:rsidRPr="00A73F44">
        <w:rPr>
          <w:bCs/>
          <w:lang w:val="fr-FR"/>
        </w:rPr>
        <w:t xml:space="preserve"> </w:t>
      </w:r>
    </w:p>
    <w:p w14:paraId="6D6E8779" w14:textId="5036C511" w:rsidR="00A73F44" w:rsidRPr="00A73F44" w:rsidRDefault="00A73F44" w:rsidP="00A73F44">
      <w:pPr>
        <w:pStyle w:val="SingleTxtG"/>
        <w:rPr>
          <w:bCs/>
          <w:lang w:val="fr-FR"/>
        </w:rPr>
      </w:pPr>
      <w:r w:rsidRPr="00A73F44">
        <w:rPr>
          <w:lang w:val="fr-FR"/>
        </w:rPr>
        <w:t>4</w:t>
      </w:r>
      <w:r w:rsidR="00580407">
        <w:rPr>
          <w:lang w:val="fr-FR"/>
        </w:rPr>
        <w:t>1</w:t>
      </w:r>
      <w:r w:rsidR="006A19EC" w:rsidRPr="006A19EC">
        <w:rPr>
          <w:lang w:val="fr-FR"/>
        </w:rPr>
        <w:t>.</w:t>
      </w:r>
      <w:r w:rsidRPr="00A73F44">
        <w:rPr>
          <w:lang w:val="fr-FR"/>
        </w:rPr>
        <w:tab/>
        <w:t xml:space="preserve">À sa quatre-vingt-dix-septième session, le Comité a adopté des observations finales concernant les six États parties suivants : </w:t>
      </w:r>
      <w:r w:rsidRPr="00A73F44">
        <w:rPr>
          <w:bCs/>
          <w:lang w:val="fr-FR"/>
        </w:rPr>
        <w:t>Albanie (</w:t>
      </w:r>
      <w:hyperlink r:id="rId35" w:history="1">
        <w:r w:rsidRPr="00A73F44">
          <w:rPr>
            <w:rStyle w:val="Lienhypertexte"/>
            <w:bCs/>
            <w:lang w:val="fr-FR"/>
          </w:rPr>
          <w:t>CERD/C/ALB/CO/9-12</w:t>
        </w:r>
      </w:hyperlink>
      <w:r w:rsidRPr="00A73F44">
        <w:rPr>
          <w:bCs/>
          <w:lang w:val="fr-FR"/>
        </w:rPr>
        <w:t>), Honduras (</w:t>
      </w:r>
      <w:hyperlink r:id="rId36" w:history="1">
        <w:r w:rsidRPr="00A73F44">
          <w:rPr>
            <w:rStyle w:val="Lienhypertexte"/>
            <w:bCs/>
            <w:lang w:val="fr-FR"/>
          </w:rPr>
          <w:t>CERD/C/HND/CO/6-8</w:t>
        </w:r>
      </w:hyperlink>
      <w:r w:rsidRPr="00A73F44">
        <w:rPr>
          <w:bCs/>
          <w:lang w:val="fr-FR"/>
        </w:rPr>
        <w:t>), Iraq (</w:t>
      </w:r>
      <w:hyperlink r:id="rId37" w:history="1">
        <w:r w:rsidRPr="00A73F44">
          <w:rPr>
            <w:rStyle w:val="Lienhypertexte"/>
            <w:bCs/>
            <w:lang w:val="fr-FR"/>
          </w:rPr>
          <w:t>CERD/C/IRQ/CO/22-25</w:t>
        </w:r>
      </w:hyperlink>
      <w:r w:rsidRPr="00A73F44">
        <w:rPr>
          <w:bCs/>
          <w:lang w:val="fr-FR"/>
        </w:rPr>
        <w:t>), Norvège (</w:t>
      </w:r>
      <w:hyperlink r:id="rId38" w:history="1">
        <w:r w:rsidRPr="00A73F44">
          <w:rPr>
            <w:rStyle w:val="Lienhypertexte"/>
            <w:bCs/>
            <w:lang w:val="fr-FR"/>
          </w:rPr>
          <w:t>CERD/C/NOR/CO/23-24</w:t>
        </w:r>
      </w:hyperlink>
      <w:r w:rsidRPr="00A73F44">
        <w:rPr>
          <w:bCs/>
          <w:lang w:val="fr-FR"/>
        </w:rPr>
        <w:t>), Qatar (</w:t>
      </w:r>
      <w:hyperlink r:id="rId39" w:history="1">
        <w:r w:rsidRPr="00A73F44">
          <w:rPr>
            <w:rStyle w:val="Lienhypertexte"/>
            <w:bCs/>
            <w:lang w:val="fr-FR"/>
          </w:rPr>
          <w:t>CERD/C/QAT/CO/17-21</w:t>
        </w:r>
      </w:hyperlink>
      <w:r w:rsidRPr="00A73F44">
        <w:rPr>
          <w:bCs/>
          <w:lang w:val="fr-FR"/>
        </w:rPr>
        <w:t>) et République de Corée (</w:t>
      </w:r>
      <w:hyperlink r:id="rId40" w:history="1">
        <w:r w:rsidRPr="00A73F44">
          <w:rPr>
            <w:rStyle w:val="Lienhypertexte"/>
            <w:bCs/>
            <w:lang w:val="fr-FR"/>
          </w:rPr>
          <w:t>CERD/C/KOR/CO/17-19</w:t>
        </w:r>
      </w:hyperlink>
      <w:r w:rsidRPr="00A73F44">
        <w:rPr>
          <w:bCs/>
          <w:lang w:val="fr-FR"/>
        </w:rPr>
        <w:t>)</w:t>
      </w:r>
      <w:r w:rsidR="006A19EC" w:rsidRPr="006A19EC">
        <w:rPr>
          <w:bCs/>
          <w:lang w:val="fr-FR"/>
        </w:rPr>
        <w:t>.</w:t>
      </w:r>
      <w:r w:rsidRPr="00A73F44">
        <w:rPr>
          <w:bCs/>
          <w:lang w:val="fr-FR"/>
        </w:rPr>
        <w:t xml:space="preserve"> </w:t>
      </w:r>
    </w:p>
    <w:p w14:paraId="44502AD6" w14:textId="0D114226" w:rsidR="00A73F44" w:rsidRPr="00A73F44" w:rsidRDefault="00A73F44" w:rsidP="00A73F44">
      <w:pPr>
        <w:pStyle w:val="SingleTxtG"/>
        <w:rPr>
          <w:bCs/>
          <w:lang w:val="fr-FR"/>
        </w:rPr>
      </w:pPr>
      <w:r w:rsidRPr="00A73F44">
        <w:rPr>
          <w:bCs/>
          <w:lang w:val="fr-FR"/>
        </w:rPr>
        <w:t>4</w:t>
      </w:r>
      <w:r w:rsidR="00580407">
        <w:rPr>
          <w:bCs/>
          <w:lang w:val="fr-FR"/>
        </w:rPr>
        <w:t>2</w:t>
      </w:r>
      <w:r w:rsidR="006A19EC" w:rsidRPr="006A19EC">
        <w:rPr>
          <w:bCs/>
          <w:lang w:val="fr-FR"/>
        </w:rPr>
        <w:t>.</w:t>
      </w:r>
      <w:r w:rsidRPr="00A73F44">
        <w:rPr>
          <w:bCs/>
          <w:lang w:val="fr-FR"/>
        </w:rPr>
        <w:tab/>
        <w:t>À sa quatre-vingt-dix-huitième session, le Comité a adopté des observations finales concernant les cinq États parties suivants : Andorre (</w:t>
      </w:r>
      <w:hyperlink r:id="rId41" w:history="1">
        <w:r w:rsidRPr="00A73F44">
          <w:rPr>
            <w:rStyle w:val="Lienhypertexte"/>
            <w:bCs/>
            <w:lang w:val="fr-FR"/>
          </w:rPr>
          <w:t>CERD/C/AND/CO/1-6</w:t>
        </w:r>
      </w:hyperlink>
      <w:r w:rsidRPr="00A73F44">
        <w:rPr>
          <w:bCs/>
          <w:lang w:val="fr-FR"/>
        </w:rPr>
        <w:t>), Guatemala (</w:t>
      </w:r>
      <w:hyperlink r:id="rId42" w:history="1">
        <w:r w:rsidRPr="00A73F44">
          <w:rPr>
            <w:rStyle w:val="Lienhypertexte"/>
            <w:bCs/>
            <w:lang w:val="fr-FR"/>
          </w:rPr>
          <w:t>CERD/C/GTM/CO/16-17</w:t>
        </w:r>
      </w:hyperlink>
      <w:r w:rsidRPr="00A73F44">
        <w:rPr>
          <w:bCs/>
          <w:lang w:val="fr-FR"/>
        </w:rPr>
        <w:t>), Hongrie (</w:t>
      </w:r>
      <w:hyperlink r:id="rId43" w:history="1">
        <w:r w:rsidRPr="00A73F44">
          <w:rPr>
            <w:rStyle w:val="Lienhypertexte"/>
            <w:bCs/>
            <w:lang w:val="fr-FR"/>
          </w:rPr>
          <w:t>CERD/C/HUN/CO/18-25</w:t>
        </w:r>
      </w:hyperlink>
      <w:r w:rsidRPr="00A73F44">
        <w:rPr>
          <w:bCs/>
          <w:lang w:val="fr-FR"/>
        </w:rPr>
        <w:t>), Lituanie (</w:t>
      </w:r>
      <w:hyperlink r:id="rId44" w:history="1">
        <w:r w:rsidRPr="00A73F44">
          <w:rPr>
            <w:rStyle w:val="Lienhypertexte"/>
            <w:bCs/>
            <w:lang w:val="fr-FR"/>
          </w:rPr>
          <w:t>CERD/C/LTU/CO/9-10</w:t>
        </w:r>
      </w:hyperlink>
      <w:r w:rsidRPr="00A73F44">
        <w:rPr>
          <w:bCs/>
          <w:lang w:val="fr-FR"/>
        </w:rPr>
        <w:t>) et Zambie (</w:t>
      </w:r>
      <w:hyperlink r:id="rId45" w:history="1">
        <w:r w:rsidRPr="00A73F44">
          <w:rPr>
            <w:rStyle w:val="Lienhypertexte"/>
            <w:bCs/>
            <w:lang w:val="fr-FR"/>
          </w:rPr>
          <w:t>CERD/C/ZMB/CO/17-19</w:t>
        </w:r>
      </w:hyperlink>
      <w:r w:rsidRPr="00A73F44">
        <w:rPr>
          <w:bCs/>
          <w:lang w:val="fr-FR"/>
        </w:rPr>
        <w:t>)</w:t>
      </w:r>
      <w:r w:rsidR="006A19EC" w:rsidRPr="006A19EC">
        <w:rPr>
          <w:bCs/>
          <w:lang w:val="fr-FR"/>
        </w:rPr>
        <w:t>.</w:t>
      </w:r>
      <w:r w:rsidRPr="00A73F44">
        <w:rPr>
          <w:bCs/>
          <w:lang w:val="fr-FR"/>
        </w:rPr>
        <w:t xml:space="preserve"> </w:t>
      </w:r>
    </w:p>
    <w:p w14:paraId="52883393" w14:textId="6902AAB9" w:rsidR="00A73F44" w:rsidRPr="00A73F44" w:rsidRDefault="00A73F44" w:rsidP="00A73F44">
      <w:pPr>
        <w:pStyle w:val="SingleTxtG"/>
        <w:rPr>
          <w:lang w:val="fr-FR"/>
        </w:rPr>
      </w:pPr>
      <w:r w:rsidRPr="00A73F44">
        <w:rPr>
          <w:lang w:val="fr-FR"/>
        </w:rPr>
        <w:t>4</w:t>
      </w:r>
      <w:r w:rsidR="00580407">
        <w:rPr>
          <w:lang w:val="fr-FR"/>
        </w:rPr>
        <w:t>3</w:t>
      </w:r>
      <w:r w:rsidR="006A19EC" w:rsidRPr="006A19EC">
        <w:rPr>
          <w:lang w:val="fr-FR"/>
        </w:rPr>
        <w:t>.</w:t>
      </w:r>
      <w:r w:rsidRPr="00A73F44">
        <w:rPr>
          <w:lang w:val="fr-FR"/>
        </w:rPr>
        <w:tab/>
      </w:r>
      <w:r w:rsidRPr="00A73F44">
        <w:rPr>
          <w:bCs/>
          <w:lang w:val="fr-FR"/>
        </w:rPr>
        <w:t>Les rapporteurs de pays étaient les suivants :</w:t>
      </w:r>
    </w:p>
    <w:p w14:paraId="4E2F7474" w14:textId="4439855A" w:rsidR="00A73F44" w:rsidRPr="00A73F44" w:rsidRDefault="00A73F44" w:rsidP="00BE7987">
      <w:pPr>
        <w:pStyle w:val="SingleTxtG"/>
        <w:ind w:left="5103" w:hanging="3402"/>
        <w:jc w:val="left"/>
        <w:rPr>
          <w:bCs/>
          <w:lang w:val="fr-FR"/>
        </w:rPr>
      </w:pPr>
      <w:r w:rsidRPr="00A73F44">
        <w:rPr>
          <w:bCs/>
          <w:lang w:val="fr-FR"/>
        </w:rPr>
        <w:t>Albanie</w:t>
      </w:r>
      <w:r w:rsidRPr="00A73F44">
        <w:rPr>
          <w:bCs/>
          <w:lang w:val="fr-FR"/>
        </w:rPr>
        <w:tab/>
        <w:t>M</w:t>
      </w:r>
      <w:r w:rsidR="006A19EC" w:rsidRPr="006A19EC">
        <w:rPr>
          <w:bCs/>
          <w:lang w:val="fr-FR"/>
        </w:rPr>
        <w:t>.</w:t>
      </w:r>
      <w:r w:rsidRPr="00A73F44">
        <w:rPr>
          <w:bCs/>
          <w:lang w:val="fr-FR"/>
        </w:rPr>
        <w:t> Kut</w:t>
      </w:r>
    </w:p>
    <w:p w14:paraId="0D936F1E" w14:textId="2043FF45" w:rsidR="00A73F44" w:rsidRPr="00A73F44" w:rsidRDefault="00A73F44" w:rsidP="00BE7987">
      <w:pPr>
        <w:pStyle w:val="SingleTxtG"/>
        <w:ind w:left="5103" w:hanging="3402"/>
        <w:jc w:val="left"/>
        <w:rPr>
          <w:bCs/>
          <w:lang w:val="fr-FR"/>
        </w:rPr>
      </w:pPr>
      <w:r w:rsidRPr="00A73F44">
        <w:rPr>
          <w:bCs/>
          <w:lang w:val="fr-FR"/>
        </w:rPr>
        <w:t>Andorre</w:t>
      </w:r>
      <w:r w:rsidRPr="00A73F44">
        <w:rPr>
          <w:bCs/>
          <w:lang w:val="fr-FR"/>
        </w:rPr>
        <w:tab/>
        <w:t>M</w:t>
      </w:r>
      <w:r w:rsidR="006A19EC" w:rsidRPr="006A19EC">
        <w:rPr>
          <w:bCs/>
          <w:lang w:val="fr-FR"/>
        </w:rPr>
        <w:t>.</w:t>
      </w:r>
      <w:r w:rsidRPr="00A73F44">
        <w:rPr>
          <w:bCs/>
          <w:lang w:val="fr-FR"/>
        </w:rPr>
        <w:t> Diaby</w:t>
      </w:r>
    </w:p>
    <w:p w14:paraId="6C1A97BB" w14:textId="77777777" w:rsidR="00A73F44" w:rsidRPr="00A73F44" w:rsidRDefault="00A73F44" w:rsidP="00BE7987">
      <w:pPr>
        <w:pStyle w:val="SingleTxtG"/>
        <w:ind w:left="5103" w:hanging="3402"/>
        <w:jc w:val="left"/>
        <w:rPr>
          <w:bCs/>
          <w:lang w:val="fr-FR"/>
        </w:rPr>
      </w:pPr>
      <w:r w:rsidRPr="00A73F44">
        <w:rPr>
          <w:bCs/>
          <w:lang w:val="fr-FR"/>
        </w:rPr>
        <w:t>Bosnie-Herzégovine</w:t>
      </w:r>
      <w:r w:rsidRPr="00A73F44">
        <w:rPr>
          <w:bCs/>
          <w:lang w:val="fr-FR"/>
        </w:rPr>
        <w:tab/>
        <w:t>M</w:t>
      </w:r>
      <w:r w:rsidRPr="00A73F44">
        <w:rPr>
          <w:bCs/>
          <w:vertAlign w:val="superscript"/>
          <w:lang w:val="fr-FR"/>
        </w:rPr>
        <w:t>me</w:t>
      </w:r>
      <w:r w:rsidRPr="00A73F44">
        <w:rPr>
          <w:bCs/>
          <w:lang w:val="fr-FR"/>
        </w:rPr>
        <w:t> Shepherd</w:t>
      </w:r>
    </w:p>
    <w:p w14:paraId="533BC5DC" w14:textId="2BA1D121" w:rsidR="00A73F44" w:rsidRPr="00A73F44" w:rsidRDefault="00A73F44" w:rsidP="00BE7987">
      <w:pPr>
        <w:pStyle w:val="SingleTxtG"/>
        <w:spacing w:after="0"/>
        <w:ind w:left="5103" w:hanging="3402"/>
        <w:jc w:val="left"/>
      </w:pPr>
      <w:r w:rsidRPr="00A73F44">
        <w:rPr>
          <w:lang w:val="fr-FR"/>
        </w:rPr>
        <w:t>Chine</w:t>
      </w:r>
      <w:r>
        <w:rPr>
          <w:lang w:val="fr-FR"/>
        </w:rPr>
        <w:t xml:space="preserve"> </w:t>
      </w:r>
      <w:r w:rsidRPr="00A73F44">
        <w:rPr>
          <w:lang w:val="fr-FR"/>
        </w:rPr>
        <w:t>(y compris Hong Kong</w:t>
      </w:r>
      <w:r>
        <w:rPr>
          <w:lang w:val="fr-FR"/>
        </w:rPr>
        <w:tab/>
      </w:r>
      <w:r w:rsidRPr="00A73F44">
        <w:t>M</w:t>
      </w:r>
      <w:r w:rsidR="006A19EC" w:rsidRPr="006A19EC">
        <w:t>.</w:t>
      </w:r>
      <w:r w:rsidRPr="00A73F44">
        <w:t> Marugán</w:t>
      </w:r>
    </w:p>
    <w:p w14:paraId="37227C89" w14:textId="273CA3A6" w:rsidR="00A73F44" w:rsidRPr="00124804" w:rsidRDefault="00A73F44" w:rsidP="00BE7987">
      <w:pPr>
        <w:pStyle w:val="SingleTxtG"/>
        <w:ind w:left="5103" w:hanging="3402"/>
        <w:jc w:val="left"/>
      </w:pPr>
      <w:r w:rsidRPr="00A73F44">
        <w:rPr>
          <w:lang w:val="fr-FR"/>
        </w:rPr>
        <w:t>(Chine)</w:t>
      </w:r>
      <w:r w:rsidR="003E21E9">
        <w:rPr>
          <w:lang w:val="fr-FR"/>
        </w:rPr>
        <w:t xml:space="preserve"> </w:t>
      </w:r>
      <w:r w:rsidRPr="00124804">
        <w:t>et Macao (Chine))</w:t>
      </w:r>
      <w:r w:rsidRPr="00124804">
        <w:tab/>
      </w:r>
    </w:p>
    <w:p w14:paraId="41107806" w14:textId="3BAF7F3E" w:rsidR="00A73F44" w:rsidRPr="00124804" w:rsidRDefault="00A73F44" w:rsidP="00BE7987">
      <w:pPr>
        <w:pStyle w:val="SingleTxtG"/>
        <w:ind w:left="5103" w:hanging="3402"/>
        <w:jc w:val="left"/>
      </w:pPr>
      <w:r w:rsidRPr="00124804">
        <w:t>Cuba</w:t>
      </w:r>
      <w:r w:rsidRPr="00124804">
        <w:tab/>
        <w:t>M</w:t>
      </w:r>
      <w:r w:rsidR="006A19EC" w:rsidRPr="006A19EC">
        <w:t>.</w:t>
      </w:r>
      <w:r w:rsidRPr="00124804">
        <w:t> Albuquerque e Silva</w:t>
      </w:r>
    </w:p>
    <w:p w14:paraId="2FD9595E" w14:textId="68901D87" w:rsidR="00A73F44" w:rsidRPr="00A73F44" w:rsidRDefault="00A73F44" w:rsidP="00BE7987">
      <w:pPr>
        <w:pStyle w:val="SingleTxtG"/>
        <w:ind w:left="5103" w:hanging="3402"/>
        <w:jc w:val="left"/>
        <w:rPr>
          <w:lang w:val="es-ES"/>
        </w:rPr>
      </w:pPr>
      <w:r w:rsidRPr="00A73F44">
        <w:rPr>
          <w:lang w:val="es-ES"/>
        </w:rPr>
        <w:t>Guatemala</w:t>
      </w:r>
      <w:r w:rsidRPr="00A73F44">
        <w:rPr>
          <w:lang w:val="es-ES"/>
        </w:rPr>
        <w:tab/>
        <w:t>M</w:t>
      </w:r>
      <w:r w:rsidR="006A19EC" w:rsidRPr="006A19EC">
        <w:rPr>
          <w:lang w:val="es-ES"/>
        </w:rPr>
        <w:t>.</w:t>
      </w:r>
      <w:r w:rsidRPr="00A73F44">
        <w:rPr>
          <w:lang w:val="es-ES"/>
        </w:rPr>
        <w:t> Avtonomov</w:t>
      </w:r>
    </w:p>
    <w:p w14:paraId="40464729" w14:textId="77777777" w:rsidR="00A73F44" w:rsidRPr="00A73F44" w:rsidRDefault="00A73F44" w:rsidP="00BE7987">
      <w:pPr>
        <w:pStyle w:val="SingleTxtG"/>
        <w:ind w:left="5103" w:hanging="3402"/>
        <w:jc w:val="left"/>
        <w:rPr>
          <w:lang w:val="es-ES"/>
        </w:rPr>
      </w:pPr>
      <w:r w:rsidRPr="00A73F44">
        <w:rPr>
          <w:lang w:val="es-ES"/>
        </w:rPr>
        <w:t>Hongrie</w:t>
      </w:r>
      <w:r w:rsidRPr="00A73F44">
        <w:rPr>
          <w:lang w:val="es-ES"/>
        </w:rPr>
        <w:tab/>
        <w:t>M</w:t>
      </w:r>
      <w:r w:rsidRPr="00A73F44">
        <w:rPr>
          <w:vertAlign w:val="superscript"/>
          <w:lang w:val="es-ES"/>
        </w:rPr>
        <w:t>me</w:t>
      </w:r>
      <w:r w:rsidRPr="00A73F44">
        <w:rPr>
          <w:lang w:val="es-ES"/>
        </w:rPr>
        <w:t> Ko</w:t>
      </w:r>
    </w:p>
    <w:p w14:paraId="6324CBD4" w14:textId="01B1EDA8" w:rsidR="00A73F44" w:rsidRPr="00A73F44" w:rsidRDefault="00A73F44" w:rsidP="00BE7987">
      <w:pPr>
        <w:pStyle w:val="SingleTxtG"/>
        <w:ind w:left="5103" w:hanging="3402"/>
        <w:jc w:val="left"/>
        <w:rPr>
          <w:bCs/>
          <w:lang w:val="es-ES"/>
        </w:rPr>
      </w:pPr>
      <w:r w:rsidRPr="00A73F44">
        <w:rPr>
          <w:lang w:val="es-ES"/>
        </w:rPr>
        <w:t>Honduras</w:t>
      </w:r>
      <w:r w:rsidRPr="00A73F44">
        <w:rPr>
          <w:lang w:val="es-ES"/>
        </w:rPr>
        <w:tab/>
      </w:r>
      <w:r w:rsidRPr="00A73F44">
        <w:rPr>
          <w:bCs/>
          <w:lang w:val="es-ES"/>
        </w:rPr>
        <w:t>M</w:t>
      </w:r>
      <w:r w:rsidR="006A19EC" w:rsidRPr="006A19EC">
        <w:rPr>
          <w:bCs/>
          <w:lang w:val="es-ES"/>
        </w:rPr>
        <w:t>.</w:t>
      </w:r>
      <w:r w:rsidRPr="00A73F44">
        <w:rPr>
          <w:bCs/>
          <w:lang w:val="es-ES"/>
        </w:rPr>
        <w:t> Murillo Martínez</w:t>
      </w:r>
    </w:p>
    <w:p w14:paraId="15AC7F5A" w14:textId="195ED275" w:rsidR="00A73F44" w:rsidRPr="00A73F44" w:rsidRDefault="00A73F44" w:rsidP="00BE7987">
      <w:pPr>
        <w:pStyle w:val="SingleTxtG"/>
        <w:ind w:left="5103" w:hanging="3402"/>
        <w:jc w:val="left"/>
        <w:rPr>
          <w:lang w:val="fr-FR"/>
        </w:rPr>
      </w:pPr>
      <w:r w:rsidRPr="00A73F44">
        <w:rPr>
          <w:bCs/>
          <w:lang w:val="fr-FR"/>
        </w:rPr>
        <w:t>Iraq</w:t>
      </w:r>
      <w:r w:rsidRPr="00A73F44">
        <w:rPr>
          <w:bCs/>
          <w:lang w:val="fr-FR"/>
        </w:rPr>
        <w:tab/>
      </w:r>
      <w:r w:rsidRPr="00A73F44">
        <w:rPr>
          <w:lang w:val="fr-FR"/>
        </w:rPr>
        <w:t>M</w:t>
      </w:r>
      <w:r w:rsidR="006A19EC" w:rsidRPr="006A19EC">
        <w:rPr>
          <w:lang w:val="fr-FR"/>
        </w:rPr>
        <w:t>.</w:t>
      </w:r>
      <w:r w:rsidRPr="00A73F44">
        <w:rPr>
          <w:lang w:val="fr-FR"/>
        </w:rPr>
        <w:t> Avtonomov</w:t>
      </w:r>
    </w:p>
    <w:p w14:paraId="159E526D" w14:textId="0E5E097C" w:rsidR="00A73F44" w:rsidRPr="00A73F44" w:rsidRDefault="00A73F44" w:rsidP="00BE7987">
      <w:pPr>
        <w:pStyle w:val="SingleTxtG"/>
        <w:ind w:left="5103" w:hanging="3402"/>
        <w:jc w:val="left"/>
        <w:rPr>
          <w:lang w:val="fr-FR"/>
        </w:rPr>
      </w:pPr>
      <w:r w:rsidRPr="00A73F44">
        <w:rPr>
          <w:lang w:val="fr-FR"/>
        </w:rPr>
        <w:t>Japon</w:t>
      </w:r>
      <w:r w:rsidRPr="00A73F44">
        <w:rPr>
          <w:lang w:val="fr-FR"/>
        </w:rPr>
        <w:tab/>
        <w:t>M</w:t>
      </w:r>
      <w:r w:rsidR="006A19EC" w:rsidRPr="006A19EC">
        <w:rPr>
          <w:lang w:val="fr-FR"/>
        </w:rPr>
        <w:t>.</w:t>
      </w:r>
      <w:r w:rsidRPr="00A73F44">
        <w:rPr>
          <w:lang w:val="fr-FR"/>
        </w:rPr>
        <w:t> Bossuyt</w:t>
      </w:r>
    </w:p>
    <w:p w14:paraId="75CCD1F2" w14:textId="77777777" w:rsidR="00A73F44" w:rsidRPr="00A73F44" w:rsidRDefault="00A73F44" w:rsidP="00BE7987">
      <w:pPr>
        <w:pStyle w:val="SingleTxtG"/>
        <w:ind w:left="5103" w:hanging="3402"/>
        <w:jc w:val="left"/>
        <w:rPr>
          <w:bCs/>
          <w:lang w:val="fr-FR"/>
        </w:rPr>
      </w:pPr>
      <w:r w:rsidRPr="00A73F44">
        <w:rPr>
          <w:lang w:val="fr-FR"/>
        </w:rPr>
        <w:t>Lettonie</w:t>
      </w:r>
      <w:r w:rsidRPr="00A73F44">
        <w:rPr>
          <w:lang w:val="fr-FR"/>
        </w:rPr>
        <w:tab/>
      </w:r>
      <w:r w:rsidRPr="00A73F44">
        <w:rPr>
          <w:bCs/>
          <w:lang w:val="fr-FR"/>
        </w:rPr>
        <w:t>M</w:t>
      </w:r>
      <w:r w:rsidRPr="00A73F44">
        <w:rPr>
          <w:bCs/>
          <w:vertAlign w:val="superscript"/>
          <w:lang w:val="fr-FR"/>
        </w:rPr>
        <w:t>me</w:t>
      </w:r>
      <w:r w:rsidRPr="00A73F44">
        <w:rPr>
          <w:bCs/>
          <w:lang w:val="fr-FR"/>
        </w:rPr>
        <w:t> Li</w:t>
      </w:r>
    </w:p>
    <w:p w14:paraId="4D9F3383" w14:textId="77777777" w:rsidR="00A73F44" w:rsidRPr="00A73F44" w:rsidRDefault="00A73F44" w:rsidP="00BE7987">
      <w:pPr>
        <w:pStyle w:val="SingleTxtG"/>
        <w:ind w:left="5103" w:hanging="3402"/>
        <w:jc w:val="left"/>
        <w:rPr>
          <w:bCs/>
          <w:lang w:val="fr-FR"/>
        </w:rPr>
      </w:pPr>
      <w:r w:rsidRPr="00A73F44">
        <w:rPr>
          <w:bCs/>
          <w:lang w:val="fr-FR"/>
        </w:rPr>
        <w:t>Lituanie</w:t>
      </w:r>
      <w:r w:rsidRPr="00A73F44">
        <w:rPr>
          <w:bCs/>
          <w:lang w:val="fr-FR"/>
        </w:rPr>
        <w:tab/>
        <w:t>M</w:t>
      </w:r>
      <w:r w:rsidRPr="00A73F44">
        <w:rPr>
          <w:bCs/>
          <w:vertAlign w:val="superscript"/>
          <w:lang w:val="fr-FR"/>
        </w:rPr>
        <w:t>me</w:t>
      </w:r>
      <w:r w:rsidRPr="00A73F44">
        <w:rPr>
          <w:bCs/>
          <w:lang w:val="fr-FR"/>
        </w:rPr>
        <w:t> Li</w:t>
      </w:r>
    </w:p>
    <w:p w14:paraId="6F881981" w14:textId="77777777" w:rsidR="00A73F44" w:rsidRPr="00A73F44" w:rsidRDefault="00A73F44" w:rsidP="00BE7987">
      <w:pPr>
        <w:pStyle w:val="SingleTxtG"/>
        <w:ind w:left="5103" w:hanging="3402"/>
        <w:jc w:val="left"/>
        <w:rPr>
          <w:lang w:val="fr-FR"/>
        </w:rPr>
      </w:pPr>
      <w:r w:rsidRPr="00A73F44">
        <w:rPr>
          <w:bCs/>
          <w:lang w:val="fr-FR"/>
        </w:rPr>
        <w:t>Maurice</w:t>
      </w:r>
      <w:r w:rsidRPr="00A73F44">
        <w:rPr>
          <w:bCs/>
          <w:lang w:val="fr-FR"/>
        </w:rPr>
        <w:tab/>
      </w:r>
      <w:r w:rsidRPr="00A73F44">
        <w:rPr>
          <w:lang w:val="fr-FR"/>
        </w:rPr>
        <w:t>M</w:t>
      </w:r>
      <w:r w:rsidRPr="00A73F44">
        <w:rPr>
          <w:vertAlign w:val="superscript"/>
          <w:lang w:val="fr-FR"/>
        </w:rPr>
        <w:t>me </w:t>
      </w:r>
      <w:r w:rsidRPr="00A73F44">
        <w:rPr>
          <w:lang w:val="fr-FR"/>
        </w:rPr>
        <w:t>Mohamed</w:t>
      </w:r>
    </w:p>
    <w:p w14:paraId="53475FCD" w14:textId="77777777" w:rsidR="00A73F44" w:rsidRPr="00A73F44" w:rsidRDefault="00A73F44" w:rsidP="00BE7987">
      <w:pPr>
        <w:pStyle w:val="SingleTxtG"/>
        <w:ind w:left="5103" w:hanging="3402"/>
        <w:jc w:val="left"/>
        <w:rPr>
          <w:lang w:val="fr-FR"/>
        </w:rPr>
      </w:pPr>
      <w:r w:rsidRPr="00A73F44">
        <w:rPr>
          <w:lang w:val="fr-FR"/>
        </w:rPr>
        <w:t>Monténégro</w:t>
      </w:r>
      <w:r w:rsidRPr="00A73F44">
        <w:rPr>
          <w:lang w:val="fr-FR"/>
        </w:rPr>
        <w:tab/>
        <w:t>M</w:t>
      </w:r>
      <w:r w:rsidRPr="00A73F44">
        <w:rPr>
          <w:vertAlign w:val="superscript"/>
          <w:lang w:val="fr-FR"/>
        </w:rPr>
        <w:t>me</w:t>
      </w:r>
      <w:r w:rsidRPr="00A73F44">
        <w:rPr>
          <w:lang w:val="fr-FR"/>
        </w:rPr>
        <w:t> Chung</w:t>
      </w:r>
    </w:p>
    <w:p w14:paraId="743311B6" w14:textId="77777777" w:rsidR="00A73F44" w:rsidRPr="00A73F44" w:rsidRDefault="00A73F44" w:rsidP="00BE7987">
      <w:pPr>
        <w:pStyle w:val="SingleTxtG"/>
        <w:ind w:left="5103" w:hanging="3402"/>
        <w:jc w:val="left"/>
        <w:rPr>
          <w:lang w:val="fr-FR"/>
        </w:rPr>
      </w:pPr>
      <w:r w:rsidRPr="00A73F44">
        <w:rPr>
          <w:lang w:val="fr-FR"/>
        </w:rPr>
        <w:t>Norvège</w:t>
      </w:r>
      <w:r w:rsidRPr="00A73F44">
        <w:rPr>
          <w:lang w:val="fr-FR"/>
        </w:rPr>
        <w:tab/>
        <w:t>M</w:t>
      </w:r>
      <w:r w:rsidRPr="00A73F44">
        <w:rPr>
          <w:vertAlign w:val="superscript"/>
          <w:lang w:val="fr-FR"/>
        </w:rPr>
        <w:t>me</w:t>
      </w:r>
      <w:r w:rsidRPr="00A73F44">
        <w:rPr>
          <w:lang w:val="fr-FR"/>
        </w:rPr>
        <w:t> Ko</w:t>
      </w:r>
    </w:p>
    <w:p w14:paraId="663B75F1" w14:textId="77777777" w:rsidR="00A73F44" w:rsidRPr="00A73F44" w:rsidRDefault="00A73F44" w:rsidP="00BE7987">
      <w:pPr>
        <w:pStyle w:val="SingleTxtG"/>
        <w:ind w:left="5103" w:hanging="3402"/>
        <w:jc w:val="left"/>
        <w:rPr>
          <w:lang w:val="fr-FR"/>
        </w:rPr>
      </w:pPr>
      <w:r w:rsidRPr="00A73F44">
        <w:rPr>
          <w:lang w:val="fr-FR"/>
        </w:rPr>
        <w:t>Qatar</w:t>
      </w:r>
      <w:r w:rsidRPr="00A73F44">
        <w:rPr>
          <w:lang w:val="fr-FR"/>
        </w:rPr>
        <w:tab/>
        <w:t>M</w:t>
      </w:r>
      <w:r w:rsidRPr="00A73F44">
        <w:rPr>
          <w:vertAlign w:val="superscript"/>
          <w:lang w:val="fr-FR"/>
        </w:rPr>
        <w:t>me</w:t>
      </w:r>
      <w:r w:rsidRPr="00A73F44">
        <w:rPr>
          <w:lang w:val="fr-FR"/>
        </w:rPr>
        <w:t> Dah</w:t>
      </w:r>
    </w:p>
    <w:p w14:paraId="12287E16" w14:textId="77777777" w:rsidR="00A73F44" w:rsidRPr="00A73F44" w:rsidRDefault="00A73F44" w:rsidP="00BE7987">
      <w:pPr>
        <w:pStyle w:val="SingleTxtG"/>
        <w:ind w:left="5103" w:hanging="3402"/>
        <w:jc w:val="left"/>
        <w:rPr>
          <w:bCs/>
          <w:lang w:val="fr-FR"/>
        </w:rPr>
      </w:pPr>
      <w:r w:rsidRPr="00A73F44">
        <w:rPr>
          <w:bCs/>
          <w:lang w:val="fr-FR"/>
        </w:rPr>
        <w:t>République de Corée</w:t>
      </w:r>
      <w:r w:rsidRPr="00A73F44">
        <w:rPr>
          <w:bCs/>
          <w:lang w:val="fr-FR"/>
        </w:rPr>
        <w:tab/>
        <w:t>M</w:t>
      </w:r>
      <w:r w:rsidRPr="00A73F44">
        <w:rPr>
          <w:bCs/>
          <w:vertAlign w:val="superscript"/>
          <w:lang w:val="fr-FR"/>
        </w:rPr>
        <w:t>me</w:t>
      </w:r>
      <w:r w:rsidRPr="00A73F44">
        <w:rPr>
          <w:bCs/>
          <w:lang w:val="fr-FR"/>
        </w:rPr>
        <w:t> McDougall</w:t>
      </w:r>
    </w:p>
    <w:p w14:paraId="3679DC2C" w14:textId="77777777" w:rsidR="00A73F44" w:rsidRPr="00A73F44" w:rsidRDefault="00A73F44" w:rsidP="00BE7987">
      <w:pPr>
        <w:pStyle w:val="SingleTxtG"/>
        <w:ind w:left="5103" w:hanging="3402"/>
        <w:jc w:val="left"/>
        <w:rPr>
          <w:lang w:val="fr-FR"/>
        </w:rPr>
      </w:pPr>
      <w:r w:rsidRPr="00A73F44">
        <w:rPr>
          <w:bCs/>
          <w:lang w:val="fr-FR"/>
        </w:rPr>
        <w:t>Zambie</w:t>
      </w:r>
      <w:r w:rsidRPr="00A73F44">
        <w:rPr>
          <w:bCs/>
          <w:lang w:val="fr-FR"/>
        </w:rPr>
        <w:tab/>
        <w:t>M</w:t>
      </w:r>
      <w:r w:rsidRPr="00A73F44">
        <w:rPr>
          <w:bCs/>
          <w:vertAlign w:val="superscript"/>
          <w:lang w:val="fr-FR"/>
        </w:rPr>
        <w:t>me</w:t>
      </w:r>
      <w:r w:rsidRPr="00A73F44">
        <w:rPr>
          <w:bCs/>
          <w:lang w:val="fr-FR"/>
        </w:rPr>
        <w:t> Shepherd</w:t>
      </w:r>
    </w:p>
    <w:p w14:paraId="7C005714" w14:textId="3C627165" w:rsidR="00A73F44" w:rsidRPr="00A73F44" w:rsidRDefault="00A73F44" w:rsidP="00772386">
      <w:pPr>
        <w:pStyle w:val="SingleTxtG"/>
        <w:rPr>
          <w:lang w:val="fr-FR"/>
        </w:rPr>
      </w:pPr>
      <w:r w:rsidRPr="00A73F44">
        <w:rPr>
          <w:lang w:val="fr-FR"/>
        </w:rPr>
        <w:t>4</w:t>
      </w:r>
      <w:r w:rsidR="00580407">
        <w:rPr>
          <w:lang w:val="fr-FR"/>
        </w:rPr>
        <w:t>4</w:t>
      </w:r>
      <w:r w:rsidR="006A19EC" w:rsidRPr="006A19EC">
        <w:rPr>
          <w:lang w:val="fr-FR"/>
        </w:rPr>
        <w:t>.</w:t>
      </w:r>
      <w:r w:rsidRPr="00A73F44">
        <w:rPr>
          <w:lang w:val="fr-FR"/>
        </w:rPr>
        <w:tab/>
      </w:r>
      <w:bookmarkStart w:id="13" w:name="_Hlk19517161"/>
      <w:r w:rsidRPr="00A73F44">
        <w:rPr>
          <w:lang w:val="fr-FR"/>
        </w:rPr>
        <w:t xml:space="preserve">Les observations finales adoptées par le Comité à ces sessions peuvent être consultées sur le site du HCDH </w:t>
      </w:r>
      <w:bookmarkEnd w:id="13"/>
      <w:r w:rsidRPr="00A73F44">
        <w:rPr>
          <w:lang w:val="fr-FR"/>
        </w:rPr>
        <w:t>(</w:t>
      </w:r>
      <w:hyperlink r:id="rId46" w:history="1">
        <w:r w:rsidRPr="00A73F44">
          <w:rPr>
            <w:rStyle w:val="Lienhypertexte"/>
            <w:lang w:val="fr-FR"/>
          </w:rPr>
          <w:t>www</w:t>
        </w:r>
        <w:r w:rsidR="006A19EC" w:rsidRPr="006A19EC">
          <w:rPr>
            <w:rStyle w:val="Lienhypertexte"/>
            <w:lang w:val="fr-FR"/>
          </w:rPr>
          <w:t>.</w:t>
        </w:r>
        <w:r w:rsidRPr="00A73F44">
          <w:rPr>
            <w:rStyle w:val="Lienhypertexte"/>
            <w:lang w:val="fr-FR"/>
          </w:rPr>
          <w:t>ohchr</w:t>
        </w:r>
        <w:r w:rsidR="006A19EC" w:rsidRPr="006A19EC">
          <w:rPr>
            <w:rStyle w:val="Lienhypertexte"/>
            <w:lang w:val="fr-FR"/>
          </w:rPr>
          <w:t>.</w:t>
        </w:r>
        <w:r w:rsidRPr="00A73F44">
          <w:rPr>
            <w:rStyle w:val="Lienhypertexte"/>
            <w:lang w:val="fr-FR"/>
          </w:rPr>
          <w:t>org</w:t>
        </w:r>
      </w:hyperlink>
      <w:r w:rsidRPr="00A73F44">
        <w:rPr>
          <w:lang w:val="fr-FR"/>
        </w:rPr>
        <w:t>) et sur le Système de diffusion électronique des documents de l’ONU (</w:t>
      </w:r>
      <w:hyperlink r:id="rId47" w:history="1">
        <w:r w:rsidRPr="00A73F44">
          <w:rPr>
            <w:rStyle w:val="Lienhypertexte"/>
            <w:lang w:val="fr-FR"/>
          </w:rPr>
          <w:t>https://documents</w:t>
        </w:r>
        <w:r w:rsidR="006A19EC" w:rsidRPr="006A19EC">
          <w:rPr>
            <w:rStyle w:val="Lienhypertexte"/>
            <w:lang w:val="fr-FR"/>
          </w:rPr>
          <w:t>.</w:t>
        </w:r>
        <w:r w:rsidRPr="00A73F44">
          <w:rPr>
            <w:rStyle w:val="Lienhypertexte"/>
            <w:lang w:val="fr-FR"/>
          </w:rPr>
          <w:t>un</w:t>
        </w:r>
        <w:r w:rsidR="006A19EC" w:rsidRPr="006A19EC">
          <w:rPr>
            <w:rStyle w:val="Lienhypertexte"/>
            <w:lang w:val="fr-FR"/>
          </w:rPr>
          <w:t>.</w:t>
        </w:r>
        <w:r w:rsidRPr="00A73F44">
          <w:rPr>
            <w:rStyle w:val="Lienhypertexte"/>
            <w:lang w:val="fr-FR"/>
          </w:rPr>
          <w:t>org</w:t>
        </w:r>
      </w:hyperlink>
      <w:r w:rsidRPr="00A73F44">
        <w:rPr>
          <w:lang w:val="fr-FR"/>
        </w:rPr>
        <w:t>),</w:t>
      </w:r>
      <w:r w:rsidR="001E77AC">
        <w:rPr>
          <w:lang w:val="fr-FR"/>
        </w:rPr>
        <w:t xml:space="preserve"> </w:t>
      </w:r>
      <w:r w:rsidRPr="00A73F44">
        <w:rPr>
          <w:lang w:val="fr-FR"/>
        </w:rPr>
        <w:t>au moyen des cotes indiquées ci-dessus</w:t>
      </w:r>
      <w:r w:rsidR="006A19EC" w:rsidRPr="006A19EC">
        <w:rPr>
          <w:lang w:val="fr-FR"/>
        </w:rPr>
        <w:t>.</w:t>
      </w:r>
    </w:p>
    <w:p w14:paraId="341984F7" w14:textId="02B32957" w:rsidR="00A73F44" w:rsidRPr="00A73F44" w:rsidRDefault="00A73F44" w:rsidP="00772386">
      <w:pPr>
        <w:pStyle w:val="HChG"/>
        <w:rPr>
          <w:lang w:val="fr-FR"/>
        </w:rPr>
      </w:pPr>
      <w:r w:rsidRPr="00A73F44">
        <w:rPr>
          <w:lang w:val="fr-FR"/>
        </w:rPr>
        <w:lastRenderedPageBreak/>
        <w:tab/>
      </w:r>
      <w:bookmarkStart w:id="14" w:name="_Toc428794288"/>
      <w:bookmarkStart w:id="15" w:name="_Toc17361300"/>
      <w:r w:rsidRPr="00A73F44">
        <w:rPr>
          <w:lang w:val="fr-FR"/>
        </w:rPr>
        <w:t>IV</w:t>
      </w:r>
      <w:r w:rsidR="006A19EC" w:rsidRPr="006A19EC">
        <w:rPr>
          <w:lang w:val="fr-FR"/>
        </w:rPr>
        <w:t>.</w:t>
      </w:r>
      <w:r w:rsidRPr="00A73F44">
        <w:rPr>
          <w:lang w:val="fr-FR"/>
        </w:rPr>
        <w:tab/>
        <w:t xml:space="preserve">Suivi de l’examen des rapports soumis par les États parties en application de l’article 9 de la Convention </w:t>
      </w:r>
      <w:bookmarkEnd w:id="14"/>
      <w:bookmarkEnd w:id="15"/>
    </w:p>
    <w:p w14:paraId="520EC462" w14:textId="75EA1D0B" w:rsidR="00A73F44" w:rsidRPr="00A73F44" w:rsidRDefault="00A73F44" w:rsidP="00A73F44">
      <w:pPr>
        <w:pStyle w:val="SingleTxtG"/>
        <w:rPr>
          <w:lang w:val="fr-FR"/>
        </w:rPr>
      </w:pPr>
      <w:r w:rsidRPr="00A73F44">
        <w:rPr>
          <w:lang w:val="fr-FR"/>
        </w:rPr>
        <w:t>4</w:t>
      </w:r>
      <w:r w:rsidR="00580407">
        <w:rPr>
          <w:lang w:val="fr-FR"/>
        </w:rPr>
        <w:t>5</w:t>
      </w:r>
      <w:r w:rsidR="006A19EC" w:rsidRPr="006A19EC">
        <w:rPr>
          <w:lang w:val="fr-FR"/>
        </w:rPr>
        <w:t>.</w:t>
      </w:r>
      <w:r w:rsidRPr="00A73F44">
        <w:rPr>
          <w:lang w:val="fr-FR"/>
        </w:rPr>
        <w:tab/>
        <w:t>Au cours de la période considérée, M</w:t>
      </w:r>
      <w:r w:rsidR="006A19EC" w:rsidRPr="006A19EC">
        <w:rPr>
          <w:lang w:val="fr-FR"/>
        </w:rPr>
        <w:t>.</w:t>
      </w:r>
      <w:r w:rsidRPr="00A73F44">
        <w:rPr>
          <w:lang w:val="fr-FR"/>
        </w:rPr>
        <w:t> Kut a exercé la fonction de coordonnateur chargé du suivi de l’examen des rapports soumis par les États parties</w:t>
      </w:r>
      <w:r w:rsidR="006A19EC" w:rsidRPr="006A19EC">
        <w:rPr>
          <w:lang w:val="fr-FR"/>
        </w:rPr>
        <w:t>.</w:t>
      </w:r>
    </w:p>
    <w:p w14:paraId="1B90B67A" w14:textId="5878E191" w:rsidR="00A73F44" w:rsidRPr="00A73F44" w:rsidRDefault="00A73F44" w:rsidP="00A73F44">
      <w:pPr>
        <w:pStyle w:val="SingleTxtG"/>
      </w:pPr>
      <w:r w:rsidRPr="00A73F44">
        <w:rPr>
          <w:lang w:val="fr-FR"/>
        </w:rPr>
        <w:t>4</w:t>
      </w:r>
      <w:r w:rsidR="00580407">
        <w:rPr>
          <w:lang w:val="fr-FR"/>
        </w:rPr>
        <w:t>6</w:t>
      </w:r>
      <w:r w:rsidR="006A19EC" w:rsidRPr="006A19EC">
        <w:rPr>
          <w:lang w:val="fr-FR"/>
        </w:rPr>
        <w:t>.</w:t>
      </w:r>
      <w:r w:rsidRPr="00A73F44">
        <w:rPr>
          <w:lang w:val="fr-FR"/>
        </w:rPr>
        <w:tab/>
        <w:t>Le mandat du coordonnateur chargé du suivi</w:t>
      </w:r>
      <w:r w:rsidRPr="001E77AC">
        <w:rPr>
          <w:rStyle w:val="Appelnotedebasdep"/>
        </w:rPr>
        <w:footnoteReference w:id="5"/>
      </w:r>
      <w:r w:rsidRPr="00A73F44">
        <w:rPr>
          <w:lang w:val="fr-FR"/>
        </w:rPr>
        <w:t xml:space="preserve"> et les directives concernant le suivi</w:t>
      </w:r>
      <w:r w:rsidRPr="001E77AC">
        <w:rPr>
          <w:rStyle w:val="Appelnotedebasdep"/>
        </w:rPr>
        <w:footnoteReference w:id="6"/>
      </w:r>
      <w:r w:rsidRPr="00A73F44">
        <w:rPr>
          <w:lang w:val="fr-FR"/>
        </w:rPr>
        <w:t>, qui sont adressées à chaque État partie avec les observations finales du Comité, ont été respectivement adoptés par le Comité à ses soixante</w:t>
      </w:r>
      <w:r w:rsidRPr="00A73F44">
        <w:rPr>
          <w:lang w:val="fr-FR"/>
        </w:rPr>
        <w:noBreakHyphen/>
        <w:t>sixième et soixante-huitième sessions</w:t>
      </w:r>
      <w:r w:rsidR="006A19EC" w:rsidRPr="006A19EC">
        <w:t>.</w:t>
      </w:r>
    </w:p>
    <w:p w14:paraId="19B515C1" w14:textId="3F0E3888" w:rsidR="00A73F44" w:rsidRPr="00A73F44" w:rsidRDefault="00A73F44" w:rsidP="00A73F44">
      <w:pPr>
        <w:pStyle w:val="SingleTxtG"/>
        <w:rPr>
          <w:lang w:val="fr-FR"/>
        </w:rPr>
      </w:pPr>
      <w:r w:rsidRPr="00A73F44">
        <w:rPr>
          <w:lang w:val="fr-FR"/>
        </w:rPr>
        <w:t>4</w:t>
      </w:r>
      <w:r w:rsidR="00580407">
        <w:rPr>
          <w:lang w:val="fr-FR"/>
        </w:rPr>
        <w:t>7</w:t>
      </w:r>
      <w:r w:rsidR="006A19EC" w:rsidRPr="006A19EC">
        <w:rPr>
          <w:lang w:val="fr-FR"/>
        </w:rPr>
        <w:t>.</w:t>
      </w:r>
      <w:r w:rsidRPr="00A73F44">
        <w:rPr>
          <w:lang w:val="fr-FR"/>
        </w:rPr>
        <w:tab/>
        <w:t>À la 2676</w:t>
      </w:r>
      <w:r w:rsidRPr="00A73F44">
        <w:rPr>
          <w:vertAlign w:val="superscript"/>
          <w:lang w:val="fr-FR"/>
        </w:rPr>
        <w:t>e</w:t>
      </w:r>
      <w:r w:rsidRPr="00A73F44">
        <w:rPr>
          <w:lang w:val="fr-FR"/>
        </w:rPr>
        <w:t> séance (quatre-vingt-seizième session), la 2706</w:t>
      </w:r>
      <w:r w:rsidRPr="00A73F44">
        <w:rPr>
          <w:vertAlign w:val="superscript"/>
          <w:lang w:val="fr-FR"/>
        </w:rPr>
        <w:t>e</w:t>
      </w:r>
      <w:r w:rsidRPr="00A73F44">
        <w:rPr>
          <w:lang w:val="fr-FR"/>
        </w:rPr>
        <w:t> séance (quatre</w:t>
      </w:r>
      <w:r w:rsidRPr="00A73F44">
        <w:rPr>
          <w:lang w:val="fr-FR"/>
        </w:rPr>
        <w:noBreakHyphen/>
        <w:t>vingt</w:t>
      </w:r>
      <w:r w:rsidRPr="00A73F44">
        <w:rPr>
          <w:lang w:val="fr-FR"/>
        </w:rPr>
        <w:noBreakHyphen/>
        <w:t>dix-septième session) et la 2736</w:t>
      </w:r>
      <w:r w:rsidRPr="00A73F44">
        <w:rPr>
          <w:vertAlign w:val="superscript"/>
          <w:lang w:val="fr-FR"/>
        </w:rPr>
        <w:t>e</w:t>
      </w:r>
      <w:r w:rsidRPr="00A73F44">
        <w:rPr>
          <w:lang w:val="fr-FR"/>
        </w:rPr>
        <w:t> séance (quatre</w:t>
      </w:r>
      <w:r w:rsidRPr="00A73F44">
        <w:rPr>
          <w:lang w:val="fr-FR"/>
        </w:rPr>
        <w:noBreakHyphen/>
        <w:t>vingt</w:t>
      </w:r>
      <w:r w:rsidRPr="00A73F44">
        <w:rPr>
          <w:lang w:val="fr-FR"/>
        </w:rPr>
        <w:noBreakHyphen/>
        <w:t>dix</w:t>
      </w:r>
      <w:r w:rsidRPr="00A73F44">
        <w:rPr>
          <w:lang w:val="fr-FR"/>
        </w:rPr>
        <w:noBreakHyphen/>
        <w:t>huitième session), M</w:t>
      </w:r>
      <w:r w:rsidR="006A19EC" w:rsidRPr="006A19EC">
        <w:rPr>
          <w:lang w:val="fr-FR"/>
        </w:rPr>
        <w:t>.</w:t>
      </w:r>
      <w:r w:rsidRPr="00A73F44">
        <w:rPr>
          <w:lang w:val="fr-FR"/>
        </w:rPr>
        <w:t> Kut a présenté au Comité un rapport sur les activités qu’il avait menées en tant que coordonnateur chargé du suivi</w:t>
      </w:r>
      <w:r w:rsidR="006A19EC" w:rsidRPr="006A19EC">
        <w:rPr>
          <w:lang w:val="fr-FR"/>
        </w:rPr>
        <w:t>.</w:t>
      </w:r>
    </w:p>
    <w:p w14:paraId="53103FC4" w14:textId="7AFE237F" w:rsidR="00A73F44" w:rsidRPr="00A73F44" w:rsidRDefault="00A73F44" w:rsidP="00A73F44">
      <w:pPr>
        <w:pStyle w:val="SingleTxtG"/>
        <w:rPr>
          <w:lang w:val="fr-FR"/>
        </w:rPr>
      </w:pPr>
      <w:r w:rsidRPr="00A73F44">
        <w:rPr>
          <w:lang w:val="fr-FR"/>
        </w:rPr>
        <w:t>4</w:t>
      </w:r>
      <w:r w:rsidR="00580407">
        <w:rPr>
          <w:lang w:val="fr-FR"/>
        </w:rPr>
        <w:t>8</w:t>
      </w:r>
      <w:r w:rsidR="006A19EC" w:rsidRPr="006A19EC">
        <w:rPr>
          <w:lang w:val="fr-FR"/>
        </w:rPr>
        <w:t>.</w:t>
      </w:r>
      <w:r w:rsidRPr="00A73F44">
        <w:rPr>
          <w:lang w:val="fr-FR"/>
        </w:rPr>
        <w:tab/>
        <w:t>À ses quatre-vingt-seizième, quatre-vingt-dix-septième et quatre</w:t>
      </w:r>
      <w:r w:rsidRPr="00A73F44">
        <w:rPr>
          <w:lang w:val="fr-FR"/>
        </w:rPr>
        <w:noBreakHyphen/>
        <w:t>vingt-dix-huitième sessions, le Comité a examiné les rapports de suivi des pays suivants : Arménie (</w:t>
      </w:r>
      <w:hyperlink r:id="rId48" w:history="1">
        <w:r w:rsidRPr="00A73F44">
          <w:rPr>
            <w:rStyle w:val="Lienhypertexte"/>
            <w:lang w:val="fr-FR"/>
          </w:rPr>
          <w:t>CERD/C/ARM/CO/7-11/Add</w:t>
        </w:r>
        <w:r w:rsidR="006A19EC" w:rsidRPr="006A19EC">
          <w:rPr>
            <w:rStyle w:val="Lienhypertexte"/>
            <w:lang w:val="fr-FR"/>
          </w:rPr>
          <w:t>.</w:t>
        </w:r>
        <w:r w:rsidRPr="00A73F44">
          <w:rPr>
            <w:rStyle w:val="Lienhypertexte"/>
            <w:lang w:val="fr-FR"/>
          </w:rPr>
          <w:t>1</w:t>
        </w:r>
      </w:hyperlink>
      <w:r w:rsidRPr="00A73F44">
        <w:rPr>
          <w:lang w:val="fr-FR"/>
        </w:rPr>
        <w:t>), Australie (</w:t>
      </w:r>
      <w:hyperlink r:id="rId49" w:history="1">
        <w:r w:rsidRPr="00A73F44">
          <w:rPr>
            <w:rStyle w:val="Lienhypertexte"/>
            <w:lang w:val="fr-FR"/>
          </w:rPr>
          <w:t>CERD/C/AUS/CO/18-20/Add</w:t>
        </w:r>
        <w:r w:rsidR="006A19EC" w:rsidRPr="006A19EC">
          <w:rPr>
            <w:rStyle w:val="Lienhypertexte"/>
            <w:lang w:val="fr-FR"/>
          </w:rPr>
          <w:t>.</w:t>
        </w:r>
        <w:r w:rsidRPr="00A73F44">
          <w:rPr>
            <w:rStyle w:val="Lienhypertexte"/>
            <w:lang w:val="fr-FR"/>
          </w:rPr>
          <w:t>1</w:t>
        </w:r>
      </w:hyperlink>
      <w:r w:rsidRPr="00A73F44">
        <w:rPr>
          <w:lang w:val="fr-FR"/>
        </w:rPr>
        <w:t>), Bulgarie (</w:t>
      </w:r>
      <w:hyperlink r:id="rId50" w:history="1">
        <w:r w:rsidRPr="00A73F44">
          <w:rPr>
            <w:rStyle w:val="Lienhypertexte"/>
            <w:lang w:val="fr-FR"/>
          </w:rPr>
          <w:t>CERD/C/BGR/CO/20-22/Add</w:t>
        </w:r>
        <w:r w:rsidR="006A19EC" w:rsidRPr="006A19EC">
          <w:rPr>
            <w:rStyle w:val="Lienhypertexte"/>
            <w:lang w:val="fr-FR"/>
          </w:rPr>
          <w:t>.</w:t>
        </w:r>
        <w:r w:rsidRPr="00A73F44">
          <w:rPr>
            <w:rStyle w:val="Lienhypertexte"/>
            <w:lang w:val="fr-FR"/>
          </w:rPr>
          <w:t>1</w:t>
        </w:r>
      </w:hyperlink>
      <w:r w:rsidRPr="00A73F44">
        <w:rPr>
          <w:lang w:val="fr-FR"/>
        </w:rPr>
        <w:t>), Chypre (</w:t>
      </w:r>
      <w:hyperlink r:id="rId51" w:history="1">
        <w:r w:rsidRPr="00A73F44">
          <w:rPr>
            <w:rStyle w:val="Lienhypertexte"/>
            <w:lang w:val="fr-FR"/>
          </w:rPr>
          <w:t>CERD/C/CYP/CO/23-24/Add</w:t>
        </w:r>
        <w:r w:rsidR="006A19EC" w:rsidRPr="006A19EC">
          <w:rPr>
            <w:rStyle w:val="Lienhypertexte"/>
            <w:lang w:val="fr-FR"/>
          </w:rPr>
          <w:t>.</w:t>
        </w:r>
        <w:r w:rsidRPr="00A73F44">
          <w:rPr>
            <w:rStyle w:val="Lienhypertexte"/>
            <w:lang w:val="fr-FR"/>
          </w:rPr>
          <w:t>1</w:t>
        </w:r>
      </w:hyperlink>
      <w:r w:rsidRPr="00A73F44">
        <w:rPr>
          <w:lang w:val="fr-FR"/>
        </w:rPr>
        <w:t>), Équateur (</w:t>
      </w:r>
      <w:hyperlink r:id="rId52" w:history="1">
        <w:r w:rsidRPr="00A73F44">
          <w:rPr>
            <w:rStyle w:val="Lienhypertexte"/>
            <w:lang w:val="fr-FR"/>
          </w:rPr>
          <w:t>CERD/C/ECU/CO/23-24/Add</w:t>
        </w:r>
        <w:r w:rsidR="006A19EC" w:rsidRPr="006A19EC">
          <w:rPr>
            <w:rStyle w:val="Lienhypertexte"/>
            <w:lang w:val="fr-FR"/>
          </w:rPr>
          <w:t>.</w:t>
        </w:r>
        <w:r w:rsidRPr="00A73F44">
          <w:rPr>
            <w:rStyle w:val="Lienhypertexte"/>
            <w:lang w:val="fr-FR"/>
          </w:rPr>
          <w:t>1</w:t>
        </w:r>
      </w:hyperlink>
      <w:r w:rsidRPr="00A73F44">
        <w:rPr>
          <w:lang w:val="fr-FR"/>
        </w:rPr>
        <w:t>), Finlande (</w:t>
      </w:r>
      <w:hyperlink r:id="rId53" w:history="1">
        <w:r w:rsidRPr="00A73F44">
          <w:rPr>
            <w:rStyle w:val="Lienhypertexte"/>
            <w:lang w:val="fr-FR"/>
          </w:rPr>
          <w:t>CERD/C/FIN/CO/23/Add</w:t>
        </w:r>
        <w:r w:rsidR="006A19EC" w:rsidRPr="006A19EC">
          <w:rPr>
            <w:rStyle w:val="Lienhypertexte"/>
            <w:lang w:val="fr-FR"/>
          </w:rPr>
          <w:t>.</w:t>
        </w:r>
        <w:r w:rsidRPr="00A73F44">
          <w:rPr>
            <w:rStyle w:val="Lienhypertexte"/>
            <w:lang w:val="fr-FR"/>
          </w:rPr>
          <w:t>1</w:t>
        </w:r>
      </w:hyperlink>
      <w:r w:rsidRPr="00A73F44">
        <w:rPr>
          <w:lang w:val="fr-FR"/>
        </w:rPr>
        <w:t>), Koweït (</w:t>
      </w:r>
      <w:hyperlink r:id="rId54" w:history="1">
        <w:r w:rsidRPr="00A73F44">
          <w:rPr>
            <w:rStyle w:val="Lienhypertexte"/>
            <w:lang w:val="fr-FR"/>
          </w:rPr>
          <w:t>CERD/C/KWT/CO/21-24/Add</w:t>
        </w:r>
        <w:r w:rsidR="006A19EC" w:rsidRPr="006A19EC">
          <w:rPr>
            <w:rStyle w:val="Lienhypertexte"/>
            <w:lang w:val="fr-FR"/>
          </w:rPr>
          <w:t>.</w:t>
        </w:r>
        <w:r w:rsidRPr="00A73F44">
          <w:rPr>
            <w:rStyle w:val="Lienhypertexte"/>
            <w:lang w:val="fr-FR"/>
          </w:rPr>
          <w:t>1</w:t>
        </w:r>
      </w:hyperlink>
      <w:r w:rsidRPr="00A73F44">
        <w:rPr>
          <w:lang w:val="fr-FR"/>
        </w:rPr>
        <w:t>), Nouvelle-Zélande (</w:t>
      </w:r>
      <w:hyperlink r:id="rId55" w:history="1">
        <w:r w:rsidRPr="00A73F44">
          <w:rPr>
            <w:rStyle w:val="Lienhypertexte"/>
            <w:lang w:val="fr-FR"/>
          </w:rPr>
          <w:t>CERD/C/NZL/CO/21-22/Add</w:t>
        </w:r>
        <w:r w:rsidR="006A19EC" w:rsidRPr="006A19EC">
          <w:rPr>
            <w:rStyle w:val="Lienhypertexte"/>
            <w:lang w:val="fr-FR"/>
          </w:rPr>
          <w:t>.</w:t>
        </w:r>
        <w:r w:rsidRPr="00A73F44">
          <w:rPr>
            <w:rStyle w:val="Lienhypertexte"/>
            <w:lang w:val="fr-FR"/>
          </w:rPr>
          <w:t>1</w:t>
        </w:r>
      </w:hyperlink>
      <w:r w:rsidRPr="00A73F44">
        <w:rPr>
          <w:lang w:val="fr-FR"/>
        </w:rPr>
        <w:t>), Pakistan (</w:t>
      </w:r>
      <w:hyperlink r:id="rId56" w:history="1">
        <w:r w:rsidRPr="00A73F44">
          <w:rPr>
            <w:rStyle w:val="Lienhypertexte"/>
            <w:lang w:val="fr-FR"/>
          </w:rPr>
          <w:t>CERD/C/PAK/CO/21-23/Add</w:t>
        </w:r>
        <w:r w:rsidR="006A19EC" w:rsidRPr="006A19EC">
          <w:rPr>
            <w:rStyle w:val="Lienhypertexte"/>
            <w:lang w:val="fr-FR"/>
          </w:rPr>
          <w:t>.</w:t>
        </w:r>
        <w:r w:rsidRPr="00A73F44">
          <w:rPr>
            <w:rStyle w:val="Lienhypertexte"/>
            <w:lang w:val="fr-FR"/>
          </w:rPr>
          <w:t>1</w:t>
        </w:r>
      </w:hyperlink>
      <w:r w:rsidRPr="00A73F44">
        <w:rPr>
          <w:lang w:val="fr-FR"/>
        </w:rPr>
        <w:t>), République de Moldova (</w:t>
      </w:r>
      <w:hyperlink r:id="rId57" w:history="1">
        <w:r w:rsidRPr="00A73F44">
          <w:rPr>
            <w:rStyle w:val="Lienhypertexte"/>
            <w:lang w:val="fr-FR"/>
          </w:rPr>
          <w:t>CERD/C/MDA/CO/10-11/Add</w:t>
        </w:r>
        <w:r w:rsidR="006A19EC" w:rsidRPr="006A19EC">
          <w:rPr>
            <w:rStyle w:val="Lienhypertexte"/>
            <w:lang w:val="fr-FR"/>
          </w:rPr>
          <w:t>.</w:t>
        </w:r>
        <w:r w:rsidRPr="00A73F44">
          <w:rPr>
            <w:rStyle w:val="Lienhypertexte"/>
            <w:lang w:val="fr-FR"/>
          </w:rPr>
          <w:t>1</w:t>
        </w:r>
      </w:hyperlink>
      <w:r w:rsidRPr="00A73F44">
        <w:rPr>
          <w:lang w:val="fr-FR"/>
        </w:rPr>
        <w:t>), Serbie (</w:t>
      </w:r>
      <w:hyperlink r:id="rId58" w:history="1">
        <w:r w:rsidRPr="00A73F44">
          <w:rPr>
            <w:rStyle w:val="Lienhypertexte"/>
            <w:lang w:val="fr-FR"/>
          </w:rPr>
          <w:t>CERD/C/SRB/CO/2-5/Add</w:t>
        </w:r>
        <w:r w:rsidR="006A19EC" w:rsidRPr="006A19EC">
          <w:rPr>
            <w:rStyle w:val="Lienhypertexte"/>
            <w:lang w:val="fr-FR"/>
          </w:rPr>
          <w:t>.</w:t>
        </w:r>
        <w:r w:rsidRPr="00A73F44">
          <w:rPr>
            <w:rStyle w:val="Lienhypertexte"/>
            <w:lang w:val="fr-FR"/>
          </w:rPr>
          <w:t>1</w:t>
        </w:r>
      </w:hyperlink>
      <w:r w:rsidRPr="00A73F44">
        <w:rPr>
          <w:lang w:val="fr-FR"/>
        </w:rPr>
        <w:t>), Tadjikistan (</w:t>
      </w:r>
      <w:hyperlink r:id="rId59" w:history="1">
        <w:r w:rsidRPr="00A73F44">
          <w:rPr>
            <w:rStyle w:val="Lienhypertexte"/>
            <w:lang w:val="fr-FR"/>
          </w:rPr>
          <w:t>CERD/C/TJK/CO/9-11/Add</w:t>
        </w:r>
        <w:r w:rsidR="006A19EC" w:rsidRPr="006A19EC">
          <w:rPr>
            <w:rStyle w:val="Lienhypertexte"/>
            <w:lang w:val="fr-FR"/>
          </w:rPr>
          <w:t>.</w:t>
        </w:r>
        <w:r w:rsidRPr="00A73F44">
          <w:rPr>
            <w:rStyle w:val="Lienhypertexte"/>
            <w:lang w:val="fr-FR"/>
          </w:rPr>
          <w:t>1</w:t>
        </w:r>
      </w:hyperlink>
      <w:r w:rsidRPr="00A73F44">
        <w:rPr>
          <w:lang w:val="fr-FR"/>
        </w:rPr>
        <w:t>) et Uruguay (</w:t>
      </w:r>
      <w:hyperlink r:id="rId60" w:history="1">
        <w:r w:rsidRPr="00A73F44">
          <w:rPr>
            <w:rStyle w:val="Lienhypertexte"/>
            <w:lang w:val="fr-FR"/>
          </w:rPr>
          <w:t>CERD/C/URY/CO/21-23/Add</w:t>
        </w:r>
        <w:r w:rsidR="006A19EC" w:rsidRPr="006A19EC">
          <w:rPr>
            <w:rStyle w:val="Lienhypertexte"/>
            <w:lang w:val="fr-FR"/>
          </w:rPr>
          <w:t>.</w:t>
        </w:r>
        <w:r w:rsidRPr="00A73F44">
          <w:rPr>
            <w:rStyle w:val="Lienhypertexte"/>
            <w:lang w:val="fr-FR"/>
          </w:rPr>
          <w:t>1</w:t>
        </w:r>
      </w:hyperlink>
      <w:r w:rsidRPr="00A73F44">
        <w:rPr>
          <w:lang w:val="fr-FR"/>
        </w:rPr>
        <w:t>)</w:t>
      </w:r>
      <w:r w:rsidR="006A19EC" w:rsidRPr="006A19EC">
        <w:rPr>
          <w:lang w:val="fr-FR"/>
        </w:rPr>
        <w:t>.</w:t>
      </w:r>
      <w:r w:rsidRPr="00A73F44">
        <w:rPr>
          <w:lang w:val="fr-FR"/>
        </w:rPr>
        <w:t xml:space="preserve"> Il a poursuivi le dialogue constructif engagé avec ces États parties en leur adressant des observations et des demandes de renseignements complémentaires</w:t>
      </w:r>
      <w:r w:rsidR="006A19EC" w:rsidRPr="006A19EC">
        <w:rPr>
          <w:lang w:val="fr-FR"/>
        </w:rPr>
        <w:t>.</w:t>
      </w:r>
      <w:r w:rsidRPr="00A73F44">
        <w:rPr>
          <w:lang w:val="fr-FR"/>
        </w:rPr>
        <w:t xml:space="preserve"> </w:t>
      </w:r>
    </w:p>
    <w:p w14:paraId="316B13F3" w14:textId="77777777" w:rsidR="00772386" w:rsidRDefault="00772386">
      <w:pPr>
        <w:suppressAutoHyphens w:val="0"/>
        <w:kinsoku/>
        <w:overflowPunct/>
        <w:autoSpaceDE/>
        <w:autoSpaceDN/>
        <w:adjustRightInd/>
        <w:snapToGrid/>
        <w:spacing w:line="240" w:lineRule="auto"/>
        <w:rPr>
          <w:b/>
          <w:sz w:val="28"/>
          <w:lang w:val="fr-FR"/>
        </w:rPr>
      </w:pPr>
      <w:r>
        <w:rPr>
          <w:lang w:val="fr-FR"/>
        </w:rPr>
        <w:br w:type="page"/>
      </w:r>
    </w:p>
    <w:p w14:paraId="73E931A2" w14:textId="04C34490" w:rsidR="00A73F44" w:rsidRPr="00A73F44" w:rsidRDefault="00A73F44" w:rsidP="00772386">
      <w:pPr>
        <w:pStyle w:val="HChG"/>
        <w:rPr>
          <w:lang w:val="fr-FR"/>
        </w:rPr>
      </w:pPr>
      <w:r w:rsidRPr="00A73F44">
        <w:rPr>
          <w:lang w:val="fr-FR"/>
        </w:rPr>
        <w:lastRenderedPageBreak/>
        <w:tab/>
      </w:r>
      <w:bookmarkStart w:id="16" w:name="_Toc17361301"/>
      <w:r w:rsidRPr="00A73F44">
        <w:rPr>
          <w:lang w:val="fr-FR"/>
        </w:rPr>
        <w:t>V</w:t>
      </w:r>
      <w:r w:rsidR="006A19EC" w:rsidRPr="006A19EC">
        <w:rPr>
          <w:lang w:val="fr-FR"/>
        </w:rPr>
        <w:t>.</w:t>
      </w:r>
      <w:r w:rsidRPr="00A73F44">
        <w:rPr>
          <w:lang w:val="fr-FR"/>
        </w:rPr>
        <w:tab/>
      </w:r>
      <w:bookmarkEnd w:id="16"/>
      <w:r w:rsidRPr="00A73F44">
        <w:rPr>
          <w:lang w:val="fr-FR"/>
        </w:rPr>
        <w:t>Examen des communications soumises en vertu de l’article 11 de la Convention</w:t>
      </w:r>
    </w:p>
    <w:p w14:paraId="54220451" w14:textId="11A87772" w:rsidR="00A73F44" w:rsidRPr="00A73F44" w:rsidRDefault="00A73F44" w:rsidP="00A73F44">
      <w:pPr>
        <w:pStyle w:val="SingleTxtG"/>
        <w:rPr>
          <w:lang w:val="fr-FR"/>
        </w:rPr>
      </w:pPr>
      <w:r w:rsidRPr="00A73F44">
        <w:rPr>
          <w:lang w:val="fr-FR"/>
        </w:rPr>
        <w:t>4</w:t>
      </w:r>
      <w:r w:rsidR="00580407">
        <w:rPr>
          <w:lang w:val="fr-FR"/>
        </w:rPr>
        <w:t>9</w:t>
      </w:r>
      <w:r w:rsidR="006A19EC" w:rsidRPr="006A19EC">
        <w:rPr>
          <w:lang w:val="fr-FR"/>
        </w:rPr>
        <w:t>.</w:t>
      </w:r>
      <w:r w:rsidRPr="00A73F44">
        <w:rPr>
          <w:lang w:val="fr-FR"/>
        </w:rPr>
        <w:tab/>
        <w:t xml:space="preserve">Selon l’article 11 de la Convention, </w:t>
      </w:r>
      <w:r w:rsidRPr="00A73F44">
        <w:t>si un État partie estime qu’un autre État partie n’applique pas les dispositions de la Convention, il peut appeler l’attention du Comité sur la question, en lui soumettant une communication</w:t>
      </w:r>
      <w:r w:rsidR="006A19EC" w:rsidRPr="006A19EC">
        <w:t>.</w:t>
      </w:r>
      <w:r w:rsidRPr="00A73F44">
        <w:rPr>
          <w:lang w:val="fr-FR"/>
        </w:rPr>
        <w:t xml:space="preserve"> En 2018, le Comité a reçu trois premières communications interétatiques</w:t>
      </w:r>
      <w:r w:rsidR="006A19EC" w:rsidRPr="006A19EC">
        <w:rPr>
          <w:lang w:val="fr-FR"/>
        </w:rPr>
        <w:t>.</w:t>
      </w:r>
      <w:r w:rsidRPr="00A73F44">
        <w:rPr>
          <w:lang w:val="fr-FR"/>
        </w:rPr>
        <w:t xml:space="preserve"> Il a été décidé que le Groupe de travail des communications s’occuperait aussi de ces communications</w:t>
      </w:r>
      <w:r w:rsidR="006A19EC" w:rsidRPr="006A19EC">
        <w:rPr>
          <w:lang w:val="fr-FR"/>
        </w:rPr>
        <w:t>.</w:t>
      </w:r>
      <w:r w:rsidRPr="00A73F44">
        <w:rPr>
          <w:lang w:val="fr-FR"/>
        </w:rPr>
        <w:t xml:space="preserve"> Ce Groupe de travail est composé comme suit : </w:t>
      </w:r>
    </w:p>
    <w:p w14:paraId="380C89FE" w14:textId="77777777" w:rsidR="00A73F44" w:rsidRPr="00A73F44" w:rsidRDefault="00A73F44" w:rsidP="00772386">
      <w:pPr>
        <w:pStyle w:val="SingleTxtG"/>
        <w:ind w:left="2835" w:hanging="1701"/>
        <w:jc w:val="left"/>
        <w:rPr>
          <w:lang w:val="fr-FR"/>
        </w:rPr>
      </w:pPr>
      <w:r w:rsidRPr="00A73F44">
        <w:rPr>
          <w:i/>
          <w:iCs/>
          <w:lang w:val="fr-FR"/>
        </w:rPr>
        <w:t>Coordonnateur </w:t>
      </w:r>
      <w:r w:rsidRPr="00A73F44">
        <w:rPr>
          <w:lang w:val="fr-FR"/>
        </w:rPr>
        <w:t>:</w:t>
      </w:r>
      <w:r w:rsidRPr="00A73F44">
        <w:rPr>
          <w:lang w:val="fr-FR"/>
        </w:rPr>
        <w:tab/>
        <w:t xml:space="preserve">Marc Bossuyt </w:t>
      </w:r>
    </w:p>
    <w:p w14:paraId="5416A4B2" w14:textId="69E4B010" w:rsidR="00A73F44" w:rsidRPr="00A73F44" w:rsidRDefault="00A73F44" w:rsidP="00772386">
      <w:pPr>
        <w:pStyle w:val="SingleTxtG"/>
        <w:ind w:left="2835" w:hanging="1701"/>
        <w:jc w:val="left"/>
      </w:pPr>
      <w:r w:rsidRPr="00A73F44">
        <w:rPr>
          <w:i/>
          <w:iCs/>
          <w:lang w:val="fr-FR"/>
        </w:rPr>
        <w:t>Membres </w:t>
      </w:r>
      <w:r w:rsidRPr="00A73F44">
        <w:rPr>
          <w:lang w:val="fr-FR"/>
        </w:rPr>
        <w:t xml:space="preserve">: </w:t>
      </w:r>
      <w:r w:rsidRPr="00A73F44">
        <w:rPr>
          <w:lang w:val="fr-FR"/>
        </w:rPr>
        <w:tab/>
        <w:t>Silvio José Albuquerque e Silva</w:t>
      </w:r>
      <w:r w:rsidR="00772386" w:rsidRPr="00772386">
        <w:rPr>
          <w:lang w:val="fr-FR"/>
        </w:rPr>
        <w:t xml:space="preserve"> </w:t>
      </w:r>
      <w:r w:rsidR="00772386" w:rsidRPr="00772386">
        <w:rPr>
          <w:lang w:val="fr-FR"/>
        </w:rPr>
        <w:br/>
      </w:r>
      <w:r w:rsidRPr="00A73F44">
        <w:t>Alexei S</w:t>
      </w:r>
      <w:r w:rsidR="006A19EC" w:rsidRPr="006A19EC">
        <w:t>.</w:t>
      </w:r>
      <w:r w:rsidRPr="00A73F44">
        <w:t xml:space="preserve"> Avtonomov</w:t>
      </w:r>
      <w:r w:rsidR="00772386">
        <w:t xml:space="preserve"> </w:t>
      </w:r>
      <w:r w:rsidR="00772386">
        <w:br/>
      </w:r>
      <w:r w:rsidRPr="00A73F44">
        <w:t>Keiko Ko</w:t>
      </w:r>
      <w:r w:rsidR="00772386">
        <w:t xml:space="preserve"> </w:t>
      </w:r>
      <w:r w:rsidR="00772386">
        <w:br/>
      </w:r>
      <w:r w:rsidRPr="00A73F44">
        <w:t>Yeung Kam John Yeung Sik Yuen</w:t>
      </w:r>
    </w:p>
    <w:p w14:paraId="03B92F30" w14:textId="1E669013" w:rsidR="00A73F44" w:rsidRPr="00A73F44" w:rsidRDefault="00580407" w:rsidP="00A73F44">
      <w:pPr>
        <w:pStyle w:val="SingleTxtG"/>
        <w:rPr>
          <w:lang w:val="fr-FR"/>
        </w:rPr>
      </w:pPr>
      <w:r>
        <w:rPr>
          <w:lang w:val="fr-FR"/>
        </w:rPr>
        <w:t>50</w:t>
      </w:r>
      <w:r w:rsidR="006A19EC" w:rsidRPr="006A19EC">
        <w:rPr>
          <w:lang w:val="fr-FR"/>
        </w:rPr>
        <w:t>.</w:t>
      </w:r>
      <w:r w:rsidR="00A73F44" w:rsidRPr="00A73F44">
        <w:rPr>
          <w:lang w:val="fr-FR"/>
        </w:rPr>
        <w:tab/>
        <w:t>À sa quatre-vingt-seizième session, le Comité a publié une note d’information sur les communications interétatiques soumises en 2018, respectivement par le Qatar contre l’Arabie saoudite, par le Qatar contre les Émirats arabes unis et par l’État de Palestine contre Israël</w:t>
      </w:r>
      <w:r w:rsidR="00A73F44" w:rsidRPr="001E77AC">
        <w:rPr>
          <w:rStyle w:val="Appelnotedebasdep"/>
        </w:rPr>
        <w:footnoteReference w:id="7"/>
      </w:r>
      <w:r w:rsidR="006A19EC" w:rsidRPr="006A19EC">
        <w:rPr>
          <w:lang w:val="fr-FR"/>
        </w:rPr>
        <w:t>.</w:t>
      </w:r>
      <w:r w:rsidR="00A73F44" w:rsidRPr="00A73F44">
        <w:rPr>
          <w:lang w:val="fr-FR"/>
        </w:rPr>
        <w:t xml:space="preserve"> Dans cette note, il rappelait qu’en mai 2018, il avait décidé de prier le Secrétaire général de transmettre ces communications aux trois États parties concernés, conformément au paragraphe 1 de l’article 11 de la Convention</w:t>
      </w:r>
      <w:r w:rsidR="00A73F44" w:rsidRPr="001E77AC">
        <w:rPr>
          <w:rStyle w:val="Appelnotedebasdep"/>
        </w:rPr>
        <w:footnoteReference w:id="8"/>
      </w:r>
      <w:r w:rsidR="006A19EC" w:rsidRPr="006A19EC">
        <w:rPr>
          <w:lang w:val="fr-FR"/>
        </w:rPr>
        <w:t>.</w:t>
      </w:r>
      <w:r w:rsidR="00A73F44" w:rsidRPr="00A73F44">
        <w:rPr>
          <w:lang w:val="fr-FR"/>
        </w:rPr>
        <w:t xml:space="preserve"> Il précisait que les Émirats arabes unis et Israël lui avaient soumis leurs réponses dans le délai imparti de trois mois, et qu’il avait décidé de transmettre ces réponses aux États demandeurs</w:t>
      </w:r>
      <w:r w:rsidR="006A19EC" w:rsidRPr="006A19EC">
        <w:rPr>
          <w:lang w:val="fr-FR"/>
        </w:rPr>
        <w:t>.</w:t>
      </w:r>
      <w:r w:rsidR="00A73F44" w:rsidRPr="00A73F44">
        <w:rPr>
          <w:lang w:val="fr-FR"/>
        </w:rPr>
        <w:t xml:space="preserve"> Le Comité avait également accédé à la demande de prorogation de délai présentée par l’Arabie saoudite et décidé qu’il transmettrait toute réponse au Qatar dès sa réception</w:t>
      </w:r>
      <w:r w:rsidR="006A19EC" w:rsidRPr="006A19EC">
        <w:rPr>
          <w:lang w:val="fr-FR"/>
        </w:rPr>
        <w:t>.</w:t>
      </w:r>
      <w:r w:rsidR="00A73F44" w:rsidRPr="00A73F44">
        <w:rPr>
          <w:lang w:val="fr-FR"/>
        </w:rPr>
        <w:t xml:space="preserve"> Le Comité a fait observer que, si l’un des États le saisissait de nouveau avant le 8 novembre 2018, il devrait examiner la recevabilité de la communication</w:t>
      </w:r>
      <w:r w:rsidR="006A19EC" w:rsidRPr="006A19EC">
        <w:rPr>
          <w:lang w:val="fr-FR"/>
        </w:rPr>
        <w:t>.</w:t>
      </w:r>
      <w:r w:rsidR="00A73F44" w:rsidRPr="00A73F44">
        <w:rPr>
          <w:lang w:val="fr-FR"/>
        </w:rPr>
        <w:t xml:space="preserve"> Cependant, compte tenu des procédures prévues par les articles 11 et 12 de la Convention, il ne serait pas en mesure de se pencher sur les questions préliminaires comme celles de la compétence et de la recevabilité des communications avant sa quatre</w:t>
      </w:r>
      <w:r w:rsidR="00A73F44" w:rsidRPr="00A73F44">
        <w:rPr>
          <w:lang w:val="fr-FR"/>
        </w:rPr>
        <w:noBreakHyphen/>
        <w:t>vingt</w:t>
      </w:r>
      <w:r w:rsidR="00A73F44" w:rsidRPr="00A73F44">
        <w:rPr>
          <w:lang w:val="fr-FR"/>
        </w:rPr>
        <w:noBreakHyphen/>
        <w:t>dix-huitième session</w:t>
      </w:r>
      <w:r w:rsidR="006A19EC" w:rsidRPr="006A19EC">
        <w:rPr>
          <w:lang w:val="fr-FR"/>
        </w:rPr>
        <w:t>.</w:t>
      </w:r>
      <w:r w:rsidR="00A73F44" w:rsidRPr="00A73F44">
        <w:rPr>
          <w:lang w:val="fr-FR"/>
        </w:rPr>
        <w:t xml:space="preserve"> </w:t>
      </w:r>
    </w:p>
    <w:p w14:paraId="7253F4D7" w14:textId="129AE581" w:rsidR="00A73F44" w:rsidRPr="00A73F44" w:rsidRDefault="00A73F44" w:rsidP="00A73F44">
      <w:pPr>
        <w:pStyle w:val="SingleTxtG"/>
        <w:rPr>
          <w:lang w:val="fr-FR"/>
        </w:rPr>
      </w:pPr>
      <w:r w:rsidRPr="00A73F44">
        <w:rPr>
          <w:lang w:val="fr-FR"/>
        </w:rPr>
        <w:t>5</w:t>
      </w:r>
      <w:r w:rsidR="00580407">
        <w:rPr>
          <w:lang w:val="fr-FR"/>
        </w:rPr>
        <w:t>1</w:t>
      </w:r>
      <w:r w:rsidR="006A19EC" w:rsidRPr="006A19EC">
        <w:rPr>
          <w:lang w:val="fr-FR"/>
        </w:rPr>
        <w:t>.</w:t>
      </w:r>
      <w:r w:rsidRPr="00A73F44">
        <w:rPr>
          <w:lang w:val="fr-FR"/>
        </w:rPr>
        <w:tab/>
        <w:t>Le 29 octobre 2018, le Qatar a de nouveau soumis les deux questions au Comité, conformément au paragraphe 2 de l’article 11 de la Convention, et ces communications ont été portées à la connaissance de l’Arabie saoudite et des Émirats arabes unis</w:t>
      </w:r>
      <w:r w:rsidR="006A19EC" w:rsidRPr="006A19EC">
        <w:rPr>
          <w:lang w:val="fr-FR"/>
        </w:rPr>
        <w:t>.</w:t>
      </w:r>
      <w:r w:rsidRPr="00A73F44">
        <w:rPr>
          <w:lang w:val="fr-FR"/>
        </w:rPr>
        <w:t xml:space="preserve"> Le 7 novembre 2018, l’État de Palestine a de nouveau saisi le Comité et cette communication a été portée à la connaissance d’Israël</w:t>
      </w:r>
      <w:r w:rsidR="006A19EC" w:rsidRPr="006A19EC">
        <w:rPr>
          <w:lang w:val="fr-FR"/>
        </w:rPr>
        <w:t>.</w:t>
      </w:r>
    </w:p>
    <w:p w14:paraId="19E4C2FC" w14:textId="7A9E524C" w:rsidR="00A73F44" w:rsidRPr="00A73F44" w:rsidRDefault="00A73F44" w:rsidP="00A73F44">
      <w:pPr>
        <w:pStyle w:val="SingleTxtG"/>
        <w:rPr>
          <w:lang w:val="fr-FR"/>
        </w:rPr>
      </w:pPr>
      <w:r w:rsidRPr="00A73F44">
        <w:rPr>
          <w:lang w:val="fr-FR"/>
        </w:rPr>
        <w:t>5</w:t>
      </w:r>
      <w:r w:rsidR="00580407">
        <w:rPr>
          <w:lang w:val="fr-FR"/>
        </w:rPr>
        <w:t>2</w:t>
      </w:r>
      <w:r w:rsidR="006A19EC" w:rsidRPr="006A19EC">
        <w:rPr>
          <w:lang w:val="fr-FR"/>
        </w:rPr>
        <w:t>.</w:t>
      </w:r>
      <w:r w:rsidRPr="00A73F44">
        <w:rPr>
          <w:lang w:val="fr-FR"/>
        </w:rPr>
        <w:tab/>
      </w:r>
      <w:r w:rsidRPr="00A73F44">
        <w:rPr>
          <w:bCs/>
          <w:lang w:val="fr-FR"/>
        </w:rPr>
        <w:t>Le 14 décembre 2018 (quatre-vingt-dix-septième session)</w:t>
      </w:r>
      <w:r w:rsidRPr="00A73F44">
        <w:rPr>
          <w:lang w:val="fr-FR"/>
        </w:rPr>
        <w:t>, le Comité a décidé d’examiner toutes les questions préliminaires à sa quatre</w:t>
      </w:r>
      <w:r w:rsidRPr="00A73F44">
        <w:rPr>
          <w:lang w:val="fr-FR"/>
        </w:rPr>
        <w:noBreakHyphen/>
        <w:t>vingt</w:t>
      </w:r>
      <w:r w:rsidRPr="00A73F44">
        <w:rPr>
          <w:lang w:val="fr-FR"/>
        </w:rPr>
        <w:noBreakHyphen/>
        <w:t>dix-huitième session, avec la participation, sans droit de vote, d’un représentant de chacun des États parties concernés, comme le prévoit le paragraphe 5 de l’article 11 de la Convention</w:t>
      </w:r>
      <w:r w:rsidR="006A19EC" w:rsidRPr="006A19EC">
        <w:rPr>
          <w:lang w:val="fr-FR"/>
        </w:rPr>
        <w:t>.</w:t>
      </w:r>
      <w:r w:rsidRPr="00A73F44">
        <w:rPr>
          <w:lang w:val="fr-FR"/>
        </w:rPr>
        <w:t xml:space="preserve"> </w:t>
      </w:r>
    </w:p>
    <w:p w14:paraId="78190028" w14:textId="1A3506C0" w:rsidR="00A73F44" w:rsidRPr="008779A2" w:rsidRDefault="00A73F44" w:rsidP="00A73F44">
      <w:pPr>
        <w:pStyle w:val="SingleTxtG"/>
        <w:rPr>
          <w:spacing w:val="2"/>
          <w:lang w:val="fr-FR"/>
        </w:rPr>
      </w:pPr>
      <w:bookmarkStart w:id="17" w:name="_Hlk17302362"/>
      <w:r w:rsidRPr="008779A2">
        <w:rPr>
          <w:spacing w:val="2"/>
          <w:lang w:val="fr-FR"/>
        </w:rPr>
        <w:t>5</w:t>
      </w:r>
      <w:r w:rsidR="00580407" w:rsidRPr="008779A2">
        <w:rPr>
          <w:spacing w:val="2"/>
          <w:lang w:val="fr-FR"/>
        </w:rPr>
        <w:t>3</w:t>
      </w:r>
      <w:r w:rsidR="006A19EC" w:rsidRPr="006A19EC">
        <w:rPr>
          <w:spacing w:val="2"/>
          <w:lang w:val="fr-FR"/>
        </w:rPr>
        <w:t>.</w:t>
      </w:r>
      <w:r w:rsidRPr="008779A2">
        <w:rPr>
          <w:spacing w:val="2"/>
          <w:lang w:val="fr-FR"/>
        </w:rPr>
        <w:tab/>
        <w:t>À sa quatre-vingt-dix-huitième session, le Comité a adopté un règlement applicable aux auditions qu’il tiendra avec les États dans le cadre de son examen des communications interétatiques (voir annexe II), dont le texte sera ajouté à celui de son règlement intérieur</w:t>
      </w:r>
      <w:bookmarkEnd w:id="17"/>
      <w:r w:rsidRPr="008779A2">
        <w:rPr>
          <w:spacing w:val="2"/>
          <w:lang w:val="fr-FR"/>
        </w:rPr>
        <w:t xml:space="preserve"> à l’occasion d’une future révision</w:t>
      </w:r>
      <w:r w:rsidR="006A19EC" w:rsidRPr="006A19EC">
        <w:rPr>
          <w:spacing w:val="2"/>
          <w:lang w:val="fr-FR"/>
        </w:rPr>
        <w:t>.</w:t>
      </w:r>
      <w:r w:rsidRPr="008779A2">
        <w:rPr>
          <w:spacing w:val="2"/>
          <w:lang w:val="fr-FR"/>
        </w:rPr>
        <w:t xml:space="preserve"> Il s’est entretenu avec les représentants du Qatar, de l’Arabie saoudite, des Émirats arabes unis et de l’État de Palestine</w:t>
      </w:r>
      <w:r w:rsidRPr="008779A2">
        <w:rPr>
          <w:rStyle w:val="Appelnotedebasdep"/>
          <w:spacing w:val="2"/>
        </w:rPr>
        <w:footnoteReference w:id="9"/>
      </w:r>
      <w:r w:rsidRPr="008779A2">
        <w:rPr>
          <w:spacing w:val="2"/>
          <w:lang w:val="fr-FR"/>
        </w:rPr>
        <w:t>, qui ont chacun exprimé leur opinion sur les communications les concernant et réagi aux arguments avancés par l’autre partie</w:t>
      </w:r>
      <w:r w:rsidR="006A19EC" w:rsidRPr="006A19EC">
        <w:rPr>
          <w:spacing w:val="2"/>
          <w:lang w:val="fr-FR"/>
        </w:rPr>
        <w:t>.</w:t>
      </w:r>
      <w:r w:rsidRPr="008779A2">
        <w:rPr>
          <w:spacing w:val="2"/>
          <w:lang w:val="fr-FR"/>
        </w:rPr>
        <w:t xml:space="preserve"> Immédiatement après la session, le Comité a informé les États parties concernés qu’à l’issue des débats, il avait poursuivi son examen des communications interétatiques et avait conclu qu’il aurait besoin de plus de temps pour étudier plus avant certaines des questions soulevées afin de prendre une décision</w:t>
      </w:r>
      <w:r w:rsidR="006A19EC" w:rsidRPr="006A19EC">
        <w:rPr>
          <w:spacing w:val="2"/>
          <w:lang w:val="fr-FR"/>
        </w:rPr>
        <w:t>.</w:t>
      </w:r>
      <w:r w:rsidRPr="008779A2">
        <w:rPr>
          <w:spacing w:val="2"/>
          <w:lang w:val="fr-FR"/>
        </w:rPr>
        <w:t xml:space="preserve"> En conséquence, il a décidé de continuer la procédure à sa quatre-vingt-dix-neuvième session</w:t>
      </w:r>
      <w:r w:rsidR="006A19EC" w:rsidRPr="006A19EC">
        <w:rPr>
          <w:spacing w:val="2"/>
          <w:lang w:val="fr-FR"/>
        </w:rPr>
        <w:t>.</w:t>
      </w:r>
      <w:r w:rsidR="001E77AC" w:rsidRPr="008779A2">
        <w:rPr>
          <w:spacing w:val="2"/>
          <w:lang w:val="fr-FR"/>
        </w:rPr>
        <w:t xml:space="preserve"> </w:t>
      </w:r>
    </w:p>
    <w:p w14:paraId="7227EABA" w14:textId="77777777" w:rsidR="00951979" w:rsidRDefault="00951979">
      <w:pPr>
        <w:suppressAutoHyphens w:val="0"/>
        <w:kinsoku/>
        <w:overflowPunct/>
        <w:autoSpaceDE/>
        <w:autoSpaceDN/>
        <w:adjustRightInd/>
        <w:snapToGrid/>
        <w:spacing w:line="240" w:lineRule="auto"/>
        <w:rPr>
          <w:b/>
          <w:sz w:val="28"/>
          <w:lang w:val="fr-FR"/>
        </w:rPr>
      </w:pPr>
      <w:bookmarkStart w:id="18" w:name="_Toc17361302"/>
      <w:r>
        <w:rPr>
          <w:lang w:val="fr-FR"/>
        </w:rPr>
        <w:br w:type="page"/>
      </w:r>
    </w:p>
    <w:p w14:paraId="0064C681" w14:textId="543D6CF7" w:rsidR="00A73F44" w:rsidRPr="00A73F44" w:rsidRDefault="00772386" w:rsidP="00772386">
      <w:pPr>
        <w:pStyle w:val="HChG"/>
        <w:rPr>
          <w:lang w:val="fr-FR"/>
        </w:rPr>
      </w:pPr>
      <w:r>
        <w:rPr>
          <w:lang w:val="fr-FR"/>
        </w:rPr>
        <w:tab/>
      </w:r>
      <w:r w:rsidR="00A73F44" w:rsidRPr="00A73F44">
        <w:rPr>
          <w:lang w:val="fr-FR"/>
        </w:rPr>
        <w:t>VI</w:t>
      </w:r>
      <w:r w:rsidR="006A19EC" w:rsidRPr="006A19EC">
        <w:rPr>
          <w:lang w:val="fr-FR"/>
        </w:rPr>
        <w:t>.</w:t>
      </w:r>
      <w:r w:rsidR="00A73F44" w:rsidRPr="00A73F44">
        <w:rPr>
          <w:lang w:val="fr-FR"/>
        </w:rPr>
        <w:tab/>
        <w:t>R</w:t>
      </w:r>
      <w:bookmarkEnd w:id="18"/>
      <w:r w:rsidR="00A73F44" w:rsidRPr="00A73F44">
        <w:rPr>
          <w:lang w:val="fr-FR"/>
        </w:rPr>
        <w:t>eprésailles</w:t>
      </w:r>
    </w:p>
    <w:p w14:paraId="351FE9C1" w14:textId="62B2D4CA" w:rsidR="00A73F44" w:rsidRPr="00A73F44" w:rsidRDefault="00A73F44" w:rsidP="00A73F44">
      <w:pPr>
        <w:pStyle w:val="SingleTxtG"/>
        <w:rPr>
          <w:lang w:val="fr-FR"/>
        </w:rPr>
      </w:pPr>
      <w:r w:rsidRPr="00A73F44">
        <w:rPr>
          <w:lang w:val="fr-FR"/>
        </w:rPr>
        <w:t>5</w:t>
      </w:r>
      <w:r w:rsidR="00580407">
        <w:rPr>
          <w:lang w:val="fr-FR"/>
        </w:rPr>
        <w:t>4</w:t>
      </w:r>
      <w:r w:rsidR="006A19EC" w:rsidRPr="006A19EC">
        <w:rPr>
          <w:lang w:val="fr-FR"/>
        </w:rPr>
        <w:t>.</w:t>
      </w:r>
      <w:r w:rsidRPr="00A73F44">
        <w:rPr>
          <w:lang w:val="fr-FR"/>
        </w:rPr>
        <w:tab/>
        <w:t>À sa quatre-vingt-seizième session, le Comité a reçu des allégations de représailles de la part de deux défenseurs des droits de l’homme qui étaient prêts à coopérer avec lui à l’occasion de son examen, en août 2018, du rapport valant dix-neuvième à vingt et unième rapports périodiques de Cuba (</w:t>
      </w:r>
      <w:hyperlink r:id="rId61" w:history="1">
        <w:r w:rsidRPr="00A73F44">
          <w:rPr>
            <w:rStyle w:val="Lienhypertexte"/>
            <w:lang w:val="fr-FR"/>
          </w:rPr>
          <w:t>CERD/C/CUB/19-21</w:t>
        </w:r>
      </w:hyperlink>
      <w:r w:rsidRPr="00A73F44">
        <w:rPr>
          <w:lang w:val="fr-FR"/>
        </w:rPr>
        <w:t>)</w:t>
      </w:r>
      <w:r w:rsidR="006A19EC" w:rsidRPr="006A19EC">
        <w:rPr>
          <w:lang w:val="fr-FR"/>
        </w:rPr>
        <w:t>.</w:t>
      </w:r>
      <w:r w:rsidRPr="00A73F44">
        <w:rPr>
          <w:lang w:val="fr-FR"/>
        </w:rPr>
        <w:t xml:space="preserve"> Le coordonnateur du Comité chargé de la question des représailles, M</w:t>
      </w:r>
      <w:r w:rsidR="006A19EC" w:rsidRPr="006A19EC">
        <w:rPr>
          <w:lang w:val="fr-FR"/>
        </w:rPr>
        <w:t>.</w:t>
      </w:r>
      <w:r w:rsidRPr="00A73F44">
        <w:rPr>
          <w:lang w:val="fr-FR"/>
        </w:rPr>
        <w:t> Calí Tzay, ainsi que le Président du Comité, ont adressé une lettre à l’État partie pour obtenir des informations sur les allégations</w:t>
      </w:r>
      <w:r w:rsidR="006A19EC" w:rsidRPr="006A19EC">
        <w:rPr>
          <w:lang w:val="fr-FR"/>
        </w:rPr>
        <w:t>.</w:t>
      </w:r>
      <w:r w:rsidRPr="00A73F44">
        <w:rPr>
          <w:lang w:val="fr-FR"/>
        </w:rPr>
        <w:t xml:space="preserve"> Le 8 octobre 2018, le Comité a reçu une réponse de l’État partie, qu’il examinera à sa quatre-vingt-dix-neuvième session</w:t>
      </w:r>
      <w:r w:rsidR="006A19EC" w:rsidRPr="006A19EC">
        <w:rPr>
          <w:lang w:val="fr-FR"/>
        </w:rPr>
        <w:t>.</w:t>
      </w:r>
    </w:p>
    <w:p w14:paraId="24574F02" w14:textId="77777777" w:rsidR="00951979" w:rsidRDefault="00951979">
      <w:pPr>
        <w:suppressAutoHyphens w:val="0"/>
        <w:kinsoku/>
        <w:overflowPunct/>
        <w:autoSpaceDE/>
        <w:autoSpaceDN/>
        <w:adjustRightInd/>
        <w:snapToGrid/>
        <w:spacing w:line="240" w:lineRule="auto"/>
        <w:rPr>
          <w:b/>
          <w:sz w:val="28"/>
          <w:lang w:val="fr-FR"/>
        </w:rPr>
      </w:pPr>
      <w:bookmarkStart w:id="19" w:name="_Toc17361303"/>
      <w:r>
        <w:rPr>
          <w:lang w:val="fr-FR"/>
        </w:rPr>
        <w:br w:type="page"/>
      </w:r>
    </w:p>
    <w:p w14:paraId="447EC2F0" w14:textId="14F20918" w:rsidR="00A73F44" w:rsidRPr="00A73F44" w:rsidRDefault="00A73F44" w:rsidP="00772386">
      <w:pPr>
        <w:pStyle w:val="HChG"/>
        <w:rPr>
          <w:lang w:val="fr-FR"/>
        </w:rPr>
      </w:pPr>
      <w:r w:rsidRPr="00A73F44">
        <w:rPr>
          <w:lang w:val="fr-FR"/>
        </w:rPr>
        <w:tab/>
        <w:t>VII</w:t>
      </w:r>
      <w:r w:rsidR="006A19EC" w:rsidRPr="006A19EC">
        <w:rPr>
          <w:lang w:val="fr-FR"/>
        </w:rPr>
        <w:t>.</w:t>
      </w:r>
      <w:r w:rsidRPr="00A73F44">
        <w:rPr>
          <w:lang w:val="fr-FR"/>
        </w:rPr>
        <w:tab/>
        <w:t>États parties dont les rapports sont très en retard</w:t>
      </w:r>
      <w:bookmarkEnd w:id="19"/>
      <w:r w:rsidR="001E77AC">
        <w:rPr>
          <w:lang w:val="fr-FR"/>
        </w:rPr>
        <w:t xml:space="preserve"> </w:t>
      </w:r>
    </w:p>
    <w:p w14:paraId="4E094867" w14:textId="3429F185" w:rsidR="00A73F44" w:rsidRPr="00A73F44" w:rsidRDefault="00A73F44" w:rsidP="00772386">
      <w:pPr>
        <w:pStyle w:val="H1G"/>
        <w:rPr>
          <w:lang w:val="fr-FR"/>
        </w:rPr>
      </w:pPr>
      <w:r w:rsidRPr="00A73F44">
        <w:rPr>
          <w:lang w:val="fr-FR"/>
        </w:rPr>
        <w:tab/>
      </w:r>
      <w:bookmarkStart w:id="20" w:name="_Toc17361304"/>
      <w:r w:rsidRPr="00A73F44">
        <w:rPr>
          <w:lang w:val="fr-FR"/>
        </w:rPr>
        <w:t>A</w:t>
      </w:r>
      <w:r w:rsidR="006A19EC" w:rsidRPr="006A19EC">
        <w:rPr>
          <w:lang w:val="fr-FR"/>
        </w:rPr>
        <w:t>.</w:t>
      </w:r>
      <w:r w:rsidRPr="00A73F44">
        <w:rPr>
          <w:lang w:val="fr-FR"/>
        </w:rPr>
        <w:tab/>
      </w:r>
      <w:bookmarkEnd w:id="20"/>
      <w:r w:rsidRPr="00A73F44">
        <w:rPr>
          <w:lang w:val="fr-FR"/>
        </w:rPr>
        <w:t>Rapports en retard d’au moins dix ans</w:t>
      </w:r>
    </w:p>
    <w:p w14:paraId="552B81BE" w14:textId="0E826167" w:rsidR="008E03F4" w:rsidRDefault="00A73F44" w:rsidP="00A73F44">
      <w:pPr>
        <w:pStyle w:val="SingleTxtG"/>
        <w:rPr>
          <w:lang w:val="fr-FR"/>
        </w:rPr>
      </w:pPr>
      <w:r w:rsidRPr="00A73F44">
        <w:rPr>
          <w:lang w:val="fr-FR"/>
        </w:rPr>
        <w:t>5</w:t>
      </w:r>
      <w:r w:rsidR="00580407">
        <w:rPr>
          <w:lang w:val="fr-FR"/>
        </w:rPr>
        <w:t>5</w:t>
      </w:r>
      <w:r w:rsidR="006A19EC" w:rsidRPr="006A19EC">
        <w:rPr>
          <w:lang w:val="fr-FR"/>
        </w:rPr>
        <w:t>.</w:t>
      </w:r>
      <w:r w:rsidRPr="00A73F44">
        <w:rPr>
          <w:lang w:val="fr-FR"/>
        </w:rPr>
        <w:tab/>
        <w:t>Au 10 mai 2019, les rapports des États parties ci-après étaient en retard d’au moins dix ans :</w:t>
      </w:r>
    </w:p>
    <w:tbl>
      <w:tblPr>
        <w:tblStyle w:val="Grilledutableau"/>
        <w:tblW w:w="7371" w:type="dxa"/>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4852"/>
      </w:tblGrid>
      <w:tr w:rsidR="00A73F44" w:rsidRPr="00274A4B" w14:paraId="377CEE80" w14:textId="77777777" w:rsidTr="001A7E87">
        <w:tc>
          <w:tcPr>
            <w:tcW w:w="2519" w:type="dxa"/>
            <w:hideMark/>
          </w:tcPr>
          <w:p w14:paraId="011D2633" w14:textId="77777777" w:rsidR="00A73F44" w:rsidRPr="00274A4B" w:rsidRDefault="00A73F44" w:rsidP="001A7E87">
            <w:pPr>
              <w:pStyle w:val="SingleTxtG"/>
              <w:ind w:left="0" w:right="0"/>
              <w:rPr>
                <w:lang w:val="fr-FR"/>
              </w:rPr>
            </w:pPr>
            <w:r w:rsidRPr="00274A4B">
              <w:rPr>
                <w:lang w:val="fr-FR"/>
              </w:rPr>
              <w:t>Sierra Leone</w:t>
            </w:r>
          </w:p>
        </w:tc>
        <w:tc>
          <w:tcPr>
            <w:tcW w:w="4852" w:type="dxa"/>
            <w:hideMark/>
          </w:tcPr>
          <w:p w14:paraId="564F33A4" w14:textId="77777777" w:rsidR="00A73F44" w:rsidRPr="00274A4B" w:rsidRDefault="00A73F44" w:rsidP="001A7E87">
            <w:pPr>
              <w:pStyle w:val="SingleTxtG"/>
              <w:ind w:left="0" w:right="0"/>
              <w:jc w:val="left"/>
              <w:rPr>
                <w:lang w:val="fr-FR"/>
              </w:rPr>
            </w:pPr>
            <w:r w:rsidRPr="00274A4B">
              <w:rPr>
                <w:lang w:val="fr-FR"/>
              </w:rPr>
              <w:t>Quatrième rapport périodique attendu depuis 1976</w:t>
            </w:r>
          </w:p>
        </w:tc>
      </w:tr>
      <w:tr w:rsidR="00A73F44" w:rsidRPr="00274A4B" w14:paraId="664B22F1" w14:textId="77777777" w:rsidTr="001A7E87">
        <w:tc>
          <w:tcPr>
            <w:tcW w:w="2519" w:type="dxa"/>
            <w:hideMark/>
          </w:tcPr>
          <w:p w14:paraId="4ED67439" w14:textId="77777777" w:rsidR="00A73F44" w:rsidRPr="00274A4B" w:rsidRDefault="00A73F44" w:rsidP="001A7E87">
            <w:pPr>
              <w:pStyle w:val="SingleTxtG"/>
              <w:ind w:left="0" w:right="0"/>
              <w:rPr>
                <w:lang w:val="fr-FR"/>
              </w:rPr>
            </w:pPr>
            <w:r w:rsidRPr="00274A4B">
              <w:rPr>
                <w:lang w:val="fr-FR"/>
              </w:rPr>
              <w:t>Libéria</w:t>
            </w:r>
          </w:p>
        </w:tc>
        <w:tc>
          <w:tcPr>
            <w:tcW w:w="4852" w:type="dxa"/>
            <w:hideMark/>
          </w:tcPr>
          <w:p w14:paraId="143592BD" w14:textId="77777777" w:rsidR="00A73F44" w:rsidRPr="00274A4B" w:rsidRDefault="00A73F44" w:rsidP="001A7E87">
            <w:pPr>
              <w:pStyle w:val="SingleTxtG"/>
              <w:ind w:left="0" w:right="0"/>
              <w:jc w:val="left"/>
              <w:rPr>
                <w:lang w:val="fr-FR"/>
              </w:rPr>
            </w:pPr>
            <w:r w:rsidRPr="00274A4B">
              <w:rPr>
                <w:lang w:val="fr-FR"/>
              </w:rPr>
              <w:t>Rapport initial attendu depuis 1977</w:t>
            </w:r>
          </w:p>
        </w:tc>
      </w:tr>
      <w:tr w:rsidR="00A73F44" w:rsidRPr="00274A4B" w14:paraId="26EB872E" w14:textId="77777777" w:rsidTr="001A7E87">
        <w:tc>
          <w:tcPr>
            <w:tcW w:w="2519" w:type="dxa"/>
            <w:hideMark/>
          </w:tcPr>
          <w:p w14:paraId="6B885FEC" w14:textId="77777777" w:rsidR="00A73F44" w:rsidRPr="00274A4B" w:rsidRDefault="00A73F44" w:rsidP="001A7E87">
            <w:pPr>
              <w:pStyle w:val="SingleTxtG"/>
              <w:ind w:left="0" w:right="0"/>
              <w:rPr>
                <w:lang w:val="fr-FR"/>
              </w:rPr>
            </w:pPr>
            <w:r w:rsidRPr="00274A4B">
              <w:rPr>
                <w:lang w:val="fr-FR"/>
              </w:rPr>
              <w:t>Gambie</w:t>
            </w:r>
          </w:p>
        </w:tc>
        <w:tc>
          <w:tcPr>
            <w:tcW w:w="4852" w:type="dxa"/>
            <w:hideMark/>
          </w:tcPr>
          <w:p w14:paraId="69D4E1E9" w14:textId="77777777" w:rsidR="00A73F44" w:rsidRPr="00274A4B" w:rsidRDefault="00A73F44" w:rsidP="001A7E87">
            <w:pPr>
              <w:pStyle w:val="SingleTxtG"/>
              <w:ind w:left="0" w:right="0"/>
              <w:jc w:val="left"/>
              <w:rPr>
                <w:lang w:val="fr-FR"/>
              </w:rPr>
            </w:pPr>
            <w:r w:rsidRPr="00274A4B">
              <w:rPr>
                <w:lang w:val="fr-FR"/>
              </w:rPr>
              <w:t>Deuxième rapport attendu depuis 1982</w:t>
            </w:r>
          </w:p>
        </w:tc>
      </w:tr>
      <w:tr w:rsidR="00A73F44" w:rsidRPr="00274A4B" w14:paraId="19CB726F" w14:textId="77777777" w:rsidTr="001A7E87">
        <w:tc>
          <w:tcPr>
            <w:tcW w:w="2519" w:type="dxa"/>
            <w:hideMark/>
          </w:tcPr>
          <w:p w14:paraId="34ADB9E4" w14:textId="77777777" w:rsidR="00A73F44" w:rsidRPr="00274A4B" w:rsidRDefault="00A73F44" w:rsidP="001A7E87">
            <w:pPr>
              <w:pStyle w:val="SingleTxtG"/>
              <w:ind w:left="0" w:right="0"/>
              <w:rPr>
                <w:lang w:val="fr-FR"/>
              </w:rPr>
            </w:pPr>
            <w:r w:rsidRPr="00274A4B">
              <w:rPr>
                <w:lang w:val="fr-FR"/>
              </w:rPr>
              <w:t>Somalie</w:t>
            </w:r>
          </w:p>
        </w:tc>
        <w:tc>
          <w:tcPr>
            <w:tcW w:w="4852" w:type="dxa"/>
            <w:hideMark/>
          </w:tcPr>
          <w:p w14:paraId="07C132ED" w14:textId="77777777" w:rsidR="00A73F44" w:rsidRPr="00274A4B" w:rsidRDefault="00A73F44" w:rsidP="001A7E87">
            <w:pPr>
              <w:pStyle w:val="SingleTxtG"/>
              <w:ind w:left="0" w:right="0"/>
              <w:jc w:val="left"/>
              <w:rPr>
                <w:lang w:val="fr-FR"/>
              </w:rPr>
            </w:pPr>
            <w:r w:rsidRPr="00274A4B">
              <w:rPr>
                <w:lang w:val="fr-FR"/>
              </w:rPr>
              <w:t>Cinquième rapport périodique attendu depuis 1984</w:t>
            </w:r>
          </w:p>
        </w:tc>
      </w:tr>
      <w:tr w:rsidR="00A73F44" w:rsidRPr="00274A4B" w14:paraId="719C7917" w14:textId="77777777" w:rsidTr="001A7E87">
        <w:tc>
          <w:tcPr>
            <w:tcW w:w="2519" w:type="dxa"/>
            <w:hideMark/>
          </w:tcPr>
          <w:p w14:paraId="2CF1D8FA" w14:textId="77777777" w:rsidR="00A73F44" w:rsidRPr="00274A4B" w:rsidRDefault="00A73F44" w:rsidP="001A7E87">
            <w:pPr>
              <w:pStyle w:val="SingleTxtG"/>
              <w:ind w:left="0" w:right="0"/>
              <w:rPr>
                <w:lang w:val="fr-FR"/>
              </w:rPr>
            </w:pPr>
            <w:r w:rsidRPr="00274A4B">
              <w:rPr>
                <w:lang w:val="fr-FR"/>
              </w:rPr>
              <w:t>Papouasie-Nouvelle-Guinée</w:t>
            </w:r>
          </w:p>
        </w:tc>
        <w:tc>
          <w:tcPr>
            <w:tcW w:w="4852" w:type="dxa"/>
            <w:hideMark/>
          </w:tcPr>
          <w:p w14:paraId="551DC1B1" w14:textId="77777777" w:rsidR="00A73F44" w:rsidRPr="00274A4B" w:rsidRDefault="00A73F44" w:rsidP="001A7E87">
            <w:pPr>
              <w:pStyle w:val="SingleTxtG"/>
              <w:ind w:left="0" w:right="0"/>
              <w:jc w:val="left"/>
              <w:rPr>
                <w:lang w:val="fr-FR"/>
              </w:rPr>
            </w:pPr>
            <w:r w:rsidRPr="00274A4B">
              <w:rPr>
                <w:lang w:val="fr-FR"/>
              </w:rPr>
              <w:t>Deuxième rapport périodique attendu depuis 1985</w:t>
            </w:r>
          </w:p>
        </w:tc>
      </w:tr>
      <w:tr w:rsidR="00A73F44" w:rsidRPr="00274A4B" w14:paraId="7292E25A" w14:textId="77777777" w:rsidTr="001A7E87">
        <w:tc>
          <w:tcPr>
            <w:tcW w:w="2519" w:type="dxa"/>
            <w:hideMark/>
          </w:tcPr>
          <w:p w14:paraId="1ADE66BC" w14:textId="77777777" w:rsidR="00A73F44" w:rsidRPr="00274A4B" w:rsidRDefault="00A73F44" w:rsidP="001A7E87">
            <w:pPr>
              <w:pStyle w:val="SingleTxtG"/>
              <w:ind w:left="0" w:right="0"/>
              <w:rPr>
                <w:lang w:val="fr-FR"/>
              </w:rPr>
            </w:pPr>
            <w:r w:rsidRPr="00274A4B">
              <w:rPr>
                <w:lang w:val="fr-FR"/>
              </w:rPr>
              <w:t>Îles Salomon</w:t>
            </w:r>
          </w:p>
        </w:tc>
        <w:tc>
          <w:tcPr>
            <w:tcW w:w="4852" w:type="dxa"/>
            <w:hideMark/>
          </w:tcPr>
          <w:p w14:paraId="61180C0B" w14:textId="77777777" w:rsidR="00A73F44" w:rsidRPr="00274A4B" w:rsidRDefault="00A73F44" w:rsidP="001A7E87">
            <w:pPr>
              <w:pStyle w:val="SingleTxtG"/>
              <w:ind w:left="0" w:right="0"/>
              <w:jc w:val="left"/>
              <w:rPr>
                <w:lang w:val="fr-FR"/>
              </w:rPr>
            </w:pPr>
            <w:r w:rsidRPr="00274A4B">
              <w:rPr>
                <w:lang w:val="fr-FR"/>
              </w:rPr>
              <w:t>Deuxième rapport périodique attendu depuis 1985</w:t>
            </w:r>
          </w:p>
        </w:tc>
      </w:tr>
      <w:tr w:rsidR="00A73F44" w:rsidRPr="00274A4B" w14:paraId="271ED84B" w14:textId="77777777" w:rsidTr="001A7E87">
        <w:tc>
          <w:tcPr>
            <w:tcW w:w="2519" w:type="dxa"/>
            <w:hideMark/>
          </w:tcPr>
          <w:p w14:paraId="0802872B" w14:textId="77777777" w:rsidR="00A73F44" w:rsidRPr="00274A4B" w:rsidRDefault="00A73F44" w:rsidP="001A7E87">
            <w:pPr>
              <w:pStyle w:val="SingleTxtG"/>
              <w:ind w:left="0" w:right="0"/>
              <w:rPr>
                <w:lang w:val="fr-FR"/>
              </w:rPr>
            </w:pPr>
            <w:r w:rsidRPr="00274A4B">
              <w:rPr>
                <w:lang w:val="fr-FR"/>
              </w:rPr>
              <w:t>République centrafricaine</w:t>
            </w:r>
          </w:p>
        </w:tc>
        <w:tc>
          <w:tcPr>
            <w:tcW w:w="4852" w:type="dxa"/>
            <w:hideMark/>
          </w:tcPr>
          <w:p w14:paraId="64082275" w14:textId="77777777" w:rsidR="00A73F44" w:rsidRPr="00274A4B" w:rsidRDefault="00A73F44" w:rsidP="001A7E87">
            <w:pPr>
              <w:pStyle w:val="SingleTxtG"/>
              <w:ind w:left="0" w:right="0"/>
              <w:jc w:val="left"/>
              <w:rPr>
                <w:lang w:val="fr-FR"/>
              </w:rPr>
            </w:pPr>
            <w:r w:rsidRPr="00274A4B">
              <w:rPr>
                <w:lang w:val="fr-FR"/>
              </w:rPr>
              <w:t>Huitième rapport périodique attendu depuis 1986</w:t>
            </w:r>
          </w:p>
        </w:tc>
      </w:tr>
      <w:tr w:rsidR="00A73F44" w:rsidRPr="00274A4B" w14:paraId="47A484F3" w14:textId="77777777" w:rsidTr="001A7E87">
        <w:tc>
          <w:tcPr>
            <w:tcW w:w="2519" w:type="dxa"/>
            <w:hideMark/>
          </w:tcPr>
          <w:p w14:paraId="655C7D66" w14:textId="77777777" w:rsidR="00A73F44" w:rsidRPr="00274A4B" w:rsidRDefault="00A73F44" w:rsidP="001A7E87">
            <w:pPr>
              <w:pStyle w:val="SingleTxtG"/>
              <w:ind w:left="0" w:right="0"/>
              <w:rPr>
                <w:lang w:val="fr-FR"/>
              </w:rPr>
            </w:pPr>
            <w:r w:rsidRPr="00274A4B">
              <w:rPr>
                <w:lang w:val="fr-FR"/>
              </w:rPr>
              <w:t>Afghanistan</w:t>
            </w:r>
          </w:p>
        </w:tc>
        <w:tc>
          <w:tcPr>
            <w:tcW w:w="4852" w:type="dxa"/>
            <w:hideMark/>
          </w:tcPr>
          <w:p w14:paraId="2843AF30" w14:textId="77777777" w:rsidR="00A73F44" w:rsidRPr="00274A4B" w:rsidRDefault="00A73F44" w:rsidP="001A7E87">
            <w:pPr>
              <w:pStyle w:val="SingleTxtG"/>
              <w:ind w:left="0" w:right="0"/>
              <w:jc w:val="left"/>
              <w:rPr>
                <w:lang w:val="fr-FR"/>
              </w:rPr>
            </w:pPr>
            <w:r w:rsidRPr="00274A4B">
              <w:rPr>
                <w:lang w:val="fr-FR"/>
              </w:rPr>
              <w:t>Deuxième rapport périodique attendu depuis 1986</w:t>
            </w:r>
          </w:p>
        </w:tc>
      </w:tr>
      <w:tr w:rsidR="00A73F44" w:rsidRPr="00274A4B" w14:paraId="45CEE674" w14:textId="77777777" w:rsidTr="001A7E87">
        <w:tc>
          <w:tcPr>
            <w:tcW w:w="2519" w:type="dxa"/>
            <w:hideMark/>
          </w:tcPr>
          <w:p w14:paraId="0D8D472E" w14:textId="77777777" w:rsidR="00A73F44" w:rsidRPr="00274A4B" w:rsidRDefault="00A73F44" w:rsidP="001A7E87">
            <w:pPr>
              <w:pStyle w:val="SingleTxtG"/>
              <w:ind w:left="0" w:right="0"/>
              <w:rPr>
                <w:lang w:val="fr-FR"/>
              </w:rPr>
            </w:pPr>
            <w:r w:rsidRPr="00274A4B">
              <w:rPr>
                <w:lang w:val="fr-FR"/>
              </w:rPr>
              <w:t>Seychelles</w:t>
            </w:r>
          </w:p>
        </w:tc>
        <w:tc>
          <w:tcPr>
            <w:tcW w:w="4852" w:type="dxa"/>
            <w:hideMark/>
          </w:tcPr>
          <w:p w14:paraId="7FF06E92" w14:textId="77777777" w:rsidR="00A73F44" w:rsidRPr="00274A4B" w:rsidRDefault="00A73F44" w:rsidP="001A7E87">
            <w:pPr>
              <w:pStyle w:val="SingleTxtG"/>
              <w:ind w:left="0" w:right="0"/>
              <w:jc w:val="left"/>
              <w:rPr>
                <w:lang w:val="fr-FR"/>
              </w:rPr>
            </w:pPr>
            <w:r w:rsidRPr="00274A4B">
              <w:rPr>
                <w:lang w:val="fr-FR"/>
              </w:rPr>
              <w:t>Sixième rapport périodique attendu depuis 1989</w:t>
            </w:r>
          </w:p>
        </w:tc>
      </w:tr>
      <w:tr w:rsidR="00A73F44" w:rsidRPr="00274A4B" w14:paraId="158A4CC2" w14:textId="77777777" w:rsidTr="001A7E87">
        <w:tc>
          <w:tcPr>
            <w:tcW w:w="2519" w:type="dxa"/>
            <w:hideMark/>
          </w:tcPr>
          <w:p w14:paraId="2D6BBD18" w14:textId="77777777" w:rsidR="00A73F44" w:rsidRPr="00274A4B" w:rsidRDefault="00A73F44" w:rsidP="001A7E87">
            <w:pPr>
              <w:pStyle w:val="SingleTxtG"/>
              <w:ind w:left="0" w:right="0"/>
              <w:rPr>
                <w:lang w:val="fr-FR"/>
              </w:rPr>
            </w:pPr>
            <w:r w:rsidRPr="00274A4B">
              <w:rPr>
                <w:lang w:val="fr-FR"/>
              </w:rPr>
              <w:t>Sainte-Lucie</w:t>
            </w:r>
          </w:p>
        </w:tc>
        <w:tc>
          <w:tcPr>
            <w:tcW w:w="4852" w:type="dxa"/>
            <w:hideMark/>
          </w:tcPr>
          <w:p w14:paraId="19420A1A" w14:textId="77777777" w:rsidR="00A73F44" w:rsidRPr="00274A4B" w:rsidRDefault="00A73F44" w:rsidP="001A7E87">
            <w:pPr>
              <w:pStyle w:val="SingleTxtG"/>
              <w:ind w:left="0" w:right="0"/>
              <w:jc w:val="left"/>
              <w:rPr>
                <w:lang w:val="fr-FR"/>
              </w:rPr>
            </w:pPr>
            <w:r w:rsidRPr="00274A4B">
              <w:rPr>
                <w:lang w:val="fr-FR"/>
              </w:rPr>
              <w:t>Rapport initial attendu depuis 1991</w:t>
            </w:r>
          </w:p>
        </w:tc>
      </w:tr>
      <w:tr w:rsidR="00A73F44" w:rsidRPr="00274A4B" w14:paraId="715F528A" w14:textId="77777777" w:rsidTr="001A7E87">
        <w:tc>
          <w:tcPr>
            <w:tcW w:w="2519" w:type="dxa"/>
            <w:hideMark/>
          </w:tcPr>
          <w:p w14:paraId="75AF62A0" w14:textId="77777777" w:rsidR="00A73F44" w:rsidRPr="00274A4B" w:rsidRDefault="00A73F44" w:rsidP="001A7E87">
            <w:pPr>
              <w:pStyle w:val="SingleTxtG"/>
              <w:ind w:left="0" w:right="0"/>
              <w:rPr>
                <w:lang w:val="fr-FR"/>
              </w:rPr>
            </w:pPr>
            <w:r w:rsidRPr="00274A4B">
              <w:rPr>
                <w:lang w:val="fr-FR"/>
              </w:rPr>
              <w:t>Malawi</w:t>
            </w:r>
          </w:p>
        </w:tc>
        <w:tc>
          <w:tcPr>
            <w:tcW w:w="4852" w:type="dxa"/>
            <w:hideMark/>
          </w:tcPr>
          <w:p w14:paraId="64677E26" w14:textId="77777777" w:rsidR="00A73F44" w:rsidRPr="00274A4B" w:rsidRDefault="00A73F44" w:rsidP="001A7E87">
            <w:pPr>
              <w:pStyle w:val="SingleTxtG"/>
              <w:ind w:left="0" w:right="0"/>
              <w:jc w:val="left"/>
              <w:rPr>
                <w:lang w:val="fr-FR"/>
              </w:rPr>
            </w:pPr>
            <w:r w:rsidRPr="00274A4B">
              <w:rPr>
                <w:lang w:val="fr-FR"/>
              </w:rPr>
              <w:t>Rapport initial attendu depuis 1997</w:t>
            </w:r>
          </w:p>
        </w:tc>
      </w:tr>
      <w:tr w:rsidR="00A73F44" w:rsidRPr="00274A4B" w14:paraId="336B3E13" w14:textId="77777777" w:rsidTr="001A7E87">
        <w:tc>
          <w:tcPr>
            <w:tcW w:w="2519" w:type="dxa"/>
            <w:hideMark/>
          </w:tcPr>
          <w:p w14:paraId="70EE770F" w14:textId="77777777" w:rsidR="00A73F44" w:rsidRPr="00274A4B" w:rsidRDefault="00A73F44" w:rsidP="001A7E87">
            <w:pPr>
              <w:pStyle w:val="SingleTxtG"/>
              <w:ind w:left="0" w:right="0"/>
              <w:rPr>
                <w:lang w:val="fr-FR"/>
              </w:rPr>
            </w:pPr>
            <w:r w:rsidRPr="00274A4B">
              <w:rPr>
                <w:lang w:val="fr-FR"/>
              </w:rPr>
              <w:t>Eswatini</w:t>
            </w:r>
          </w:p>
        </w:tc>
        <w:tc>
          <w:tcPr>
            <w:tcW w:w="4852" w:type="dxa"/>
            <w:hideMark/>
          </w:tcPr>
          <w:p w14:paraId="075A6F44" w14:textId="77777777" w:rsidR="00A73F44" w:rsidRPr="00274A4B" w:rsidRDefault="00A73F44" w:rsidP="001A7E87">
            <w:pPr>
              <w:pStyle w:val="SingleTxtG"/>
              <w:ind w:left="0" w:right="0"/>
              <w:jc w:val="left"/>
              <w:rPr>
                <w:lang w:val="fr-FR"/>
              </w:rPr>
            </w:pPr>
            <w:r w:rsidRPr="00274A4B">
              <w:rPr>
                <w:lang w:val="fr-FR"/>
              </w:rPr>
              <w:t xml:space="preserve">Quinzième rapport périodique attendu depuis 1998 </w:t>
            </w:r>
          </w:p>
        </w:tc>
      </w:tr>
      <w:tr w:rsidR="00A73F44" w:rsidRPr="00274A4B" w14:paraId="6CB81227" w14:textId="77777777" w:rsidTr="001A7E87">
        <w:tc>
          <w:tcPr>
            <w:tcW w:w="2519" w:type="dxa"/>
            <w:hideMark/>
          </w:tcPr>
          <w:p w14:paraId="3439257C" w14:textId="77777777" w:rsidR="00A73F44" w:rsidRPr="00274A4B" w:rsidRDefault="00A73F44" w:rsidP="001A7E87">
            <w:pPr>
              <w:pStyle w:val="SingleTxtG"/>
              <w:ind w:left="0" w:right="0"/>
              <w:rPr>
                <w:lang w:val="fr-FR"/>
              </w:rPr>
            </w:pPr>
            <w:r w:rsidRPr="00274A4B">
              <w:rPr>
                <w:lang w:val="fr-FR"/>
              </w:rPr>
              <w:t>Burundi</w:t>
            </w:r>
          </w:p>
        </w:tc>
        <w:tc>
          <w:tcPr>
            <w:tcW w:w="4852" w:type="dxa"/>
            <w:hideMark/>
          </w:tcPr>
          <w:p w14:paraId="0F5FE3EF" w14:textId="77777777" w:rsidR="00A73F44" w:rsidRPr="00274A4B" w:rsidRDefault="00A73F44" w:rsidP="001A7E87">
            <w:pPr>
              <w:pStyle w:val="SingleTxtG"/>
              <w:ind w:left="0" w:right="0"/>
              <w:jc w:val="left"/>
              <w:rPr>
                <w:lang w:val="fr-FR"/>
              </w:rPr>
            </w:pPr>
            <w:r w:rsidRPr="00274A4B">
              <w:rPr>
                <w:lang w:val="fr-FR"/>
              </w:rPr>
              <w:t>Onzième rapport périodique attendu depuis 1998</w:t>
            </w:r>
          </w:p>
        </w:tc>
      </w:tr>
      <w:tr w:rsidR="00A73F44" w:rsidRPr="00274A4B" w14:paraId="5C7EB9E4" w14:textId="77777777" w:rsidTr="001A7E87">
        <w:tc>
          <w:tcPr>
            <w:tcW w:w="2519" w:type="dxa"/>
            <w:hideMark/>
          </w:tcPr>
          <w:p w14:paraId="6C9D4333" w14:textId="77777777" w:rsidR="00A73F44" w:rsidRPr="00274A4B" w:rsidRDefault="00A73F44" w:rsidP="001A7E87">
            <w:pPr>
              <w:pStyle w:val="SingleTxtG"/>
              <w:ind w:left="0" w:right="0"/>
              <w:rPr>
                <w:lang w:val="fr-FR"/>
              </w:rPr>
            </w:pPr>
            <w:r w:rsidRPr="00274A4B">
              <w:rPr>
                <w:lang w:val="fr-FR"/>
              </w:rPr>
              <w:t>Gabon</w:t>
            </w:r>
          </w:p>
        </w:tc>
        <w:tc>
          <w:tcPr>
            <w:tcW w:w="4852" w:type="dxa"/>
            <w:hideMark/>
          </w:tcPr>
          <w:p w14:paraId="6827DE0E" w14:textId="77777777" w:rsidR="00A73F44" w:rsidRPr="00274A4B" w:rsidRDefault="00A73F44" w:rsidP="001A7E87">
            <w:pPr>
              <w:pStyle w:val="SingleTxtG"/>
              <w:ind w:left="0" w:right="0"/>
              <w:jc w:val="left"/>
              <w:rPr>
                <w:lang w:val="fr-FR"/>
              </w:rPr>
            </w:pPr>
            <w:r w:rsidRPr="00274A4B">
              <w:rPr>
                <w:lang w:val="fr-FR"/>
              </w:rPr>
              <w:t>Dixième rapport périodique attendu depuis 1999</w:t>
            </w:r>
          </w:p>
        </w:tc>
      </w:tr>
      <w:tr w:rsidR="00A73F44" w:rsidRPr="00274A4B" w14:paraId="5EA03972" w14:textId="77777777" w:rsidTr="001A7E87">
        <w:tc>
          <w:tcPr>
            <w:tcW w:w="2519" w:type="dxa"/>
            <w:hideMark/>
          </w:tcPr>
          <w:p w14:paraId="04AE54DF" w14:textId="77777777" w:rsidR="00A73F44" w:rsidRPr="00274A4B" w:rsidRDefault="00A73F44" w:rsidP="001A7E87">
            <w:pPr>
              <w:pStyle w:val="SingleTxtG"/>
              <w:ind w:left="0" w:right="0"/>
              <w:rPr>
                <w:lang w:val="fr-FR"/>
              </w:rPr>
            </w:pPr>
            <w:r w:rsidRPr="00274A4B">
              <w:rPr>
                <w:lang w:val="fr-FR"/>
              </w:rPr>
              <w:t>Haïti</w:t>
            </w:r>
          </w:p>
        </w:tc>
        <w:tc>
          <w:tcPr>
            <w:tcW w:w="4852" w:type="dxa"/>
            <w:hideMark/>
          </w:tcPr>
          <w:p w14:paraId="2EFA97D9" w14:textId="77777777" w:rsidR="00A73F44" w:rsidRPr="00274A4B" w:rsidRDefault="00A73F44" w:rsidP="001A7E87">
            <w:pPr>
              <w:pStyle w:val="SingleTxtG"/>
              <w:ind w:left="0" w:right="0"/>
              <w:jc w:val="left"/>
              <w:rPr>
                <w:lang w:val="fr-FR"/>
              </w:rPr>
            </w:pPr>
            <w:r w:rsidRPr="00274A4B">
              <w:rPr>
                <w:lang w:val="fr-FR"/>
              </w:rPr>
              <w:t>Quatorzième rapport périodique attendu depuis 2000</w:t>
            </w:r>
          </w:p>
        </w:tc>
      </w:tr>
      <w:tr w:rsidR="00A73F44" w:rsidRPr="00274A4B" w14:paraId="6B3BCB59" w14:textId="77777777" w:rsidTr="001A7E87">
        <w:tc>
          <w:tcPr>
            <w:tcW w:w="2519" w:type="dxa"/>
            <w:hideMark/>
          </w:tcPr>
          <w:p w14:paraId="43C8AD8B" w14:textId="77777777" w:rsidR="00A73F44" w:rsidRPr="00274A4B" w:rsidRDefault="00A73F44" w:rsidP="001A7E87">
            <w:pPr>
              <w:pStyle w:val="SingleTxtG"/>
              <w:ind w:left="0" w:right="0"/>
              <w:rPr>
                <w:lang w:val="fr-FR"/>
              </w:rPr>
            </w:pPr>
            <w:r w:rsidRPr="00274A4B">
              <w:rPr>
                <w:lang w:val="fr-FR"/>
              </w:rPr>
              <w:t>Guinée</w:t>
            </w:r>
          </w:p>
        </w:tc>
        <w:tc>
          <w:tcPr>
            <w:tcW w:w="4852" w:type="dxa"/>
            <w:hideMark/>
          </w:tcPr>
          <w:p w14:paraId="04B69341" w14:textId="77777777" w:rsidR="00A73F44" w:rsidRPr="00274A4B" w:rsidRDefault="00A73F44" w:rsidP="001A7E87">
            <w:pPr>
              <w:pStyle w:val="SingleTxtG"/>
              <w:ind w:left="0" w:right="0"/>
              <w:jc w:val="left"/>
              <w:rPr>
                <w:lang w:val="fr-FR"/>
              </w:rPr>
            </w:pPr>
            <w:r w:rsidRPr="00274A4B">
              <w:rPr>
                <w:lang w:val="fr-FR"/>
              </w:rPr>
              <w:t>Douzième rapport périodique attendu depuis 2000</w:t>
            </w:r>
          </w:p>
        </w:tc>
      </w:tr>
      <w:tr w:rsidR="00A73F44" w:rsidRPr="00274A4B" w14:paraId="2D7229A8" w14:textId="77777777" w:rsidTr="001A7E87">
        <w:tc>
          <w:tcPr>
            <w:tcW w:w="2519" w:type="dxa"/>
            <w:hideMark/>
          </w:tcPr>
          <w:p w14:paraId="6FF51203" w14:textId="77777777" w:rsidR="00A73F44" w:rsidRPr="00274A4B" w:rsidRDefault="00A73F44" w:rsidP="001A7E87">
            <w:pPr>
              <w:pStyle w:val="SingleTxtG"/>
              <w:ind w:left="0" w:right="0"/>
              <w:rPr>
                <w:lang w:val="fr-FR"/>
              </w:rPr>
            </w:pPr>
            <w:r w:rsidRPr="00274A4B">
              <w:rPr>
                <w:lang w:val="fr-FR"/>
              </w:rPr>
              <w:t>République arabe syrienne</w:t>
            </w:r>
          </w:p>
        </w:tc>
        <w:tc>
          <w:tcPr>
            <w:tcW w:w="4852" w:type="dxa"/>
            <w:hideMark/>
          </w:tcPr>
          <w:p w14:paraId="27C0E086" w14:textId="77777777" w:rsidR="00A73F44" w:rsidRPr="00274A4B" w:rsidRDefault="00A73F44" w:rsidP="001A7E87">
            <w:pPr>
              <w:pStyle w:val="SingleTxtG"/>
              <w:ind w:left="0" w:right="0"/>
              <w:jc w:val="left"/>
              <w:rPr>
                <w:lang w:val="fr-FR"/>
              </w:rPr>
            </w:pPr>
            <w:r w:rsidRPr="00274A4B">
              <w:rPr>
                <w:lang w:val="fr-FR"/>
              </w:rPr>
              <w:t>Seizième rapport périodique attendu depuis 2000</w:t>
            </w:r>
          </w:p>
        </w:tc>
      </w:tr>
      <w:tr w:rsidR="00A73F44" w:rsidRPr="00274A4B" w14:paraId="23B58870" w14:textId="77777777" w:rsidTr="001A7E87">
        <w:tc>
          <w:tcPr>
            <w:tcW w:w="2519" w:type="dxa"/>
            <w:hideMark/>
          </w:tcPr>
          <w:p w14:paraId="0FB4D59F" w14:textId="77777777" w:rsidR="00A73F44" w:rsidRPr="00274A4B" w:rsidRDefault="00A73F44" w:rsidP="001A7E87">
            <w:pPr>
              <w:pStyle w:val="SingleTxtG"/>
              <w:ind w:left="0" w:right="0"/>
              <w:rPr>
                <w:lang w:val="fr-FR"/>
              </w:rPr>
            </w:pPr>
            <w:r w:rsidRPr="00274A4B">
              <w:rPr>
                <w:lang w:val="fr-FR"/>
              </w:rPr>
              <w:t>Zimbabwe</w:t>
            </w:r>
          </w:p>
        </w:tc>
        <w:tc>
          <w:tcPr>
            <w:tcW w:w="4852" w:type="dxa"/>
            <w:hideMark/>
          </w:tcPr>
          <w:p w14:paraId="2773E218" w14:textId="77777777" w:rsidR="00A73F44" w:rsidRPr="00274A4B" w:rsidRDefault="00A73F44" w:rsidP="001A7E87">
            <w:pPr>
              <w:pStyle w:val="SingleTxtG"/>
              <w:ind w:left="0" w:right="0"/>
              <w:jc w:val="left"/>
              <w:rPr>
                <w:lang w:val="fr-FR"/>
              </w:rPr>
            </w:pPr>
            <w:r w:rsidRPr="00274A4B">
              <w:rPr>
                <w:lang w:val="fr-FR"/>
              </w:rPr>
              <w:t>Cinquième rapport périodique attendu depuis 2000</w:t>
            </w:r>
          </w:p>
        </w:tc>
      </w:tr>
      <w:tr w:rsidR="00A73F44" w:rsidRPr="00274A4B" w14:paraId="3700773E" w14:textId="77777777" w:rsidTr="001A7E87">
        <w:tc>
          <w:tcPr>
            <w:tcW w:w="2519" w:type="dxa"/>
            <w:hideMark/>
          </w:tcPr>
          <w:p w14:paraId="064002BD" w14:textId="77777777" w:rsidR="00A73F44" w:rsidRPr="00274A4B" w:rsidRDefault="00A73F44" w:rsidP="001A7E87">
            <w:pPr>
              <w:pStyle w:val="SingleTxtG"/>
              <w:ind w:left="0" w:right="0"/>
              <w:rPr>
                <w:lang w:val="fr-FR"/>
              </w:rPr>
            </w:pPr>
            <w:r w:rsidRPr="00274A4B">
              <w:rPr>
                <w:lang w:val="fr-FR"/>
              </w:rPr>
              <w:t>Lesotho</w:t>
            </w:r>
          </w:p>
        </w:tc>
        <w:tc>
          <w:tcPr>
            <w:tcW w:w="4852" w:type="dxa"/>
            <w:hideMark/>
          </w:tcPr>
          <w:p w14:paraId="60B5BC2A" w14:textId="77777777" w:rsidR="00A73F44" w:rsidRPr="00274A4B" w:rsidRDefault="00A73F44" w:rsidP="001A7E87">
            <w:pPr>
              <w:pStyle w:val="SingleTxtG"/>
              <w:ind w:left="0" w:right="0"/>
              <w:jc w:val="left"/>
              <w:rPr>
                <w:lang w:val="fr-FR"/>
              </w:rPr>
            </w:pPr>
            <w:r w:rsidRPr="00274A4B">
              <w:rPr>
                <w:lang w:val="fr-FR"/>
              </w:rPr>
              <w:t>Quinzième rapport périodique attendu depuis 2000</w:t>
            </w:r>
          </w:p>
        </w:tc>
      </w:tr>
      <w:tr w:rsidR="00A73F44" w:rsidRPr="00274A4B" w14:paraId="3397A9B7" w14:textId="77777777" w:rsidTr="001A7E87">
        <w:tc>
          <w:tcPr>
            <w:tcW w:w="2519" w:type="dxa"/>
            <w:hideMark/>
          </w:tcPr>
          <w:p w14:paraId="27EB5327" w14:textId="77777777" w:rsidR="00A73F44" w:rsidRPr="00274A4B" w:rsidRDefault="00A73F44" w:rsidP="001A7E87">
            <w:pPr>
              <w:pStyle w:val="SingleTxtG"/>
              <w:ind w:left="0" w:right="0"/>
              <w:rPr>
                <w:lang w:val="fr-FR"/>
              </w:rPr>
            </w:pPr>
            <w:r w:rsidRPr="00274A4B">
              <w:rPr>
                <w:lang w:val="fr-FR"/>
              </w:rPr>
              <w:t>Tonga</w:t>
            </w:r>
          </w:p>
        </w:tc>
        <w:tc>
          <w:tcPr>
            <w:tcW w:w="4852" w:type="dxa"/>
            <w:hideMark/>
          </w:tcPr>
          <w:p w14:paraId="09E1B98A" w14:textId="77777777" w:rsidR="00A73F44" w:rsidRPr="00274A4B" w:rsidRDefault="00A73F44" w:rsidP="001A7E87">
            <w:pPr>
              <w:pStyle w:val="SingleTxtG"/>
              <w:ind w:left="0" w:right="0"/>
              <w:jc w:val="left"/>
              <w:rPr>
                <w:lang w:val="fr-FR"/>
              </w:rPr>
            </w:pPr>
            <w:r w:rsidRPr="00274A4B">
              <w:rPr>
                <w:lang w:val="fr-FR"/>
              </w:rPr>
              <w:t>Quinzième rapport périodique attendu depuis 2001</w:t>
            </w:r>
          </w:p>
        </w:tc>
      </w:tr>
      <w:tr w:rsidR="00A73F44" w:rsidRPr="00274A4B" w14:paraId="0164F05B" w14:textId="77777777" w:rsidTr="001A7E87">
        <w:tc>
          <w:tcPr>
            <w:tcW w:w="2519" w:type="dxa"/>
            <w:hideMark/>
          </w:tcPr>
          <w:p w14:paraId="5C56AF5D" w14:textId="77777777" w:rsidR="00A73F44" w:rsidRPr="00274A4B" w:rsidRDefault="00A73F44" w:rsidP="001A7E87">
            <w:pPr>
              <w:pStyle w:val="SingleTxtG"/>
              <w:ind w:left="0" w:right="0"/>
              <w:rPr>
                <w:lang w:val="fr-FR"/>
              </w:rPr>
            </w:pPr>
            <w:r w:rsidRPr="00274A4B">
              <w:rPr>
                <w:lang w:val="fr-FR"/>
              </w:rPr>
              <w:t>Bangladesh</w:t>
            </w:r>
          </w:p>
        </w:tc>
        <w:tc>
          <w:tcPr>
            <w:tcW w:w="4852" w:type="dxa"/>
            <w:hideMark/>
          </w:tcPr>
          <w:p w14:paraId="0492737B" w14:textId="77777777" w:rsidR="00A73F44" w:rsidRPr="00274A4B" w:rsidRDefault="00A73F44" w:rsidP="001A7E87">
            <w:pPr>
              <w:pStyle w:val="SingleTxtG"/>
              <w:ind w:left="0" w:right="0"/>
              <w:jc w:val="left"/>
              <w:rPr>
                <w:lang w:val="fr-FR"/>
              </w:rPr>
            </w:pPr>
            <w:r w:rsidRPr="00274A4B">
              <w:rPr>
                <w:lang w:val="fr-FR"/>
              </w:rPr>
              <w:t>Douzième rapport périodique attendu depuis 2002</w:t>
            </w:r>
          </w:p>
        </w:tc>
      </w:tr>
      <w:tr w:rsidR="00A73F44" w:rsidRPr="00274A4B" w14:paraId="08B6F05F" w14:textId="77777777" w:rsidTr="001A7E87">
        <w:tc>
          <w:tcPr>
            <w:tcW w:w="2519" w:type="dxa"/>
            <w:hideMark/>
          </w:tcPr>
          <w:p w14:paraId="18658F27" w14:textId="77777777" w:rsidR="00A73F44" w:rsidRPr="00274A4B" w:rsidRDefault="00A73F44" w:rsidP="001A7E87">
            <w:pPr>
              <w:pStyle w:val="SingleTxtG"/>
              <w:ind w:left="0" w:right="0"/>
              <w:rPr>
                <w:lang w:val="fr-FR"/>
              </w:rPr>
            </w:pPr>
            <w:r w:rsidRPr="00274A4B">
              <w:rPr>
                <w:lang w:val="fr-FR"/>
              </w:rPr>
              <w:t>Érythrée</w:t>
            </w:r>
          </w:p>
        </w:tc>
        <w:tc>
          <w:tcPr>
            <w:tcW w:w="4852" w:type="dxa"/>
            <w:hideMark/>
          </w:tcPr>
          <w:p w14:paraId="0B319893" w14:textId="77777777" w:rsidR="00A73F44" w:rsidRPr="00274A4B" w:rsidRDefault="00A73F44" w:rsidP="001A7E87">
            <w:pPr>
              <w:pStyle w:val="SingleTxtG"/>
              <w:ind w:left="0" w:right="0"/>
              <w:jc w:val="left"/>
              <w:rPr>
                <w:lang w:val="fr-FR"/>
              </w:rPr>
            </w:pPr>
            <w:r w:rsidRPr="00274A4B">
              <w:rPr>
                <w:lang w:val="fr-FR"/>
              </w:rPr>
              <w:t>Rapport initial attendu depuis 2002</w:t>
            </w:r>
          </w:p>
        </w:tc>
      </w:tr>
      <w:tr w:rsidR="00A73F44" w:rsidRPr="00274A4B" w14:paraId="7C76433C" w14:textId="77777777" w:rsidTr="001A7E87">
        <w:tc>
          <w:tcPr>
            <w:tcW w:w="2519" w:type="dxa"/>
            <w:hideMark/>
          </w:tcPr>
          <w:p w14:paraId="6D3027BD" w14:textId="77777777" w:rsidR="00A73F44" w:rsidRPr="00274A4B" w:rsidRDefault="00A73F44" w:rsidP="001A7E87">
            <w:pPr>
              <w:pStyle w:val="SingleTxtG"/>
              <w:ind w:left="0" w:right="0"/>
              <w:rPr>
                <w:lang w:val="fr-FR"/>
              </w:rPr>
            </w:pPr>
            <w:r w:rsidRPr="00274A4B">
              <w:rPr>
                <w:lang w:val="fr-FR"/>
              </w:rPr>
              <w:t>Belize</w:t>
            </w:r>
          </w:p>
        </w:tc>
        <w:tc>
          <w:tcPr>
            <w:tcW w:w="4852" w:type="dxa"/>
            <w:hideMark/>
          </w:tcPr>
          <w:p w14:paraId="6B718132" w14:textId="77777777" w:rsidR="00A73F44" w:rsidRPr="00274A4B" w:rsidRDefault="00A73F44" w:rsidP="001A7E87">
            <w:pPr>
              <w:pStyle w:val="SingleTxtG"/>
              <w:ind w:left="0" w:right="0"/>
              <w:jc w:val="left"/>
              <w:rPr>
                <w:lang w:val="fr-FR"/>
              </w:rPr>
            </w:pPr>
            <w:r w:rsidRPr="00274A4B">
              <w:rPr>
                <w:lang w:val="fr-FR"/>
              </w:rPr>
              <w:t>Rapport initial attendu depuis 2002</w:t>
            </w:r>
          </w:p>
        </w:tc>
      </w:tr>
      <w:tr w:rsidR="00A73F44" w:rsidRPr="00274A4B" w14:paraId="3AA4DCE8" w14:textId="77777777" w:rsidTr="001A7E87">
        <w:tc>
          <w:tcPr>
            <w:tcW w:w="2519" w:type="dxa"/>
            <w:hideMark/>
          </w:tcPr>
          <w:p w14:paraId="5FFE6089" w14:textId="77777777" w:rsidR="00A73F44" w:rsidRPr="00274A4B" w:rsidRDefault="00A73F44" w:rsidP="001A7E87">
            <w:pPr>
              <w:pStyle w:val="SingleTxtG"/>
              <w:ind w:left="0" w:right="0"/>
              <w:rPr>
                <w:lang w:val="fr-FR"/>
              </w:rPr>
            </w:pPr>
            <w:r w:rsidRPr="00274A4B">
              <w:rPr>
                <w:lang w:val="fr-FR"/>
              </w:rPr>
              <w:lastRenderedPageBreak/>
              <w:t>Bénin</w:t>
            </w:r>
          </w:p>
        </w:tc>
        <w:tc>
          <w:tcPr>
            <w:tcW w:w="4852" w:type="dxa"/>
            <w:hideMark/>
          </w:tcPr>
          <w:p w14:paraId="3CCA5ED5" w14:textId="77777777" w:rsidR="00A73F44" w:rsidRPr="00274A4B" w:rsidRDefault="00A73F44" w:rsidP="001A7E87">
            <w:pPr>
              <w:pStyle w:val="SingleTxtG"/>
              <w:ind w:left="0" w:right="0"/>
              <w:jc w:val="left"/>
              <w:rPr>
                <w:lang w:val="fr-FR"/>
              </w:rPr>
            </w:pPr>
            <w:r w:rsidRPr="00274A4B">
              <w:rPr>
                <w:lang w:val="fr-FR"/>
              </w:rPr>
              <w:t>Rapport initial attendu depuis 2002</w:t>
            </w:r>
          </w:p>
        </w:tc>
      </w:tr>
      <w:tr w:rsidR="00A73F44" w:rsidRPr="00274A4B" w14:paraId="5C61BCF7" w14:textId="77777777" w:rsidTr="001A7E87">
        <w:tc>
          <w:tcPr>
            <w:tcW w:w="2519" w:type="dxa"/>
            <w:hideMark/>
          </w:tcPr>
          <w:p w14:paraId="61BB8DB7" w14:textId="77777777" w:rsidR="00A73F44" w:rsidRPr="00274A4B" w:rsidRDefault="00A73F44" w:rsidP="001A7E87">
            <w:pPr>
              <w:pStyle w:val="SingleTxtG"/>
              <w:ind w:left="0" w:right="0"/>
              <w:rPr>
                <w:lang w:val="fr-FR"/>
              </w:rPr>
            </w:pPr>
            <w:r w:rsidRPr="00274A4B">
              <w:rPr>
                <w:lang w:val="fr-FR"/>
              </w:rPr>
              <w:t>Guinée équatoriale</w:t>
            </w:r>
          </w:p>
        </w:tc>
        <w:tc>
          <w:tcPr>
            <w:tcW w:w="4852" w:type="dxa"/>
            <w:hideMark/>
          </w:tcPr>
          <w:p w14:paraId="733892B9" w14:textId="77777777" w:rsidR="00A73F44" w:rsidRPr="00274A4B" w:rsidRDefault="00A73F44" w:rsidP="001A7E87">
            <w:pPr>
              <w:pStyle w:val="SingleTxtG"/>
              <w:ind w:left="0" w:right="0"/>
              <w:jc w:val="left"/>
              <w:rPr>
                <w:lang w:val="fr-FR"/>
              </w:rPr>
            </w:pPr>
            <w:r w:rsidRPr="00274A4B">
              <w:rPr>
                <w:lang w:val="fr-FR"/>
              </w:rPr>
              <w:t>Rapport initial attendu depuis 2003</w:t>
            </w:r>
          </w:p>
        </w:tc>
      </w:tr>
      <w:tr w:rsidR="00A73F44" w:rsidRPr="00274A4B" w14:paraId="52EE8D1A" w14:textId="77777777" w:rsidTr="001A7E87">
        <w:tc>
          <w:tcPr>
            <w:tcW w:w="2519" w:type="dxa"/>
            <w:hideMark/>
          </w:tcPr>
          <w:p w14:paraId="2C9B3004" w14:textId="77777777" w:rsidR="00A73F44" w:rsidRPr="00274A4B" w:rsidRDefault="00A73F44" w:rsidP="001A7E87">
            <w:pPr>
              <w:pStyle w:val="SingleTxtG"/>
              <w:ind w:left="0" w:right="0"/>
              <w:rPr>
                <w:lang w:val="fr-FR"/>
              </w:rPr>
            </w:pPr>
            <w:r w:rsidRPr="00274A4B">
              <w:rPr>
                <w:lang w:val="fr-FR"/>
              </w:rPr>
              <w:t>Saint-Marin</w:t>
            </w:r>
          </w:p>
        </w:tc>
        <w:tc>
          <w:tcPr>
            <w:tcW w:w="4852" w:type="dxa"/>
            <w:hideMark/>
          </w:tcPr>
          <w:p w14:paraId="588DCC96" w14:textId="77777777" w:rsidR="00A73F44" w:rsidRPr="00274A4B" w:rsidRDefault="00A73F44" w:rsidP="001A7E87">
            <w:pPr>
              <w:pStyle w:val="SingleTxtG"/>
              <w:ind w:left="0" w:right="0"/>
              <w:jc w:val="left"/>
              <w:rPr>
                <w:lang w:val="fr-FR"/>
              </w:rPr>
            </w:pPr>
            <w:r w:rsidRPr="00274A4B">
              <w:rPr>
                <w:lang w:val="fr-FR"/>
              </w:rPr>
              <w:t>Rapport initial attendu depuis 2003</w:t>
            </w:r>
          </w:p>
        </w:tc>
      </w:tr>
      <w:tr w:rsidR="00A73F44" w:rsidRPr="00274A4B" w14:paraId="411F231F" w14:textId="77777777" w:rsidTr="001A7E87">
        <w:tc>
          <w:tcPr>
            <w:tcW w:w="2519" w:type="dxa"/>
            <w:hideMark/>
          </w:tcPr>
          <w:p w14:paraId="24A80CE4" w14:textId="77777777" w:rsidR="00A73F44" w:rsidRPr="00274A4B" w:rsidRDefault="00A73F44" w:rsidP="001A7E87">
            <w:pPr>
              <w:pStyle w:val="SingleTxtG"/>
              <w:ind w:left="0" w:right="0"/>
              <w:rPr>
                <w:lang w:val="fr-FR"/>
              </w:rPr>
            </w:pPr>
            <w:r w:rsidRPr="00274A4B">
              <w:rPr>
                <w:lang w:val="fr-FR"/>
              </w:rPr>
              <w:t>Timor-Leste</w:t>
            </w:r>
          </w:p>
        </w:tc>
        <w:tc>
          <w:tcPr>
            <w:tcW w:w="4852" w:type="dxa"/>
            <w:hideMark/>
          </w:tcPr>
          <w:p w14:paraId="5E0356A0" w14:textId="77777777" w:rsidR="00A73F44" w:rsidRPr="00274A4B" w:rsidRDefault="00A73F44" w:rsidP="001A7E87">
            <w:pPr>
              <w:pStyle w:val="SingleTxtG"/>
              <w:ind w:left="0" w:right="0"/>
              <w:jc w:val="left"/>
              <w:rPr>
                <w:lang w:val="fr-FR"/>
              </w:rPr>
            </w:pPr>
            <w:r w:rsidRPr="00274A4B">
              <w:rPr>
                <w:lang w:val="fr-FR"/>
              </w:rPr>
              <w:t>Rapport initial attendu depuis 2004</w:t>
            </w:r>
          </w:p>
        </w:tc>
      </w:tr>
      <w:tr w:rsidR="00A73F44" w:rsidRPr="00274A4B" w14:paraId="37AA4BDC" w14:textId="77777777" w:rsidTr="001A7E87">
        <w:tc>
          <w:tcPr>
            <w:tcW w:w="2519" w:type="dxa"/>
            <w:hideMark/>
          </w:tcPr>
          <w:p w14:paraId="629344C9" w14:textId="77777777" w:rsidR="00A73F44" w:rsidRPr="00274A4B" w:rsidRDefault="00A73F44" w:rsidP="001A7E87">
            <w:pPr>
              <w:pStyle w:val="SingleTxtG"/>
              <w:ind w:left="0" w:right="0"/>
              <w:rPr>
                <w:lang w:val="fr-FR"/>
              </w:rPr>
            </w:pPr>
            <w:r w:rsidRPr="00274A4B">
              <w:rPr>
                <w:lang w:val="fr-FR"/>
              </w:rPr>
              <w:t>Trinité-et-Tobago</w:t>
            </w:r>
          </w:p>
        </w:tc>
        <w:tc>
          <w:tcPr>
            <w:tcW w:w="4852" w:type="dxa"/>
            <w:hideMark/>
          </w:tcPr>
          <w:p w14:paraId="46C2BBC5" w14:textId="77777777" w:rsidR="00A73F44" w:rsidRPr="00274A4B" w:rsidRDefault="00A73F44" w:rsidP="001A7E87">
            <w:pPr>
              <w:pStyle w:val="SingleTxtG"/>
              <w:ind w:left="0" w:right="0"/>
              <w:jc w:val="left"/>
              <w:rPr>
                <w:lang w:val="fr-FR"/>
              </w:rPr>
            </w:pPr>
            <w:r w:rsidRPr="00274A4B">
              <w:rPr>
                <w:lang w:val="fr-FR"/>
              </w:rPr>
              <w:t>Rapport valant quinzième et seizième rapports périodiques attendu depuis 2004</w:t>
            </w:r>
          </w:p>
        </w:tc>
      </w:tr>
      <w:tr w:rsidR="00A73F44" w:rsidRPr="00274A4B" w14:paraId="09575CBE" w14:textId="77777777" w:rsidTr="001A7E87">
        <w:tc>
          <w:tcPr>
            <w:tcW w:w="2519" w:type="dxa"/>
            <w:hideMark/>
          </w:tcPr>
          <w:p w14:paraId="1B2D01DA" w14:textId="77777777" w:rsidR="00A73F44" w:rsidRPr="00274A4B" w:rsidRDefault="00A73F44" w:rsidP="001A7E87">
            <w:pPr>
              <w:pStyle w:val="SingleTxtG"/>
              <w:ind w:left="0" w:right="0"/>
              <w:rPr>
                <w:lang w:val="fr-FR"/>
              </w:rPr>
            </w:pPr>
            <w:r w:rsidRPr="00274A4B">
              <w:rPr>
                <w:lang w:val="fr-FR"/>
              </w:rPr>
              <w:t>Comores</w:t>
            </w:r>
          </w:p>
        </w:tc>
        <w:tc>
          <w:tcPr>
            <w:tcW w:w="4852" w:type="dxa"/>
            <w:hideMark/>
          </w:tcPr>
          <w:p w14:paraId="28ACD440" w14:textId="77777777" w:rsidR="00A73F44" w:rsidRPr="00274A4B" w:rsidRDefault="00A73F44" w:rsidP="001A7E87">
            <w:pPr>
              <w:pStyle w:val="SingleTxtG"/>
              <w:ind w:left="0" w:right="0"/>
              <w:jc w:val="left"/>
              <w:rPr>
                <w:lang w:val="fr-FR"/>
              </w:rPr>
            </w:pPr>
            <w:r w:rsidRPr="00274A4B">
              <w:rPr>
                <w:lang w:val="fr-FR"/>
              </w:rPr>
              <w:t>Rapport initial attendu depuis 2005</w:t>
            </w:r>
          </w:p>
        </w:tc>
      </w:tr>
      <w:tr w:rsidR="00A73F44" w:rsidRPr="00274A4B" w14:paraId="3E6FAB27" w14:textId="77777777" w:rsidTr="001A7E87">
        <w:tc>
          <w:tcPr>
            <w:tcW w:w="2519" w:type="dxa"/>
            <w:hideMark/>
          </w:tcPr>
          <w:p w14:paraId="778D8F0E" w14:textId="77777777" w:rsidR="00A73F44" w:rsidRPr="00274A4B" w:rsidRDefault="00A73F44" w:rsidP="001A7E87">
            <w:pPr>
              <w:pStyle w:val="SingleTxtG"/>
              <w:ind w:left="0" w:right="0"/>
              <w:rPr>
                <w:lang w:val="fr-FR"/>
              </w:rPr>
            </w:pPr>
            <w:r w:rsidRPr="00274A4B">
              <w:rPr>
                <w:lang w:val="fr-FR"/>
              </w:rPr>
              <w:t>Ouganda</w:t>
            </w:r>
          </w:p>
        </w:tc>
        <w:tc>
          <w:tcPr>
            <w:tcW w:w="4852" w:type="dxa"/>
            <w:hideMark/>
          </w:tcPr>
          <w:p w14:paraId="0CB60878" w14:textId="77777777" w:rsidR="00A73F44" w:rsidRPr="00274A4B" w:rsidRDefault="00A73F44" w:rsidP="001A7E87">
            <w:pPr>
              <w:pStyle w:val="SingleTxtG"/>
              <w:ind w:left="0" w:right="0"/>
              <w:jc w:val="left"/>
              <w:rPr>
                <w:lang w:val="fr-FR"/>
              </w:rPr>
            </w:pPr>
            <w:r w:rsidRPr="00274A4B">
              <w:rPr>
                <w:lang w:val="fr-FR"/>
              </w:rPr>
              <w:t>Rapport valant onzième à treizième rapports périodiques attendu depuis 2005</w:t>
            </w:r>
          </w:p>
        </w:tc>
      </w:tr>
      <w:tr w:rsidR="00A73F44" w:rsidRPr="00274A4B" w14:paraId="0C1B354C" w14:textId="77777777" w:rsidTr="001A7E87">
        <w:tc>
          <w:tcPr>
            <w:tcW w:w="2519" w:type="dxa"/>
            <w:hideMark/>
          </w:tcPr>
          <w:p w14:paraId="5D05BC8D" w14:textId="77777777" w:rsidR="00A73F44" w:rsidRPr="00274A4B" w:rsidRDefault="00A73F44" w:rsidP="001A7E87">
            <w:pPr>
              <w:pStyle w:val="SingleTxtG"/>
              <w:ind w:left="0" w:right="0"/>
              <w:rPr>
                <w:lang w:val="fr-FR"/>
              </w:rPr>
            </w:pPr>
            <w:r w:rsidRPr="00274A4B">
              <w:rPr>
                <w:lang w:val="fr-FR"/>
              </w:rPr>
              <w:t>Mali</w:t>
            </w:r>
          </w:p>
        </w:tc>
        <w:tc>
          <w:tcPr>
            <w:tcW w:w="4852" w:type="dxa"/>
            <w:hideMark/>
          </w:tcPr>
          <w:p w14:paraId="401F4EB4" w14:textId="77777777" w:rsidR="00A73F44" w:rsidRPr="00274A4B" w:rsidRDefault="00A73F44" w:rsidP="001A7E87">
            <w:pPr>
              <w:pStyle w:val="SingleTxtG"/>
              <w:ind w:left="0" w:right="0"/>
              <w:jc w:val="left"/>
              <w:rPr>
                <w:lang w:val="fr-FR"/>
              </w:rPr>
            </w:pPr>
            <w:r w:rsidRPr="00274A4B">
              <w:rPr>
                <w:lang w:val="fr-FR"/>
              </w:rPr>
              <w:t>Rapport valant quinzième et seizième rapports périodiques attendu depuis 2005</w:t>
            </w:r>
          </w:p>
        </w:tc>
      </w:tr>
      <w:tr w:rsidR="00A73F44" w:rsidRPr="00274A4B" w14:paraId="1D8A9266" w14:textId="77777777" w:rsidTr="001A7E87">
        <w:tc>
          <w:tcPr>
            <w:tcW w:w="2519" w:type="dxa"/>
            <w:hideMark/>
          </w:tcPr>
          <w:p w14:paraId="0AD8594A" w14:textId="77777777" w:rsidR="00A73F44" w:rsidRPr="00274A4B" w:rsidRDefault="00A73F44" w:rsidP="001A7E87">
            <w:pPr>
              <w:pStyle w:val="SingleTxtG"/>
              <w:ind w:left="0" w:right="0"/>
              <w:rPr>
                <w:lang w:val="fr-FR"/>
              </w:rPr>
            </w:pPr>
            <w:r w:rsidRPr="00274A4B">
              <w:rPr>
                <w:lang w:val="fr-FR"/>
              </w:rPr>
              <w:t>Ghana</w:t>
            </w:r>
          </w:p>
        </w:tc>
        <w:tc>
          <w:tcPr>
            <w:tcW w:w="4852" w:type="dxa"/>
            <w:hideMark/>
          </w:tcPr>
          <w:p w14:paraId="28E61399" w14:textId="77777777" w:rsidR="00A73F44" w:rsidRPr="00274A4B" w:rsidRDefault="00A73F44" w:rsidP="001A7E87">
            <w:pPr>
              <w:pStyle w:val="SingleTxtG"/>
              <w:ind w:left="0" w:right="0"/>
              <w:jc w:val="left"/>
              <w:rPr>
                <w:lang w:val="fr-FR"/>
              </w:rPr>
            </w:pPr>
            <w:r w:rsidRPr="00274A4B">
              <w:rPr>
                <w:lang w:val="fr-FR"/>
              </w:rPr>
              <w:t>Rapport valant dix-huitième et dix-neuvième rapports périodiques attendu depuis 2006</w:t>
            </w:r>
          </w:p>
        </w:tc>
      </w:tr>
      <w:tr w:rsidR="00A73F44" w:rsidRPr="00274A4B" w14:paraId="43ADD7E0" w14:textId="77777777" w:rsidTr="001A7E87">
        <w:tc>
          <w:tcPr>
            <w:tcW w:w="2519" w:type="dxa"/>
            <w:hideMark/>
          </w:tcPr>
          <w:p w14:paraId="681F2746" w14:textId="77777777" w:rsidR="00A73F44" w:rsidRPr="00274A4B" w:rsidRDefault="00A73F44" w:rsidP="001A7E87">
            <w:pPr>
              <w:pStyle w:val="SingleTxtG"/>
              <w:ind w:left="0" w:right="0"/>
              <w:rPr>
                <w:lang w:val="fr-FR"/>
              </w:rPr>
            </w:pPr>
            <w:r w:rsidRPr="00274A4B">
              <w:rPr>
                <w:lang w:val="fr-FR"/>
              </w:rPr>
              <w:t>Libye</w:t>
            </w:r>
          </w:p>
        </w:tc>
        <w:tc>
          <w:tcPr>
            <w:tcW w:w="4852" w:type="dxa"/>
            <w:hideMark/>
          </w:tcPr>
          <w:p w14:paraId="0E328891" w14:textId="77777777" w:rsidR="00A73F44" w:rsidRPr="00274A4B" w:rsidRDefault="00A73F44" w:rsidP="001A7E87">
            <w:pPr>
              <w:pStyle w:val="SingleTxtG"/>
              <w:ind w:left="0" w:right="0"/>
              <w:jc w:val="left"/>
              <w:rPr>
                <w:lang w:val="fr-FR"/>
              </w:rPr>
            </w:pPr>
            <w:r w:rsidRPr="00274A4B">
              <w:rPr>
                <w:lang w:val="fr-FR"/>
              </w:rPr>
              <w:t>Rapport valant dix-huitième et dix-neuvième rapports périodiques attendu depuis 2006</w:t>
            </w:r>
          </w:p>
        </w:tc>
      </w:tr>
      <w:tr w:rsidR="00A73F44" w:rsidRPr="00274A4B" w14:paraId="19E11707" w14:textId="77777777" w:rsidTr="001A7E87">
        <w:tc>
          <w:tcPr>
            <w:tcW w:w="2519" w:type="dxa"/>
            <w:hideMark/>
          </w:tcPr>
          <w:p w14:paraId="7F3F84DD" w14:textId="77777777" w:rsidR="00A73F44" w:rsidRPr="00274A4B" w:rsidRDefault="00A73F44" w:rsidP="001A7E87">
            <w:pPr>
              <w:pStyle w:val="SingleTxtG"/>
              <w:ind w:left="0" w:right="0"/>
              <w:rPr>
                <w:lang w:val="fr-FR"/>
              </w:rPr>
            </w:pPr>
            <w:r w:rsidRPr="00274A4B">
              <w:rPr>
                <w:lang w:val="fr-FR"/>
              </w:rPr>
              <w:t>Côte d’Ivoire</w:t>
            </w:r>
          </w:p>
        </w:tc>
        <w:tc>
          <w:tcPr>
            <w:tcW w:w="4852" w:type="dxa"/>
            <w:hideMark/>
          </w:tcPr>
          <w:p w14:paraId="42D8FFFB" w14:textId="77777777" w:rsidR="00A73F44" w:rsidRPr="00274A4B" w:rsidRDefault="00A73F44" w:rsidP="001A7E87">
            <w:pPr>
              <w:pStyle w:val="SingleTxtG"/>
              <w:ind w:left="0" w:right="0"/>
              <w:jc w:val="left"/>
              <w:rPr>
                <w:lang w:val="fr-FR"/>
              </w:rPr>
            </w:pPr>
            <w:r w:rsidRPr="00274A4B">
              <w:rPr>
                <w:lang w:val="fr-FR"/>
              </w:rPr>
              <w:t>Rapport valant quinzième à dix-septième rapports périodiques attendu depuis 2006</w:t>
            </w:r>
          </w:p>
        </w:tc>
      </w:tr>
      <w:tr w:rsidR="00A73F44" w:rsidRPr="00274A4B" w14:paraId="6AECE5AE" w14:textId="77777777" w:rsidTr="001A7E87">
        <w:tc>
          <w:tcPr>
            <w:tcW w:w="2519" w:type="dxa"/>
            <w:hideMark/>
          </w:tcPr>
          <w:p w14:paraId="6B3D2F06" w14:textId="77777777" w:rsidR="00A73F44" w:rsidRPr="00274A4B" w:rsidRDefault="00A73F44" w:rsidP="001A7E87">
            <w:pPr>
              <w:pStyle w:val="SingleTxtG"/>
              <w:ind w:left="0" w:right="0"/>
              <w:rPr>
                <w:lang w:val="fr-FR"/>
              </w:rPr>
            </w:pPr>
            <w:r w:rsidRPr="00274A4B">
              <w:rPr>
                <w:lang w:val="fr-FR"/>
              </w:rPr>
              <w:t>Bahamas</w:t>
            </w:r>
          </w:p>
        </w:tc>
        <w:tc>
          <w:tcPr>
            <w:tcW w:w="4852" w:type="dxa"/>
            <w:hideMark/>
          </w:tcPr>
          <w:p w14:paraId="2541DDF6" w14:textId="77777777" w:rsidR="00A73F44" w:rsidRPr="00274A4B" w:rsidRDefault="00A73F44" w:rsidP="001A7E87">
            <w:pPr>
              <w:pStyle w:val="SingleTxtG"/>
              <w:ind w:left="0" w:right="0"/>
              <w:jc w:val="left"/>
              <w:rPr>
                <w:lang w:val="fr-FR"/>
              </w:rPr>
            </w:pPr>
            <w:r w:rsidRPr="00274A4B">
              <w:rPr>
                <w:lang w:val="fr-FR"/>
              </w:rPr>
              <w:t>Rapport valant quinzième et seizième rapports périodiques attendu depuis 2006</w:t>
            </w:r>
          </w:p>
        </w:tc>
      </w:tr>
      <w:tr w:rsidR="00A73F44" w:rsidRPr="00274A4B" w14:paraId="2D1FBCDC" w14:textId="77777777" w:rsidTr="001A7E87">
        <w:tc>
          <w:tcPr>
            <w:tcW w:w="2519" w:type="dxa"/>
            <w:hideMark/>
          </w:tcPr>
          <w:p w14:paraId="1D3430B6" w14:textId="77777777" w:rsidR="00A73F44" w:rsidRPr="00274A4B" w:rsidRDefault="00A73F44" w:rsidP="001A7E87">
            <w:pPr>
              <w:pStyle w:val="SingleTxtG"/>
              <w:ind w:left="0" w:right="0"/>
              <w:rPr>
                <w:lang w:val="fr-FR"/>
              </w:rPr>
            </w:pPr>
            <w:r w:rsidRPr="00274A4B">
              <w:rPr>
                <w:lang w:val="fr-FR"/>
              </w:rPr>
              <w:t>Cabo Verde</w:t>
            </w:r>
          </w:p>
        </w:tc>
        <w:tc>
          <w:tcPr>
            <w:tcW w:w="4852" w:type="dxa"/>
            <w:hideMark/>
          </w:tcPr>
          <w:p w14:paraId="763D6A30" w14:textId="77777777" w:rsidR="00A73F44" w:rsidRPr="00274A4B" w:rsidRDefault="00A73F44" w:rsidP="001A7E87">
            <w:pPr>
              <w:pStyle w:val="SingleTxtG"/>
              <w:ind w:left="0" w:right="0"/>
              <w:jc w:val="left"/>
              <w:rPr>
                <w:lang w:val="fr-FR"/>
              </w:rPr>
            </w:pPr>
            <w:r w:rsidRPr="00274A4B">
              <w:rPr>
                <w:lang w:val="fr-FR"/>
              </w:rPr>
              <w:t>Rapport valant treizième et quatorzième rapports périodiques attendu depuis 2006</w:t>
            </w:r>
          </w:p>
        </w:tc>
      </w:tr>
      <w:tr w:rsidR="00A73F44" w:rsidRPr="00274A4B" w14:paraId="2E873A87" w14:textId="77777777" w:rsidTr="001A7E87">
        <w:tc>
          <w:tcPr>
            <w:tcW w:w="2519" w:type="dxa"/>
            <w:hideMark/>
          </w:tcPr>
          <w:p w14:paraId="359CFC7E" w14:textId="77777777" w:rsidR="00A73F44" w:rsidRPr="00274A4B" w:rsidRDefault="00A73F44" w:rsidP="001A7E87">
            <w:pPr>
              <w:pStyle w:val="SingleTxtG"/>
              <w:ind w:left="0" w:right="0"/>
              <w:rPr>
                <w:lang w:val="fr-FR"/>
              </w:rPr>
            </w:pPr>
            <w:r w:rsidRPr="00274A4B">
              <w:rPr>
                <w:lang w:val="fr-FR"/>
              </w:rPr>
              <w:t>Saint-Vincent-et-</w:t>
            </w:r>
            <w:r w:rsidRPr="00274A4B">
              <w:rPr>
                <w:lang w:val="fr-FR"/>
              </w:rPr>
              <w:br/>
              <w:t>les-Grenadines</w:t>
            </w:r>
          </w:p>
        </w:tc>
        <w:tc>
          <w:tcPr>
            <w:tcW w:w="4852" w:type="dxa"/>
            <w:hideMark/>
          </w:tcPr>
          <w:p w14:paraId="628F4CEE" w14:textId="77777777" w:rsidR="00A73F44" w:rsidRPr="00274A4B" w:rsidRDefault="00A73F44" w:rsidP="001A7E87">
            <w:pPr>
              <w:pStyle w:val="SingleTxtG"/>
              <w:ind w:left="0" w:right="0"/>
              <w:jc w:val="left"/>
              <w:rPr>
                <w:lang w:val="fr-FR"/>
              </w:rPr>
            </w:pPr>
            <w:r w:rsidRPr="00274A4B">
              <w:rPr>
                <w:lang w:val="fr-FR"/>
              </w:rPr>
              <w:t>Rapport valant onzième à treizième rapports périodiques attendu depuis 2006</w:t>
            </w:r>
          </w:p>
        </w:tc>
      </w:tr>
      <w:tr w:rsidR="00A73F44" w:rsidRPr="00274A4B" w14:paraId="0DD9AC13" w14:textId="77777777" w:rsidTr="001A7E87">
        <w:tc>
          <w:tcPr>
            <w:tcW w:w="2519" w:type="dxa"/>
            <w:hideMark/>
          </w:tcPr>
          <w:p w14:paraId="14DD0E62" w14:textId="77777777" w:rsidR="00A73F44" w:rsidRPr="00274A4B" w:rsidRDefault="00A73F44" w:rsidP="001A7E87">
            <w:pPr>
              <w:pStyle w:val="SingleTxtG"/>
              <w:ind w:left="0" w:right="0"/>
              <w:rPr>
                <w:lang w:val="fr-FR"/>
              </w:rPr>
            </w:pPr>
            <w:r w:rsidRPr="00274A4B">
              <w:rPr>
                <w:lang w:val="fr-FR"/>
              </w:rPr>
              <w:t>Barbade</w:t>
            </w:r>
          </w:p>
        </w:tc>
        <w:tc>
          <w:tcPr>
            <w:tcW w:w="4852" w:type="dxa"/>
            <w:hideMark/>
          </w:tcPr>
          <w:p w14:paraId="7F7D880F" w14:textId="77777777" w:rsidR="00A73F44" w:rsidRPr="00274A4B" w:rsidRDefault="00A73F44" w:rsidP="001A7E87">
            <w:pPr>
              <w:pStyle w:val="SingleTxtG"/>
              <w:ind w:left="0" w:right="0"/>
              <w:jc w:val="left"/>
              <w:rPr>
                <w:lang w:val="fr-FR"/>
              </w:rPr>
            </w:pPr>
            <w:r w:rsidRPr="00274A4B">
              <w:rPr>
                <w:lang w:val="fr-FR"/>
              </w:rPr>
              <w:t>Rapport valant dix-septième et dix-huitième rapports périodiques attendu depuis 2007</w:t>
            </w:r>
          </w:p>
        </w:tc>
      </w:tr>
      <w:tr w:rsidR="00A73F44" w:rsidRPr="00274A4B" w14:paraId="483049C2" w14:textId="77777777" w:rsidTr="001A7E87">
        <w:tc>
          <w:tcPr>
            <w:tcW w:w="2519" w:type="dxa"/>
            <w:hideMark/>
          </w:tcPr>
          <w:p w14:paraId="72AB1BDB" w14:textId="77777777" w:rsidR="00A73F44" w:rsidRPr="00274A4B" w:rsidRDefault="00A73F44" w:rsidP="001A7E87">
            <w:pPr>
              <w:pStyle w:val="SingleTxtG"/>
              <w:ind w:left="0" w:right="0"/>
              <w:rPr>
                <w:lang w:val="fr-FR"/>
              </w:rPr>
            </w:pPr>
            <w:r w:rsidRPr="00274A4B">
              <w:rPr>
                <w:lang w:val="fr-FR"/>
              </w:rPr>
              <w:t>Saint-Kitts-et-Nevis</w:t>
            </w:r>
          </w:p>
        </w:tc>
        <w:tc>
          <w:tcPr>
            <w:tcW w:w="4852" w:type="dxa"/>
            <w:hideMark/>
          </w:tcPr>
          <w:p w14:paraId="2958A14A" w14:textId="77777777" w:rsidR="00A73F44" w:rsidRPr="00274A4B" w:rsidRDefault="00A73F44" w:rsidP="001A7E87">
            <w:pPr>
              <w:pStyle w:val="SingleTxtG"/>
              <w:ind w:left="0" w:right="0"/>
              <w:jc w:val="left"/>
              <w:rPr>
                <w:lang w:val="fr-FR"/>
              </w:rPr>
            </w:pPr>
            <w:r w:rsidRPr="00274A4B">
              <w:rPr>
                <w:lang w:val="fr-FR"/>
              </w:rPr>
              <w:t>Rapport initial attendu depuis 2007</w:t>
            </w:r>
          </w:p>
        </w:tc>
      </w:tr>
      <w:tr w:rsidR="00A73F44" w:rsidRPr="00274A4B" w14:paraId="013C86F7" w14:textId="77777777" w:rsidTr="001A7E87">
        <w:tc>
          <w:tcPr>
            <w:tcW w:w="2519" w:type="dxa"/>
            <w:hideMark/>
          </w:tcPr>
          <w:p w14:paraId="7F8A61F4" w14:textId="77777777" w:rsidR="00A73F44" w:rsidRPr="00D52A42" w:rsidRDefault="00A73F44" w:rsidP="001A7E87">
            <w:pPr>
              <w:pStyle w:val="SingleTxtG"/>
              <w:ind w:left="0" w:right="0"/>
              <w:rPr>
                <w:spacing w:val="-2"/>
                <w:lang w:val="fr-FR"/>
              </w:rPr>
            </w:pPr>
            <w:r w:rsidRPr="00D52A42">
              <w:rPr>
                <w:spacing w:val="-2"/>
                <w:lang w:val="fr-FR"/>
              </w:rPr>
              <w:t>République-Unie de Tanzanie</w:t>
            </w:r>
          </w:p>
        </w:tc>
        <w:tc>
          <w:tcPr>
            <w:tcW w:w="4852" w:type="dxa"/>
            <w:hideMark/>
          </w:tcPr>
          <w:p w14:paraId="7ADCBC9B" w14:textId="77777777" w:rsidR="00A73F44" w:rsidRPr="00274A4B" w:rsidRDefault="00A73F44" w:rsidP="001A7E87">
            <w:pPr>
              <w:pStyle w:val="SingleTxtG"/>
              <w:ind w:left="0" w:right="0"/>
              <w:jc w:val="left"/>
              <w:rPr>
                <w:lang w:val="fr-FR"/>
              </w:rPr>
            </w:pPr>
            <w:r w:rsidRPr="00274A4B">
              <w:rPr>
                <w:lang w:val="fr-FR"/>
              </w:rPr>
              <w:t>Rapport valant dix-septième et dix-huitième rapports périodiques attendu depuis 2007</w:t>
            </w:r>
          </w:p>
        </w:tc>
      </w:tr>
      <w:tr w:rsidR="00A73F44" w:rsidRPr="00274A4B" w14:paraId="297B8AC5" w14:textId="77777777" w:rsidTr="001A7E87">
        <w:tc>
          <w:tcPr>
            <w:tcW w:w="2519" w:type="dxa"/>
            <w:hideMark/>
          </w:tcPr>
          <w:p w14:paraId="0A126090" w14:textId="77777777" w:rsidR="00A73F44" w:rsidRPr="00274A4B" w:rsidRDefault="00A73F44" w:rsidP="001A7E87">
            <w:pPr>
              <w:pStyle w:val="SingleTxtG"/>
              <w:ind w:left="0" w:right="0"/>
              <w:rPr>
                <w:lang w:val="fr-FR"/>
              </w:rPr>
            </w:pPr>
            <w:r w:rsidRPr="00274A4B">
              <w:rPr>
                <w:lang w:val="fr-FR"/>
              </w:rPr>
              <w:t>Guyana</w:t>
            </w:r>
          </w:p>
        </w:tc>
        <w:tc>
          <w:tcPr>
            <w:tcW w:w="4852" w:type="dxa"/>
            <w:hideMark/>
          </w:tcPr>
          <w:p w14:paraId="7E0F3BF1" w14:textId="77777777" w:rsidR="00A73F44" w:rsidRPr="00274A4B" w:rsidRDefault="00A73F44" w:rsidP="001A7E87">
            <w:pPr>
              <w:pStyle w:val="SingleTxtG"/>
              <w:ind w:left="0" w:right="0"/>
              <w:jc w:val="left"/>
              <w:rPr>
                <w:lang w:val="fr-FR"/>
              </w:rPr>
            </w:pPr>
            <w:r w:rsidRPr="00274A4B">
              <w:rPr>
                <w:lang w:val="fr-FR"/>
              </w:rPr>
              <w:t>Rapport valant quinzième et seizième rapports périodiques attendu depuis 2008</w:t>
            </w:r>
          </w:p>
        </w:tc>
      </w:tr>
      <w:tr w:rsidR="00A73F44" w:rsidRPr="00274A4B" w14:paraId="48A414D5" w14:textId="77777777" w:rsidTr="001A7E87">
        <w:tc>
          <w:tcPr>
            <w:tcW w:w="2519" w:type="dxa"/>
            <w:hideMark/>
          </w:tcPr>
          <w:p w14:paraId="03876D54" w14:textId="77777777" w:rsidR="00A73F44" w:rsidRPr="00274A4B" w:rsidRDefault="00A73F44" w:rsidP="001A7E87">
            <w:pPr>
              <w:pStyle w:val="SingleTxtG"/>
              <w:ind w:left="0" w:right="0"/>
              <w:rPr>
                <w:lang w:val="fr-FR"/>
              </w:rPr>
            </w:pPr>
            <w:r w:rsidRPr="00274A4B">
              <w:rPr>
                <w:lang w:val="fr-FR"/>
              </w:rPr>
              <w:t>Brésil</w:t>
            </w:r>
          </w:p>
        </w:tc>
        <w:tc>
          <w:tcPr>
            <w:tcW w:w="4852" w:type="dxa"/>
            <w:hideMark/>
          </w:tcPr>
          <w:p w14:paraId="7D79E71C" w14:textId="77777777" w:rsidR="00A73F44" w:rsidRPr="00274A4B" w:rsidRDefault="00A73F44" w:rsidP="001A7E87">
            <w:pPr>
              <w:pStyle w:val="SingleTxtG"/>
              <w:ind w:left="0" w:right="0"/>
              <w:jc w:val="left"/>
              <w:rPr>
                <w:lang w:val="fr-FR"/>
              </w:rPr>
            </w:pPr>
            <w:r w:rsidRPr="00274A4B">
              <w:rPr>
                <w:lang w:val="fr-FR"/>
              </w:rPr>
              <w:t>Rapport valant dix-huitième à vingtième rapports périodiques attendu depuis 2008</w:t>
            </w:r>
          </w:p>
        </w:tc>
      </w:tr>
      <w:tr w:rsidR="00A73F44" w:rsidRPr="00274A4B" w14:paraId="24BF8141" w14:textId="77777777" w:rsidTr="001A7E87">
        <w:tc>
          <w:tcPr>
            <w:tcW w:w="2519" w:type="dxa"/>
            <w:hideMark/>
          </w:tcPr>
          <w:p w14:paraId="59C00C5D" w14:textId="77777777" w:rsidR="00A73F44" w:rsidRPr="00274A4B" w:rsidRDefault="00A73F44" w:rsidP="001A7E87">
            <w:pPr>
              <w:pStyle w:val="SingleTxtG"/>
              <w:ind w:left="0" w:right="0"/>
              <w:rPr>
                <w:lang w:val="fr-FR"/>
              </w:rPr>
            </w:pPr>
            <w:r w:rsidRPr="00274A4B">
              <w:rPr>
                <w:lang w:val="fr-FR"/>
              </w:rPr>
              <w:t>Madagascar</w:t>
            </w:r>
          </w:p>
        </w:tc>
        <w:tc>
          <w:tcPr>
            <w:tcW w:w="4852" w:type="dxa"/>
            <w:hideMark/>
          </w:tcPr>
          <w:p w14:paraId="37A73596" w14:textId="77777777" w:rsidR="00A73F44" w:rsidRPr="00274A4B" w:rsidRDefault="00A73F44" w:rsidP="001A7E87">
            <w:pPr>
              <w:pStyle w:val="SingleTxtG"/>
              <w:ind w:left="0" w:right="0"/>
              <w:jc w:val="left"/>
              <w:rPr>
                <w:lang w:val="fr-FR"/>
              </w:rPr>
            </w:pPr>
            <w:r w:rsidRPr="00274A4B">
              <w:rPr>
                <w:lang w:val="fr-FR"/>
              </w:rPr>
              <w:t>Rapport valant dix-neuvième et vingtième rapports périodiques attendu depuis 2008</w:t>
            </w:r>
          </w:p>
        </w:tc>
      </w:tr>
      <w:tr w:rsidR="00A73F44" w:rsidRPr="00274A4B" w14:paraId="57C097EB" w14:textId="77777777" w:rsidTr="001A7E87">
        <w:tc>
          <w:tcPr>
            <w:tcW w:w="2519" w:type="dxa"/>
            <w:hideMark/>
          </w:tcPr>
          <w:p w14:paraId="61CE5235" w14:textId="77777777" w:rsidR="00A73F44" w:rsidRPr="00274A4B" w:rsidRDefault="00A73F44" w:rsidP="001A7E87">
            <w:pPr>
              <w:pStyle w:val="SingleTxtG"/>
              <w:ind w:left="0" w:right="0"/>
              <w:rPr>
                <w:lang w:val="fr-FR"/>
              </w:rPr>
            </w:pPr>
            <w:r w:rsidRPr="00274A4B">
              <w:rPr>
                <w:lang w:val="fr-FR"/>
              </w:rPr>
              <w:t>Nigéria</w:t>
            </w:r>
          </w:p>
        </w:tc>
        <w:tc>
          <w:tcPr>
            <w:tcW w:w="4852" w:type="dxa"/>
            <w:hideMark/>
          </w:tcPr>
          <w:p w14:paraId="4334B2EA" w14:textId="77777777" w:rsidR="00A73F44" w:rsidRPr="00274A4B" w:rsidRDefault="00A73F44" w:rsidP="001A7E87">
            <w:pPr>
              <w:pStyle w:val="SingleTxtG"/>
              <w:ind w:left="0" w:right="0"/>
              <w:jc w:val="left"/>
              <w:rPr>
                <w:lang w:val="fr-FR"/>
              </w:rPr>
            </w:pPr>
            <w:r w:rsidRPr="00274A4B">
              <w:rPr>
                <w:lang w:val="fr-FR"/>
              </w:rPr>
              <w:t>Rapport valant dix-neuvième et vingtième rapports périodiques attendu depuis 2008</w:t>
            </w:r>
          </w:p>
        </w:tc>
      </w:tr>
    </w:tbl>
    <w:p w14:paraId="1290F534" w14:textId="246C1D04" w:rsidR="00A73F44" w:rsidRPr="00A73F44" w:rsidRDefault="00A73F44" w:rsidP="00772386">
      <w:pPr>
        <w:pStyle w:val="H1G"/>
        <w:rPr>
          <w:lang w:val="fr-FR"/>
        </w:rPr>
      </w:pPr>
      <w:r w:rsidRPr="00A73F44">
        <w:rPr>
          <w:lang w:val="fr-FR"/>
        </w:rPr>
        <w:tab/>
      </w:r>
      <w:bookmarkStart w:id="21" w:name="_Toc17361305"/>
      <w:r w:rsidRPr="00A73F44">
        <w:rPr>
          <w:lang w:val="fr-FR"/>
        </w:rPr>
        <w:t>B</w:t>
      </w:r>
      <w:r w:rsidR="006A19EC" w:rsidRPr="006A19EC">
        <w:rPr>
          <w:lang w:val="fr-FR"/>
        </w:rPr>
        <w:t>.</w:t>
      </w:r>
      <w:r w:rsidRPr="00A73F44">
        <w:rPr>
          <w:lang w:val="fr-FR"/>
        </w:rPr>
        <w:tab/>
      </w:r>
      <w:bookmarkEnd w:id="21"/>
      <w:r w:rsidRPr="00A73F44">
        <w:rPr>
          <w:lang w:val="fr-FR"/>
        </w:rPr>
        <w:t>Rapports en retard d’au moins cinq ans</w:t>
      </w:r>
    </w:p>
    <w:p w14:paraId="5E1B95C5" w14:textId="76D7EEC6" w:rsidR="00A73F44" w:rsidRPr="00A73F44" w:rsidRDefault="00A73F44" w:rsidP="00A73F44">
      <w:pPr>
        <w:pStyle w:val="SingleTxtG"/>
        <w:rPr>
          <w:lang w:val="fr-FR"/>
        </w:rPr>
      </w:pPr>
      <w:r w:rsidRPr="00A73F44">
        <w:rPr>
          <w:lang w:val="fr-FR"/>
        </w:rPr>
        <w:t>5</w:t>
      </w:r>
      <w:r w:rsidR="00580407">
        <w:rPr>
          <w:lang w:val="fr-FR"/>
        </w:rPr>
        <w:t>6</w:t>
      </w:r>
      <w:r w:rsidR="006A19EC" w:rsidRPr="006A19EC">
        <w:rPr>
          <w:lang w:val="fr-FR"/>
        </w:rPr>
        <w:t>.</w:t>
      </w:r>
      <w:r w:rsidRPr="00A73F44">
        <w:rPr>
          <w:lang w:val="fr-FR"/>
        </w:rPr>
        <w:tab/>
        <w:t>Au 10 mai 2019, les rapports des États parties ci-après étaient en retard d’au moins cinq ans :</w:t>
      </w:r>
    </w:p>
    <w:tbl>
      <w:tblPr>
        <w:tblStyle w:val="Grilledutableau"/>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851"/>
      </w:tblGrid>
      <w:tr w:rsidR="00A73F44" w:rsidRPr="00A73F44" w14:paraId="64D3D510" w14:textId="77777777" w:rsidTr="001A7E87">
        <w:trPr>
          <w:jc w:val="center"/>
        </w:trPr>
        <w:tc>
          <w:tcPr>
            <w:tcW w:w="2520" w:type="dxa"/>
          </w:tcPr>
          <w:p w14:paraId="634D8426" w14:textId="77777777" w:rsidR="00A73F44" w:rsidRPr="00A73F44" w:rsidRDefault="00A73F44" w:rsidP="00772386">
            <w:pPr>
              <w:spacing w:after="120"/>
              <w:rPr>
                <w:lang w:val="fr-FR"/>
              </w:rPr>
            </w:pPr>
            <w:r w:rsidRPr="00A73F44">
              <w:rPr>
                <w:lang w:val="fr-FR"/>
              </w:rPr>
              <w:t>Botswana</w:t>
            </w:r>
          </w:p>
        </w:tc>
        <w:tc>
          <w:tcPr>
            <w:tcW w:w="4851" w:type="dxa"/>
          </w:tcPr>
          <w:p w14:paraId="2FD3A0FD" w14:textId="77777777" w:rsidR="00A73F44" w:rsidRPr="00A73F44" w:rsidRDefault="00A73F44" w:rsidP="00772386">
            <w:pPr>
              <w:spacing w:after="120"/>
              <w:rPr>
                <w:lang w:val="fr-FR"/>
              </w:rPr>
            </w:pPr>
            <w:r w:rsidRPr="00A73F44">
              <w:rPr>
                <w:lang w:val="fr-FR"/>
              </w:rPr>
              <w:t>Rapport valant dix-septième et dix-huitième rapports périodiques attendu depuis 2009</w:t>
            </w:r>
          </w:p>
        </w:tc>
      </w:tr>
      <w:tr w:rsidR="00A73F44" w:rsidRPr="00A73F44" w14:paraId="0911469D" w14:textId="77777777" w:rsidTr="001A7E87">
        <w:trPr>
          <w:jc w:val="center"/>
        </w:trPr>
        <w:tc>
          <w:tcPr>
            <w:tcW w:w="2520" w:type="dxa"/>
          </w:tcPr>
          <w:p w14:paraId="2DA1A7C5" w14:textId="77777777" w:rsidR="00A73F44" w:rsidRPr="00A73F44" w:rsidRDefault="00A73F44" w:rsidP="00772386">
            <w:pPr>
              <w:spacing w:after="120"/>
              <w:rPr>
                <w:lang w:val="fr-FR"/>
              </w:rPr>
            </w:pPr>
            <w:r w:rsidRPr="00A73F44">
              <w:rPr>
                <w:lang w:val="fr-FR"/>
              </w:rPr>
              <w:t>Antigua-et-Barbuda</w:t>
            </w:r>
          </w:p>
        </w:tc>
        <w:tc>
          <w:tcPr>
            <w:tcW w:w="4851" w:type="dxa"/>
          </w:tcPr>
          <w:p w14:paraId="2DAE0C0E" w14:textId="77777777" w:rsidR="00A73F44" w:rsidRPr="00A73F44" w:rsidRDefault="00A73F44" w:rsidP="00772386">
            <w:pPr>
              <w:spacing w:after="120"/>
              <w:rPr>
                <w:lang w:val="fr-FR"/>
              </w:rPr>
            </w:pPr>
            <w:r w:rsidRPr="00A73F44">
              <w:rPr>
                <w:lang w:val="fr-FR"/>
              </w:rPr>
              <w:t>Rapport valant dixième et onzième rapports périodiques attendu depuis 2009</w:t>
            </w:r>
          </w:p>
        </w:tc>
      </w:tr>
      <w:tr w:rsidR="00A73F44" w:rsidRPr="00A73F44" w14:paraId="446D27DF" w14:textId="77777777" w:rsidTr="001A7E87">
        <w:trPr>
          <w:jc w:val="center"/>
        </w:trPr>
        <w:tc>
          <w:tcPr>
            <w:tcW w:w="2520" w:type="dxa"/>
          </w:tcPr>
          <w:p w14:paraId="76CE9A1F" w14:textId="77777777" w:rsidR="00A73F44" w:rsidRPr="00A73F44" w:rsidRDefault="00A73F44" w:rsidP="00772386">
            <w:pPr>
              <w:spacing w:after="120"/>
              <w:rPr>
                <w:lang w:val="fr-FR"/>
              </w:rPr>
            </w:pPr>
            <w:r w:rsidRPr="00A73F44">
              <w:rPr>
                <w:lang w:val="fr-FR"/>
              </w:rPr>
              <w:lastRenderedPageBreak/>
              <w:t>Inde</w:t>
            </w:r>
          </w:p>
        </w:tc>
        <w:tc>
          <w:tcPr>
            <w:tcW w:w="4851" w:type="dxa"/>
          </w:tcPr>
          <w:p w14:paraId="6EFB9417" w14:textId="77777777" w:rsidR="00A73F44" w:rsidRPr="00A73F44" w:rsidRDefault="00A73F44" w:rsidP="00772386">
            <w:pPr>
              <w:spacing w:after="120"/>
              <w:rPr>
                <w:lang w:val="fr-FR"/>
              </w:rPr>
            </w:pPr>
            <w:r w:rsidRPr="00A73F44">
              <w:rPr>
                <w:lang w:val="fr-FR"/>
              </w:rPr>
              <w:t>Rapport valant vingtième et vingt et unième rapports périodiques attendu depuis 2010</w:t>
            </w:r>
          </w:p>
        </w:tc>
      </w:tr>
      <w:tr w:rsidR="00A73F44" w:rsidRPr="00A73F44" w14:paraId="12A5068B" w14:textId="77777777" w:rsidTr="001A7E87">
        <w:trPr>
          <w:jc w:val="center"/>
        </w:trPr>
        <w:tc>
          <w:tcPr>
            <w:tcW w:w="2520" w:type="dxa"/>
          </w:tcPr>
          <w:p w14:paraId="2A9F770C" w14:textId="77777777" w:rsidR="00A73F44" w:rsidRPr="00A73F44" w:rsidRDefault="00A73F44" w:rsidP="00772386">
            <w:pPr>
              <w:spacing w:after="120"/>
              <w:rPr>
                <w:lang w:val="fr-FR"/>
              </w:rPr>
            </w:pPr>
            <w:r w:rsidRPr="00A73F44">
              <w:rPr>
                <w:lang w:val="fr-FR"/>
              </w:rPr>
              <w:t>Indonésie</w:t>
            </w:r>
          </w:p>
        </w:tc>
        <w:tc>
          <w:tcPr>
            <w:tcW w:w="4851" w:type="dxa"/>
          </w:tcPr>
          <w:p w14:paraId="42A6C374" w14:textId="77777777" w:rsidR="00A73F44" w:rsidRPr="00A73F44" w:rsidRDefault="00A73F44" w:rsidP="00772386">
            <w:pPr>
              <w:spacing w:after="120"/>
              <w:rPr>
                <w:lang w:val="fr-FR"/>
              </w:rPr>
            </w:pPr>
            <w:r w:rsidRPr="00A73F44">
              <w:rPr>
                <w:lang w:val="fr-FR"/>
              </w:rPr>
              <w:t>Rapport valant quatrième à sixième rapports périodiques attendu depuis 2010</w:t>
            </w:r>
          </w:p>
        </w:tc>
      </w:tr>
      <w:tr w:rsidR="00A73F44" w:rsidRPr="00A73F44" w14:paraId="6F9FB0D7" w14:textId="77777777" w:rsidTr="001A7E87">
        <w:trPr>
          <w:jc w:val="center"/>
        </w:trPr>
        <w:tc>
          <w:tcPr>
            <w:tcW w:w="2520" w:type="dxa"/>
          </w:tcPr>
          <w:p w14:paraId="5FF8CE52" w14:textId="77777777" w:rsidR="00A73F44" w:rsidRPr="00A73F44" w:rsidRDefault="00A73F44" w:rsidP="00772386">
            <w:pPr>
              <w:spacing w:after="120"/>
              <w:rPr>
                <w:lang w:val="fr-FR"/>
              </w:rPr>
            </w:pPr>
            <w:r w:rsidRPr="00A73F44">
              <w:rPr>
                <w:lang w:val="fr-FR"/>
              </w:rPr>
              <w:t>Mozambique</w:t>
            </w:r>
          </w:p>
        </w:tc>
        <w:tc>
          <w:tcPr>
            <w:tcW w:w="4851" w:type="dxa"/>
          </w:tcPr>
          <w:p w14:paraId="67101919" w14:textId="77777777" w:rsidR="00A73F44" w:rsidRPr="00A73F44" w:rsidRDefault="00A73F44" w:rsidP="00772386">
            <w:pPr>
              <w:spacing w:after="120"/>
              <w:rPr>
                <w:lang w:val="fr-FR"/>
              </w:rPr>
            </w:pPr>
            <w:r w:rsidRPr="00A73F44">
              <w:rPr>
                <w:lang w:val="fr-FR"/>
              </w:rPr>
              <w:t>Rapport valant treizième à dix-septième rapports périodiques attendu depuis 2010</w:t>
            </w:r>
          </w:p>
        </w:tc>
      </w:tr>
      <w:tr w:rsidR="00A73F44" w:rsidRPr="00A73F44" w14:paraId="2E5318FD" w14:textId="77777777" w:rsidTr="001A7E87">
        <w:trPr>
          <w:jc w:val="center"/>
        </w:trPr>
        <w:tc>
          <w:tcPr>
            <w:tcW w:w="2520" w:type="dxa"/>
          </w:tcPr>
          <w:p w14:paraId="5C50235C" w14:textId="77777777" w:rsidR="00A73F44" w:rsidRPr="00A73F44" w:rsidRDefault="00A73F44" w:rsidP="00772386">
            <w:pPr>
              <w:spacing w:after="120"/>
              <w:rPr>
                <w:lang w:val="fr-FR"/>
              </w:rPr>
            </w:pPr>
            <w:r w:rsidRPr="00A73F44">
              <w:rPr>
                <w:lang w:val="fr-FR"/>
              </w:rPr>
              <w:t xml:space="preserve">République démocratique </w:t>
            </w:r>
            <w:r w:rsidRPr="00A73F44">
              <w:rPr>
                <w:lang w:val="fr-FR"/>
              </w:rPr>
              <w:br/>
              <w:t>du Congo</w:t>
            </w:r>
          </w:p>
        </w:tc>
        <w:tc>
          <w:tcPr>
            <w:tcW w:w="4851" w:type="dxa"/>
          </w:tcPr>
          <w:p w14:paraId="096978FC" w14:textId="77777777" w:rsidR="00A73F44" w:rsidRPr="00A73F44" w:rsidRDefault="00A73F44" w:rsidP="00772386">
            <w:pPr>
              <w:spacing w:after="120"/>
              <w:rPr>
                <w:lang w:val="fr-FR"/>
              </w:rPr>
            </w:pPr>
            <w:r w:rsidRPr="00A73F44">
              <w:rPr>
                <w:lang w:val="fr-FR"/>
              </w:rPr>
              <w:t>Rapport valant seizième à dix-huitième rapports périodiques attendu depuis 2011</w:t>
            </w:r>
          </w:p>
        </w:tc>
      </w:tr>
      <w:tr w:rsidR="00A73F44" w:rsidRPr="00A73F44" w14:paraId="0220E1B0" w14:textId="77777777" w:rsidTr="001A7E87">
        <w:trPr>
          <w:jc w:val="center"/>
        </w:trPr>
        <w:tc>
          <w:tcPr>
            <w:tcW w:w="2520" w:type="dxa"/>
          </w:tcPr>
          <w:p w14:paraId="44F279A7" w14:textId="77777777" w:rsidR="00A73F44" w:rsidRPr="00A73F44" w:rsidRDefault="00A73F44" w:rsidP="00772386">
            <w:pPr>
              <w:spacing w:after="120"/>
              <w:rPr>
                <w:lang w:val="fr-FR"/>
              </w:rPr>
            </w:pPr>
            <w:r w:rsidRPr="00A73F44">
              <w:rPr>
                <w:lang w:val="fr-FR"/>
              </w:rPr>
              <w:t>Guinée-Bissau</w:t>
            </w:r>
          </w:p>
        </w:tc>
        <w:tc>
          <w:tcPr>
            <w:tcW w:w="4851" w:type="dxa"/>
          </w:tcPr>
          <w:p w14:paraId="2531CA0C" w14:textId="77777777" w:rsidR="00A73F44" w:rsidRPr="00A73F44" w:rsidRDefault="00A73F44" w:rsidP="00772386">
            <w:pPr>
              <w:spacing w:after="120"/>
              <w:rPr>
                <w:lang w:val="fr-FR"/>
              </w:rPr>
            </w:pPr>
            <w:r w:rsidRPr="00A73F44">
              <w:rPr>
                <w:lang w:val="fr-FR"/>
              </w:rPr>
              <w:t>Rapport initial attendu depuis 2011</w:t>
            </w:r>
          </w:p>
        </w:tc>
      </w:tr>
      <w:tr w:rsidR="00A73F44" w:rsidRPr="00A73F44" w14:paraId="360A4B61" w14:textId="77777777" w:rsidTr="001A7E87">
        <w:trPr>
          <w:jc w:val="center"/>
        </w:trPr>
        <w:tc>
          <w:tcPr>
            <w:tcW w:w="2520" w:type="dxa"/>
          </w:tcPr>
          <w:p w14:paraId="427EE0AC" w14:textId="77777777" w:rsidR="00A73F44" w:rsidRPr="00A73F44" w:rsidRDefault="00A73F44" w:rsidP="00772386">
            <w:pPr>
              <w:spacing w:after="120"/>
              <w:rPr>
                <w:lang w:val="fr-FR"/>
              </w:rPr>
            </w:pPr>
            <w:r w:rsidRPr="00A73F44">
              <w:rPr>
                <w:lang w:val="fr-FR"/>
              </w:rPr>
              <w:t>Croatie</w:t>
            </w:r>
          </w:p>
        </w:tc>
        <w:tc>
          <w:tcPr>
            <w:tcW w:w="4851" w:type="dxa"/>
          </w:tcPr>
          <w:p w14:paraId="187E081F" w14:textId="77777777" w:rsidR="00A73F44" w:rsidRPr="00A73F44" w:rsidRDefault="00A73F44" w:rsidP="00772386">
            <w:pPr>
              <w:spacing w:after="120"/>
              <w:rPr>
                <w:lang w:val="fr-FR"/>
              </w:rPr>
            </w:pPr>
            <w:r w:rsidRPr="00A73F44">
              <w:rPr>
                <w:lang w:val="fr-FR"/>
              </w:rPr>
              <w:t>Rapport valant neuvième et dixième rapports périodiques attendu depuis 2011</w:t>
            </w:r>
          </w:p>
        </w:tc>
      </w:tr>
      <w:tr w:rsidR="00A73F44" w:rsidRPr="00A73F44" w14:paraId="730FA415" w14:textId="77777777" w:rsidTr="001A7E87">
        <w:trPr>
          <w:jc w:val="center"/>
        </w:trPr>
        <w:tc>
          <w:tcPr>
            <w:tcW w:w="2520" w:type="dxa"/>
          </w:tcPr>
          <w:p w14:paraId="43FA91F8" w14:textId="77777777" w:rsidR="00A73F44" w:rsidRPr="00A73F44" w:rsidRDefault="00A73F44" w:rsidP="00772386">
            <w:pPr>
              <w:spacing w:after="120"/>
              <w:rPr>
                <w:lang w:val="fr-FR"/>
              </w:rPr>
            </w:pPr>
            <w:r w:rsidRPr="00A73F44">
              <w:rPr>
                <w:lang w:val="fr-FR"/>
              </w:rPr>
              <w:t>Nicaragua</w:t>
            </w:r>
          </w:p>
        </w:tc>
        <w:tc>
          <w:tcPr>
            <w:tcW w:w="4851" w:type="dxa"/>
          </w:tcPr>
          <w:p w14:paraId="7EBEA6BD" w14:textId="77777777" w:rsidR="00A73F44" w:rsidRPr="00A73F44" w:rsidRDefault="00A73F44" w:rsidP="00772386">
            <w:pPr>
              <w:spacing w:after="120"/>
              <w:rPr>
                <w:lang w:val="fr-FR"/>
              </w:rPr>
            </w:pPr>
            <w:r w:rsidRPr="00A73F44">
              <w:rPr>
                <w:lang w:val="fr-FR"/>
              </w:rPr>
              <w:t>Rapport valant quinzième à dix-septième rapports périodiques attendu depuis 2011</w:t>
            </w:r>
          </w:p>
        </w:tc>
      </w:tr>
      <w:tr w:rsidR="00A73F44" w:rsidRPr="00A73F44" w14:paraId="27B0344A" w14:textId="77777777" w:rsidTr="001A7E87">
        <w:trPr>
          <w:jc w:val="center"/>
        </w:trPr>
        <w:tc>
          <w:tcPr>
            <w:tcW w:w="2520" w:type="dxa"/>
          </w:tcPr>
          <w:p w14:paraId="3A16AA8C" w14:textId="77777777" w:rsidR="00A73F44" w:rsidRPr="00A73F44" w:rsidRDefault="00A73F44" w:rsidP="00772386">
            <w:pPr>
              <w:spacing w:after="120"/>
              <w:rPr>
                <w:lang w:val="fr-FR"/>
              </w:rPr>
            </w:pPr>
            <w:r w:rsidRPr="00A73F44">
              <w:rPr>
                <w:lang w:val="fr-FR"/>
              </w:rPr>
              <w:t>Congo</w:t>
            </w:r>
          </w:p>
        </w:tc>
        <w:tc>
          <w:tcPr>
            <w:tcW w:w="4851" w:type="dxa"/>
          </w:tcPr>
          <w:p w14:paraId="12998C83" w14:textId="77777777" w:rsidR="00A73F44" w:rsidRPr="00A73F44" w:rsidRDefault="00A73F44" w:rsidP="00772386">
            <w:pPr>
              <w:spacing w:after="120"/>
              <w:rPr>
                <w:lang w:val="fr-FR"/>
              </w:rPr>
            </w:pPr>
            <w:r w:rsidRPr="00A73F44">
              <w:rPr>
                <w:lang w:val="fr-FR"/>
              </w:rPr>
              <w:t>Rapport valant dixième et onzième rapports périodiques attendu depuis 2012</w:t>
            </w:r>
          </w:p>
        </w:tc>
      </w:tr>
      <w:tr w:rsidR="00A73F44" w:rsidRPr="00A73F44" w14:paraId="0DC7F1A8" w14:textId="77777777" w:rsidTr="001A7E87">
        <w:trPr>
          <w:jc w:val="center"/>
        </w:trPr>
        <w:tc>
          <w:tcPr>
            <w:tcW w:w="2520" w:type="dxa"/>
          </w:tcPr>
          <w:p w14:paraId="2DD2C54A" w14:textId="77777777" w:rsidR="00A73F44" w:rsidRPr="00A73F44" w:rsidRDefault="00A73F44" w:rsidP="00772386">
            <w:pPr>
              <w:spacing w:after="120"/>
              <w:rPr>
                <w:lang w:val="fr-FR"/>
              </w:rPr>
            </w:pPr>
            <w:r w:rsidRPr="00A73F44">
              <w:rPr>
                <w:lang w:val="fr-FR"/>
              </w:rPr>
              <w:t>Philippines</w:t>
            </w:r>
          </w:p>
        </w:tc>
        <w:tc>
          <w:tcPr>
            <w:tcW w:w="4851" w:type="dxa"/>
          </w:tcPr>
          <w:p w14:paraId="09E76986" w14:textId="77777777" w:rsidR="00A73F44" w:rsidRPr="00A73F44" w:rsidRDefault="00A73F44" w:rsidP="00772386">
            <w:pPr>
              <w:spacing w:after="120"/>
              <w:rPr>
                <w:lang w:val="fr-FR"/>
              </w:rPr>
            </w:pPr>
            <w:r w:rsidRPr="00A73F44">
              <w:rPr>
                <w:lang w:val="fr-FR"/>
              </w:rPr>
              <w:t>Rapport valant vingt et unième et vingt-deuxième rapports périodiques attendu depuis 2012</w:t>
            </w:r>
          </w:p>
        </w:tc>
      </w:tr>
      <w:tr w:rsidR="00A73F44" w:rsidRPr="00A73F44" w14:paraId="6A36E98C" w14:textId="77777777" w:rsidTr="001A7E87">
        <w:trPr>
          <w:jc w:val="center"/>
        </w:trPr>
        <w:tc>
          <w:tcPr>
            <w:tcW w:w="2520" w:type="dxa"/>
          </w:tcPr>
          <w:p w14:paraId="4A8E6171" w14:textId="77777777" w:rsidR="00A73F44" w:rsidRPr="00A73F44" w:rsidRDefault="00A73F44" w:rsidP="00772386">
            <w:pPr>
              <w:spacing w:after="120"/>
              <w:rPr>
                <w:lang w:val="fr-FR"/>
              </w:rPr>
            </w:pPr>
            <w:r w:rsidRPr="00A73F44">
              <w:rPr>
                <w:lang w:val="fr-FR"/>
              </w:rPr>
              <w:t>Tunisie</w:t>
            </w:r>
          </w:p>
        </w:tc>
        <w:tc>
          <w:tcPr>
            <w:tcW w:w="4851" w:type="dxa"/>
          </w:tcPr>
          <w:p w14:paraId="533D1AB8" w14:textId="77777777" w:rsidR="00A73F44" w:rsidRPr="00A73F44" w:rsidRDefault="00A73F44" w:rsidP="00772386">
            <w:pPr>
              <w:spacing w:after="120"/>
              <w:rPr>
                <w:lang w:val="fr-FR"/>
              </w:rPr>
            </w:pPr>
            <w:r w:rsidRPr="00A73F44">
              <w:rPr>
                <w:lang w:val="fr-FR"/>
              </w:rPr>
              <w:t>Rapport valant vingtième à vingt-deuxième rapports périodiques attendu depuis 2012</w:t>
            </w:r>
          </w:p>
        </w:tc>
      </w:tr>
      <w:tr w:rsidR="00A73F44" w:rsidRPr="00A73F44" w14:paraId="63AEBA6B" w14:textId="77777777" w:rsidTr="001A7E87">
        <w:trPr>
          <w:jc w:val="center"/>
        </w:trPr>
        <w:tc>
          <w:tcPr>
            <w:tcW w:w="2520" w:type="dxa"/>
          </w:tcPr>
          <w:p w14:paraId="57AA7E7E" w14:textId="77777777" w:rsidR="00A73F44" w:rsidRPr="00A73F44" w:rsidRDefault="00A73F44" w:rsidP="00772386">
            <w:pPr>
              <w:spacing w:after="120"/>
              <w:rPr>
                <w:lang w:val="fr-FR"/>
              </w:rPr>
            </w:pPr>
            <w:r w:rsidRPr="00A73F44">
              <w:rPr>
                <w:lang w:val="fr-FR"/>
              </w:rPr>
              <w:t>Monaco</w:t>
            </w:r>
          </w:p>
        </w:tc>
        <w:tc>
          <w:tcPr>
            <w:tcW w:w="4851" w:type="dxa"/>
          </w:tcPr>
          <w:p w14:paraId="42C3916C" w14:textId="77777777" w:rsidR="00A73F44" w:rsidRPr="00A73F44" w:rsidRDefault="00A73F44" w:rsidP="00772386">
            <w:pPr>
              <w:spacing w:after="120"/>
              <w:rPr>
                <w:lang w:val="fr-FR"/>
              </w:rPr>
            </w:pPr>
            <w:r w:rsidRPr="00A73F44">
              <w:rPr>
                <w:lang w:val="fr-FR"/>
              </w:rPr>
              <w:t>Rapport valant septième à neuvième rapports périodiques attendu depuis 2012</w:t>
            </w:r>
          </w:p>
        </w:tc>
      </w:tr>
      <w:tr w:rsidR="00A73F44" w:rsidRPr="00A73F44" w14:paraId="7BC8CDBA" w14:textId="77777777" w:rsidTr="001A7E87">
        <w:trPr>
          <w:jc w:val="center"/>
        </w:trPr>
        <w:tc>
          <w:tcPr>
            <w:tcW w:w="2520" w:type="dxa"/>
          </w:tcPr>
          <w:p w14:paraId="41328113" w14:textId="77777777" w:rsidR="00A73F44" w:rsidRPr="00A73F44" w:rsidRDefault="00A73F44" w:rsidP="00772386">
            <w:pPr>
              <w:spacing w:after="120"/>
              <w:rPr>
                <w:lang w:val="fr-FR"/>
              </w:rPr>
            </w:pPr>
            <w:r w:rsidRPr="00A73F44">
              <w:rPr>
                <w:lang w:val="fr-FR"/>
              </w:rPr>
              <w:t xml:space="preserve">Iran </w:t>
            </w:r>
            <w:r w:rsidRPr="00A73F44">
              <w:rPr>
                <w:lang w:val="fr-FR"/>
              </w:rPr>
              <w:br/>
              <w:t>(République islamique d’)</w:t>
            </w:r>
          </w:p>
        </w:tc>
        <w:tc>
          <w:tcPr>
            <w:tcW w:w="4851" w:type="dxa"/>
          </w:tcPr>
          <w:p w14:paraId="498E8673" w14:textId="77777777" w:rsidR="00A73F44" w:rsidRPr="00A73F44" w:rsidRDefault="00A73F44" w:rsidP="00772386">
            <w:pPr>
              <w:spacing w:after="120"/>
              <w:rPr>
                <w:lang w:val="fr-FR"/>
              </w:rPr>
            </w:pPr>
            <w:r w:rsidRPr="00A73F44">
              <w:rPr>
                <w:lang w:val="fr-FR"/>
              </w:rPr>
              <w:t>Rapport valant vingtième à vingt-deuxième rapports périodiques attendu depuis 2013</w:t>
            </w:r>
          </w:p>
        </w:tc>
      </w:tr>
      <w:tr w:rsidR="00A73F44" w:rsidRPr="00A73F44" w14:paraId="7A67A8ED" w14:textId="77777777" w:rsidTr="001A7E87">
        <w:trPr>
          <w:jc w:val="center"/>
        </w:trPr>
        <w:tc>
          <w:tcPr>
            <w:tcW w:w="2520" w:type="dxa"/>
          </w:tcPr>
          <w:p w14:paraId="6189649C" w14:textId="77777777" w:rsidR="00A73F44" w:rsidRPr="00A73F44" w:rsidRDefault="00A73F44" w:rsidP="00772386">
            <w:pPr>
              <w:spacing w:after="120"/>
              <w:rPr>
                <w:lang w:val="fr-FR"/>
              </w:rPr>
            </w:pPr>
            <w:r w:rsidRPr="00A73F44">
              <w:rPr>
                <w:lang w:val="fr-FR"/>
              </w:rPr>
              <w:t>Panama</w:t>
            </w:r>
          </w:p>
        </w:tc>
        <w:tc>
          <w:tcPr>
            <w:tcW w:w="4851" w:type="dxa"/>
          </w:tcPr>
          <w:p w14:paraId="6EE5A13E" w14:textId="77777777" w:rsidR="00A73F44" w:rsidRPr="00A73F44" w:rsidRDefault="00A73F44" w:rsidP="00772386">
            <w:pPr>
              <w:spacing w:after="120"/>
              <w:rPr>
                <w:lang w:val="fr-FR"/>
              </w:rPr>
            </w:pPr>
            <w:r w:rsidRPr="00A73F44">
              <w:rPr>
                <w:lang w:val="fr-FR"/>
              </w:rPr>
              <w:t>Rapport valant vingt et unième à vingt-troisième rapports périodiques attendu depuis 2013</w:t>
            </w:r>
          </w:p>
        </w:tc>
      </w:tr>
      <w:tr w:rsidR="00A73F44" w:rsidRPr="00A73F44" w14:paraId="59098ED7" w14:textId="77777777" w:rsidTr="001A7E87">
        <w:trPr>
          <w:jc w:val="center"/>
        </w:trPr>
        <w:tc>
          <w:tcPr>
            <w:tcW w:w="2520" w:type="dxa"/>
          </w:tcPr>
          <w:p w14:paraId="75C89164" w14:textId="77777777" w:rsidR="00A73F44" w:rsidRPr="00A73F44" w:rsidRDefault="00A73F44" w:rsidP="00772386">
            <w:pPr>
              <w:spacing w:after="120"/>
              <w:rPr>
                <w:lang w:val="fr-FR"/>
              </w:rPr>
            </w:pPr>
            <w:r w:rsidRPr="00A73F44">
              <w:rPr>
                <w:lang w:val="fr-FR"/>
              </w:rPr>
              <w:t>Éthiopie</w:t>
            </w:r>
          </w:p>
        </w:tc>
        <w:tc>
          <w:tcPr>
            <w:tcW w:w="4851" w:type="dxa"/>
          </w:tcPr>
          <w:p w14:paraId="2A7EAEED" w14:textId="77777777" w:rsidR="00A73F44" w:rsidRPr="00A73F44" w:rsidRDefault="00A73F44" w:rsidP="00772386">
            <w:pPr>
              <w:spacing w:after="120"/>
              <w:rPr>
                <w:lang w:val="fr-FR"/>
              </w:rPr>
            </w:pPr>
            <w:r w:rsidRPr="00A73F44">
              <w:rPr>
                <w:lang w:val="fr-FR"/>
              </w:rPr>
              <w:t>Rapport valant dix-septième et dix-huitième rapports périodiques attendu depuis 2013</w:t>
            </w:r>
          </w:p>
        </w:tc>
      </w:tr>
      <w:tr w:rsidR="00A73F44" w:rsidRPr="00A73F44" w14:paraId="5D7B5180" w14:textId="77777777" w:rsidTr="001A7E87">
        <w:trPr>
          <w:jc w:val="center"/>
        </w:trPr>
        <w:tc>
          <w:tcPr>
            <w:tcW w:w="2520" w:type="dxa"/>
          </w:tcPr>
          <w:p w14:paraId="5EB9B8A7" w14:textId="77777777" w:rsidR="00A73F44" w:rsidRPr="00A73F44" w:rsidRDefault="00A73F44" w:rsidP="00772386">
            <w:pPr>
              <w:spacing w:after="120"/>
              <w:rPr>
                <w:lang w:val="fr-FR"/>
              </w:rPr>
            </w:pPr>
            <w:r w:rsidRPr="00A73F44">
              <w:rPr>
                <w:lang w:val="fr-FR"/>
              </w:rPr>
              <w:t>Yémen</w:t>
            </w:r>
          </w:p>
        </w:tc>
        <w:tc>
          <w:tcPr>
            <w:tcW w:w="4851" w:type="dxa"/>
          </w:tcPr>
          <w:p w14:paraId="15EDC3C0" w14:textId="77777777" w:rsidR="00A73F44" w:rsidRPr="00A73F44" w:rsidRDefault="00A73F44" w:rsidP="00772386">
            <w:pPr>
              <w:spacing w:after="120"/>
              <w:rPr>
                <w:lang w:val="fr-FR"/>
              </w:rPr>
            </w:pPr>
            <w:r w:rsidRPr="00A73F44">
              <w:rPr>
                <w:lang w:val="fr-FR"/>
              </w:rPr>
              <w:t>Rapport valant dix-neuvième et vingtième rapports périodiques attendu depuis 2013</w:t>
            </w:r>
          </w:p>
        </w:tc>
      </w:tr>
      <w:tr w:rsidR="00A73F44" w:rsidRPr="00A73F44" w14:paraId="1022702F" w14:textId="77777777" w:rsidTr="001A7E87">
        <w:trPr>
          <w:jc w:val="center"/>
        </w:trPr>
        <w:tc>
          <w:tcPr>
            <w:tcW w:w="2520" w:type="dxa"/>
          </w:tcPr>
          <w:p w14:paraId="5EF2708B" w14:textId="77777777" w:rsidR="00A73F44" w:rsidRPr="00A73F44" w:rsidRDefault="00A73F44" w:rsidP="00772386">
            <w:pPr>
              <w:spacing w:after="120"/>
              <w:rPr>
                <w:lang w:val="fr-FR"/>
              </w:rPr>
            </w:pPr>
            <w:r w:rsidRPr="00A73F44">
              <w:rPr>
                <w:lang w:val="fr-FR"/>
              </w:rPr>
              <w:t>Maroc</w:t>
            </w:r>
          </w:p>
        </w:tc>
        <w:tc>
          <w:tcPr>
            <w:tcW w:w="4851" w:type="dxa"/>
          </w:tcPr>
          <w:p w14:paraId="15D4648F" w14:textId="77777777" w:rsidR="00A73F44" w:rsidRPr="00A73F44" w:rsidRDefault="00A73F44" w:rsidP="00772386">
            <w:pPr>
              <w:spacing w:after="120"/>
              <w:rPr>
                <w:lang w:val="fr-FR"/>
              </w:rPr>
            </w:pPr>
            <w:r w:rsidRPr="00A73F44">
              <w:rPr>
                <w:lang w:val="fr-FR"/>
              </w:rPr>
              <w:t>Rapport valant dix-neuvième à vingt et unième rapports périodiques attendu depuis 2014</w:t>
            </w:r>
          </w:p>
        </w:tc>
      </w:tr>
    </w:tbl>
    <w:p w14:paraId="14367153" w14:textId="1BB91FC2" w:rsidR="00A73F44" w:rsidRPr="00A73F44" w:rsidRDefault="00A73F44" w:rsidP="00951979">
      <w:pPr>
        <w:pStyle w:val="H1G"/>
        <w:rPr>
          <w:lang w:val="fr-FR"/>
        </w:rPr>
      </w:pPr>
      <w:r w:rsidRPr="00A73F44">
        <w:rPr>
          <w:lang w:val="fr-FR"/>
        </w:rPr>
        <w:tab/>
      </w:r>
      <w:bookmarkStart w:id="22" w:name="_Toc17361306"/>
      <w:r w:rsidRPr="00A73F44">
        <w:rPr>
          <w:lang w:val="fr-FR"/>
        </w:rPr>
        <w:t>C</w:t>
      </w:r>
      <w:r w:rsidR="006A19EC" w:rsidRPr="006A19EC">
        <w:rPr>
          <w:lang w:val="fr-FR"/>
        </w:rPr>
        <w:t>.</w:t>
      </w:r>
      <w:r w:rsidRPr="00A73F44">
        <w:rPr>
          <w:lang w:val="fr-FR"/>
        </w:rPr>
        <w:tab/>
      </w:r>
      <w:bookmarkEnd w:id="22"/>
      <w:r w:rsidRPr="00A73F44">
        <w:rPr>
          <w:lang w:val="fr-FR"/>
        </w:rPr>
        <w:t xml:space="preserve">Mesures que le Comité a prises pour amener les États parties </w:t>
      </w:r>
      <w:r w:rsidR="00951979">
        <w:rPr>
          <w:lang w:val="fr-FR"/>
        </w:rPr>
        <w:br/>
      </w:r>
      <w:r w:rsidRPr="00A73F44">
        <w:rPr>
          <w:lang w:val="fr-FR"/>
        </w:rPr>
        <w:t>à soumettre leurs rapports</w:t>
      </w:r>
    </w:p>
    <w:p w14:paraId="07A6441D" w14:textId="04AD5378" w:rsidR="00A73F44" w:rsidRPr="00A73F44" w:rsidRDefault="00A73F44" w:rsidP="00A73F44">
      <w:pPr>
        <w:pStyle w:val="SingleTxtG"/>
        <w:rPr>
          <w:lang w:val="fr-FR"/>
        </w:rPr>
      </w:pPr>
      <w:r w:rsidRPr="00A73F44">
        <w:rPr>
          <w:lang w:val="fr-FR"/>
        </w:rPr>
        <w:t>5</w:t>
      </w:r>
      <w:r w:rsidR="00580407">
        <w:rPr>
          <w:lang w:val="fr-FR"/>
        </w:rPr>
        <w:t>7</w:t>
      </w:r>
      <w:r w:rsidR="006A19EC" w:rsidRPr="006A19EC">
        <w:rPr>
          <w:lang w:val="fr-FR"/>
        </w:rPr>
        <w:t>.</w:t>
      </w:r>
      <w:r w:rsidRPr="00A73F44">
        <w:rPr>
          <w:lang w:val="fr-FR"/>
        </w:rPr>
        <w:tab/>
        <w:t>Ayant décidé d’adopter la procédure simplifiée de présentation des rapports à sa quatre-vingt-cinquième session, le Comité a, le 21 janvier 2015, adressé une note verbale aux États parties dont les rapports périodiques étaient attendus depuis plus de dix ans pour leur faire savoir qu’ils pouvaient établir leur rapport suivant la nouvelle procédure</w:t>
      </w:r>
      <w:r w:rsidR="006A19EC" w:rsidRPr="006A19EC">
        <w:rPr>
          <w:lang w:val="fr-FR"/>
        </w:rPr>
        <w:t>.</w:t>
      </w:r>
      <w:r w:rsidRPr="00A73F44">
        <w:rPr>
          <w:lang w:val="fr-FR"/>
        </w:rPr>
        <w:t xml:space="preserve"> Dans une note verbale datée du 30 juin 2017, il a étendu la procédure </w:t>
      </w:r>
      <w:bookmarkStart w:id="23" w:name="_Hlk18927787"/>
      <w:r w:rsidRPr="00A73F44">
        <w:rPr>
          <w:lang w:val="fr-FR"/>
        </w:rPr>
        <w:t xml:space="preserve">simplifiée de présentation des rapports </w:t>
      </w:r>
      <w:bookmarkEnd w:id="23"/>
      <w:r w:rsidRPr="00A73F44">
        <w:rPr>
          <w:lang w:val="fr-FR"/>
        </w:rPr>
        <w:t>à tous les États dont les rapports périodiques étaient attendus depuis plus de cinq ans</w:t>
      </w:r>
      <w:r w:rsidR="006A19EC" w:rsidRPr="006A19EC">
        <w:rPr>
          <w:lang w:val="fr-FR"/>
        </w:rPr>
        <w:t>.</w:t>
      </w:r>
      <w:r w:rsidRPr="00A73F44">
        <w:rPr>
          <w:lang w:val="fr-FR"/>
        </w:rPr>
        <w:t xml:space="preserve"> Le nombre total d’États parties concernés s’élevait à 65</w:t>
      </w:r>
      <w:r w:rsidR="006A19EC" w:rsidRPr="006A19EC">
        <w:rPr>
          <w:lang w:val="fr-FR"/>
        </w:rPr>
        <w:t>.</w:t>
      </w:r>
    </w:p>
    <w:p w14:paraId="108FC08A" w14:textId="1A134709" w:rsidR="00A73F44" w:rsidRPr="00A73F44" w:rsidRDefault="00A73F44" w:rsidP="00A73F44">
      <w:pPr>
        <w:pStyle w:val="SingleTxtG"/>
        <w:rPr>
          <w:lang w:val="fr-FR"/>
        </w:rPr>
      </w:pPr>
      <w:r w:rsidRPr="00A73F44">
        <w:rPr>
          <w:lang w:val="fr-FR"/>
        </w:rPr>
        <w:t>5</w:t>
      </w:r>
      <w:r w:rsidR="00580407">
        <w:rPr>
          <w:lang w:val="fr-FR"/>
        </w:rPr>
        <w:t>8</w:t>
      </w:r>
      <w:r w:rsidR="006A19EC" w:rsidRPr="006A19EC">
        <w:rPr>
          <w:lang w:val="fr-FR"/>
        </w:rPr>
        <w:t>.</w:t>
      </w:r>
      <w:r w:rsidRPr="00A73F44">
        <w:rPr>
          <w:lang w:val="fr-FR"/>
        </w:rPr>
        <w:tab/>
        <w:t>À sa quatre-vingt-dix-septième session, le Comité a discuté des moyens d’aider les États parties dont les rapports étaient en retard à se conformer à leurs obligations</w:t>
      </w:r>
      <w:r w:rsidR="006A19EC" w:rsidRPr="006A19EC">
        <w:rPr>
          <w:lang w:val="fr-FR"/>
        </w:rPr>
        <w:t>.</w:t>
      </w:r>
      <w:r w:rsidRPr="00A73F44">
        <w:rPr>
          <w:lang w:val="fr-FR"/>
        </w:rPr>
        <w:t xml:space="preserve"> Des Membres ont suggéré au Comité de prendre davantage l’initiative, par exemple d’envoyer des rappels deux fois par an aux États parties concernés, de recourir davantage à la procédure de bilan et à la procédure simplifiée de présentation des rapports, et de proposer de tenir des réunions bilatérales avec les représentants des États parties concernés</w:t>
      </w:r>
      <w:r w:rsidR="006A19EC" w:rsidRPr="006A19EC">
        <w:rPr>
          <w:lang w:val="fr-FR"/>
        </w:rPr>
        <w:t>.</w:t>
      </w:r>
    </w:p>
    <w:p w14:paraId="75DA23DA" w14:textId="1FA4B04E" w:rsidR="00A73F44" w:rsidRPr="00A73F44" w:rsidRDefault="00A73F44" w:rsidP="00A73F44">
      <w:pPr>
        <w:pStyle w:val="SingleTxtG"/>
        <w:rPr>
          <w:lang w:val="fr-FR"/>
        </w:rPr>
      </w:pPr>
      <w:r w:rsidRPr="00A73F44">
        <w:rPr>
          <w:lang w:val="fr-FR"/>
        </w:rPr>
        <w:t>5</w:t>
      </w:r>
      <w:r w:rsidR="00580407">
        <w:rPr>
          <w:lang w:val="fr-FR"/>
        </w:rPr>
        <w:t>9</w:t>
      </w:r>
      <w:r w:rsidR="006A19EC" w:rsidRPr="006A19EC">
        <w:rPr>
          <w:lang w:val="fr-FR"/>
        </w:rPr>
        <w:t>.</w:t>
      </w:r>
      <w:r w:rsidRPr="00A73F44">
        <w:rPr>
          <w:lang w:val="fr-FR"/>
        </w:rPr>
        <w:tab/>
        <w:t xml:space="preserve">Au 10 mai 2019, dans le cadre de la procédure simplifiée de présentation des rapports, le Comité avait reçu le rapport valant huitième à quatorzième rapports périodiques du </w:t>
      </w:r>
      <w:r w:rsidRPr="00A73F44">
        <w:rPr>
          <w:lang w:val="fr-FR"/>
        </w:rPr>
        <w:lastRenderedPageBreak/>
        <w:t>Bahreïn, attendu depuis 2007, et le rapport valant dix-huitième à vingt-cinquième rapports périodiques de la Hongrie, attendu depuis 2004</w:t>
      </w:r>
      <w:r w:rsidR="006A19EC" w:rsidRPr="006A19EC">
        <w:rPr>
          <w:lang w:val="fr-FR"/>
        </w:rPr>
        <w:t>.</w:t>
      </w:r>
    </w:p>
    <w:p w14:paraId="4C9E6B77" w14:textId="77777777" w:rsidR="008779A2" w:rsidRDefault="008779A2">
      <w:pPr>
        <w:suppressAutoHyphens w:val="0"/>
        <w:kinsoku/>
        <w:overflowPunct/>
        <w:autoSpaceDE/>
        <w:autoSpaceDN/>
        <w:adjustRightInd/>
        <w:snapToGrid/>
        <w:spacing w:line="240" w:lineRule="auto"/>
        <w:rPr>
          <w:b/>
          <w:sz w:val="28"/>
          <w:lang w:val="fr-FR"/>
        </w:rPr>
      </w:pPr>
      <w:r>
        <w:rPr>
          <w:lang w:val="fr-FR"/>
        </w:rPr>
        <w:br w:type="page"/>
      </w:r>
    </w:p>
    <w:p w14:paraId="748D8513" w14:textId="52F4C1D5" w:rsidR="00A73F44" w:rsidRPr="00A73F44" w:rsidRDefault="00A73F44" w:rsidP="009555E8">
      <w:pPr>
        <w:pStyle w:val="HChG"/>
        <w:rPr>
          <w:lang w:val="fr-FR"/>
        </w:rPr>
      </w:pPr>
      <w:r w:rsidRPr="00A73F44">
        <w:rPr>
          <w:lang w:val="fr-FR"/>
        </w:rPr>
        <w:tab/>
      </w:r>
      <w:bookmarkStart w:id="24" w:name="_Toc17361307"/>
      <w:r w:rsidRPr="00A73F44">
        <w:rPr>
          <w:lang w:val="fr-FR"/>
        </w:rPr>
        <w:t>VIII</w:t>
      </w:r>
      <w:r w:rsidR="006A19EC" w:rsidRPr="006A19EC">
        <w:rPr>
          <w:lang w:val="fr-FR"/>
        </w:rPr>
        <w:t>.</w:t>
      </w:r>
      <w:r w:rsidRPr="00A73F44">
        <w:rPr>
          <w:lang w:val="fr-FR"/>
        </w:rPr>
        <w:tab/>
      </w:r>
      <w:bookmarkEnd w:id="24"/>
      <w:r w:rsidRPr="00A73F44">
        <w:rPr>
          <w:lang w:val="fr-FR"/>
        </w:rPr>
        <w:t>Examen des communications soumises en vertu de l’article 14 de la Convention</w:t>
      </w:r>
    </w:p>
    <w:p w14:paraId="743729BA" w14:textId="496054E7" w:rsidR="00A73F44" w:rsidRPr="00A73F44" w:rsidRDefault="00580407" w:rsidP="00A73F44">
      <w:pPr>
        <w:pStyle w:val="SingleTxtG"/>
        <w:rPr>
          <w:lang w:val="fr-FR"/>
        </w:rPr>
      </w:pPr>
      <w:r>
        <w:rPr>
          <w:lang w:val="fr-FR"/>
        </w:rPr>
        <w:t>60</w:t>
      </w:r>
      <w:r w:rsidR="006A19EC" w:rsidRPr="006A19EC">
        <w:rPr>
          <w:lang w:val="fr-FR"/>
        </w:rPr>
        <w:t>.</w:t>
      </w:r>
      <w:r w:rsidR="00A73F44" w:rsidRPr="00A73F44">
        <w:rPr>
          <w:lang w:val="fr-FR"/>
        </w:rPr>
        <w:tab/>
        <w:t>En vertu de l’article 14 de la Convention, les personnes ou groupes de personnes qui estiment que l’un quelconque de leurs droits énoncés dans la Convention a été violé par un État partie et qui ont épuisé tous les recours internes disponibles peuvent adresser des communications écrites au Comité pour examen</w:t>
      </w:r>
      <w:r w:rsidR="006A19EC" w:rsidRPr="006A19EC">
        <w:rPr>
          <w:lang w:val="fr-FR"/>
        </w:rPr>
        <w:t>.</w:t>
      </w:r>
      <w:r w:rsidR="00A73F44" w:rsidRPr="00A73F44">
        <w:rPr>
          <w:lang w:val="fr-FR"/>
        </w:rPr>
        <w:t xml:space="preserve"> En tout, 58 États parties ont reconnu la compétence du Comité pour l’examen de ces communications</w:t>
      </w:r>
      <w:r w:rsidR="00A73F44" w:rsidRPr="001E77AC">
        <w:rPr>
          <w:rStyle w:val="Appelnotedebasdep"/>
        </w:rPr>
        <w:footnoteReference w:id="10"/>
      </w:r>
      <w:r w:rsidR="006A19EC" w:rsidRPr="006A19EC">
        <w:rPr>
          <w:lang w:val="fr-FR"/>
        </w:rPr>
        <w:t>.</w:t>
      </w:r>
      <w:r w:rsidR="001E77AC">
        <w:rPr>
          <w:lang w:val="fr-FR"/>
        </w:rPr>
        <w:t xml:space="preserve"> </w:t>
      </w:r>
    </w:p>
    <w:p w14:paraId="0348C048" w14:textId="2315D03D" w:rsidR="00A73F44" w:rsidRPr="00A73F44" w:rsidRDefault="00A73F44" w:rsidP="00A73F44">
      <w:pPr>
        <w:pStyle w:val="SingleTxtG"/>
        <w:rPr>
          <w:lang w:val="fr-FR"/>
        </w:rPr>
      </w:pPr>
      <w:r w:rsidRPr="00A73F44">
        <w:rPr>
          <w:lang w:val="fr-FR"/>
        </w:rPr>
        <w:t>6</w:t>
      </w:r>
      <w:r w:rsidR="00580407">
        <w:rPr>
          <w:lang w:val="fr-FR"/>
        </w:rPr>
        <w:t>1</w:t>
      </w:r>
      <w:r w:rsidR="006A19EC" w:rsidRPr="006A19EC">
        <w:rPr>
          <w:lang w:val="fr-FR"/>
        </w:rPr>
        <w:t>.</w:t>
      </w:r>
      <w:r w:rsidRPr="00A73F44">
        <w:rPr>
          <w:lang w:val="fr-FR"/>
        </w:rPr>
        <w:tab/>
        <w:t>Les séances du Comité au cours desquelles sont examinées les communications soumises en vertu de l’article 14 de la Convention se tiennent à huis clos (art</w:t>
      </w:r>
      <w:r w:rsidR="006A19EC" w:rsidRPr="006A19EC">
        <w:rPr>
          <w:lang w:val="fr-FR"/>
        </w:rPr>
        <w:t>.</w:t>
      </w:r>
      <w:r w:rsidRPr="00A73F44">
        <w:rPr>
          <w:lang w:val="fr-FR"/>
        </w:rPr>
        <w:t> 88 du règlement intérieur du Comité)</w:t>
      </w:r>
      <w:r w:rsidR="006A19EC" w:rsidRPr="006A19EC">
        <w:rPr>
          <w:lang w:val="fr-FR"/>
        </w:rPr>
        <w:t>.</w:t>
      </w:r>
      <w:r w:rsidRPr="00A73F44">
        <w:rPr>
          <w:lang w:val="fr-FR"/>
        </w:rPr>
        <w:t xml:space="preserve"> Tous les documents relatifs aux travaux menés par le Comité au titre de l’article 14</w:t>
      </w:r>
      <w:r w:rsidR="001E77AC">
        <w:rPr>
          <w:lang w:val="fr-FR"/>
        </w:rPr>
        <w:t xml:space="preserve"> </w:t>
      </w:r>
      <w:r w:rsidRPr="00A73F44">
        <w:rPr>
          <w:lang w:val="fr-FR"/>
        </w:rPr>
        <w:t>sont confidentiels</w:t>
      </w:r>
      <w:r w:rsidR="006A19EC" w:rsidRPr="006A19EC">
        <w:rPr>
          <w:lang w:val="fr-FR"/>
        </w:rPr>
        <w:t>.</w:t>
      </w:r>
    </w:p>
    <w:p w14:paraId="19053970" w14:textId="3136D3A9" w:rsidR="00A73F44" w:rsidRPr="00A73F44" w:rsidRDefault="00A73F44" w:rsidP="00A73F44">
      <w:pPr>
        <w:pStyle w:val="SingleTxtG"/>
        <w:rPr>
          <w:lang w:val="fr-FR"/>
        </w:rPr>
      </w:pPr>
      <w:r w:rsidRPr="00A73F44">
        <w:rPr>
          <w:lang w:val="fr-FR"/>
        </w:rPr>
        <w:t>6</w:t>
      </w:r>
      <w:r w:rsidR="00580407">
        <w:rPr>
          <w:lang w:val="fr-FR"/>
        </w:rPr>
        <w:t>2</w:t>
      </w:r>
      <w:r w:rsidR="006A19EC" w:rsidRPr="006A19EC">
        <w:rPr>
          <w:lang w:val="fr-FR"/>
        </w:rPr>
        <w:t>.</w:t>
      </w:r>
      <w:r w:rsidRPr="00A73F44">
        <w:rPr>
          <w:lang w:val="fr-FR"/>
        </w:rPr>
        <w:tab/>
        <w:t>Au moment de l’adoption du présent rapport, le Comité avait enregistré, depuis 1984, 67 plaintes concernant 16 États parties</w:t>
      </w:r>
      <w:r w:rsidR="006A19EC" w:rsidRPr="006A19EC">
        <w:rPr>
          <w:lang w:val="fr-FR"/>
        </w:rPr>
        <w:t>.</w:t>
      </w:r>
      <w:r w:rsidRPr="00A73F44">
        <w:rPr>
          <w:lang w:val="fr-FR"/>
        </w:rPr>
        <w:t xml:space="preserve"> Sur ce nombre, 2 avaient été classées, 19 avaient été déclarées irrecevables et 2 avaient été déclarées recevables</w:t>
      </w:r>
      <w:r w:rsidR="006A19EC" w:rsidRPr="006A19EC">
        <w:rPr>
          <w:lang w:val="fr-FR"/>
        </w:rPr>
        <w:t>.</w:t>
      </w:r>
      <w:r w:rsidRPr="00A73F44">
        <w:rPr>
          <w:lang w:val="fr-FR"/>
        </w:rPr>
        <w:t xml:space="preserve"> Le Comité avait adopté des décisions sur le fond pour 36 plaintes, dont 20</w:t>
      </w:r>
      <w:r w:rsidR="001E77AC">
        <w:rPr>
          <w:lang w:val="fr-FR"/>
        </w:rPr>
        <w:t xml:space="preserve"> </w:t>
      </w:r>
      <w:r w:rsidRPr="00A73F44">
        <w:rPr>
          <w:lang w:val="fr-FR"/>
        </w:rPr>
        <w:t>faisaient selon lui apparaître des violations de la Convention</w:t>
      </w:r>
      <w:r w:rsidR="006A19EC" w:rsidRPr="006A19EC">
        <w:rPr>
          <w:lang w:val="fr-FR"/>
        </w:rPr>
        <w:t>.</w:t>
      </w:r>
      <w:r w:rsidRPr="00A73F44">
        <w:rPr>
          <w:lang w:val="fr-FR"/>
        </w:rPr>
        <w:t xml:space="preserve"> Dix plaintes n’avaient pas encore été examinées</w:t>
      </w:r>
      <w:r w:rsidR="006A19EC" w:rsidRPr="006A19EC">
        <w:rPr>
          <w:lang w:val="fr-FR"/>
        </w:rPr>
        <w:t>.</w:t>
      </w:r>
    </w:p>
    <w:p w14:paraId="787948C4" w14:textId="70C7EAC5" w:rsidR="00A73F44" w:rsidRPr="00A73F44" w:rsidRDefault="00A73F44" w:rsidP="00A73F44">
      <w:pPr>
        <w:pStyle w:val="SingleTxtG"/>
        <w:rPr>
          <w:lang w:val="fr-FR"/>
        </w:rPr>
      </w:pPr>
      <w:r w:rsidRPr="00A73F44">
        <w:rPr>
          <w:lang w:val="fr-FR"/>
        </w:rPr>
        <w:t>6</w:t>
      </w:r>
      <w:r w:rsidR="00580407">
        <w:rPr>
          <w:lang w:val="fr-FR"/>
        </w:rPr>
        <w:t>3</w:t>
      </w:r>
      <w:r w:rsidR="006A19EC" w:rsidRPr="006A19EC">
        <w:rPr>
          <w:lang w:val="fr-FR"/>
        </w:rPr>
        <w:t>.</w:t>
      </w:r>
      <w:r w:rsidRPr="00A73F44">
        <w:rPr>
          <w:lang w:val="fr-FR"/>
        </w:rPr>
        <w:tab/>
        <w:t xml:space="preserve">À sa quatre-vingt-dix-septième session, le Comité a examiné la communication </w:t>
      </w:r>
      <w:r w:rsidR="001E32CA" w:rsidRPr="001E32CA">
        <w:rPr>
          <w:rFonts w:eastAsia="MS Mincho"/>
          <w:lang w:val="fr-FR"/>
        </w:rPr>
        <w:t>n</w:t>
      </w:r>
      <w:r w:rsidR="001E32CA" w:rsidRPr="001E32CA">
        <w:rPr>
          <w:rFonts w:eastAsia="MS Mincho"/>
          <w:vertAlign w:val="superscript"/>
          <w:lang w:val="fr-FR"/>
        </w:rPr>
        <w:t>o</w:t>
      </w:r>
      <w:r w:rsidR="001E32CA">
        <w:rPr>
          <w:lang w:val="fr-FR"/>
        </w:rPr>
        <w:t> </w:t>
      </w:r>
      <w:r w:rsidRPr="00A73F44">
        <w:rPr>
          <w:lang w:val="fr-FR"/>
        </w:rPr>
        <w:t>58/2016 (</w:t>
      </w:r>
      <w:r w:rsidRPr="00A73F44">
        <w:rPr>
          <w:i/>
          <w:iCs/>
          <w:lang w:val="fr-FR"/>
        </w:rPr>
        <w:t>S</w:t>
      </w:r>
      <w:r w:rsidR="006A19EC" w:rsidRPr="006A19EC">
        <w:rPr>
          <w:i/>
          <w:iCs/>
          <w:lang w:val="fr-FR"/>
        </w:rPr>
        <w:t>.</w:t>
      </w:r>
      <w:r w:rsidR="001E32CA">
        <w:rPr>
          <w:i/>
          <w:iCs/>
          <w:lang w:val="fr-FR"/>
        </w:rPr>
        <w:t> </w:t>
      </w:r>
      <w:r w:rsidRPr="00A73F44">
        <w:rPr>
          <w:i/>
          <w:iCs/>
          <w:lang w:val="fr-FR"/>
        </w:rPr>
        <w:t>A</w:t>
      </w:r>
      <w:r w:rsidR="006A19EC" w:rsidRPr="006A19EC">
        <w:rPr>
          <w:i/>
          <w:iCs/>
          <w:lang w:val="fr-FR"/>
        </w:rPr>
        <w:t>.</w:t>
      </w:r>
      <w:r w:rsidRPr="00A73F44">
        <w:rPr>
          <w:i/>
          <w:iCs/>
          <w:lang w:val="fr-FR"/>
        </w:rPr>
        <w:t xml:space="preserve"> c</w:t>
      </w:r>
      <w:r w:rsidR="006A19EC" w:rsidRPr="006A19EC">
        <w:rPr>
          <w:i/>
          <w:iCs/>
          <w:lang w:val="fr-FR"/>
        </w:rPr>
        <w:t>.</w:t>
      </w:r>
      <w:r w:rsidRPr="00A73F44">
        <w:rPr>
          <w:i/>
          <w:iCs/>
          <w:lang w:val="fr-FR"/>
        </w:rPr>
        <w:t xml:space="preserve"> Danemark</w:t>
      </w:r>
      <w:r w:rsidRPr="00A73F44">
        <w:rPr>
          <w:lang w:val="fr-FR"/>
        </w:rPr>
        <w:t>)</w:t>
      </w:r>
      <w:r w:rsidR="006A19EC" w:rsidRPr="006A19EC">
        <w:rPr>
          <w:lang w:val="fr-FR"/>
        </w:rPr>
        <w:t>.</w:t>
      </w:r>
      <w:r w:rsidRPr="00A73F44">
        <w:rPr>
          <w:lang w:val="fr-FR"/>
        </w:rPr>
        <w:t xml:space="preserve"> Cette communication avait été soumise par S</w:t>
      </w:r>
      <w:r w:rsidR="006A19EC" w:rsidRPr="006A19EC">
        <w:rPr>
          <w:lang w:val="fr-FR"/>
        </w:rPr>
        <w:t>.</w:t>
      </w:r>
      <w:r w:rsidR="005E65F6">
        <w:rPr>
          <w:lang w:val="fr-FR"/>
        </w:rPr>
        <w:t> </w:t>
      </w:r>
      <w:r w:rsidRPr="00A73F44">
        <w:rPr>
          <w:lang w:val="fr-FR"/>
        </w:rPr>
        <w:t>A</w:t>
      </w:r>
      <w:r w:rsidR="006A19EC" w:rsidRPr="006A19EC">
        <w:rPr>
          <w:lang w:val="fr-FR"/>
        </w:rPr>
        <w:t>.</w:t>
      </w:r>
      <w:r w:rsidRPr="00A73F44">
        <w:rPr>
          <w:lang w:val="fr-FR"/>
        </w:rPr>
        <w:t>, qui était originaire de Bosnie-Herzégovine, avait obtenu la nationalité danoise en 2002 et résidait au Danemark</w:t>
      </w:r>
      <w:r w:rsidR="006A19EC" w:rsidRPr="006A19EC">
        <w:rPr>
          <w:lang w:val="fr-FR"/>
        </w:rPr>
        <w:t>.</w:t>
      </w:r>
      <w:r w:rsidRPr="00A73F44">
        <w:rPr>
          <w:lang w:val="fr-FR"/>
        </w:rPr>
        <w:t xml:space="preserve"> S</w:t>
      </w:r>
      <w:r w:rsidR="006A19EC" w:rsidRPr="006A19EC">
        <w:rPr>
          <w:lang w:val="fr-FR"/>
        </w:rPr>
        <w:t>.</w:t>
      </w:r>
      <w:r w:rsidR="001E32CA">
        <w:rPr>
          <w:lang w:val="fr-FR"/>
        </w:rPr>
        <w:t> </w:t>
      </w:r>
      <w:r w:rsidRPr="00A73F44">
        <w:rPr>
          <w:lang w:val="fr-FR"/>
        </w:rPr>
        <w:t>A</w:t>
      </w:r>
      <w:r w:rsidR="006A19EC" w:rsidRPr="006A19EC">
        <w:rPr>
          <w:lang w:val="fr-FR"/>
        </w:rPr>
        <w:t>.</w:t>
      </w:r>
      <w:r w:rsidRPr="00A73F44">
        <w:rPr>
          <w:lang w:val="fr-FR"/>
        </w:rPr>
        <w:t xml:space="preserve"> disait que le Danemark</w:t>
      </w:r>
      <w:r w:rsidRPr="001E77AC">
        <w:rPr>
          <w:rStyle w:val="Appelnotedebasdep"/>
        </w:rPr>
        <w:footnoteReference w:id="11"/>
      </w:r>
      <w:r w:rsidR="001E77AC">
        <w:rPr>
          <w:lang w:val="fr-FR"/>
        </w:rPr>
        <w:t xml:space="preserve"> </w:t>
      </w:r>
      <w:r w:rsidRPr="00A73F44">
        <w:rPr>
          <w:lang w:val="fr-FR"/>
        </w:rPr>
        <w:t>avait violé les droits qu’il tenait</w:t>
      </w:r>
      <w:r w:rsidR="002F3A04">
        <w:rPr>
          <w:lang w:val="fr-FR"/>
        </w:rPr>
        <w:t xml:space="preserve"> </w:t>
      </w:r>
      <w:r w:rsidRPr="00A73F44">
        <w:rPr>
          <w:lang w:val="fr-FR"/>
        </w:rPr>
        <w:t>des articles 2 (par</w:t>
      </w:r>
      <w:r w:rsidR="006A19EC" w:rsidRPr="006A19EC">
        <w:rPr>
          <w:lang w:val="fr-FR"/>
        </w:rPr>
        <w:t>.</w:t>
      </w:r>
      <w:r w:rsidRPr="00A73F44">
        <w:rPr>
          <w:lang w:val="fr-FR"/>
        </w:rPr>
        <w:t> 1 c)), 5 et 6 de la Convention</w:t>
      </w:r>
      <w:r w:rsidR="006A19EC" w:rsidRPr="006A19EC">
        <w:rPr>
          <w:lang w:val="fr-FR"/>
        </w:rPr>
        <w:t>.</w:t>
      </w:r>
      <w:r w:rsidRPr="00A73F44">
        <w:rPr>
          <w:lang w:val="fr-FR"/>
        </w:rPr>
        <w:t xml:space="preserve"> Il affirmait que les autorités avaient porté atteinte à ces droits lorsqu’il avait présenté une demande d’aide sociale, en juillet 2009, et qu’il lui avait été conseillé d’obtenir une dispense auprès des services d’immigration pour être autorisé à résider au Danemark</w:t>
      </w:r>
      <w:r w:rsidR="006A19EC" w:rsidRPr="006A19EC">
        <w:rPr>
          <w:lang w:val="fr-FR"/>
        </w:rPr>
        <w:t>.</w:t>
      </w:r>
      <w:r w:rsidRPr="00A73F44">
        <w:rPr>
          <w:lang w:val="fr-FR"/>
        </w:rPr>
        <w:t xml:space="preserve"> En août 2010, il avait saisi la Commission pour l’égalité de traitement, qui s’était prononcée en sa faveur et lui avait accordé un dédommagement de 2 000 couronnes (environ 270 euros)</w:t>
      </w:r>
      <w:r w:rsidR="006A19EC" w:rsidRPr="006A19EC">
        <w:rPr>
          <w:lang w:val="fr-FR"/>
        </w:rPr>
        <w:t>.</w:t>
      </w:r>
      <w:r w:rsidRPr="00A73F44">
        <w:rPr>
          <w:lang w:val="fr-FR"/>
        </w:rPr>
        <w:t xml:space="preserve"> Le requérant avait interjeté appel de cette décision, au motif que l’indemnité était d’un montant trop faible</w:t>
      </w:r>
      <w:r w:rsidR="006A19EC" w:rsidRPr="006A19EC">
        <w:rPr>
          <w:lang w:val="fr-FR"/>
        </w:rPr>
        <w:t>.</w:t>
      </w:r>
      <w:r w:rsidRPr="00A73F44">
        <w:rPr>
          <w:lang w:val="fr-FR"/>
        </w:rPr>
        <w:t xml:space="preserve"> La décision avait été confirmée par le tribunal de district et la Haute Cour</w:t>
      </w:r>
      <w:r w:rsidR="006A19EC" w:rsidRPr="006A19EC">
        <w:rPr>
          <w:lang w:val="fr-FR"/>
        </w:rPr>
        <w:t>.</w:t>
      </w:r>
      <w:r w:rsidRPr="00A73F44">
        <w:rPr>
          <w:lang w:val="fr-FR"/>
        </w:rPr>
        <w:t xml:space="preserve"> Cette dernière instance avait ordonné au requérant de prendre à sa charge les frais de justice, qui s’élevaient à 25 000 couronnes (environ 3 350 euros)</w:t>
      </w:r>
      <w:r w:rsidR="006A19EC" w:rsidRPr="006A19EC">
        <w:rPr>
          <w:lang w:val="fr-FR"/>
        </w:rPr>
        <w:t>.</w:t>
      </w:r>
      <w:r w:rsidRPr="00A73F44">
        <w:rPr>
          <w:lang w:val="fr-FR"/>
        </w:rPr>
        <w:t xml:space="preserve"> </w:t>
      </w:r>
    </w:p>
    <w:p w14:paraId="5FE97832" w14:textId="34716DD3" w:rsidR="00A73F44" w:rsidRPr="00A73F44" w:rsidRDefault="00A73F44" w:rsidP="00A73F44">
      <w:pPr>
        <w:pStyle w:val="SingleTxtG"/>
        <w:rPr>
          <w:lang w:val="fr-FR"/>
        </w:rPr>
      </w:pPr>
      <w:r w:rsidRPr="00A73F44">
        <w:rPr>
          <w:lang w:val="fr-FR"/>
        </w:rPr>
        <w:t>6</w:t>
      </w:r>
      <w:r w:rsidR="00580407">
        <w:rPr>
          <w:lang w:val="fr-FR"/>
        </w:rPr>
        <w:t>4</w:t>
      </w:r>
      <w:r w:rsidR="006A19EC" w:rsidRPr="006A19EC">
        <w:rPr>
          <w:lang w:val="fr-FR"/>
        </w:rPr>
        <w:t>.</w:t>
      </w:r>
      <w:r w:rsidRPr="00A73F44">
        <w:rPr>
          <w:lang w:val="fr-FR"/>
        </w:rPr>
        <w:tab/>
        <w:t>Le Comité a estimé que les griefs que le requérant tirait du paragraphe 1 c) de l’article 2 de la Convention étaient irrecevables au regard de l’article 14 de la Convention</w:t>
      </w:r>
      <w:r w:rsidR="006A19EC" w:rsidRPr="006A19EC">
        <w:rPr>
          <w:lang w:val="fr-FR"/>
        </w:rPr>
        <w:t>.</w:t>
      </w:r>
      <w:r w:rsidRPr="00A73F44">
        <w:rPr>
          <w:lang w:val="fr-FR"/>
        </w:rPr>
        <w:t xml:space="preserve"> Il a constaté que la communication soulevait des questions au titre des articles 5 et 6 de la Convention et a donc déclaré recevable la partie correspondante de la communication</w:t>
      </w:r>
      <w:r w:rsidR="006A19EC" w:rsidRPr="006A19EC">
        <w:rPr>
          <w:lang w:val="fr-FR"/>
        </w:rPr>
        <w:t>.</w:t>
      </w:r>
    </w:p>
    <w:p w14:paraId="1AB4ECB5" w14:textId="03F3D29A" w:rsidR="00A73F44" w:rsidRPr="00A73F44" w:rsidRDefault="00A73F44" w:rsidP="00A73F44">
      <w:pPr>
        <w:pStyle w:val="SingleTxtG"/>
        <w:rPr>
          <w:lang w:val="fr-FR"/>
        </w:rPr>
      </w:pPr>
      <w:r w:rsidRPr="00A73F44">
        <w:rPr>
          <w:lang w:val="fr-FR"/>
        </w:rPr>
        <w:t>6</w:t>
      </w:r>
      <w:r w:rsidR="00580407">
        <w:rPr>
          <w:lang w:val="fr-FR"/>
        </w:rPr>
        <w:t>5</w:t>
      </w:r>
      <w:r w:rsidR="006A19EC" w:rsidRPr="006A19EC">
        <w:rPr>
          <w:lang w:val="fr-FR"/>
        </w:rPr>
        <w:t>.</w:t>
      </w:r>
      <w:r w:rsidRPr="00A73F44">
        <w:rPr>
          <w:lang w:val="fr-FR"/>
        </w:rPr>
        <w:tab/>
        <w:t>Le Comité a estimé que les décisions prises par les autorités, qui niaient que le requérant avait la nationalité danoise, constituaient une violation des droits que celui-ci tenait de l’article 5 d) iii) de la Convention</w:t>
      </w:r>
      <w:r w:rsidR="006A19EC" w:rsidRPr="006A19EC">
        <w:rPr>
          <w:lang w:val="fr-FR"/>
        </w:rPr>
        <w:t>.</w:t>
      </w:r>
      <w:r w:rsidRPr="00A73F44">
        <w:rPr>
          <w:lang w:val="fr-FR"/>
        </w:rPr>
        <w:t xml:space="preserve"> Il a également estimé que le montant de l’indemnité accordée au requérant ne satisfaisait pas aux dispositions de l’article 6 de la Convention</w:t>
      </w:r>
      <w:r w:rsidR="006A19EC" w:rsidRPr="006A19EC">
        <w:rPr>
          <w:lang w:val="fr-FR"/>
        </w:rPr>
        <w:t>.</w:t>
      </w:r>
      <w:r w:rsidRPr="00A73F44">
        <w:rPr>
          <w:lang w:val="fr-FR"/>
        </w:rPr>
        <w:t xml:space="preserve"> De plus, il a considéré que la décision de condamner le requérant à des dépens élevés constituait une sanction contre une victime de discrimination raciale qui tentait simplement d’obtenir une indemnisation suffisante</w:t>
      </w:r>
      <w:r w:rsidR="006A19EC" w:rsidRPr="006A19EC">
        <w:rPr>
          <w:lang w:val="fr-FR"/>
        </w:rPr>
        <w:t>.</w:t>
      </w:r>
      <w:r w:rsidRPr="00A73F44">
        <w:rPr>
          <w:lang w:val="fr-FR"/>
        </w:rPr>
        <w:t xml:space="preserve"> En conséquence, il a conclu à une violation de l’article 6 de la Convention</w:t>
      </w:r>
      <w:r w:rsidR="006A19EC" w:rsidRPr="006A19EC">
        <w:rPr>
          <w:lang w:val="fr-FR"/>
        </w:rPr>
        <w:t>.</w:t>
      </w:r>
    </w:p>
    <w:p w14:paraId="29E9ADBA" w14:textId="77777777" w:rsidR="009555E8" w:rsidRDefault="009555E8">
      <w:pPr>
        <w:suppressAutoHyphens w:val="0"/>
        <w:kinsoku/>
        <w:overflowPunct/>
        <w:autoSpaceDE/>
        <w:autoSpaceDN/>
        <w:adjustRightInd/>
        <w:snapToGrid/>
        <w:spacing w:line="240" w:lineRule="auto"/>
        <w:rPr>
          <w:b/>
          <w:sz w:val="28"/>
          <w:lang w:val="fr-FR"/>
        </w:rPr>
      </w:pPr>
      <w:r>
        <w:rPr>
          <w:lang w:val="fr-FR"/>
        </w:rPr>
        <w:br w:type="page"/>
      </w:r>
    </w:p>
    <w:p w14:paraId="04BA8779" w14:textId="10EC703D" w:rsidR="00A73F44" w:rsidRPr="00A73F44" w:rsidRDefault="00A73F44" w:rsidP="009555E8">
      <w:pPr>
        <w:pStyle w:val="HChG"/>
        <w:rPr>
          <w:lang w:val="fr-FR"/>
        </w:rPr>
      </w:pPr>
      <w:r w:rsidRPr="00A73F44">
        <w:rPr>
          <w:lang w:val="fr-FR"/>
        </w:rPr>
        <w:tab/>
      </w:r>
      <w:bookmarkStart w:id="25" w:name="_Toc17361308"/>
      <w:r w:rsidRPr="00A73F44">
        <w:rPr>
          <w:lang w:val="fr-FR"/>
        </w:rPr>
        <w:t>IX</w:t>
      </w:r>
      <w:r w:rsidR="006A19EC" w:rsidRPr="006A19EC">
        <w:rPr>
          <w:lang w:val="fr-FR"/>
        </w:rPr>
        <w:t>.</w:t>
      </w:r>
      <w:r w:rsidRPr="00A73F44">
        <w:rPr>
          <w:lang w:val="fr-FR"/>
        </w:rPr>
        <w:tab/>
      </w:r>
      <w:bookmarkEnd w:id="25"/>
      <w:r w:rsidRPr="00A73F44">
        <w:rPr>
          <w:lang w:val="fr-FR"/>
        </w:rPr>
        <w:t>Suivi des communications individuelles</w:t>
      </w:r>
    </w:p>
    <w:p w14:paraId="02EBEAB4" w14:textId="749D04A7" w:rsidR="00A73F44" w:rsidRPr="00A73F44" w:rsidRDefault="00A73F44" w:rsidP="00A73F44">
      <w:pPr>
        <w:pStyle w:val="SingleTxtG"/>
        <w:rPr>
          <w:lang w:val="fr-FR"/>
        </w:rPr>
      </w:pPr>
      <w:r w:rsidRPr="00A73F44">
        <w:rPr>
          <w:lang w:val="fr-FR"/>
        </w:rPr>
        <w:t>6</w:t>
      </w:r>
      <w:r w:rsidR="00580407">
        <w:rPr>
          <w:lang w:val="fr-FR"/>
        </w:rPr>
        <w:t>6</w:t>
      </w:r>
      <w:r w:rsidR="006A19EC" w:rsidRPr="006A19EC">
        <w:rPr>
          <w:lang w:val="fr-FR"/>
        </w:rPr>
        <w:t>.</w:t>
      </w:r>
      <w:r w:rsidRPr="00A73F44">
        <w:rPr>
          <w:lang w:val="fr-FR"/>
        </w:rPr>
        <w:tab/>
        <w:t>À sa soixante-septième session, le Comité a décidé de mettre en place une procédure de suivi des opinions et recommandations adoptées à l’issue de l’examen des communications soumises en vertu de l’article 14 de la Convention</w:t>
      </w:r>
      <w:r w:rsidR="006A19EC" w:rsidRPr="006A19EC">
        <w:rPr>
          <w:lang w:val="fr-FR"/>
        </w:rPr>
        <w:t>.</w:t>
      </w:r>
      <w:r w:rsidRPr="00A73F44">
        <w:rPr>
          <w:lang w:val="fr-FR"/>
        </w:rPr>
        <w:t xml:space="preserve"> Il a décidé d’ajouter à son règlement intérieur deux paragraphes présentant cette procédure de façon détaillée</w:t>
      </w:r>
      <w:r w:rsidRPr="001E77AC">
        <w:rPr>
          <w:rStyle w:val="Appelnotedebasdep"/>
        </w:rPr>
        <w:footnoteReference w:id="12"/>
      </w:r>
      <w:r w:rsidR="006A19EC" w:rsidRPr="006A19EC">
        <w:rPr>
          <w:lang w:val="fr-FR"/>
        </w:rPr>
        <w:t>.</w:t>
      </w:r>
      <w:r w:rsidRPr="00A73F44">
        <w:rPr>
          <w:lang w:val="fr-FR"/>
        </w:rPr>
        <w:t xml:space="preserve"> Le </w:t>
      </w:r>
      <w:r w:rsidRPr="00A73F44">
        <w:rPr>
          <w:lang w:val="fr-FR"/>
        </w:rPr>
        <w:lastRenderedPageBreak/>
        <w:t>Rapporteur chargé du suivi des opinions présente régulièrement au Comité un rapport assorti de recommandations sur les mesures supplémentaires à prendre</w:t>
      </w:r>
      <w:r w:rsidR="006A19EC" w:rsidRPr="006A19EC">
        <w:rPr>
          <w:lang w:val="fr-FR"/>
        </w:rPr>
        <w:t>.</w:t>
      </w:r>
      <w:r w:rsidRPr="00A73F44">
        <w:rPr>
          <w:lang w:val="fr-FR"/>
        </w:rPr>
        <w:t xml:space="preserve"> Ces recommandations, qui sont annexées aux rapports annuels du Comité à l’Assemblée générale, portent sur les affaires dans lesquelles le Comité a constaté des violations de la Convention ou a formulé des suggestions ou recommandations (voir annexe I)</w:t>
      </w:r>
      <w:r w:rsidR="006A19EC" w:rsidRPr="006A19EC">
        <w:rPr>
          <w:lang w:val="fr-FR"/>
        </w:rPr>
        <w:t>.</w:t>
      </w:r>
    </w:p>
    <w:p w14:paraId="2F97A248" w14:textId="00E0142F" w:rsidR="00A73F44" w:rsidRPr="00A73F44" w:rsidRDefault="00A73F44" w:rsidP="00A73F44">
      <w:pPr>
        <w:pStyle w:val="SingleTxtG"/>
        <w:rPr>
          <w:lang w:val="fr-FR"/>
        </w:rPr>
      </w:pPr>
      <w:r w:rsidRPr="00A73F44">
        <w:rPr>
          <w:lang w:val="fr-FR"/>
        </w:rPr>
        <w:t>6</w:t>
      </w:r>
      <w:r w:rsidR="00580407">
        <w:rPr>
          <w:lang w:val="fr-FR"/>
        </w:rPr>
        <w:t>7</w:t>
      </w:r>
      <w:r w:rsidR="006A19EC" w:rsidRPr="006A19EC">
        <w:rPr>
          <w:lang w:val="fr-FR"/>
        </w:rPr>
        <w:t>.</w:t>
      </w:r>
      <w:r w:rsidRPr="00A73F44">
        <w:rPr>
          <w:lang w:val="fr-FR"/>
        </w:rPr>
        <w:tab/>
        <w:t>Le tableau ci-dessous donne une vue d’ensemble des réponses reçues des États parties</w:t>
      </w:r>
      <w:r w:rsidR="006A19EC" w:rsidRPr="006A19EC">
        <w:rPr>
          <w:lang w:val="fr-FR"/>
        </w:rPr>
        <w:t>.</w:t>
      </w:r>
      <w:r w:rsidRPr="00A73F44">
        <w:rPr>
          <w:lang w:val="fr-FR"/>
        </w:rPr>
        <w:t xml:space="preserve"> Dans la mesure du possible, il indique si les réponses sont ou ont été jugées satisfaisantes ou insatisfaisantes, ou si le dialogue entre l’État partie et le Rapporteur chargé du suivi des opinions se poursuit</w:t>
      </w:r>
      <w:r w:rsidR="006A19EC" w:rsidRPr="006A19EC">
        <w:rPr>
          <w:lang w:val="fr-FR"/>
        </w:rPr>
        <w:t>.</w:t>
      </w:r>
      <w:r w:rsidRPr="00A73F44">
        <w:rPr>
          <w:lang w:val="fr-FR"/>
        </w:rPr>
        <w:t xml:space="preserve"> En général, les réponses sont jugées satisfaisantes si elles montrent que l’État partie est désireux d’appliquer les recommandations du Comité ou d’offrir un recours approprié au plaignant</w:t>
      </w:r>
      <w:r w:rsidR="006A19EC" w:rsidRPr="006A19EC">
        <w:rPr>
          <w:lang w:val="fr-FR"/>
        </w:rPr>
        <w:t>.</w:t>
      </w:r>
      <w:r w:rsidRPr="00A73F44">
        <w:rPr>
          <w:lang w:val="fr-FR"/>
        </w:rPr>
        <w:t xml:space="preserve"> Les réponses qui ne tiennent pas compte des recommandations du Comité ou qui ne prennent en considération que certains aspects de celles-ci sont considérées comme insatisfaisantes</w:t>
      </w:r>
      <w:r w:rsidR="006A19EC" w:rsidRPr="006A19EC">
        <w:rPr>
          <w:lang w:val="fr-FR"/>
        </w:rPr>
        <w:t>.</w:t>
      </w:r>
    </w:p>
    <w:p w14:paraId="6739620C" w14:textId="261F7AFE" w:rsidR="00A73F44" w:rsidRDefault="00A73F44" w:rsidP="00A73F44">
      <w:pPr>
        <w:pStyle w:val="SingleTxtG"/>
        <w:rPr>
          <w:lang w:val="fr-FR"/>
        </w:rPr>
      </w:pPr>
      <w:r w:rsidRPr="00A73F44">
        <w:rPr>
          <w:lang w:val="fr-FR"/>
        </w:rPr>
        <w:t>6</w:t>
      </w:r>
      <w:r w:rsidR="00580407">
        <w:rPr>
          <w:lang w:val="fr-FR"/>
        </w:rPr>
        <w:t>8</w:t>
      </w:r>
      <w:r w:rsidR="006A19EC" w:rsidRPr="006A19EC">
        <w:rPr>
          <w:lang w:val="fr-FR"/>
        </w:rPr>
        <w:t>.</w:t>
      </w:r>
      <w:r w:rsidRPr="00A73F44">
        <w:rPr>
          <w:lang w:val="fr-FR"/>
        </w:rPr>
        <w:tab/>
        <w:t>Au moment de l’adoption du présent rapport, le Comité avait adopté des opinions finales sur le fond concernant 36 plaintes et constaté des violations pour 20 d’entre elles</w:t>
      </w:r>
      <w:r w:rsidR="006A19EC" w:rsidRPr="006A19EC">
        <w:rPr>
          <w:lang w:val="fr-FR"/>
        </w:rPr>
        <w:t>.</w:t>
      </w:r>
      <w:r w:rsidRPr="00A73F44">
        <w:rPr>
          <w:lang w:val="fr-FR"/>
        </w:rPr>
        <w:t xml:space="preserve"> Dans 10 affaires, il avait formulé des suggestions ou des recommandations sans constater toutefois de violation de la Convention</w:t>
      </w:r>
      <w:r w:rsidR="006A19EC" w:rsidRPr="006A19EC">
        <w:rPr>
          <w:lang w:val="fr-FR"/>
        </w:rPr>
        <w:t>.</w:t>
      </w:r>
    </w:p>
    <w:p w14:paraId="1F73588D" w14:textId="77777777" w:rsidR="00A73F44" w:rsidRPr="009555E8" w:rsidRDefault="00A73F44" w:rsidP="00A73F44">
      <w:pPr>
        <w:pStyle w:val="SingleTxtG"/>
        <w:rPr>
          <w:b/>
          <w:lang w:val="fr-FR"/>
        </w:rPr>
      </w:pPr>
    </w:p>
    <w:p w14:paraId="2718EC2C" w14:textId="77777777" w:rsidR="00D830B2" w:rsidRDefault="00D830B2" w:rsidP="00A73F44">
      <w:pPr>
        <w:pStyle w:val="SingleTxtG"/>
        <w:rPr>
          <w:lang w:val="fr-FR"/>
        </w:rPr>
        <w:sectPr w:rsidR="00D830B2" w:rsidSect="00045883">
          <w:headerReference w:type="default" r:id="rId62"/>
          <w:footerReference w:type="default" r:id="rId63"/>
          <w:endnotePr>
            <w:numFmt w:val="decimal"/>
          </w:endnotePr>
          <w:type w:val="oddPage"/>
          <w:pgSz w:w="11907" w:h="16840" w:code="9"/>
          <w:pgMar w:top="1417" w:right="1134" w:bottom="1134" w:left="1134" w:header="850" w:footer="567" w:gutter="0"/>
          <w:pgNumType w:start="1"/>
          <w:cols w:space="720"/>
          <w:docGrid w:linePitch="272"/>
        </w:sectPr>
      </w:pPr>
    </w:p>
    <w:p w14:paraId="02290A63" w14:textId="059E4A8F" w:rsidR="00D830B2" w:rsidRDefault="00D830B2" w:rsidP="00385116">
      <w:pPr>
        <w:pStyle w:val="H23G"/>
        <w:rPr>
          <w:lang w:val="fr-FR"/>
        </w:rPr>
      </w:pPr>
      <w:r>
        <w:rPr>
          <w:lang w:val="fr-FR"/>
        </w:rPr>
        <w:tab/>
      </w:r>
      <w:r>
        <w:rPr>
          <w:lang w:val="fr-FR"/>
        </w:rPr>
        <w:tab/>
      </w:r>
      <w:r w:rsidRPr="00274A4B">
        <w:rPr>
          <w:lang w:val="fr-FR"/>
        </w:rPr>
        <w:t>Renseignements reçus</w:t>
      </w:r>
      <w:r w:rsidR="001E77AC">
        <w:rPr>
          <w:lang w:val="fr-FR"/>
        </w:rPr>
        <w:t xml:space="preserve"> </w:t>
      </w:r>
      <w:r w:rsidRPr="00274A4B">
        <w:rPr>
          <w:lang w:val="fr-FR"/>
        </w:rPr>
        <w:t xml:space="preserve">au sujet de la suite donnée à toutes les violations de la Convention concernant lesquelles le Comité a formulé </w:t>
      </w:r>
      <w:r w:rsidR="00385116">
        <w:rPr>
          <w:lang w:val="fr-FR"/>
        </w:rPr>
        <w:br/>
      </w:r>
      <w:r w:rsidRPr="00274A4B">
        <w:rPr>
          <w:lang w:val="fr-FR"/>
        </w:rPr>
        <w:t>des suggestions ou des recommandations</w:t>
      </w:r>
    </w:p>
    <w:tbl>
      <w:tblPr>
        <w:tblW w:w="13774" w:type="dxa"/>
        <w:tblInd w:w="283" w:type="dxa"/>
        <w:tblLayout w:type="fixed"/>
        <w:tblCellMar>
          <w:left w:w="0" w:type="dxa"/>
          <w:right w:w="0" w:type="dxa"/>
        </w:tblCellMar>
        <w:tblLook w:val="01E0" w:firstRow="1" w:lastRow="1" w:firstColumn="1" w:lastColumn="1" w:noHBand="0" w:noVBand="0"/>
      </w:tblPr>
      <w:tblGrid>
        <w:gridCol w:w="2234"/>
        <w:gridCol w:w="3628"/>
        <w:gridCol w:w="2344"/>
        <w:gridCol w:w="1433"/>
        <w:gridCol w:w="1467"/>
        <w:gridCol w:w="1279"/>
        <w:gridCol w:w="1389"/>
      </w:tblGrid>
      <w:tr w:rsidR="00D830B2" w:rsidRPr="00274A4B" w14:paraId="21FA5E4E" w14:textId="77777777" w:rsidTr="001A7E87">
        <w:trPr>
          <w:cantSplit/>
          <w:tblHeader/>
        </w:trPr>
        <w:tc>
          <w:tcPr>
            <w:tcW w:w="2234" w:type="dxa"/>
            <w:tcBorders>
              <w:top w:val="single" w:sz="4" w:space="0" w:color="auto"/>
              <w:bottom w:val="single" w:sz="12" w:space="0" w:color="auto"/>
            </w:tcBorders>
            <w:shd w:val="clear" w:color="auto" w:fill="auto"/>
            <w:tcMar>
              <w:right w:w="113" w:type="dxa"/>
            </w:tcMar>
            <w:vAlign w:val="bottom"/>
          </w:tcPr>
          <w:p w14:paraId="7B80267E" w14:textId="77777777" w:rsidR="00D830B2" w:rsidRPr="00274A4B" w:rsidRDefault="00D830B2" w:rsidP="001A7E87">
            <w:pPr>
              <w:spacing w:before="80" w:after="80" w:line="200" w:lineRule="exact"/>
              <w:ind w:right="113"/>
              <w:rPr>
                <w:rFonts w:eastAsia="Calibri"/>
                <w:i/>
                <w:sz w:val="16"/>
                <w:lang w:val="fr-FR"/>
              </w:rPr>
            </w:pPr>
            <w:r w:rsidRPr="00274A4B">
              <w:rPr>
                <w:rFonts w:eastAsia="Calibri"/>
                <w:i/>
                <w:sz w:val="16"/>
                <w:lang w:val="fr-FR"/>
              </w:rPr>
              <w:t xml:space="preserve">État partie et nombre </w:t>
            </w:r>
            <w:r w:rsidRPr="00274A4B">
              <w:rPr>
                <w:rFonts w:eastAsia="Calibri"/>
                <w:i/>
                <w:sz w:val="16"/>
                <w:lang w:val="fr-FR"/>
              </w:rPr>
              <w:br/>
              <w:t>de violations</w:t>
            </w:r>
          </w:p>
        </w:tc>
        <w:tc>
          <w:tcPr>
            <w:tcW w:w="3628" w:type="dxa"/>
            <w:tcBorders>
              <w:top w:val="single" w:sz="4" w:space="0" w:color="auto"/>
              <w:bottom w:val="single" w:sz="12" w:space="0" w:color="auto"/>
            </w:tcBorders>
            <w:shd w:val="clear" w:color="auto" w:fill="auto"/>
            <w:tcMar>
              <w:right w:w="113" w:type="dxa"/>
            </w:tcMar>
            <w:vAlign w:val="bottom"/>
          </w:tcPr>
          <w:p w14:paraId="7E51A842" w14:textId="77777777" w:rsidR="00D830B2" w:rsidRPr="00274A4B" w:rsidRDefault="00D830B2" w:rsidP="001A7E87">
            <w:pPr>
              <w:spacing w:before="80" w:after="80" w:line="200" w:lineRule="exact"/>
              <w:ind w:right="113"/>
              <w:rPr>
                <w:rFonts w:eastAsia="Calibri"/>
                <w:i/>
                <w:sz w:val="16"/>
                <w:lang w:val="fr-FR"/>
              </w:rPr>
            </w:pPr>
            <w:r w:rsidRPr="00274A4B">
              <w:rPr>
                <w:rFonts w:eastAsia="Calibri"/>
                <w:i/>
                <w:sz w:val="16"/>
                <w:lang w:val="fr-FR"/>
              </w:rPr>
              <w:t xml:space="preserve">Numéro et auteur de la communication </w:t>
            </w:r>
          </w:p>
        </w:tc>
        <w:tc>
          <w:tcPr>
            <w:tcW w:w="2344" w:type="dxa"/>
            <w:tcBorders>
              <w:top w:val="single" w:sz="4" w:space="0" w:color="auto"/>
              <w:bottom w:val="single" w:sz="12" w:space="0" w:color="auto"/>
            </w:tcBorders>
            <w:shd w:val="clear" w:color="auto" w:fill="auto"/>
            <w:tcMar>
              <w:right w:w="113" w:type="dxa"/>
            </w:tcMar>
            <w:vAlign w:val="bottom"/>
          </w:tcPr>
          <w:p w14:paraId="1DB0DFE5" w14:textId="77777777" w:rsidR="00D830B2" w:rsidRPr="00274A4B" w:rsidRDefault="00D830B2" w:rsidP="001A7E87">
            <w:pPr>
              <w:spacing w:before="80" w:after="80" w:line="200" w:lineRule="exact"/>
              <w:ind w:right="113"/>
              <w:rPr>
                <w:rFonts w:eastAsia="Calibri"/>
                <w:i/>
                <w:sz w:val="16"/>
                <w:lang w:val="fr-FR"/>
              </w:rPr>
            </w:pPr>
            <w:r w:rsidRPr="00274A4B">
              <w:rPr>
                <w:rFonts w:eastAsia="Calibri"/>
                <w:i/>
                <w:sz w:val="16"/>
                <w:lang w:val="fr-FR"/>
              </w:rPr>
              <w:t>Réponse de l’État partie concernant la suite donnée</w:t>
            </w:r>
          </w:p>
        </w:tc>
        <w:tc>
          <w:tcPr>
            <w:tcW w:w="1433" w:type="dxa"/>
            <w:tcBorders>
              <w:top w:val="single" w:sz="4" w:space="0" w:color="auto"/>
              <w:bottom w:val="single" w:sz="12" w:space="0" w:color="auto"/>
            </w:tcBorders>
            <w:shd w:val="clear" w:color="auto" w:fill="auto"/>
            <w:tcMar>
              <w:right w:w="113" w:type="dxa"/>
            </w:tcMar>
            <w:vAlign w:val="bottom"/>
          </w:tcPr>
          <w:p w14:paraId="258A07AB" w14:textId="77777777" w:rsidR="00D830B2" w:rsidRPr="00274A4B" w:rsidRDefault="00D830B2" w:rsidP="001A7E87">
            <w:pPr>
              <w:spacing w:before="80" w:after="80" w:line="200" w:lineRule="exact"/>
              <w:ind w:right="113"/>
              <w:rPr>
                <w:rFonts w:eastAsia="Calibri"/>
                <w:i/>
                <w:sz w:val="16"/>
              </w:rPr>
            </w:pPr>
            <w:r w:rsidRPr="00274A4B">
              <w:rPr>
                <w:rFonts w:eastAsia="Calibri"/>
                <w:i/>
                <w:sz w:val="16"/>
                <w:lang w:val="fr-FR"/>
              </w:rPr>
              <w:t>Réponse satisfaisante</w:t>
            </w:r>
          </w:p>
        </w:tc>
        <w:tc>
          <w:tcPr>
            <w:tcW w:w="1467" w:type="dxa"/>
            <w:tcBorders>
              <w:top w:val="single" w:sz="4" w:space="0" w:color="auto"/>
              <w:bottom w:val="single" w:sz="12" w:space="0" w:color="auto"/>
            </w:tcBorders>
            <w:shd w:val="clear" w:color="auto" w:fill="auto"/>
            <w:tcMar>
              <w:right w:w="113" w:type="dxa"/>
            </w:tcMar>
            <w:vAlign w:val="bottom"/>
          </w:tcPr>
          <w:p w14:paraId="3B54FCCB" w14:textId="77777777" w:rsidR="00D830B2" w:rsidRPr="00274A4B" w:rsidRDefault="00D830B2" w:rsidP="001A7E87">
            <w:pPr>
              <w:spacing w:before="80" w:after="80" w:line="200" w:lineRule="exact"/>
              <w:ind w:right="113"/>
              <w:rPr>
                <w:rFonts w:eastAsia="Calibri"/>
                <w:i/>
                <w:sz w:val="16"/>
              </w:rPr>
            </w:pPr>
            <w:r w:rsidRPr="00274A4B">
              <w:rPr>
                <w:rFonts w:eastAsia="Calibri"/>
                <w:i/>
                <w:sz w:val="16"/>
                <w:lang w:val="fr-FR"/>
              </w:rPr>
              <w:t>Réponse insatisfaisante ou incomplète</w:t>
            </w:r>
          </w:p>
        </w:tc>
        <w:tc>
          <w:tcPr>
            <w:tcW w:w="1279" w:type="dxa"/>
            <w:tcBorders>
              <w:top w:val="single" w:sz="4" w:space="0" w:color="auto"/>
              <w:bottom w:val="single" w:sz="12" w:space="0" w:color="auto"/>
            </w:tcBorders>
            <w:shd w:val="clear" w:color="auto" w:fill="auto"/>
            <w:tcMar>
              <w:right w:w="113" w:type="dxa"/>
            </w:tcMar>
            <w:vAlign w:val="bottom"/>
          </w:tcPr>
          <w:p w14:paraId="4672D123" w14:textId="77777777" w:rsidR="00D830B2" w:rsidRPr="00274A4B" w:rsidRDefault="00D830B2" w:rsidP="001A7E87">
            <w:pPr>
              <w:spacing w:before="80" w:after="80" w:line="200" w:lineRule="exact"/>
              <w:ind w:right="113"/>
              <w:rPr>
                <w:rFonts w:eastAsia="Calibri"/>
                <w:i/>
                <w:sz w:val="16"/>
                <w:lang w:val="fr-FR"/>
              </w:rPr>
            </w:pPr>
            <w:r w:rsidRPr="00274A4B">
              <w:rPr>
                <w:rFonts w:eastAsia="Calibri"/>
                <w:i/>
                <w:sz w:val="16"/>
                <w:lang w:val="fr-FR"/>
              </w:rPr>
              <w:t>Pas de réponse</w:t>
            </w:r>
            <w:r w:rsidR="001E77AC">
              <w:rPr>
                <w:rFonts w:eastAsia="Calibri"/>
                <w:i/>
                <w:sz w:val="16"/>
                <w:lang w:val="fr-FR"/>
              </w:rPr>
              <w:t xml:space="preserve"> </w:t>
            </w:r>
            <w:r w:rsidRPr="00274A4B">
              <w:rPr>
                <w:rFonts w:eastAsia="Calibri"/>
                <w:i/>
                <w:sz w:val="16"/>
                <w:lang w:val="fr-FR"/>
              </w:rPr>
              <w:t>concernant la suite donnée</w:t>
            </w:r>
          </w:p>
        </w:tc>
        <w:tc>
          <w:tcPr>
            <w:tcW w:w="1389" w:type="dxa"/>
            <w:tcBorders>
              <w:top w:val="single" w:sz="4" w:space="0" w:color="auto"/>
              <w:bottom w:val="single" w:sz="12" w:space="0" w:color="auto"/>
            </w:tcBorders>
            <w:shd w:val="clear" w:color="auto" w:fill="auto"/>
            <w:tcMar>
              <w:right w:w="113" w:type="dxa"/>
            </w:tcMar>
            <w:vAlign w:val="bottom"/>
          </w:tcPr>
          <w:p w14:paraId="3DCDF9F1" w14:textId="77777777" w:rsidR="00D830B2" w:rsidRPr="00274A4B" w:rsidRDefault="00D830B2" w:rsidP="001A7E87">
            <w:pPr>
              <w:spacing w:before="80" w:after="80" w:line="200" w:lineRule="exact"/>
              <w:ind w:right="113"/>
              <w:rPr>
                <w:rFonts w:eastAsia="Calibri"/>
                <w:i/>
                <w:sz w:val="16"/>
              </w:rPr>
            </w:pPr>
            <w:r w:rsidRPr="00274A4B">
              <w:rPr>
                <w:rFonts w:eastAsia="Calibri"/>
                <w:i/>
                <w:sz w:val="16"/>
                <w:lang w:val="fr-FR"/>
              </w:rPr>
              <w:t>Dialogue en cours</w:t>
            </w:r>
          </w:p>
        </w:tc>
      </w:tr>
      <w:tr w:rsidR="00D830B2" w:rsidRPr="00274A4B" w14:paraId="7E888D52" w14:textId="77777777" w:rsidTr="001A7E87">
        <w:trPr>
          <w:cantSplit/>
          <w:trHeight w:hRule="exact" w:val="113"/>
          <w:tblHeader/>
        </w:trPr>
        <w:tc>
          <w:tcPr>
            <w:tcW w:w="2234" w:type="dxa"/>
            <w:tcBorders>
              <w:top w:val="single" w:sz="12" w:space="0" w:color="auto"/>
            </w:tcBorders>
            <w:shd w:val="clear" w:color="auto" w:fill="auto"/>
            <w:tcMar>
              <w:right w:w="113" w:type="dxa"/>
            </w:tcMar>
          </w:tcPr>
          <w:p w14:paraId="1D00A251" w14:textId="77777777" w:rsidR="00D830B2" w:rsidRPr="00274A4B" w:rsidRDefault="00D830B2" w:rsidP="001A7E87">
            <w:pPr>
              <w:spacing w:before="40" w:after="120"/>
              <w:ind w:right="113"/>
              <w:rPr>
                <w:rFonts w:eastAsia="Calibri"/>
                <w:lang w:val="fr-FR"/>
              </w:rPr>
            </w:pPr>
          </w:p>
        </w:tc>
        <w:tc>
          <w:tcPr>
            <w:tcW w:w="3628" w:type="dxa"/>
            <w:tcBorders>
              <w:top w:val="single" w:sz="12" w:space="0" w:color="auto"/>
            </w:tcBorders>
            <w:shd w:val="clear" w:color="auto" w:fill="auto"/>
            <w:tcMar>
              <w:right w:w="113" w:type="dxa"/>
            </w:tcMar>
          </w:tcPr>
          <w:p w14:paraId="3C5FB7F2" w14:textId="77777777" w:rsidR="00D830B2" w:rsidRPr="00274A4B" w:rsidRDefault="00D830B2" w:rsidP="001A7E87">
            <w:pPr>
              <w:spacing w:before="40" w:after="120"/>
              <w:ind w:right="113"/>
              <w:rPr>
                <w:rFonts w:eastAsia="Calibri"/>
                <w:lang w:val="fr-FR"/>
              </w:rPr>
            </w:pPr>
          </w:p>
        </w:tc>
        <w:tc>
          <w:tcPr>
            <w:tcW w:w="2344" w:type="dxa"/>
            <w:tcBorders>
              <w:top w:val="single" w:sz="12" w:space="0" w:color="auto"/>
            </w:tcBorders>
            <w:shd w:val="clear" w:color="auto" w:fill="auto"/>
            <w:tcMar>
              <w:right w:w="113" w:type="dxa"/>
            </w:tcMar>
          </w:tcPr>
          <w:p w14:paraId="3F20936F" w14:textId="77777777" w:rsidR="00D830B2" w:rsidRPr="00274A4B" w:rsidRDefault="00D830B2" w:rsidP="001A7E87">
            <w:pPr>
              <w:spacing w:before="40" w:after="120"/>
              <w:ind w:right="113"/>
              <w:rPr>
                <w:rFonts w:eastAsia="Calibri"/>
                <w:lang w:val="fr-FR"/>
              </w:rPr>
            </w:pPr>
          </w:p>
        </w:tc>
        <w:tc>
          <w:tcPr>
            <w:tcW w:w="1433" w:type="dxa"/>
            <w:tcBorders>
              <w:top w:val="single" w:sz="12" w:space="0" w:color="auto"/>
            </w:tcBorders>
            <w:shd w:val="clear" w:color="auto" w:fill="auto"/>
            <w:tcMar>
              <w:right w:w="113" w:type="dxa"/>
            </w:tcMar>
          </w:tcPr>
          <w:p w14:paraId="5FC4DEF7" w14:textId="77777777" w:rsidR="00D830B2" w:rsidRPr="00274A4B" w:rsidRDefault="00D830B2" w:rsidP="001A7E87">
            <w:pPr>
              <w:spacing w:before="40" w:after="120"/>
              <w:ind w:right="113"/>
              <w:rPr>
                <w:rFonts w:eastAsia="Calibri"/>
                <w:lang w:val="fr-FR"/>
              </w:rPr>
            </w:pPr>
          </w:p>
        </w:tc>
        <w:tc>
          <w:tcPr>
            <w:tcW w:w="1467" w:type="dxa"/>
            <w:tcBorders>
              <w:top w:val="single" w:sz="12" w:space="0" w:color="auto"/>
            </w:tcBorders>
            <w:shd w:val="clear" w:color="auto" w:fill="auto"/>
            <w:tcMar>
              <w:right w:w="113" w:type="dxa"/>
            </w:tcMar>
          </w:tcPr>
          <w:p w14:paraId="1EAA9B2D" w14:textId="77777777" w:rsidR="00D830B2" w:rsidRPr="00274A4B" w:rsidRDefault="00D830B2" w:rsidP="001A7E87">
            <w:pPr>
              <w:spacing w:before="40" w:after="120"/>
              <w:ind w:right="113"/>
              <w:rPr>
                <w:rFonts w:eastAsia="Calibri"/>
                <w:lang w:val="fr-FR"/>
              </w:rPr>
            </w:pPr>
          </w:p>
        </w:tc>
        <w:tc>
          <w:tcPr>
            <w:tcW w:w="1279" w:type="dxa"/>
            <w:tcBorders>
              <w:top w:val="single" w:sz="12" w:space="0" w:color="auto"/>
            </w:tcBorders>
            <w:shd w:val="clear" w:color="auto" w:fill="auto"/>
            <w:tcMar>
              <w:right w:w="113" w:type="dxa"/>
            </w:tcMar>
          </w:tcPr>
          <w:p w14:paraId="120FC0FA" w14:textId="77777777" w:rsidR="00D830B2" w:rsidRPr="00274A4B" w:rsidRDefault="00D830B2" w:rsidP="001A7E87">
            <w:pPr>
              <w:spacing w:before="40" w:after="120"/>
              <w:ind w:right="113"/>
              <w:rPr>
                <w:rFonts w:eastAsia="Calibri"/>
                <w:lang w:val="fr-FR"/>
              </w:rPr>
            </w:pPr>
          </w:p>
        </w:tc>
        <w:tc>
          <w:tcPr>
            <w:tcW w:w="1389" w:type="dxa"/>
            <w:tcBorders>
              <w:top w:val="single" w:sz="12" w:space="0" w:color="auto"/>
            </w:tcBorders>
            <w:shd w:val="clear" w:color="auto" w:fill="auto"/>
            <w:tcMar>
              <w:right w:w="113" w:type="dxa"/>
            </w:tcMar>
          </w:tcPr>
          <w:p w14:paraId="016AF012" w14:textId="77777777" w:rsidR="00D830B2" w:rsidRPr="00274A4B" w:rsidRDefault="00D830B2" w:rsidP="001A7E87">
            <w:pPr>
              <w:spacing w:before="40" w:after="120"/>
              <w:ind w:right="113"/>
              <w:rPr>
                <w:rFonts w:eastAsia="Calibri"/>
                <w:lang w:val="fr-FR"/>
              </w:rPr>
            </w:pPr>
          </w:p>
        </w:tc>
      </w:tr>
      <w:tr w:rsidR="00D830B2" w:rsidRPr="00274A4B" w14:paraId="644ED40C" w14:textId="77777777" w:rsidTr="001A7E87">
        <w:trPr>
          <w:cantSplit/>
        </w:trPr>
        <w:tc>
          <w:tcPr>
            <w:tcW w:w="2234" w:type="dxa"/>
            <w:shd w:val="clear" w:color="auto" w:fill="auto"/>
            <w:tcMar>
              <w:right w:w="113" w:type="dxa"/>
            </w:tcMar>
          </w:tcPr>
          <w:p w14:paraId="57A27820" w14:textId="77777777" w:rsidR="00D830B2" w:rsidRPr="00FB57E7" w:rsidRDefault="00D830B2" w:rsidP="001A7E87">
            <w:pPr>
              <w:spacing w:before="40" w:after="120"/>
              <w:ind w:right="113"/>
              <w:rPr>
                <w:rFonts w:eastAsia="Calibri"/>
                <w:szCs w:val="19"/>
              </w:rPr>
            </w:pPr>
            <w:r w:rsidRPr="00FB57E7">
              <w:rPr>
                <w:rFonts w:eastAsia="Calibri"/>
                <w:lang w:val="fr-FR"/>
              </w:rPr>
              <w:t>Allemagne (1)</w:t>
            </w:r>
          </w:p>
        </w:tc>
        <w:tc>
          <w:tcPr>
            <w:tcW w:w="3628" w:type="dxa"/>
            <w:shd w:val="clear" w:color="auto" w:fill="auto"/>
            <w:tcMar>
              <w:right w:w="113" w:type="dxa"/>
            </w:tcMar>
          </w:tcPr>
          <w:p w14:paraId="0EE75A3D" w14:textId="77777777" w:rsidR="00D830B2" w:rsidRPr="00FB57E7" w:rsidRDefault="00D830B2" w:rsidP="001A7E87">
            <w:pPr>
              <w:spacing w:before="40" w:after="120"/>
              <w:ind w:right="113"/>
              <w:rPr>
                <w:rFonts w:eastAsia="Calibri"/>
                <w:szCs w:val="19"/>
                <w:lang w:val="fr-FR"/>
              </w:rPr>
            </w:pPr>
            <w:r w:rsidRPr="00FB57E7">
              <w:rPr>
                <w:rFonts w:eastAsia="Calibri"/>
                <w:lang w:val="fr-FR"/>
              </w:rPr>
              <w:t>48/2010, Union turque de Berlin</w:t>
            </w:r>
            <w:r w:rsidRPr="00FB57E7">
              <w:rPr>
                <w:rFonts w:eastAsia="Calibri"/>
                <w:lang w:val="fr-FR"/>
              </w:rPr>
              <w:noBreakHyphen/>
              <w:t>Brandebourg</w:t>
            </w:r>
          </w:p>
        </w:tc>
        <w:tc>
          <w:tcPr>
            <w:tcW w:w="2344" w:type="dxa"/>
            <w:shd w:val="clear" w:color="auto" w:fill="auto"/>
            <w:tcMar>
              <w:right w:w="113" w:type="dxa"/>
            </w:tcMar>
          </w:tcPr>
          <w:p w14:paraId="5C7D9E3D" w14:textId="77777777" w:rsidR="00D830B2" w:rsidRPr="00FB57E7" w:rsidRDefault="00D830B2" w:rsidP="001A7E87">
            <w:pPr>
              <w:spacing w:before="40" w:after="120"/>
              <w:ind w:right="113"/>
              <w:rPr>
                <w:rFonts w:eastAsia="Calibri"/>
                <w:szCs w:val="19"/>
                <w:lang w:val="fr-FR"/>
              </w:rPr>
            </w:pPr>
            <w:r w:rsidRPr="00FB57E7">
              <w:rPr>
                <w:rFonts w:eastAsia="Calibri"/>
                <w:lang w:val="fr-FR"/>
              </w:rPr>
              <w:t>X (</w:t>
            </w:r>
            <w:hyperlink r:id="rId64" w:history="1">
              <w:r w:rsidRPr="00FB57E7">
                <w:rPr>
                  <w:rFonts w:eastAsia="Calibri"/>
                  <w:color w:val="0000FF"/>
                  <w:lang w:val="fr-FR"/>
                </w:rPr>
                <w:t>A/70/18</w:t>
              </w:r>
            </w:hyperlink>
            <w:r w:rsidRPr="00FB57E7">
              <w:rPr>
                <w:rFonts w:eastAsia="Calibri"/>
                <w:lang w:val="fr-FR"/>
              </w:rPr>
              <w:t>)</w:t>
            </w:r>
            <w:r w:rsidRPr="00FB57E7">
              <w:rPr>
                <w:rFonts w:eastAsia="Calibri"/>
                <w:lang w:val="fr-FR"/>
              </w:rPr>
              <w:br/>
              <w:t>1</w:t>
            </w:r>
            <w:r w:rsidRPr="00FB57E7">
              <w:rPr>
                <w:rFonts w:eastAsia="Calibri"/>
                <w:vertAlign w:val="superscript"/>
                <w:lang w:val="fr-FR"/>
              </w:rPr>
              <w:t>er</w:t>
            </w:r>
            <w:r w:rsidRPr="00FB57E7">
              <w:rPr>
                <w:rFonts w:eastAsia="Calibri"/>
                <w:lang w:val="fr-FR"/>
              </w:rPr>
              <w:t> juillet 2013</w:t>
            </w:r>
            <w:r w:rsidRPr="00FB57E7">
              <w:rPr>
                <w:rFonts w:eastAsia="Calibri"/>
                <w:lang w:val="fr-FR"/>
              </w:rPr>
              <w:br/>
              <w:t>29 août 2013</w:t>
            </w:r>
            <w:r w:rsidRPr="00FB57E7">
              <w:rPr>
                <w:rFonts w:eastAsia="Calibri"/>
                <w:lang w:val="fr-FR"/>
              </w:rPr>
              <w:br/>
              <w:t>17 septembre 2014</w:t>
            </w:r>
            <w:r w:rsidRPr="00FB57E7">
              <w:rPr>
                <w:rFonts w:eastAsia="Calibri"/>
                <w:lang w:val="fr-FR"/>
              </w:rPr>
              <w:br/>
              <w:t>3 février 2015</w:t>
            </w:r>
          </w:p>
        </w:tc>
        <w:tc>
          <w:tcPr>
            <w:tcW w:w="1433" w:type="dxa"/>
            <w:shd w:val="clear" w:color="auto" w:fill="auto"/>
            <w:tcMar>
              <w:right w:w="113" w:type="dxa"/>
            </w:tcMar>
          </w:tcPr>
          <w:p w14:paraId="5A2C8052" w14:textId="77777777" w:rsidR="00D830B2" w:rsidRPr="00FB57E7" w:rsidRDefault="00D830B2" w:rsidP="001A7E87">
            <w:pPr>
              <w:spacing w:before="40" w:after="120"/>
              <w:ind w:right="113"/>
              <w:rPr>
                <w:rFonts w:eastAsia="Calibri"/>
                <w:szCs w:val="19"/>
                <w:lang w:val="fr-FR"/>
              </w:rPr>
            </w:pPr>
          </w:p>
        </w:tc>
        <w:tc>
          <w:tcPr>
            <w:tcW w:w="1467" w:type="dxa"/>
            <w:shd w:val="clear" w:color="auto" w:fill="auto"/>
            <w:tcMar>
              <w:right w:w="113" w:type="dxa"/>
            </w:tcMar>
          </w:tcPr>
          <w:p w14:paraId="7843B4C9" w14:textId="77777777" w:rsidR="00D830B2" w:rsidRPr="00FB57E7" w:rsidRDefault="00D830B2" w:rsidP="001A7E87">
            <w:pPr>
              <w:spacing w:before="40" w:after="120"/>
              <w:ind w:right="113"/>
              <w:rPr>
                <w:rFonts w:eastAsia="Calibri"/>
                <w:szCs w:val="19"/>
                <w:lang w:val="fr-FR"/>
              </w:rPr>
            </w:pPr>
          </w:p>
        </w:tc>
        <w:tc>
          <w:tcPr>
            <w:tcW w:w="1279" w:type="dxa"/>
            <w:shd w:val="clear" w:color="auto" w:fill="auto"/>
            <w:tcMar>
              <w:right w:w="113" w:type="dxa"/>
            </w:tcMar>
          </w:tcPr>
          <w:p w14:paraId="587B6B8B" w14:textId="77777777" w:rsidR="00D830B2" w:rsidRPr="00FB57E7" w:rsidRDefault="00D830B2" w:rsidP="001A7E87">
            <w:pPr>
              <w:spacing w:before="40" w:after="120"/>
              <w:ind w:right="113"/>
              <w:rPr>
                <w:rFonts w:eastAsia="Calibri"/>
                <w:szCs w:val="19"/>
                <w:lang w:val="fr-FR"/>
              </w:rPr>
            </w:pPr>
          </w:p>
        </w:tc>
        <w:tc>
          <w:tcPr>
            <w:tcW w:w="1389" w:type="dxa"/>
            <w:shd w:val="clear" w:color="auto" w:fill="auto"/>
            <w:tcMar>
              <w:right w:w="113" w:type="dxa"/>
            </w:tcMar>
          </w:tcPr>
          <w:p w14:paraId="11D99C53" w14:textId="77777777" w:rsidR="00D830B2" w:rsidRPr="00FB57E7" w:rsidRDefault="00D830B2" w:rsidP="001A7E87">
            <w:pPr>
              <w:spacing w:before="40" w:after="120"/>
              <w:ind w:right="113"/>
              <w:rPr>
                <w:rFonts w:eastAsia="Calibri"/>
                <w:szCs w:val="19"/>
                <w:lang w:val="fr-FR"/>
              </w:rPr>
            </w:pPr>
            <w:r w:rsidRPr="00FB57E7">
              <w:rPr>
                <w:rFonts w:eastAsia="Calibri"/>
                <w:lang w:val="fr-FR"/>
              </w:rPr>
              <w:t>X</w:t>
            </w:r>
          </w:p>
        </w:tc>
      </w:tr>
      <w:tr w:rsidR="00D830B2" w:rsidRPr="00274A4B" w14:paraId="4E2D26C0" w14:textId="77777777" w:rsidTr="001A7E87">
        <w:trPr>
          <w:cantSplit/>
        </w:trPr>
        <w:tc>
          <w:tcPr>
            <w:tcW w:w="2234" w:type="dxa"/>
            <w:shd w:val="clear" w:color="auto" w:fill="auto"/>
            <w:tcMar>
              <w:right w:w="113" w:type="dxa"/>
            </w:tcMar>
          </w:tcPr>
          <w:p w14:paraId="3F29BD88" w14:textId="77777777" w:rsidR="00D830B2" w:rsidRPr="00FB57E7" w:rsidRDefault="00D830B2" w:rsidP="001A7E87">
            <w:pPr>
              <w:spacing w:before="40" w:after="120"/>
              <w:ind w:right="113"/>
              <w:rPr>
                <w:rFonts w:eastAsia="Calibri"/>
                <w:szCs w:val="19"/>
              </w:rPr>
            </w:pPr>
            <w:r w:rsidRPr="00FB57E7">
              <w:rPr>
                <w:rFonts w:eastAsia="Calibri"/>
                <w:lang w:val="fr-FR"/>
              </w:rPr>
              <w:t>Danemark (7)</w:t>
            </w:r>
          </w:p>
        </w:tc>
        <w:tc>
          <w:tcPr>
            <w:tcW w:w="3628" w:type="dxa"/>
            <w:shd w:val="clear" w:color="auto" w:fill="auto"/>
            <w:tcMar>
              <w:right w:w="113" w:type="dxa"/>
            </w:tcMar>
          </w:tcPr>
          <w:p w14:paraId="3F58D6D5" w14:textId="77777777" w:rsidR="00D830B2" w:rsidRPr="00FB57E7" w:rsidRDefault="00D830B2" w:rsidP="001A7E87">
            <w:pPr>
              <w:spacing w:before="40" w:after="120"/>
              <w:ind w:right="113"/>
              <w:rPr>
                <w:rFonts w:eastAsia="Calibri"/>
                <w:szCs w:val="19"/>
              </w:rPr>
            </w:pPr>
            <w:r w:rsidRPr="00FB57E7">
              <w:rPr>
                <w:rFonts w:eastAsia="Calibri"/>
                <w:lang w:val="fr-FR"/>
              </w:rPr>
              <w:t>10/1997, Ziad Ben Ahmed Habassi</w:t>
            </w:r>
          </w:p>
        </w:tc>
        <w:tc>
          <w:tcPr>
            <w:tcW w:w="2344" w:type="dxa"/>
            <w:shd w:val="clear" w:color="auto" w:fill="auto"/>
            <w:tcMar>
              <w:right w:w="113" w:type="dxa"/>
            </w:tcMar>
          </w:tcPr>
          <w:p w14:paraId="4E368DB5" w14:textId="77777777" w:rsidR="00D830B2" w:rsidRPr="00FB57E7" w:rsidRDefault="00D830B2" w:rsidP="001A7E87">
            <w:pPr>
              <w:spacing w:before="40" w:after="120"/>
              <w:ind w:right="113"/>
              <w:rPr>
                <w:rFonts w:eastAsia="Calibri"/>
                <w:szCs w:val="19"/>
              </w:rPr>
            </w:pPr>
            <w:r w:rsidRPr="00FB57E7">
              <w:rPr>
                <w:rFonts w:eastAsia="Calibri"/>
                <w:lang w:val="fr-FR"/>
              </w:rPr>
              <w:t>X (</w:t>
            </w:r>
            <w:hyperlink r:id="rId65" w:history="1">
              <w:r w:rsidRPr="00FB57E7">
                <w:rPr>
                  <w:rFonts w:eastAsia="Calibri"/>
                  <w:color w:val="0000FF"/>
                  <w:lang w:val="fr-FR"/>
                </w:rPr>
                <w:t>A/61/18</w:t>
              </w:r>
            </w:hyperlink>
            <w:r w:rsidRPr="00FB57E7">
              <w:rPr>
                <w:rFonts w:eastAsia="Calibri"/>
                <w:lang w:val="fr-FR"/>
              </w:rPr>
              <w:t>)</w:t>
            </w:r>
          </w:p>
        </w:tc>
        <w:tc>
          <w:tcPr>
            <w:tcW w:w="1433" w:type="dxa"/>
            <w:shd w:val="clear" w:color="auto" w:fill="auto"/>
            <w:tcMar>
              <w:right w:w="113" w:type="dxa"/>
            </w:tcMar>
          </w:tcPr>
          <w:p w14:paraId="1DE73AEA" w14:textId="77777777" w:rsidR="00D830B2" w:rsidRPr="00FB57E7" w:rsidRDefault="00D830B2" w:rsidP="001A7E87">
            <w:pPr>
              <w:spacing w:before="40" w:after="120"/>
              <w:ind w:right="113"/>
              <w:rPr>
                <w:rFonts w:eastAsia="Calibri"/>
                <w:szCs w:val="19"/>
              </w:rPr>
            </w:pPr>
            <w:r w:rsidRPr="00FB57E7">
              <w:rPr>
                <w:rFonts w:eastAsia="Calibri"/>
                <w:lang w:val="fr-FR"/>
              </w:rPr>
              <w:t>X</w:t>
            </w:r>
          </w:p>
        </w:tc>
        <w:tc>
          <w:tcPr>
            <w:tcW w:w="1467" w:type="dxa"/>
            <w:shd w:val="clear" w:color="auto" w:fill="auto"/>
            <w:tcMar>
              <w:right w:w="113" w:type="dxa"/>
            </w:tcMar>
          </w:tcPr>
          <w:p w14:paraId="4ACBD489" w14:textId="77777777" w:rsidR="00D830B2" w:rsidRPr="00FB57E7" w:rsidRDefault="00D830B2" w:rsidP="001A7E87">
            <w:pPr>
              <w:spacing w:before="40" w:after="120"/>
              <w:ind w:right="113"/>
              <w:rPr>
                <w:rFonts w:eastAsia="Calibri"/>
                <w:szCs w:val="19"/>
              </w:rPr>
            </w:pPr>
          </w:p>
        </w:tc>
        <w:tc>
          <w:tcPr>
            <w:tcW w:w="1279" w:type="dxa"/>
            <w:shd w:val="clear" w:color="auto" w:fill="auto"/>
            <w:tcMar>
              <w:right w:w="113" w:type="dxa"/>
            </w:tcMar>
          </w:tcPr>
          <w:p w14:paraId="08A56816" w14:textId="77777777" w:rsidR="00D830B2" w:rsidRPr="00FB57E7" w:rsidRDefault="00D830B2" w:rsidP="001A7E87">
            <w:pPr>
              <w:spacing w:before="40" w:after="120"/>
              <w:ind w:right="113"/>
              <w:rPr>
                <w:rFonts w:eastAsia="Calibri"/>
                <w:szCs w:val="19"/>
              </w:rPr>
            </w:pPr>
          </w:p>
        </w:tc>
        <w:tc>
          <w:tcPr>
            <w:tcW w:w="1389" w:type="dxa"/>
            <w:shd w:val="clear" w:color="auto" w:fill="auto"/>
            <w:tcMar>
              <w:right w:w="113" w:type="dxa"/>
            </w:tcMar>
          </w:tcPr>
          <w:p w14:paraId="4C96BF13" w14:textId="77777777" w:rsidR="00D830B2" w:rsidRPr="00FB57E7" w:rsidRDefault="00D830B2" w:rsidP="001A7E87">
            <w:pPr>
              <w:spacing w:before="40" w:after="120"/>
              <w:ind w:right="113"/>
              <w:rPr>
                <w:rFonts w:eastAsia="Calibri"/>
                <w:szCs w:val="19"/>
              </w:rPr>
            </w:pPr>
          </w:p>
        </w:tc>
      </w:tr>
      <w:tr w:rsidR="00D830B2" w:rsidRPr="00274A4B" w14:paraId="4E2B8506" w14:textId="77777777" w:rsidTr="001A7E87">
        <w:trPr>
          <w:cantSplit/>
        </w:trPr>
        <w:tc>
          <w:tcPr>
            <w:tcW w:w="2234" w:type="dxa"/>
            <w:shd w:val="clear" w:color="auto" w:fill="auto"/>
            <w:tcMar>
              <w:right w:w="113" w:type="dxa"/>
            </w:tcMar>
          </w:tcPr>
          <w:p w14:paraId="35346E57" w14:textId="77777777" w:rsidR="00D830B2" w:rsidRPr="00FB57E7" w:rsidRDefault="00D830B2" w:rsidP="001A7E87">
            <w:pPr>
              <w:spacing w:before="40" w:after="120"/>
              <w:ind w:right="113"/>
              <w:rPr>
                <w:rFonts w:eastAsia="Calibri"/>
                <w:szCs w:val="19"/>
              </w:rPr>
            </w:pPr>
          </w:p>
        </w:tc>
        <w:tc>
          <w:tcPr>
            <w:tcW w:w="3628" w:type="dxa"/>
            <w:shd w:val="clear" w:color="auto" w:fill="auto"/>
            <w:tcMar>
              <w:right w:w="113" w:type="dxa"/>
            </w:tcMar>
          </w:tcPr>
          <w:p w14:paraId="3779CA3C" w14:textId="77777777" w:rsidR="00D830B2" w:rsidRPr="00FB57E7" w:rsidRDefault="00D830B2" w:rsidP="001A7E87">
            <w:pPr>
              <w:spacing w:before="40" w:after="120"/>
              <w:ind w:right="113"/>
              <w:rPr>
                <w:rFonts w:eastAsia="Calibri"/>
                <w:szCs w:val="19"/>
              </w:rPr>
            </w:pPr>
            <w:r w:rsidRPr="00FB57E7">
              <w:rPr>
                <w:rFonts w:eastAsia="Calibri"/>
                <w:lang w:val="fr-FR"/>
              </w:rPr>
              <w:t>16/1999, Kashif Ahmad</w:t>
            </w:r>
          </w:p>
        </w:tc>
        <w:tc>
          <w:tcPr>
            <w:tcW w:w="2344" w:type="dxa"/>
            <w:shd w:val="clear" w:color="auto" w:fill="auto"/>
            <w:tcMar>
              <w:right w:w="113" w:type="dxa"/>
            </w:tcMar>
          </w:tcPr>
          <w:p w14:paraId="56503657" w14:textId="77777777" w:rsidR="00D830B2" w:rsidRPr="00FB57E7" w:rsidRDefault="00D830B2" w:rsidP="001A7E87">
            <w:pPr>
              <w:spacing w:before="40" w:after="120"/>
              <w:ind w:right="113"/>
              <w:rPr>
                <w:rFonts w:eastAsia="Calibri"/>
                <w:szCs w:val="19"/>
              </w:rPr>
            </w:pPr>
            <w:r w:rsidRPr="00FB57E7">
              <w:rPr>
                <w:rFonts w:eastAsia="Calibri"/>
                <w:lang w:val="fr-FR"/>
              </w:rPr>
              <w:t>X (</w:t>
            </w:r>
            <w:hyperlink r:id="rId66" w:history="1">
              <w:r w:rsidRPr="00FB57E7">
                <w:rPr>
                  <w:rFonts w:eastAsia="Calibri"/>
                  <w:color w:val="0000FF"/>
                  <w:lang w:val="fr-FR"/>
                </w:rPr>
                <w:t>A/61/18</w:t>
              </w:r>
            </w:hyperlink>
            <w:r w:rsidRPr="00FB57E7">
              <w:rPr>
                <w:rFonts w:eastAsia="Calibri"/>
                <w:lang w:val="fr-FR"/>
              </w:rPr>
              <w:t>)</w:t>
            </w:r>
          </w:p>
        </w:tc>
        <w:tc>
          <w:tcPr>
            <w:tcW w:w="1433" w:type="dxa"/>
            <w:shd w:val="clear" w:color="auto" w:fill="auto"/>
            <w:tcMar>
              <w:right w:w="113" w:type="dxa"/>
            </w:tcMar>
          </w:tcPr>
          <w:p w14:paraId="5E417993" w14:textId="77777777" w:rsidR="00D830B2" w:rsidRPr="00FB57E7" w:rsidRDefault="00D830B2" w:rsidP="001A7E87">
            <w:pPr>
              <w:spacing w:before="40" w:after="120"/>
              <w:ind w:right="113"/>
              <w:rPr>
                <w:rFonts w:eastAsia="Calibri"/>
                <w:szCs w:val="19"/>
              </w:rPr>
            </w:pPr>
            <w:r w:rsidRPr="00FB57E7">
              <w:rPr>
                <w:rFonts w:eastAsia="Calibri"/>
                <w:lang w:val="fr-FR"/>
              </w:rPr>
              <w:t>X</w:t>
            </w:r>
          </w:p>
        </w:tc>
        <w:tc>
          <w:tcPr>
            <w:tcW w:w="1467" w:type="dxa"/>
            <w:shd w:val="clear" w:color="auto" w:fill="auto"/>
            <w:tcMar>
              <w:right w:w="113" w:type="dxa"/>
            </w:tcMar>
          </w:tcPr>
          <w:p w14:paraId="10E1F1AB" w14:textId="77777777" w:rsidR="00D830B2" w:rsidRPr="00FB57E7" w:rsidRDefault="00D830B2" w:rsidP="001A7E87">
            <w:pPr>
              <w:spacing w:before="40" w:after="120"/>
              <w:ind w:right="113"/>
              <w:rPr>
                <w:rFonts w:eastAsia="Calibri"/>
                <w:szCs w:val="19"/>
              </w:rPr>
            </w:pPr>
          </w:p>
        </w:tc>
        <w:tc>
          <w:tcPr>
            <w:tcW w:w="1279" w:type="dxa"/>
            <w:shd w:val="clear" w:color="auto" w:fill="auto"/>
            <w:tcMar>
              <w:right w:w="113" w:type="dxa"/>
            </w:tcMar>
          </w:tcPr>
          <w:p w14:paraId="4700EADD" w14:textId="77777777" w:rsidR="00D830B2" w:rsidRPr="00FB57E7" w:rsidRDefault="00D830B2" w:rsidP="001A7E87">
            <w:pPr>
              <w:spacing w:before="40" w:after="120"/>
              <w:ind w:right="113"/>
              <w:rPr>
                <w:rFonts w:eastAsia="Calibri"/>
                <w:szCs w:val="19"/>
              </w:rPr>
            </w:pPr>
          </w:p>
        </w:tc>
        <w:tc>
          <w:tcPr>
            <w:tcW w:w="1389" w:type="dxa"/>
            <w:shd w:val="clear" w:color="auto" w:fill="auto"/>
            <w:tcMar>
              <w:right w:w="113" w:type="dxa"/>
            </w:tcMar>
          </w:tcPr>
          <w:p w14:paraId="093EED8A" w14:textId="77777777" w:rsidR="00D830B2" w:rsidRPr="00FB57E7" w:rsidRDefault="00D830B2" w:rsidP="001A7E87">
            <w:pPr>
              <w:spacing w:before="40" w:after="120"/>
              <w:ind w:right="113"/>
              <w:rPr>
                <w:rFonts w:eastAsia="Calibri"/>
                <w:szCs w:val="19"/>
              </w:rPr>
            </w:pPr>
          </w:p>
        </w:tc>
      </w:tr>
      <w:tr w:rsidR="00D830B2" w:rsidRPr="00274A4B" w14:paraId="0C21A6A8" w14:textId="77777777" w:rsidTr="001A7E87">
        <w:trPr>
          <w:cantSplit/>
        </w:trPr>
        <w:tc>
          <w:tcPr>
            <w:tcW w:w="2234" w:type="dxa"/>
            <w:shd w:val="clear" w:color="auto" w:fill="auto"/>
            <w:tcMar>
              <w:right w:w="113" w:type="dxa"/>
            </w:tcMar>
          </w:tcPr>
          <w:p w14:paraId="769B125D" w14:textId="77777777" w:rsidR="00D830B2" w:rsidRPr="00FB57E7" w:rsidRDefault="00D830B2" w:rsidP="001A7E87">
            <w:pPr>
              <w:spacing w:before="40" w:after="120"/>
              <w:ind w:right="113"/>
              <w:rPr>
                <w:rFonts w:eastAsia="Calibri"/>
                <w:szCs w:val="19"/>
              </w:rPr>
            </w:pPr>
          </w:p>
        </w:tc>
        <w:tc>
          <w:tcPr>
            <w:tcW w:w="3628" w:type="dxa"/>
            <w:shd w:val="clear" w:color="auto" w:fill="auto"/>
            <w:tcMar>
              <w:right w:w="113" w:type="dxa"/>
            </w:tcMar>
          </w:tcPr>
          <w:p w14:paraId="361C7C29" w14:textId="77777777" w:rsidR="00D830B2" w:rsidRPr="00FB57E7" w:rsidRDefault="00D830B2" w:rsidP="001A7E87">
            <w:pPr>
              <w:spacing w:before="40" w:after="120"/>
              <w:ind w:right="113"/>
              <w:rPr>
                <w:rFonts w:eastAsia="Calibri"/>
                <w:szCs w:val="19"/>
              </w:rPr>
            </w:pPr>
            <w:r w:rsidRPr="00FB57E7">
              <w:rPr>
                <w:rFonts w:eastAsia="Calibri"/>
                <w:lang w:val="fr-FR"/>
              </w:rPr>
              <w:t>34/2004, Hassan Gelle</w:t>
            </w:r>
          </w:p>
        </w:tc>
        <w:tc>
          <w:tcPr>
            <w:tcW w:w="2344" w:type="dxa"/>
            <w:shd w:val="clear" w:color="auto" w:fill="auto"/>
            <w:tcMar>
              <w:right w:w="113" w:type="dxa"/>
            </w:tcMar>
          </w:tcPr>
          <w:p w14:paraId="7DD40CD4" w14:textId="77777777" w:rsidR="00D830B2" w:rsidRPr="00FB57E7" w:rsidRDefault="00D830B2" w:rsidP="001A7E87">
            <w:pPr>
              <w:spacing w:before="40" w:after="120"/>
              <w:ind w:right="113"/>
              <w:rPr>
                <w:rFonts w:eastAsia="Calibri"/>
                <w:szCs w:val="19"/>
              </w:rPr>
            </w:pPr>
            <w:r w:rsidRPr="00FB57E7">
              <w:rPr>
                <w:rFonts w:eastAsia="Calibri"/>
                <w:lang w:val="fr-FR"/>
              </w:rPr>
              <w:t>X (</w:t>
            </w:r>
            <w:hyperlink r:id="rId67" w:history="1">
              <w:r w:rsidRPr="00FB57E7">
                <w:rPr>
                  <w:rFonts w:eastAsia="Calibri"/>
                  <w:color w:val="0000FF"/>
                  <w:lang w:val="fr-FR"/>
                </w:rPr>
                <w:t>A/62/18</w:t>
              </w:r>
            </w:hyperlink>
            <w:r w:rsidRPr="00FB57E7">
              <w:rPr>
                <w:rFonts w:eastAsia="Calibri"/>
                <w:lang w:val="fr-FR"/>
              </w:rPr>
              <w:t>)</w:t>
            </w:r>
          </w:p>
        </w:tc>
        <w:tc>
          <w:tcPr>
            <w:tcW w:w="1433" w:type="dxa"/>
            <w:shd w:val="clear" w:color="auto" w:fill="auto"/>
            <w:tcMar>
              <w:right w:w="113" w:type="dxa"/>
            </w:tcMar>
          </w:tcPr>
          <w:p w14:paraId="4AFD1C59" w14:textId="77777777" w:rsidR="00D830B2" w:rsidRPr="00FB57E7" w:rsidRDefault="00D830B2" w:rsidP="001A7E87">
            <w:pPr>
              <w:spacing w:before="40" w:after="120"/>
              <w:ind w:right="113"/>
              <w:rPr>
                <w:rFonts w:eastAsia="Calibri"/>
                <w:szCs w:val="19"/>
              </w:rPr>
            </w:pPr>
            <w:r w:rsidRPr="00FB57E7">
              <w:rPr>
                <w:rFonts w:eastAsia="Calibri"/>
                <w:lang w:val="fr-FR"/>
              </w:rPr>
              <w:t>X</w:t>
            </w:r>
          </w:p>
        </w:tc>
        <w:tc>
          <w:tcPr>
            <w:tcW w:w="1467" w:type="dxa"/>
            <w:shd w:val="clear" w:color="auto" w:fill="auto"/>
            <w:tcMar>
              <w:right w:w="113" w:type="dxa"/>
            </w:tcMar>
          </w:tcPr>
          <w:p w14:paraId="6B355B92" w14:textId="77777777" w:rsidR="00D830B2" w:rsidRPr="00FB57E7" w:rsidRDefault="00D830B2" w:rsidP="001A7E87">
            <w:pPr>
              <w:spacing w:before="40" w:after="120"/>
              <w:ind w:right="113"/>
              <w:rPr>
                <w:rFonts w:eastAsia="Calibri"/>
                <w:szCs w:val="19"/>
              </w:rPr>
            </w:pPr>
          </w:p>
        </w:tc>
        <w:tc>
          <w:tcPr>
            <w:tcW w:w="1279" w:type="dxa"/>
            <w:shd w:val="clear" w:color="auto" w:fill="auto"/>
            <w:tcMar>
              <w:right w:w="113" w:type="dxa"/>
            </w:tcMar>
          </w:tcPr>
          <w:p w14:paraId="7906D6B0" w14:textId="77777777" w:rsidR="00D830B2" w:rsidRPr="00FB57E7" w:rsidRDefault="00D830B2" w:rsidP="001A7E87">
            <w:pPr>
              <w:spacing w:before="40" w:after="120"/>
              <w:ind w:right="113"/>
              <w:rPr>
                <w:rFonts w:eastAsia="Calibri"/>
                <w:szCs w:val="19"/>
              </w:rPr>
            </w:pPr>
          </w:p>
        </w:tc>
        <w:tc>
          <w:tcPr>
            <w:tcW w:w="1389" w:type="dxa"/>
            <w:shd w:val="clear" w:color="auto" w:fill="auto"/>
            <w:tcMar>
              <w:right w:w="113" w:type="dxa"/>
            </w:tcMar>
          </w:tcPr>
          <w:p w14:paraId="16671873" w14:textId="77777777" w:rsidR="00D830B2" w:rsidRPr="00FB57E7" w:rsidRDefault="00D830B2" w:rsidP="001A7E87">
            <w:pPr>
              <w:spacing w:before="40" w:after="120"/>
              <w:ind w:right="113"/>
              <w:rPr>
                <w:rFonts w:eastAsia="Calibri"/>
                <w:szCs w:val="19"/>
              </w:rPr>
            </w:pPr>
          </w:p>
        </w:tc>
      </w:tr>
      <w:tr w:rsidR="00D830B2" w:rsidRPr="00274A4B" w14:paraId="172E4E19" w14:textId="77777777" w:rsidTr="001A7E87">
        <w:trPr>
          <w:cantSplit/>
        </w:trPr>
        <w:tc>
          <w:tcPr>
            <w:tcW w:w="2234" w:type="dxa"/>
            <w:shd w:val="clear" w:color="auto" w:fill="auto"/>
            <w:tcMar>
              <w:right w:w="113" w:type="dxa"/>
            </w:tcMar>
          </w:tcPr>
          <w:p w14:paraId="02033B53" w14:textId="77777777" w:rsidR="00D830B2" w:rsidRPr="00FB57E7" w:rsidRDefault="00D830B2" w:rsidP="001A7E87">
            <w:pPr>
              <w:spacing w:before="40" w:after="120"/>
              <w:ind w:right="113"/>
              <w:rPr>
                <w:rFonts w:eastAsia="Calibri"/>
                <w:szCs w:val="19"/>
              </w:rPr>
            </w:pPr>
          </w:p>
        </w:tc>
        <w:tc>
          <w:tcPr>
            <w:tcW w:w="3628" w:type="dxa"/>
            <w:shd w:val="clear" w:color="auto" w:fill="auto"/>
            <w:tcMar>
              <w:right w:w="113" w:type="dxa"/>
            </w:tcMar>
          </w:tcPr>
          <w:p w14:paraId="51078CC8" w14:textId="77777777" w:rsidR="00D830B2" w:rsidRPr="00FB57E7" w:rsidRDefault="00D830B2" w:rsidP="001A7E87">
            <w:pPr>
              <w:spacing w:before="40" w:after="120"/>
              <w:ind w:right="113"/>
              <w:rPr>
                <w:rFonts w:eastAsia="Calibri"/>
                <w:szCs w:val="19"/>
              </w:rPr>
            </w:pPr>
            <w:r w:rsidRPr="00FB57E7">
              <w:rPr>
                <w:rFonts w:eastAsia="Calibri"/>
                <w:lang w:val="fr-FR"/>
              </w:rPr>
              <w:t>40/2007, Murat Er</w:t>
            </w:r>
          </w:p>
        </w:tc>
        <w:tc>
          <w:tcPr>
            <w:tcW w:w="2344" w:type="dxa"/>
            <w:shd w:val="clear" w:color="auto" w:fill="auto"/>
            <w:tcMar>
              <w:right w:w="113" w:type="dxa"/>
            </w:tcMar>
          </w:tcPr>
          <w:p w14:paraId="29B0C640" w14:textId="77777777" w:rsidR="00D830B2" w:rsidRPr="00FB57E7" w:rsidRDefault="00D830B2" w:rsidP="001A7E87">
            <w:pPr>
              <w:spacing w:before="40" w:after="120"/>
              <w:ind w:right="113"/>
              <w:rPr>
                <w:rFonts w:eastAsia="Calibri"/>
                <w:szCs w:val="19"/>
              </w:rPr>
            </w:pPr>
            <w:r w:rsidRPr="00FB57E7">
              <w:rPr>
                <w:rFonts w:eastAsia="Calibri"/>
                <w:lang w:val="fr-FR"/>
              </w:rPr>
              <w:t>X (</w:t>
            </w:r>
            <w:hyperlink r:id="rId68" w:history="1">
              <w:r w:rsidRPr="00FB57E7">
                <w:rPr>
                  <w:rFonts w:eastAsia="Calibri"/>
                  <w:color w:val="0000FF"/>
                  <w:lang w:val="fr-FR"/>
                </w:rPr>
                <w:t>A/63/18</w:t>
              </w:r>
            </w:hyperlink>
            <w:r w:rsidRPr="00FB57E7">
              <w:rPr>
                <w:rFonts w:eastAsia="Calibri"/>
                <w:lang w:val="fr-FR"/>
              </w:rPr>
              <w:t>)</w:t>
            </w:r>
          </w:p>
        </w:tc>
        <w:tc>
          <w:tcPr>
            <w:tcW w:w="1433" w:type="dxa"/>
            <w:shd w:val="clear" w:color="auto" w:fill="auto"/>
            <w:tcMar>
              <w:right w:w="113" w:type="dxa"/>
            </w:tcMar>
          </w:tcPr>
          <w:p w14:paraId="7DB25DD0" w14:textId="77777777" w:rsidR="00D830B2" w:rsidRPr="00FB57E7" w:rsidRDefault="00D830B2" w:rsidP="001A7E87">
            <w:pPr>
              <w:spacing w:before="40" w:after="120"/>
              <w:ind w:right="113"/>
              <w:rPr>
                <w:rFonts w:eastAsia="Calibri"/>
                <w:szCs w:val="19"/>
              </w:rPr>
            </w:pPr>
          </w:p>
        </w:tc>
        <w:tc>
          <w:tcPr>
            <w:tcW w:w="1467" w:type="dxa"/>
            <w:shd w:val="clear" w:color="auto" w:fill="auto"/>
            <w:tcMar>
              <w:right w:w="113" w:type="dxa"/>
            </w:tcMar>
          </w:tcPr>
          <w:p w14:paraId="3EC5E93A" w14:textId="77777777" w:rsidR="00D830B2" w:rsidRPr="00FB57E7" w:rsidRDefault="00D830B2" w:rsidP="001A7E87">
            <w:pPr>
              <w:spacing w:before="40" w:after="120"/>
              <w:ind w:right="113"/>
              <w:rPr>
                <w:rFonts w:eastAsia="Calibri"/>
                <w:szCs w:val="19"/>
              </w:rPr>
            </w:pPr>
            <w:r w:rsidRPr="00FB57E7">
              <w:rPr>
                <w:rFonts w:eastAsia="Calibri"/>
                <w:lang w:val="fr-FR"/>
              </w:rPr>
              <w:t>X Incomplète</w:t>
            </w:r>
          </w:p>
        </w:tc>
        <w:tc>
          <w:tcPr>
            <w:tcW w:w="1279" w:type="dxa"/>
            <w:shd w:val="clear" w:color="auto" w:fill="auto"/>
            <w:tcMar>
              <w:right w:w="113" w:type="dxa"/>
            </w:tcMar>
          </w:tcPr>
          <w:p w14:paraId="499128DE" w14:textId="77777777" w:rsidR="00D830B2" w:rsidRPr="00FB57E7" w:rsidRDefault="00D830B2" w:rsidP="001A7E87">
            <w:pPr>
              <w:spacing w:before="40" w:after="120"/>
              <w:ind w:right="113"/>
              <w:rPr>
                <w:rFonts w:eastAsia="Calibri"/>
                <w:szCs w:val="19"/>
              </w:rPr>
            </w:pPr>
          </w:p>
        </w:tc>
        <w:tc>
          <w:tcPr>
            <w:tcW w:w="1389" w:type="dxa"/>
            <w:shd w:val="clear" w:color="auto" w:fill="auto"/>
            <w:tcMar>
              <w:right w:w="113" w:type="dxa"/>
            </w:tcMar>
          </w:tcPr>
          <w:p w14:paraId="60D99B79" w14:textId="77777777" w:rsidR="00D830B2" w:rsidRPr="00FB57E7" w:rsidRDefault="00D830B2" w:rsidP="001A7E87">
            <w:pPr>
              <w:spacing w:before="40" w:after="120"/>
              <w:ind w:right="113"/>
              <w:rPr>
                <w:rFonts w:eastAsia="Calibri"/>
                <w:szCs w:val="19"/>
              </w:rPr>
            </w:pPr>
          </w:p>
        </w:tc>
      </w:tr>
      <w:tr w:rsidR="00D830B2" w:rsidRPr="00274A4B" w14:paraId="76276DD3" w14:textId="77777777" w:rsidTr="001A7E87">
        <w:trPr>
          <w:cantSplit/>
        </w:trPr>
        <w:tc>
          <w:tcPr>
            <w:tcW w:w="2234" w:type="dxa"/>
            <w:shd w:val="clear" w:color="auto" w:fill="auto"/>
            <w:tcMar>
              <w:right w:w="113" w:type="dxa"/>
            </w:tcMar>
          </w:tcPr>
          <w:p w14:paraId="6676C017" w14:textId="77777777" w:rsidR="00D830B2" w:rsidRPr="00FB57E7" w:rsidRDefault="00D830B2" w:rsidP="001A7E87">
            <w:pPr>
              <w:spacing w:before="40" w:after="120"/>
              <w:ind w:right="113"/>
              <w:rPr>
                <w:rFonts w:eastAsia="Calibri"/>
                <w:szCs w:val="19"/>
              </w:rPr>
            </w:pPr>
          </w:p>
        </w:tc>
        <w:tc>
          <w:tcPr>
            <w:tcW w:w="3628" w:type="dxa"/>
            <w:shd w:val="clear" w:color="auto" w:fill="auto"/>
            <w:tcMar>
              <w:right w:w="113" w:type="dxa"/>
            </w:tcMar>
          </w:tcPr>
          <w:p w14:paraId="74B4163B" w14:textId="77777777" w:rsidR="00D830B2" w:rsidRPr="00FB57E7" w:rsidRDefault="00D830B2" w:rsidP="001A7E87">
            <w:pPr>
              <w:spacing w:before="40" w:after="120"/>
              <w:ind w:right="113"/>
              <w:rPr>
                <w:rFonts w:eastAsia="Calibri"/>
                <w:szCs w:val="19"/>
              </w:rPr>
            </w:pPr>
            <w:r w:rsidRPr="00FB57E7">
              <w:rPr>
                <w:rFonts w:eastAsia="Calibri"/>
                <w:lang w:val="fr-FR"/>
              </w:rPr>
              <w:t>43/2008, Saada Mohamad Adan</w:t>
            </w:r>
          </w:p>
        </w:tc>
        <w:tc>
          <w:tcPr>
            <w:tcW w:w="2344" w:type="dxa"/>
            <w:shd w:val="clear" w:color="auto" w:fill="auto"/>
            <w:tcMar>
              <w:right w:w="113" w:type="dxa"/>
            </w:tcMar>
          </w:tcPr>
          <w:p w14:paraId="3BC5DA82" w14:textId="77777777" w:rsidR="00D830B2" w:rsidRPr="00FB57E7" w:rsidRDefault="00D830B2" w:rsidP="001A7E87">
            <w:pPr>
              <w:spacing w:before="40" w:after="120"/>
              <w:ind w:right="113"/>
              <w:rPr>
                <w:rFonts w:eastAsia="Calibri"/>
                <w:szCs w:val="19"/>
                <w:lang w:val="fr-FR"/>
              </w:rPr>
            </w:pPr>
            <w:r w:rsidRPr="00FB57E7">
              <w:rPr>
                <w:rFonts w:eastAsia="Calibri"/>
                <w:lang w:val="fr-FR"/>
              </w:rPr>
              <w:t>X (</w:t>
            </w:r>
            <w:hyperlink r:id="rId69" w:history="1">
              <w:r w:rsidRPr="00FB57E7">
                <w:rPr>
                  <w:rFonts w:eastAsia="Calibri"/>
                  <w:color w:val="0000FF"/>
                  <w:lang w:val="fr-FR"/>
                </w:rPr>
                <w:t>A/66/18</w:t>
              </w:r>
            </w:hyperlink>
            <w:r w:rsidRPr="00FB57E7">
              <w:rPr>
                <w:rFonts w:eastAsia="Calibri"/>
                <w:lang w:val="fr-FR"/>
              </w:rPr>
              <w:t>)</w:t>
            </w:r>
            <w:r w:rsidRPr="00FB57E7">
              <w:rPr>
                <w:rFonts w:eastAsia="Calibri"/>
                <w:lang w:val="fr-FR"/>
              </w:rPr>
              <w:br/>
              <w:t>6 décembre 2010</w:t>
            </w:r>
            <w:r w:rsidRPr="00FB57E7">
              <w:rPr>
                <w:rFonts w:eastAsia="Calibri"/>
                <w:lang w:val="fr-FR"/>
              </w:rPr>
              <w:br/>
              <w:t>28 juin 2011</w:t>
            </w:r>
          </w:p>
        </w:tc>
        <w:tc>
          <w:tcPr>
            <w:tcW w:w="1433" w:type="dxa"/>
            <w:shd w:val="clear" w:color="auto" w:fill="auto"/>
            <w:tcMar>
              <w:right w:w="113" w:type="dxa"/>
            </w:tcMar>
          </w:tcPr>
          <w:p w14:paraId="305C777B" w14:textId="77777777" w:rsidR="00D830B2" w:rsidRPr="00FB57E7" w:rsidRDefault="00D830B2" w:rsidP="001A7E87">
            <w:pPr>
              <w:spacing w:before="40" w:after="120"/>
              <w:ind w:right="113"/>
              <w:rPr>
                <w:rFonts w:eastAsia="Calibri"/>
                <w:szCs w:val="19"/>
                <w:lang w:val="fr-FR"/>
              </w:rPr>
            </w:pPr>
            <w:r w:rsidRPr="00FB57E7">
              <w:rPr>
                <w:rFonts w:eastAsia="Calibri"/>
                <w:lang w:val="fr-FR"/>
              </w:rPr>
              <w:t>X En partie satisfaisante</w:t>
            </w:r>
          </w:p>
        </w:tc>
        <w:tc>
          <w:tcPr>
            <w:tcW w:w="1467" w:type="dxa"/>
            <w:shd w:val="clear" w:color="auto" w:fill="auto"/>
            <w:tcMar>
              <w:right w:w="113" w:type="dxa"/>
            </w:tcMar>
          </w:tcPr>
          <w:p w14:paraId="666083BF" w14:textId="77777777" w:rsidR="00D830B2" w:rsidRPr="00FB57E7" w:rsidRDefault="00D830B2" w:rsidP="001A7E87">
            <w:pPr>
              <w:spacing w:before="40" w:after="120"/>
              <w:ind w:right="113"/>
              <w:rPr>
                <w:rFonts w:eastAsia="Calibri"/>
                <w:szCs w:val="19"/>
                <w:lang w:val="fr-FR"/>
              </w:rPr>
            </w:pPr>
            <w:r w:rsidRPr="00FB57E7">
              <w:rPr>
                <w:rFonts w:eastAsia="Calibri"/>
                <w:lang w:val="fr-FR"/>
              </w:rPr>
              <w:t xml:space="preserve">X En partie insatisfaisante </w:t>
            </w:r>
          </w:p>
        </w:tc>
        <w:tc>
          <w:tcPr>
            <w:tcW w:w="1279" w:type="dxa"/>
            <w:shd w:val="clear" w:color="auto" w:fill="auto"/>
            <w:tcMar>
              <w:right w:w="113" w:type="dxa"/>
            </w:tcMar>
          </w:tcPr>
          <w:p w14:paraId="1FAB1CF7" w14:textId="77777777" w:rsidR="00D830B2" w:rsidRPr="00FB57E7" w:rsidRDefault="00D830B2" w:rsidP="001A7E87">
            <w:pPr>
              <w:spacing w:before="40" w:after="120"/>
              <w:ind w:right="113"/>
              <w:rPr>
                <w:rFonts w:eastAsia="Calibri"/>
                <w:szCs w:val="19"/>
                <w:lang w:val="fr-FR"/>
              </w:rPr>
            </w:pPr>
          </w:p>
        </w:tc>
        <w:tc>
          <w:tcPr>
            <w:tcW w:w="1389" w:type="dxa"/>
            <w:shd w:val="clear" w:color="auto" w:fill="auto"/>
            <w:tcMar>
              <w:right w:w="113" w:type="dxa"/>
            </w:tcMar>
          </w:tcPr>
          <w:p w14:paraId="0282FCC3" w14:textId="77777777" w:rsidR="00D830B2" w:rsidRPr="00FB57E7" w:rsidRDefault="00D830B2" w:rsidP="001A7E87">
            <w:pPr>
              <w:spacing w:before="40" w:after="120"/>
              <w:ind w:right="113"/>
              <w:rPr>
                <w:rFonts w:eastAsia="Calibri"/>
                <w:szCs w:val="19"/>
                <w:lang w:val="fr-FR"/>
              </w:rPr>
            </w:pPr>
          </w:p>
        </w:tc>
      </w:tr>
      <w:tr w:rsidR="00D830B2" w:rsidRPr="00274A4B" w14:paraId="6FB72B2F" w14:textId="77777777" w:rsidTr="001A7E87">
        <w:trPr>
          <w:cantSplit/>
        </w:trPr>
        <w:tc>
          <w:tcPr>
            <w:tcW w:w="2234" w:type="dxa"/>
            <w:shd w:val="clear" w:color="auto" w:fill="auto"/>
            <w:tcMar>
              <w:right w:w="113" w:type="dxa"/>
            </w:tcMar>
          </w:tcPr>
          <w:p w14:paraId="61AD1F34" w14:textId="77777777" w:rsidR="00D830B2" w:rsidRPr="00FB57E7" w:rsidDel="0064373B" w:rsidRDefault="00D830B2" w:rsidP="001A7E87">
            <w:pPr>
              <w:spacing w:before="40" w:after="120"/>
              <w:ind w:right="113"/>
              <w:rPr>
                <w:rFonts w:eastAsia="Calibri"/>
                <w:szCs w:val="19"/>
                <w:lang w:val="fr-FR"/>
              </w:rPr>
            </w:pPr>
          </w:p>
        </w:tc>
        <w:tc>
          <w:tcPr>
            <w:tcW w:w="3628" w:type="dxa"/>
            <w:shd w:val="clear" w:color="auto" w:fill="auto"/>
            <w:tcMar>
              <w:right w:w="113" w:type="dxa"/>
            </w:tcMar>
          </w:tcPr>
          <w:p w14:paraId="4992FFDB" w14:textId="77777777" w:rsidR="00D830B2" w:rsidRPr="00FB57E7" w:rsidDel="0064373B" w:rsidRDefault="00D830B2" w:rsidP="001A7E87">
            <w:pPr>
              <w:spacing w:before="40" w:after="120"/>
              <w:ind w:right="113"/>
              <w:rPr>
                <w:rFonts w:eastAsia="Calibri"/>
                <w:szCs w:val="19"/>
                <w:lang w:val="en-US"/>
              </w:rPr>
            </w:pPr>
            <w:r w:rsidRPr="00FB57E7">
              <w:rPr>
                <w:rFonts w:eastAsia="Calibri"/>
                <w:lang w:val="en-US"/>
              </w:rPr>
              <w:t>46/2009, Mahali Dawas et Yousef Shava</w:t>
            </w:r>
          </w:p>
        </w:tc>
        <w:tc>
          <w:tcPr>
            <w:tcW w:w="2344" w:type="dxa"/>
            <w:shd w:val="clear" w:color="auto" w:fill="auto"/>
            <w:tcMar>
              <w:right w:w="113" w:type="dxa"/>
            </w:tcMar>
          </w:tcPr>
          <w:p w14:paraId="276E58F7" w14:textId="77777777" w:rsidR="00D830B2" w:rsidRPr="00FB57E7" w:rsidDel="0064373B" w:rsidRDefault="00D830B2" w:rsidP="001A7E87">
            <w:pPr>
              <w:spacing w:before="40" w:after="120"/>
              <w:ind w:right="113"/>
              <w:rPr>
                <w:rFonts w:eastAsia="Calibri"/>
                <w:szCs w:val="19"/>
                <w:lang w:val="fr-FR"/>
              </w:rPr>
            </w:pPr>
            <w:r w:rsidRPr="00FB57E7">
              <w:rPr>
                <w:rFonts w:eastAsia="Calibri"/>
                <w:lang w:val="fr-FR"/>
              </w:rPr>
              <w:t>X (</w:t>
            </w:r>
            <w:hyperlink r:id="rId70" w:history="1">
              <w:r w:rsidRPr="00FB57E7">
                <w:rPr>
                  <w:rFonts w:eastAsia="Calibri"/>
                  <w:color w:val="0000FF"/>
                  <w:lang w:val="fr-FR"/>
                </w:rPr>
                <w:t>A/69/18</w:t>
              </w:r>
            </w:hyperlink>
            <w:r w:rsidRPr="00FB57E7">
              <w:rPr>
                <w:rFonts w:eastAsia="Calibri"/>
                <w:lang w:val="fr-FR"/>
              </w:rPr>
              <w:t>)</w:t>
            </w:r>
            <w:r w:rsidRPr="00FB57E7">
              <w:rPr>
                <w:rFonts w:eastAsia="Calibri"/>
                <w:lang w:val="fr-FR"/>
              </w:rPr>
              <w:br/>
              <w:t>18 juin 2012</w:t>
            </w:r>
            <w:r w:rsidRPr="00FB57E7">
              <w:rPr>
                <w:rFonts w:eastAsia="Calibri"/>
                <w:lang w:val="fr-FR"/>
              </w:rPr>
              <w:br/>
              <w:t>29 août 2012</w:t>
            </w:r>
            <w:r w:rsidRPr="00FB57E7">
              <w:rPr>
                <w:rFonts w:eastAsia="Calibri"/>
                <w:lang w:val="fr-FR"/>
              </w:rPr>
              <w:br/>
              <w:t>20 décembre 2013</w:t>
            </w:r>
            <w:r w:rsidRPr="00FB57E7">
              <w:rPr>
                <w:rFonts w:eastAsia="Calibri"/>
                <w:lang w:val="fr-FR"/>
              </w:rPr>
              <w:br/>
              <w:t>19 décembre 2014</w:t>
            </w:r>
          </w:p>
        </w:tc>
        <w:tc>
          <w:tcPr>
            <w:tcW w:w="1433" w:type="dxa"/>
            <w:shd w:val="clear" w:color="auto" w:fill="auto"/>
            <w:tcMar>
              <w:right w:w="113" w:type="dxa"/>
            </w:tcMar>
          </w:tcPr>
          <w:p w14:paraId="4F57BE7E" w14:textId="77777777" w:rsidR="00D830B2" w:rsidRPr="00FB57E7" w:rsidDel="0064373B" w:rsidRDefault="00D830B2" w:rsidP="001A7E87">
            <w:pPr>
              <w:spacing w:before="40" w:after="120"/>
              <w:ind w:right="113"/>
              <w:rPr>
                <w:rFonts w:eastAsia="Calibri"/>
                <w:szCs w:val="19"/>
                <w:lang w:val="fr-FR"/>
              </w:rPr>
            </w:pPr>
            <w:r w:rsidRPr="00FB57E7">
              <w:rPr>
                <w:rFonts w:eastAsia="Calibri"/>
                <w:lang w:val="fr-FR"/>
              </w:rPr>
              <w:t>X En partie satisfaisante</w:t>
            </w:r>
          </w:p>
        </w:tc>
        <w:tc>
          <w:tcPr>
            <w:tcW w:w="1467" w:type="dxa"/>
            <w:shd w:val="clear" w:color="auto" w:fill="auto"/>
            <w:tcMar>
              <w:right w:w="113" w:type="dxa"/>
            </w:tcMar>
          </w:tcPr>
          <w:p w14:paraId="7433BB8A" w14:textId="77777777" w:rsidR="00D830B2" w:rsidRPr="00FB57E7" w:rsidRDefault="00D830B2" w:rsidP="001A7E87">
            <w:pPr>
              <w:spacing w:before="40" w:after="120"/>
              <w:ind w:right="113"/>
              <w:rPr>
                <w:rFonts w:eastAsia="Calibri"/>
                <w:szCs w:val="19"/>
                <w:lang w:val="fr-FR"/>
              </w:rPr>
            </w:pPr>
          </w:p>
        </w:tc>
        <w:tc>
          <w:tcPr>
            <w:tcW w:w="1279" w:type="dxa"/>
            <w:shd w:val="clear" w:color="auto" w:fill="auto"/>
            <w:tcMar>
              <w:right w:w="113" w:type="dxa"/>
            </w:tcMar>
          </w:tcPr>
          <w:p w14:paraId="7FAEA02E" w14:textId="77777777" w:rsidR="00D830B2" w:rsidRPr="00FB57E7" w:rsidRDefault="00D830B2" w:rsidP="001A7E87">
            <w:pPr>
              <w:spacing w:before="40" w:after="120"/>
              <w:ind w:right="113"/>
              <w:rPr>
                <w:rFonts w:eastAsia="Calibri"/>
                <w:szCs w:val="19"/>
                <w:lang w:val="fr-FR"/>
              </w:rPr>
            </w:pPr>
          </w:p>
        </w:tc>
        <w:tc>
          <w:tcPr>
            <w:tcW w:w="1389" w:type="dxa"/>
            <w:shd w:val="clear" w:color="auto" w:fill="auto"/>
            <w:tcMar>
              <w:right w:w="113" w:type="dxa"/>
            </w:tcMar>
          </w:tcPr>
          <w:p w14:paraId="6943F913" w14:textId="77777777" w:rsidR="00D830B2" w:rsidRPr="00FB57E7" w:rsidDel="0064373B" w:rsidRDefault="00D830B2" w:rsidP="001A7E87">
            <w:pPr>
              <w:spacing w:before="40" w:after="120"/>
              <w:ind w:right="113"/>
              <w:rPr>
                <w:rFonts w:eastAsia="Calibri"/>
                <w:szCs w:val="19"/>
                <w:lang w:val="fr-FR"/>
              </w:rPr>
            </w:pPr>
            <w:r w:rsidRPr="00FB57E7">
              <w:rPr>
                <w:rFonts w:eastAsia="Calibri"/>
                <w:lang w:val="fr-FR"/>
              </w:rPr>
              <w:t>X</w:t>
            </w:r>
          </w:p>
        </w:tc>
      </w:tr>
      <w:tr w:rsidR="00D830B2" w:rsidRPr="00274A4B" w14:paraId="4E1AD021" w14:textId="77777777" w:rsidTr="001A7E87">
        <w:trPr>
          <w:cantSplit/>
        </w:trPr>
        <w:tc>
          <w:tcPr>
            <w:tcW w:w="2234" w:type="dxa"/>
            <w:shd w:val="clear" w:color="auto" w:fill="auto"/>
            <w:tcMar>
              <w:right w:w="113" w:type="dxa"/>
            </w:tcMar>
          </w:tcPr>
          <w:p w14:paraId="6100AFBF" w14:textId="77777777" w:rsidR="00D830B2" w:rsidRPr="00FB57E7" w:rsidRDefault="00D830B2" w:rsidP="001A7E87">
            <w:pPr>
              <w:spacing w:before="40" w:after="120"/>
              <w:ind w:right="113"/>
              <w:rPr>
                <w:rFonts w:eastAsia="Calibri"/>
                <w:lang w:val="fr-FR"/>
              </w:rPr>
            </w:pPr>
          </w:p>
        </w:tc>
        <w:tc>
          <w:tcPr>
            <w:tcW w:w="3628" w:type="dxa"/>
            <w:shd w:val="clear" w:color="auto" w:fill="auto"/>
            <w:tcMar>
              <w:right w:w="113" w:type="dxa"/>
            </w:tcMar>
          </w:tcPr>
          <w:p w14:paraId="72630E05" w14:textId="261BACAE" w:rsidR="00D830B2" w:rsidRPr="00FB57E7" w:rsidRDefault="00D830B2" w:rsidP="001A7E87">
            <w:pPr>
              <w:spacing w:before="40" w:after="120"/>
              <w:ind w:right="113"/>
              <w:rPr>
                <w:rFonts w:eastAsia="Calibri"/>
                <w:caps/>
                <w:lang w:val="fr-FR"/>
              </w:rPr>
            </w:pPr>
            <w:r w:rsidRPr="00FB57E7">
              <w:rPr>
                <w:rFonts w:eastAsia="Calibri"/>
                <w:lang w:val="fr-FR"/>
              </w:rPr>
              <w:t>58/2016, S</w:t>
            </w:r>
            <w:r w:rsidR="00124804" w:rsidRPr="00FB57E7">
              <w:rPr>
                <w:rFonts w:eastAsia="Calibri"/>
                <w:lang w:val="fr-FR"/>
              </w:rPr>
              <w:t>.</w:t>
            </w:r>
            <w:r w:rsidRPr="00FB57E7">
              <w:rPr>
                <w:rFonts w:eastAsia="Calibri"/>
                <w:caps/>
                <w:lang w:val="fr-FR"/>
              </w:rPr>
              <w:t>A</w:t>
            </w:r>
            <w:r w:rsidR="00124804" w:rsidRPr="00FB57E7">
              <w:rPr>
                <w:rFonts w:eastAsia="Calibri"/>
                <w:caps/>
                <w:lang w:val="fr-FR"/>
              </w:rPr>
              <w:t>.</w:t>
            </w:r>
          </w:p>
        </w:tc>
        <w:tc>
          <w:tcPr>
            <w:tcW w:w="2344" w:type="dxa"/>
            <w:shd w:val="clear" w:color="auto" w:fill="auto"/>
            <w:tcMar>
              <w:right w:w="113" w:type="dxa"/>
            </w:tcMar>
          </w:tcPr>
          <w:p w14:paraId="5D1DDBA3" w14:textId="77777777" w:rsidR="00D830B2" w:rsidRPr="00FB57E7" w:rsidRDefault="00D830B2" w:rsidP="001A7E87">
            <w:pPr>
              <w:spacing w:before="40" w:after="120"/>
              <w:ind w:right="113"/>
              <w:rPr>
                <w:rFonts w:eastAsia="Calibri"/>
                <w:lang w:val="fr-FR"/>
              </w:rPr>
            </w:pPr>
            <w:r w:rsidRPr="00FB57E7">
              <w:rPr>
                <w:rFonts w:eastAsia="Calibri"/>
                <w:lang w:val="fr-FR"/>
              </w:rPr>
              <w:t>X</w:t>
            </w:r>
          </w:p>
          <w:p w14:paraId="5D7FE5F0" w14:textId="77777777" w:rsidR="00D830B2" w:rsidRPr="00FB57E7" w:rsidRDefault="00D830B2" w:rsidP="001A7E87">
            <w:pPr>
              <w:spacing w:before="40" w:after="120"/>
              <w:ind w:right="113"/>
              <w:rPr>
                <w:rFonts w:eastAsia="Calibri"/>
                <w:lang w:val="fr-FR"/>
              </w:rPr>
            </w:pPr>
            <w:r w:rsidRPr="00FB57E7">
              <w:rPr>
                <w:rFonts w:eastAsia="Calibri"/>
                <w:lang w:val="fr-FR"/>
              </w:rPr>
              <w:t>5 avril 2019</w:t>
            </w:r>
          </w:p>
        </w:tc>
        <w:tc>
          <w:tcPr>
            <w:tcW w:w="1433" w:type="dxa"/>
            <w:shd w:val="clear" w:color="auto" w:fill="auto"/>
            <w:tcMar>
              <w:right w:w="113" w:type="dxa"/>
            </w:tcMar>
          </w:tcPr>
          <w:p w14:paraId="0EA50D58" w14:textId="77777777" w:rsidR="00D830B2" w:rsidRPr="00FB57E7" w:rsidRDefault="00D830B2" w:rsidP="001A7E87">
            <w:pPr>
              <w:spacing w:before="40" w:after="120"/>
              <w:ind w:right="113"/>
              <w:rPr>
                <w:rFonts w:eastAsia="Calibri"/>
                <w:szCs w:val="19"/>
              </w:rPr>
            </w:pPr>
            <w:r w:rsidRPr="00FB57E7">
              <w:rPr>
                <w:rFonts w:eastAsia="Calibri"/>
                <w:szCs w:val="19"/>
              </w:rPr>
              <w:t>X En partie satisfaisante</w:t>
            </w:r>
          </w:p>
        </w:tc>
        <w:tc>
          <w:tcPr>
            <w:tcW w:w="1467" w:type="dxa"/>
            <w:shd w:val="clear" w:color="auto" w:fill="auto"/>
            <w:tcMar>
              <w:right w:w="113" w:type="dxa"/>
            </w:tcMar>
          </w:tcPr>
          <w:p w14:paraId="6CFDA4AF" w14:textId="77777777" w:rsidR="00D830B2" w:rsidRPr="00FB57E7" w:rsidRDefault="00D830B2" w:rsidP="001A7E87">
            <w:pPr>
              <w:spacing w:before="40" w:after="120"/>
              <w:ind w:right="113"/>
              <w:rPr>
                <w:rFonts w:eastAsia="Calibri"/>
                <w:lang w:val="fr-FR"/>
              </w:rPr>
            </w:pPr>
          </w:p>
        </w:tc>
        <w:tc>
          <w:tcPr>
            <w:tcW w:w="1279" w:type="dxa"/>
            <w:shd w:val="clear" w:color="auto" w:fill="auto"/>
            <w:tcMar>
              <w:right w:w="113" w:type="dxa"/>
            </w:tcMar>
          </w:tcPr>
          <w:p w14:paraId="59A3C4DC" w14:textId="77777777" w:rsidR="00D830B2" w:rsidRPr="00FB57E7" w:rsidRDefault="00D830B2" w:rsidP="001A7E87">
            <w:pPr>
              <w:spacing w:before="40" w:after="120"/>
              <w:ind w:right="113"/>
              <w:rPr>
                <w:rFonts w:eastAsia="Calibri"/>
                <w:szCs w:val="19"/>
              </w:rPr>
            </w:pPr>
          </w:p>
        </w:tc>
        <w:tc>
          <w:tcPr>
            <w:tcW w:w="1389" w:type="dxa"/>
            <w:shd w:val="clear" w:color="auto" w:fill="auto"/>
            <w:tcMar>
              <w:right w:w="113" w:type="dxa"/>
            </w:tcMar>
          </w:tcPr>
          <w:p w14:paraId="7AC40C5A" w14:textId="77777777" w:rsidR="00D830B2" w:rsidRPr="00FB57E7" w:rsidRDefault="00D830B2" w:rsidP="001A7E87">
            <w:pPr>
              <w:spacing w:before="40" w:after="120"/>
              <w:ind w:right="113"/>
              <w:rPr>
                <w:rFonts w:eastAsia="Calibri"/>
                <w:lang w:val="fr-FR"/>
              </w:rPr>
            </w:pPr>
            <w:r w:rsidRPr="00FB57E7">
              <w:rPr>
                <w:rFonts w:eastAsia="Calibri"/>
                <w:lang w:val="fr-FR"/>
              </w:rPr>
              <w:t>X</w:t>
            </w:r>
          </w:p>
        </w:tc>
      </w:tr>
      <w:tr w:rsidR="00D830B2" w:rsidRPr="00274A4B" w14:paraId="39D68522" w14:textId="77777777" w:rsidTr="001A7E87">
        <w:trPr>
          <w:cantSplit/>
        </w:trPr>
        <w:tc>
          <w:tcPr>
            <w:tcW w:w="2234" w:type="dxa"/>
            <w:shd w:val="clear" w:color="auto" w:fill="auto"/>
            <w:tcMar>
              <w:right w:w="113" w:type="dxa"/>
            </w:tcMar>
          </w:tcPr>
          <w:p w14:paraId="75AF7081" w14:textId="77777777" w:rsidR="00D830B2" w:rsidRPr="00FB57E7" w:rsidRDefault="00D830B2" w:rsidP="001A7E87">
            <w:pPr>
              <w:spacing w:before="40" w:after="120"/>
              <w:ind w:right="113"/>
              <w:rPr>
                <w:rFonts w:eastAsia="Calibri"/>
                <w:szCs w:val="19"/>
                <w:lang w:val="fr-FR"/>
              </w:rPr>
            </w:pPr>
            <w:r w:rsidRPr="00FB57E7">
              <w:rPr>
                <w:rFonts w:eastAsia="Calibri"/>
                <w:lang w:val="fr-FR"/>
              </w:rPr>
              <w:t>France (1)</w:t>
            </w:r>
          </w:p>
        </w:tc>
        <w:tc>
          <w:tcPr>
            <w:tcW w:w="3628" w:type="dxa"/>
            <w:shd w:val="clear" w:color="auto" w:fill="auto"/>
            <w:tcMar>
              <w:right w:w="113" w:type="dxa"/>
            </w:tcMar>
          </w:tcPr>
          <w:p w14:paraId="667C01FE" w14:textId="77777777" w:rsidR="00D830B2" w:rsidRPr="00FB57E7" w:rsidRDefault="00D830B2" w:rsidP="001A7E87">
            <w:pPr>
              <w:spacing w:before="40" w:after="120"/>
              <w:ind w:right="113"/>
              <w:rPr>
                <w:rFonts w:eastAsia="Calibri"/>
                <w:szCs w:val="19"/>
                <w:lang w:val="fr-FR"/>
              </w:rPr>
            </w:pPr>
            <w:r w:rsidRPr="00FB57E7">
              <w:rPr>
                <w:rFonts w:eastAsia="Calibri"/>
                <w:lang w:val="fr-FR"/>
              </w:rPr>
              <w:t>52/2012, Laurent Gabre Gabaroum</w:t>
            </w:r>
          </w:p>
        </w:tc>
        <w:tc>
          <w:tcPr>
            <w:tcW w:w="2344" w:type="dxa"/>
            <w:shd w:val="clear" w:color="auto" w:fill="auto"/>
            <w:tcMar>
              <w:right w:w="113" w:type="dxa"/>
            </w:tcMar>
          </w:tcPr>
          <w:p w14:paraId="3E65544D" w14:textId="77777777" w:rsidR="00D830B2" w:rsidRPr="00FB57E7" w:rsidRDefault="00D830B2" w:rsidP="001A7E87">
            <w:pPr>
              <w:spacing w:before="40" w:after="120"/>
              <w:ind w:right="113"/>
              <w:rPr>
                <w:rFonts w:eastAsia="Calibri"/>
                <w:color w:val="0000FF"/>
              </w:rPr>
            </w:pPr>
            <w:hyperlink r:id="rId71" w:history="1">
              <w:r w:rsidRPr="00FB57E7">
                <w:rPr>
                  <w:rFonts w:eastAsia="Calibri"/>
                  <w:color w:val="0000FF"/>
                </w:rPr>
                <w:t>A/72/18</w:t>
              </w:r>
            </w:hyperlink>
          </w:p>
          <w:p w14:paraId="505FDE72" w14:textId="6CB655A9" w:rsidR="00D830B2" w:rsidRPr="00FB57E7" w:rsidRDefault="00D830B2" w:rsidP="001A7E87">
            <w:pPr>
              <w:spacing w:before="40" w:after="120"/>
              <w:ind w:right="113"/>
              <w:rPr>
                <w:rFonts w:eastAsia="Calibri"/>
                <w:szCs w:val="19"/>
              </w:rPr>
            </w:pPr>
            <w:r w:rsidRPr="00FB57E7">
              <w:rPr>
                <w:rFonts w:eastAsia="Calibri"/>
                <w:lang w:val="fr-FR"/>
              </w:rPr>
              <w:t>23 novembre 2016</w:t>
            </w:r>
          </w:p>
        </w:tc>
        <w:tc>
          <w:tcPr>
            <w:tcW w:w="1433" w:type="dxa"/>
            <w:shd w:val="clear" w:color="auto" w:fill="auto"/>
            <w:tcMar>
              <w:right w:w="113" w:type="dxa"/>
            </w:tcMar>
          </w:tcPr>
          <w:p w14:paraId="08E59867" w14:textId="77777777" w:rsidR="00D830B2" w:rsidRPr="00FB57E7" w:rsidRDefault="00D830B2" w:rsidP="001A7E87">
            <w:pPr>
              <w:spacing w:before="40" w:after="120"/>
              <w:ind w:right="113"/>
              <w:rPr>
                <w:rFonts w:eastAsia="Calibri"/>
                <w:szCs w:val="19"/>
              </w:rPr>
            </w:pPr>
          </w:p>
        </w:tc>
        <w:tc>
          <w:tcPr>
            <w:tcW w:w="1467" w:type="dxa"/>
            <w:shd w:val="clear" w:color="auto" w:fill="auto"/>
            <w:tcMar>
              <w:right w:w="113" w:type="dxa"/>
            </w:tcMar>
          </w:tcPr>
          <w:p w14:paraId="6B146ADA" w14:textId="77777777" w:rsidR="00D830B2" w:rsidRPr="00FB57E7" w:rsidRDefault="00D830B2" w:rsidP="001A7E87">
            <w:pPr>
              <w:spacing w:before="40" w:after="120"/>
              <w:ind w:right="113"/>
              <w:rPr>
                <w:rFonts w:eastAsia="Calibri"/>
                <w:szCs w:val="19"/>
              </w:rPr>
            </w:pPr>
            <w:r w:rsidRPr="00FB57E7">
              <w:rPr>
                <w:rFonts w:eastAsia="Calibri"/>
                <w:lang w:val="fr-FR"/>
              </w:rPr>
              <w:t>X En partie satisfaisante</w:t>
            </w:r>
          </w:p>
        </w:tc>
        <w:tc>
          <w:tcPr>
            <w:tcW w:w="1279" w:type="dxa"/>
            <w:shd w:val="clear" w:color="auto" w:fill="auto"/>
            <w:tcMar>
              <w:right w:w="113" w:type="dxa"/>
            </w:tcMar>
          </w:tcPr>
          <w:p w14:paraId="09541952" w14:textId="77777777" w:rsidR="00D830B2" w:rsidRPr="00FB57E7" w:rsidRDefault="00D830B2" w:rsidP="001A7E87">
            <w:pPr>
              <w:spacing w:before="40" w:after="120"/>
              <w:ind w:right="113"/>
              <w:rPr>
                <w:rFonts w:eastAsia="Calibri"/>
                <w:szCs w:val="19"/>
              </w:rPr>
            </w:pPr>
          </w:p>
        </w:tc>
        <w:tc>
          <w:tcPr>
            <w:tcW w:w="1389" w:type="dxa"/>
            <w:shd w:val="clear" w:color="auto" w:fill="auto"/>
            <w:tcMar>
              <w:right w:w="113" w:type="dxa"/>
            </w:tcMar>
          </w:tcPr>
          <w:p w14:paraId="7A5C1675" w14:textId="77777777" w:rsidR="00D830B2" w:rsidRPr="00FB57E7" w:rsidRDefault="00D830B2" w:rsidP="001A7E87">
            <w:pPr>
              <w:spacing w:before="40" w:after="120"/>
              <w:ind w:right="113"/>
              <w:rPr>
                <w:rFonts w:eastAsia="Calibri"/>
                <w:szCs w:val="19"/>
              </w:rPr>
            </w:pPr>
            <w:r w:rsidRPr="00FB57E7">
              <w:rPr>
                <w:rFonts w:eastAsia="Calibri"/>
                <w:lang w:val="fr-FR"/>
              </w:rPr>
              <w:t>X</w:t>
            </w:r>
          </w:p>
        </w:tc>
      </w:tr>
      <w:tr w:rsidR="00D830B2" w:rsidRPr="00274A4B" w14:paraId="36D83A29" w14:textId="77777777" w:rsidTr="001A7E87">
        <w:trPr>
          <w:cantSplit/>
        </w:trPr>
        <w:tc>
          <w:tcPr>
            <w:tcW w:w="2234" w:type="dxa"/>
            <w:shd w:val="clear" w:color="auto" w:fill="auto"/>
            <w:tcMar>
              <w:right w:w="113" w:type="dxa"/>
            </w:tcMar>
          </w:tcPr>
          <w:p w14:paraId="75BE424A" w14:textId="77777777" w:rsidR="00D830B2" w:rsidRPr="00FB57E7" w:rsidRDefault="00D830B2" w:rsidP="001A7E87">
            <w:pPr>
              <w:spacing w:before="40" w:after="120"/>
              <w:ind w:right="113"/>
              <w:rPr>
                <w:rFonts w:eastAsia="Calibri"/>
                <w:szCs w:val="19"/>
                <w:lang w:val="fr-FR"/>
              </w:rPr>
            </w:pPr>
            <w:r w:rsidRPr="00FB57E7">
              <w:rPr>
                <w:rFonts w:eastAsia="Calibri"/>
                <w:lang w:val="fr-FR"/>
              </w:rPr>
              <w:t>Norvège (1)</w:t>
            </w:r>
          </w:p>
        </w:tc>
        <w:tc>
          <w:tcPr>
            <w:tcW w:w="3628" w:type="dxa"/>
            <w:shd w:val="clear" w:color="auto" w:fill="auto"/>
            <w:tcMar>
              <w:right w:w="113" w:type="dxa"/>
            </w:tcMar>
          </w:tcPr>
          <w:p w14:paraId="1F020207" w14:textId="77777777" w:rsidR="00D830B2" w:rsidRPr="00FB57E7" w:rsidRDefault="00D830B2" w:rsidP="001A7E87">
            <w:pPr>
              <w:spacing w:before="40" w:after="120"/>
              <w:ind w:right="113"/>
              <w:rPr>
                <w:rFonts w:eastAsia="Calibri"/>
                <w:szCs w:val="19"/>
              </w:rPr>
            </w:pPr>
            <w:r w:rsidRPr="00FB57E7">
              <w:rPr>
                <w:rFonts w:eastAsia="Calibri"/>
                <w:lang w:val="fr-FR"/>
              </w:rPr>
              <w:t>30/2003, Communauté juive d’Oslo</w:t>
            </w:r>
          </w:p>
        </w:tc>
        <w:tc>
          <w:tcPr>
            <w:tcW w:w="2344" w:type="dxa"/>
            <w:shd w:val="clear" w:color="auto" w:fill="auto"/>
            <w:tcMar>
              <w:right w:w="113" w:type="dxa"/>
            </w:tcMar>
          </w:tcPr>
          <w:p w14:paraId="2B1484CF" w14:textId="77777777" w:rsidR="00D830B2" w:rsidRPr="00FB57E7" w:rsidRDefault="00D830B2" w:rsidP="001A7E87">
            <w:pPr>
              <w:spacing w:before="40" w:after="120"/>
              <w:ind w:right="113"/>
              <w:rPr>
                <w:rFonts w:eastAsia="Calibri"/>
                <w:szCs w:val="19"/>
              </w:rPr>
            </w:pPr>
            <w:r w:rsidRPr="00FB57E7">
              <w:rPr>
                <w:rFonts w:eastAsia="Calibri"/>
                <w:lang w:val="fr-FR"/>
              </w:rPr>
              <w:t>X (</w:t>
            </w:r>
            <w:hyperlink r:id="rId72" w:history="1">
              <w:r w:rsidRPr="00FB57E7">
                <w:rPr>
                  <w:rFonts w:eastAsia="Calibri"/>
                  <w:color w:val="0000FF"/>
                  <w:lang w:val="fr-FR"/>
                </w:rPr>
                <w:t>A/62/18</w:t>
              </w:r>
            </w:hyperlink>
            <w:r w:rsidRPr="00FB57E7">
              <w:rPr>
                <w:rFonts w:eastAsia="Calibri"/>
                <w:lang w:val="fr-FR"/>
              </w:rPr>
              <w:t>)</w:t>
            </w:r>
          </w:p>
        </w:tc>
        <w:tc>
          <w:tcPr>
            <w:tcW w:w="1433" w:type="dxa"/>
            <w:shd w:val="clear" w:color="auto" w:fill="auto"/>
            <w:tcMar>
              <w:right w:w="113" w:type="dxa"/>
            </w:tcMar>
          </w:tcPr>
          <w:p w14:paraId="4D37D0DD" w14:textId="77777777" w:rsidR="00D830B2" w:rsidRPr="00FB57E7" w:rsidRDefault="00D830B2" w:rsidP="001A7E87">
            <w:pPr>
              <w:spacing w:before="40" w:after="120"/>
              <w:ind w:right="113"/>
              <w:rPr>
                <w:rFonts w:eastAsia="Calibri"/>
                <w:szCs w:val="19"/>
              </w:rPr>
            </w:pPr>
          </w:p>
        </w:tc>
        <w:tc>
          <w:tcPr>
            <w:tcW w:w="1467" w:type="dxa"/>
            <w:shd w:val="clear" w:color="auto" w:fill="auto"/>
            <w:tcMar>
              <w:right w:w="113" w:type="dxa"/>
            </w:tcMar>
          </w:tcPr>
          <w:p w14:paraId="71549C0D" w14:textId="77777777" w:rsidR="00D830B2" w:rsidRPr="00FB57E7" w:rsidRDefault="00D830B2" w:rsidP="001A7E87">
            <w:pPr>
              <w:spacing w:before="40" w:after="120"/>
              <w:ind w:right="113"/>
              <w:rPr>
                <w:rFonts w:eastAsia="Calibri"/>
                <w:szCs w:val="19"/>
              </w:rPr>
            </w:pPr>
          </w:p>
        </w:tc>
        <w:tc>
          <w:tcPr>
            <w:tcW w:w="1279" w:type="dxa"/>
            <w:shd w:val="clear" w:color="auto" w:fill="auto"/>
            <w:tcMar>
              <w:right w:w="113" w:type="dxa"/>
            </w:tcMar>
          </w:tcPr>
          <w:p w14:paraId="55F3A2E5" w14:textId="77777777" w:rsidR="00D830B2" w:rsidRPr="00FB57E7" w:rsidRDefault="00D830B2" w:rsidP="001A7E87">
            <w:pPr>
              <w:spacing w:before="40" w:after="120"/>
              <w:ind w:right="113"/>
              <w:rPr>
                <w:rFonts w:eastAsia="Calibri"/>
                <w:szCs w:val="19"/>
              </w:rPr>
            </w:pPr>
            <w:r w:rsidRPr="00FB57E7">
              <w:rPr>
                <w:rFonts w:eastAsia="Calibri"/>
                <w:lang w:val="fr-FR"/>
              </w:rPr>
              <w:t>X</w:t>
            </w:r>
          </w:p>
        </w:tc>
        <w:tc>
          <w:tcPr>
            <w:tcW w:w="1389" w:type="dxa"/>
            <w:shd w:val="clear" w:color="auto" w:fill="auto"/>
            <w:tcMar>
              <w:right w:w="113" w:type="dxa"/>
            </w:tcMar>
          </w:tcPr>
          <w:p w14:paraId="7EBD14E9" w14:textId="77777777" w:rsidR="00D830B2" w:rsidRPr="00FB57E7" w:rsidRDefault="00D830B2" w:rsidP="001A7E87">
            <w:pPr>
              <w:spacing w:before="40" w:after="120"/>
              <w:ind w:right="113"/>
              <w:rPr>
                <w:rFonts w:eastAsia="Calibri"/>
                <w:szCs w:val="19"/>
              </w:rPr>
            </w:pPr>
            <w:r w:rsidRPr="00FB57E7">
              <w:rPr>
                <w:rFonts w:eastAsia="Calibri"/>
                <w:lang w:val="fr-FR"/>
              </w:rPr>
              <w:t>X</w:t>
            </w:r>
          </w:p>
        </w:tc>
      </w:tr>
      <w:tr w:rsidR="00D830B2" w:rsidRPr="00274A4B" w14:paraId="4729A21B" w14:textId="77777777" w:rsidTr="001A7E87">
        <w:trPr>
          <w:cantSplit/>
        </w:trPr>
        <w:tc>
          <w:tcPr>
            <w:tcW w:w="2234" w:type="dxa"/>
            <w:shd w:val="clear" w:color="auto" w:fill="auto"/>
            <w:tcMar>
              <w:right w:w="113" w:type="dxa"/>
            </w:tcMar>
          </w:tcPr>
          <w:p w14:paraId="203C1921" w14:textId="77777777" w:rsidR="00D830B2" w:rsidRPr="00FB57E7" w:rsidRDefault="00D830B2" w:rsidP="00385116">
            <w:pPr>
              <w:keepNext/>
              <w:spacing w:before="40" w:after="120"/>
              <w:ind w:right="113"/>
              <w:rPr>
                <w:rFonts w:eastAsia="Calibri"/>
                <w:szCs w:val="19"/>
                <w:lang w:val="fr-FR"/>
              </w:rPr>
            </w:pPr>
            <w:r w:rsidRPr="00FB57E7">
              <w:rPr>
                <w:rFonts w:eastAsia="Calibri"/>
                <w:lang w:val="fr-FR"/>
              </w:rPr>
              <w:t>Pays-Bas (2)</w:t>
            </w:r>
          </w:p>
        </w:tc>
        <w:tc>
          <w:tcPr>
            <w:tcW w:w="3628" w:type="dxa"/>
            <w:shd w:val="clear" w:color="auto" w:fill="auto"/>
            <w:tcMar>
              <w:right w:w="113" w:type="dxa"/>
            </w:tcMar>
          </w:tcPr>
          <w:p w14:paraId="3C9CBF7C" w14:textId="6C64B169" w:rsidR="00D830B2" w:rsidRPr="00FB57E7" w:rsidRDefault="00D830B2" w:rsidP="00385116">
            <w:pPr>
              <w:keepNext/>
              <w:spacing w:before="40" w:after="120"/>
              <w:ind w:right="113"/>
              <w:rPr>
                <w:rFonts w:eastAsia="Calibri"/>
                <w:szCs w:val="19"/>
                <w:lang w:val="fr-FR"/>
              </w:rPr>
            </w:pPr>
            <w:r w:rsidRPr="00FB57E7">
              <w:rPr>
                <w:rFonts w:eastAsia="Calibri"/>
                <w:lang w:val="fr-FR"/>
              </w:rPr>
              <w:t>1/1984, A</w:t>
            </w:r>
            <w:r w:rsidR="00124804" w:rsidRPr="00FB57E7">
              <w:rPr>
                <w:rFonts w:eastAsia="Calibri"/>
                <w:lang w:val="fr-FR"/>
              </w:rPr>
              <w:t>.</w:t>
            </w:r>
            <w:r w:rsidRPr="00FB57E7">
              <w:rPr>
                <w:rFonts w:eastAsia="Calibri"/>
                <w:lang w:val="fr-FR"/>
              </w:rPr>
              <w:t> Yilmaz-Dogan</w:t>
            </w:r>
          </w:p>
        </w:tc>
        <w:tc>
          <w:tcPr>
            <w:tcW w:w="2344" w:type="dxa"/>
            <w:shd w:val="clear" w:color="auto" w:fill="auto"/>
            <w:tcMar>
              <w:right w:w="113" w:type="dxa"/>
            </w:tcMar>
          </w:tcPr>
          <w:p w14:paraId="646AD03C" w14:textId="77777777" w:rsidR="00D830B2" w:rsidRPr="00FB57E7" w:rsidRDefault="00D830B2" w:rsidP="00385116">
            <w:pPr>
              <w:keepNext/>
              <w:spacing w:before="40" w:after="120"/>
              <w:ind w:right="113"/>
              <w:rPr>
                <w:rFonts w:eastAsia="Calibri"/>
                <w:szCs w:val="19"/>
                <w:lang w:val="fr-FR"/>
              </w:rPr>
            </w:pPr>
          </w:p>
        </w:tc>
        <w:tc>
          <w:tcPr>
            <w:tcW w:w="1433" w:type="dxa"/>
            <w:shd w:val="clear" w:color="auto" w:fill="auto"/>
            <w:tcMar>
              <w:right w:w="113" w:type="dxa"/>
            </w:tcMar>
          </w:tcPr>
          <w:p w14:paraId="70C385FB" w14:textId="77777777" w:rsidR="00D830B2" w:rsidRPr="00FB57E7" w:rsidRDefault="00D830B2" w:rsidP="00385116">
            <w:pPr>
              <w:keepNext/>
              <w:spacing w:before="40" w:after="120"/>
              <w:ind w:right="113"/>
              <w:rPr>
                <w:rFonts w:eastAsia="Calibri"/>
                <w:szCs w:val="19"/>
                <w:lang w:val="fr-FR"/>
              </w:rPr>
            </w:pPr>
          </w:p>
        </w:tc>
        <w:tc>
          <w:tcPr>
            <w:tcW w:w="1467" w:type="dxa"/>
            <w:shd w:val="clear" w:color="auto" w:fill="auto"/>
            <w:tcMar>
              <w:right w:w="113" w:type="dxa"/>
            </w:tcMar>
          </w:tcPr>
          <w:p w14:paraId="17F7D583" w14:textId="77777777" w:rsidR="00D830B2" w:rsidRPr="00FB57E7" w:rsidRDefault="00D830B2" w:rsidP="00385116">
            <w:pPr>
              <w:keepNext/>
              <w:spacing w:before="40" w:after="120"/>
              <w:ind w:right="113"/>
              <w:rPr>
                <w:rFonts w:eastAsia="Calibri"/>
                <w:szCs w:val="19"/>
                <w:lang w:val="fr-FR"/>
              </w:rPr>
            </w:pPr>
          </w:p>
        </w:tc>
        <w:tc>
          <w:tcPr>
            <w:tcW w:w="1279" w:type="dxa"/>
            <w:shd w:val="clear" w:color="auto" w:fill="auto"/>
            <w:tcMar>
              <w:right w:w="113" w:type="dxa"/>
            </w:tcMar>
          </w:tcPr>
          <w:p w14:paraId="19C6C8A7" w14:textId="77777777" w:rsidR="00D830B2" w:rsidRPr="00FB57E7" w:rsidRDefault="00D830B2" w:rsidP="00385116">
            <w:pPr>
              <w:keepNext/>
              <w:spacing w:before="40" w:after="120"/>
              <w:ind w:right="113"/>
              <w:rPr>
                <w:rFonts w:eastAsia="Calibri"/>
                <w:szCs w:val="19"/>
                <w:lang w:val="fr-FR"/>
              </w:rPr>
            </w:pPr>
            <w:r w:rsidRPr="00FB57E7">
              <w:rPr>
                <w:rFonts w:eastAsia="Calibri"/>
                <w:lang w:val="fr-FR"/>
              </w:rPr>
              <w:t xml:space="preserve">X </w:t>
            </w:r>
          </w:p>
        </w:tc>
        <w:tc>
          <w:tcPr>
            <w:tcW w:w="1389" w:type="dxa"/>
            <w:shd w:val="clear" w:color="auto" w:fill="auto"/>
            <w:tcMar>
              <w:right w:w="113" w:type="dxa"/>
            </w:tcMar>
          </w:tcPr>
          <w:p w14:paraId="7A0C5BC6" w14:textId="77777777" w:rsidR="00D830B2" w:rsidRPr="00FB57E7" w:rsidRDefault="00D830B2" w:rsidP="00385116">
            <w:pPr>
              <w:keepNext/>
              <w:spacing w:before="40" w:after="120"/>
              <w:ind w:right="113"/>
              <w:rPr>
                <w:rFonts w:eastAsia="Calibri"/>
                <w:szCs w:val="19"/>
                <w:lang w:val="fr-FR"/>
              </w:rPr>
            </w:pPr>
          </w:p>
        </w:tc>
      </w:tr>
      <w:tr w:rsidR="00D830B2" w:rsidRPr="00274A4B" w14:paraId="1A7CD8A1" w14:textId="77777777" w:rsidTr="001A7E87">
        <w:trPr>
          <w:cantSplit/>
        </w:trPr>
        <w:tc>
          <w:tcPr>
            <w:tcW w:w="2234" w:type="dxa"/>
            <w:shd w:val="clear" w:color="auto" w:fill="auto"/>
            <w:tcMar>
              <w:right w:w="113" w:type="dxa"/>
            </w:tcMar>
          </w:tcPr>
          <w:p w14:paraId="233CC44C" w14:textId="77777777" w:rsidR="00D830B2" w:rsidRPr="00FB57E7" w:rsidRDefault="00D830B2" w:rsidP="001A7E87">
            <w:pPr>
              <w:spacing w:before="40" w:after="120"/>
              <w:ind w:right="113"/>
              <w:rPr>
                <w:rFonts w:eastAsia="Calibri"/>
                <w:szCs w:val="19"/>
                <w:lang w:val="fr-FR"/>
              </w:rPr>
            </w:pPr>
          </w:p>
        </w:tc>
        <w:tc>
          <w:tcPr>
            <w:tcW w:w="3628" w:type="dxa"/>
            <w:shd w:val="clear" w:color="auto" w:fill="auto"/>
            <w:tcMar>
              <w:right w:w="113" w:type="dxa"/>
            </w:tcMar>
          </w:tcPr>
          <w:p w14:paraId="6D434CF5" w14:textId="458F2800" w:rsidR="00D830B2" w:rsidRPr="00FB57E7" w:rsidRDefault="00D830B2" w:rsidP="001A7E87">
            <w:pPr>
              <w:spacing w:before="40" w:after="120"/>
              <w:ind w:right="113"/>
              <w:rPr>
                <w:rFonts w:eastAsia="Calibri"/>
                <w:szCs w:val="19"/>
                <w:lang w:val="fr-FR"/>
              </w:rPr>
            </w:pPr>
            <w:r w:rsidRPr="00FB57E7">
              <w:rPr>
                <w:rFonts w:eastAsia="Calibri"/>
                <w:lang w:val="fr-FR"/>
              </w:rPr>
              <w:t>4/1991, L</w:t>
            </w:r>
            <w:r w:rsidR="00124804" w:rsidRPr="00FB57E7">
              <w:rPr>
                <w:rFonts w:eastAsia="Calibri"/>
                <w:lang w:val="fr-FR"/>
              </w:rPr>
              <w:t>.</w:t>
            </w:r>
            <w:r w:rsidR="00385116" w:rsidRPr="00FB57E7">
              <w:rPr>
                <w:rFonts w:eastAsia="Calibri"/>
                <w:lang w:val="fr-FR"/>
              </w:rPr>
              <w:t> </w:t>
            </w:r>
            <w:r w:rsidRPr="00FB57E7">
              <w:rPr>
                <w:rFonts w:eastAsia="Calibri"/>
                <w:lang w:val="fr-FR"/>
              </w:rPr>
              <w:t>K</w:t>
            </w:r>
            <w:r w:rsidR="00124804" w:rsidRPr="00FB57E7">
              <w:rPr>
                <w:rFonts w:eastAsia="Calibri"/>
                <w:lang w:val="fr-FR"/>
              </w:rPr>
              <w:t>.</w:t>
            </w:r>
          </w:p>
        </w:tc>
        <w:tc>
          <w:tcPr>
            <w:tcW w:w="2344" w:type="dxa"/>
            <w:shd w:val="clear" w:color="auto" w:fill="auto"/>
            <w:tcMar>
              <w:right w:w="113" w:type="dxa"/>
            </w:tcMar>
          </w:tcPr>
          <w:p w14:paraId="49EC396E" w14:textId="77777777" w:rsidR="00D830B2" w:rsidRPr="00FB57E7" w:rsidRDefault="00D830B2" w:rsidP="001A7E87">
            <w:pPr>
              <w:spacing w:before="40" w:after="120"/>
              <w:ind w:right="113"/>
              <w:rPr>
                <w:rFonts w:eastAsia="Calibri"/>
                <w:szCs w:val="19"/>
                <w:lang w:val="fr-FR"/>
              </w:rPr>
            </w:pPr>
          </w:p>
        </w:tc>
        <w:tc>
          <w:tcPr>
            <w:tcW w:w="1433" w:type="dxa"/>
            <w:shd w:val="clear" w:color="auto" w:fill="auto"/>
            <w:tcMar>
              <w:right w:w="113" w:type="dxa"/>
            </w:tcMar>
          </w:tcPr>
          <w:p w14:paraId="0664167E" w14:textId="77777777" w:rsidR="00D830B2" w:rsidRPr="00FB57E7" w:rsidRDefault="00D830B2" w:rsidP="001A7E87">
            <w:pPr>
              <w:spacing w:before="40" w:after="120"/>
              <w:ind w:right="113"/>
              <w:rPr>
                <w:rFonts w:eastAsia="Calibri"/>
                <w:szCs w:val="19"/>
                <w:lang w:val="fr-FR"/>
              </w:rPr>
            </w:pPr>
          </w:p>
        </w:tc>
        <w:tc>
          <w:tcPr>
            <w:tcW w:w="1467" w:type="dxa"/>
            <w:shd w:val="clear" w:color="auto" w:fill="auto"/>
            <w:tcMar>
              <w:right w:w="113" w:type="dxa"/>
            </w:tcMar>
          </w:tcPr>
          <w:p w14:paraId="48BF97F8" w14:textId="77777777" w:rsidR="00D830B2" w:rsidRPr="00FB57E7" w:rsidRDefault="00D830B2" w:rsidP="001A7E87">
            <w:pPr>
              <w:spacing w:before="40" w:after="120"/>
              <w:ind w:right="113"/>
              <w:rPr>
                <w:rFonts w:eastAsia="Calibri"/>
                <w:szCs w:val="19"/>
                <w:lang w:val="fr-FR"/>
              </w:rPr>
            </w:pPr>
          </w:p>
        </w:tc>
        <w:tc>
          <w:tcPr>
            <w:tcW w:w="1279" w:type="dxa"/>
            <w:shd w:val="clear" w:color="auto" w:fill="auto"/>
            <w:tcMar>
              <w:right w:w="113" w:type="dxa"/>
            </w:tcMar>
          </w:tcPr>
          <w:p w14:paraId="7935E7C5" w14:textId="77777777" w:rsidR="00D830B2" w:rsidRPr="00FB57E7" w:rsidRDefault="00D830B2" w:rsidP="001A7E87">
            <w:pPr>
              <w:spacing w:before="40" w:after="120"/>
              <w:ind w:right="113"/>
              <w:rPr>
                <w:rFonts w:eastAsia="Calibri"/>
                <w:szCs w:val="19"/>
                <w:lang w:val="fr-FR"/>
              </w:rPr>
            </w:pPr>
            <w:r w:rsidRPr="00FB57E7">
              <w:rPr>
                <w:rFonts w:eastAsia="Calibri"/>
                <w:lang w:val="fr-FR"/>
              </w:rPr>
              <w:t xml:space="preserve">X </w:t>
            </w:r>
          </w:p>
        </w:tc>
        <w:tc>
          <w:tcPr>
            <w:tcW w:w="1389" w:type="dxa"/>
            <w:shd w:val="clear" w:color="auto" w:fill="auto"/>
            <w:tcMar>
              <w:right w:w="113" w:type="dxa"/>
            </w:tcMar>
          </w:tcPr>
          <w:p w14:paraId="2409793D" w14:textId="77777777" w:rsidR="00D830B2" w:rsidRPr="00FB57E7" w:rsidRDefault="00D830B2" w:rsidP="001A7E87">
            <w:pPr>
              <w:spacing w:before="40" w:after="120"/>
              <w:ind w:right="113"/>
              <w:rPr>
                <w:rFonts w:eastAsia="Calibri"/>
                <w:szCs w:val="19"/>
                <w:lang w:val="fr-FR"/>
              </w:rPr>
            </w:pPr>
          </w:p>
        </w:tc>
      </w:tr>
      <w:tr w:rsidR="00D830B2" w:rsidRPr="00274A4B" w14:paraId="302FD455" w14:textId="77777777" w:rsidTr="001A7E87">
        <w:trPr>
          <w:cantSplit/>
        </w:trPr>
        <w:tc>
          <w:tcPr>
            <w:tcW w:w="2234" w:type="dxa"/>
            <w:shd w:val="clear" w:color="auto" w:fill="auto"/>
            <w:tcMar>
              <w:right w:w="113" w:type="dxa"/>
            </w:tcMar>
          </w:tcPr>
          <w:p w14:paraId="428F4632" w14:textId="77777777" w:rsidR="00D830B2" w:rsidRPr="00FB57E7" w:rsidRDefault="00D830B2" w:rsidP="001A7E87">
            <w:pPr>
              <w:spacing w:before="40" w:after="120"/>
              <w:ind w:right="113"/>
              <w:rPr>
                <w:rFonts w:eastAsia="Calibri"/>
              </w:rPr>
            </w:pPr>
            <w:r w:rsidRPr="00FB57E7">
              <w:rPr>
                <w:rFonts w:eastAsia="Calibri"/>
                <w:lang w:val="fr-FR"/>
              </w:rPr>
              <w:t>République de Corée (1)</w:t>
            </w:r>
          </w:p>
        </w:tc>
        <w:tc>
          <w:tcPr>
            <w:tcW w:w="3628" w:type="dxa"/>
            <w:shd w:val="clear" w:color="auto" w:fill="auto"/>
            <w:tcMar>
              <w:right w:w="113" w:type="dxa"/>
            </w:tcMar>
          </w:tcPr>
          <w:p w14:paraId="0D84BE5D" w14:textId="73523F7F" w:rsidR="00D830B2" w:rsidRPr="00FB57E7" w:rsidRDefault="00D830B2" w:rsidP="001A7E87">
            <w:pPr>
              <w:spacing w:before="40" w:after="120"/>
              <w:ind w:right="113"/>
              <w:rPr>
                <w:rFonts w:eastAsia="Calibri"/>
              </w:rPr>
            </w:pPr>
            <w:r w:rsidRPr="00FB57E7">
              <w:rPr>
                <w:rFonts w:eastAsia="Calibri"/>
                <w:lang w:val="fr-FR"/>
              </w:rPr>
              <w:t>51/2012, L</w:t>
            </w:r>
            <w:r w:rsidR="00124804" w:rsidRPr="00FB57E7">
              <w:rPr>
                <w:rFonts w:eastAsia="Calibri"/>
                <w:lang w:val="fr-FR"/>
              </w:rPr>
              <w:t>.</w:t>
            </w:r>
            <w:r w:rsidRPr="00FB57E7">
              <w:rPr>
                <w:rFonts w:eastAsia="Calibri"/>
                <w:lang w:val="fr-FR"/>
              </w:rPr>
              <w:t>G</w:t>
            </w:r>
            <w:r w:rsidR="00124804" w:rsidRPr="00FB57E7">
              <w:rPr>
                <w:rFonts w:eastAsia="Calibri"/>
                <w:lang w:val="fr-FR"/>
              </w:rPr>
              <w:t>.</w:t>
            </w:r>
          </w:p>
        </w:tc>
        <w:tc>
          <w:tcPr>
            <w:tcW w:w="2344" w:type="dxa"/>
            <w:shd w:val="clear" w:color="auto" w:fill="auto"/>
            <w:tcMar>
              <w:right w:w="113" w:type="dxa"/>
            </w:tcMar>
          </w:tcPr>
          <w:p w14:paraId="3887B33A" w14:textId="77777777" w:rsidR="00D830B2" w:rsidRPr="00FB57E7" w:rsidRDefault="00D830B2" w:rsidP="001A7E87">
            <w:pPr>
              <w:spacing w:before="40" w:after="120"/>
              <w:ind w:right="113"/>
              <w:rPr>
                <w:rFonts w:eastAsia="Calibri"/>
                <w:lang w:val="fr-FR"/>
              </w:rPr>
            </w:pPr>
            <w:r w:rsidRPr="00FB57E7">
              <w:rPr>
                <w:rFonts w:eastAsia="Calibri"/>
                <w:lang w:val="fr-FR"/>
              </w:rPr>
              <w:t>X (</w:t>
            </w:r>
            <w:hyperlink r:id="rId73" w:history="1">
              <w:r w:rsidRPr="00FB57E7">
                <w:rPr>
                  <w:rFonts w:eastAsia="Calibri"/>
                  <w:color w:val="0000FF"/>
                  <w:lang w:val="fr-FR"/>
                </w:rPr>
                <w:t>A/71/18</w:t>
              </w:r>
            </w:hyperlink>
            <w:r w:rsidRPr="00FB57E7">
              <w:rPr>
                <w:rFonts w:eastAsia="Calibri"/>
                <w:lang w:val="fr-FR"/>
              </w:rPr>
              <w:t>)</w:t>
            </w:r>
          </w:p>
          <w:p w14:paraId="48F38FD0" w14:textId="77777777" w:rsidR="00D830B2" w:rsidRPr="00FB57E7" w:rsidRDefault="00D830B2" w:rsidP="001A7E87">
            <w:pPr>
              <w:spacing w:before="40" w:after="120"/>
              <w:ind w:right="113"/>
              <w:rPr>
                <w:rFonts w:eastAsia="Calibri"/>
              </w:rPr>
            </w:pPr>
            <w:r w:rsidRPr="00FB57E7">
              <w:rPr>
                <w:rFonts w:eastAsia="Calibri"/>
                <w:lang w:val="fr-FR"/>
              </w:rPr>
              <w:t xml:space="preserve">9 décembre 2016 </w:t>
            </w:r>
          </w:p>
        </w:tc>
        <w:tc>
          <w:tcPr>
            <w:tcW w:w="1433" w:type="dxa"/>
            <w:shd w:val="clear" w:color="auto" w:fill="auto"/>
            <w:tcMar>
              <w:right w:w="113" w:type="dxa"/>
            </w:tcMar>
          </w:tcPr>
          <w:p w14:paraId="42E0ECF0" w14:textId="77777777" w:rsidR="00D830B2" w:rsidRPr="00FB57E7" w:rsidRDefault="00D830B2" w:rsidP="001A7E87">
            <w:pPr>
              <w:spacing w:before="40" w:after="120"/>
              <w:ind w:right="113"/>
              <w:rPr>
                <w:rFonts w:eastAsia="Calibri"/>
              </w:rPr>
            </w:pPr>
          </w:p>
        </w:tc>
        <w:tc>
          <w:tcPr>
            <w:tcW w:w="1467" w:type="dxa"/>
            <w:shd w:val="clear" w:color="auto" w:fill="auto"/>
            <w:tcMar>
              <w:right w:w="113" w:type="dxa"/>
            </w:tcMar>
          </w:tcPr>
          <w:p w14:paraId="49EE8CE0" w14:textId="77777777" w:rsidR="00D830B2" w:rsidRPr="00FB57E7" w:rsidRDefault="00D830B2" w:rsidP="001A7E87">
            <w:pPr>
              <w:spacing w:before="40" w:after="120"/>
              <w:ind w:right="113"/>
              <w:rPr>
                <w:rFonts w:eastAsia="Calibri"/>
              </w:rPr>
            </w:pPr>
            <w:r w:rsidRPr="00FB57E7">
              <w:rPr>
                <w:rFonts w:eastAsia="Calibri"/>
                <w:lang w:val="fr-FR"/>
              </w:rPr>
              <w:t>X En partie satisfaisante</w:t>
            </w:r>
          </w:p>
        </w:tc>
        <w:tc>
          <w:tcPr>
            <w:tcW w:w="1279" w:type="dxa"/>
            <w:shd w:val="clear" w:color="auto" w:fill="auto"/>
            <w:tcMar>
              <w:right w:w="113" w:type="dxa"/>
            </w:tcMar>
          </w:tcPr>
          <w:p w14:paraId="5F9F5779" w14:textId="77777777" w:rsidR="00D830B2" w:rsidRPr="00FB57E7" w:rsidRDefault="00D830B2" w:rsidP="001A7E87">
            <w:pPr>
              <w:spacing w:before="40" w:after="120"/>
              <w:ind w:right="113"/>
              <w:rPr>
                <w:rFonts w:eastAsia="Calibri"/>
              </w:rPr>
            </w:pPr>
          </w:p>
        </w:tc>
        <w:tc>
          <w:tcPr>
            <w:tcW w:w="1389" w:type="dxa"/>
            <w:shd w:val="clear" w:color="auto" w:fill="auto"/>
            <w:tcMar>
              <w:right w:w="113" w:type="dxa"/>
            </w:tcMar>
          </w:tcPr>
          <w:p w14:paraId="7EEB9E96" w14:textId="77777777" w:rsidR="00D830B2" w:rsidRPr="00FB57E7" w:rsidRDefault="00D830B2" w:rsidP="001A7E87">
            <w:pPr>
              <w:spacing w:before="40" w:after="120"/>
              <w:ind w:right="113"/>
              <w:rPr>
                <w:rFonts w:eastAsia="Calibri"/>
              </w:rPr>
            </w:pPr>
            <w:r w:rsidRPr="00FB57E7">
              <w:rPr>
                <w:rFonts w:eastAsia="Calibri"/>
                <w:lang w:val="fr-FR"/>
              </w:rPr>
              <w:t>X</w:t>
            </w:r>
          </w:p>
        </w:tc>
      </w:tr>
      <w:tr w:rsidR="00D830B2" w:rsidRPr="00274A4B" w14:paraId="62AA9086" w14:textId="77777777" w:rsidTr="001A7E87">
        <w:trPr>
          <w:cantSplit/>
        </w:trPr>
        <w:tc>
          <w:tcPr>
            <w:tcW w:w="2234" w:type="dxa"/>
            <w:shd w:val="clear" w:color="auto" w:fill="auto"/>
            <w:tcMar>
              <w:right w:w="113" w:type="dxa"/>
            </w:tcMar>
          </w:tcPr>
          <w:p w14:paraId="35F193D3" w14:textId="4F3F19D1" w:rsidR="00D830B2" w:rsidRPr="00FB57E7" w:rsidRDefault="00D830B2" w:rsidP="001A7E87">
            <w:pPr>
              <w:spacing w:before="40" w:after="120"/>
              <w:ind w:right="113"/>
              <w:rPr>
                <w:rFonts w:eastAsia="Calibri"/>
              </w:rPr>
            </w:pPr>
            <w:r w:rsidRPr="00FB57E7">
              <w:rPr>
                <w:rFonts w:eastAsia="Calibri"/>
                <w:lang w:val="fr-FR"/>
              </w:rPr>
              <w:t>Rép</w:t>
            </w:r>
            <w:r w:rsidR="00385116" w:rsidRPr="00FB57E7">
              <w:rPr>
                <w:rFonts w:eastAsia="Calibri"/>
                <w:lang w:val="fr-FR"/>
              </w:rPr>
              <w:t>ublique</w:t>
            </w:r>
            <w:r w:rsidRPr="00FB57E7">
              <w:rPr>
                <w:rFonts w:eastAsia="Calibri"/>
                <w:lang w:val="fr-FR"/>
              </w:rPr>
              <w:t xml:space="preserve"> </w:t>
            </w:r>
            <w:r w:rsidR="00385116" w:rsidRPr="00FB57E7">
              <w:rPr>
                <w:rFonts w:eastAsia="Calibri"/>
                <w:lang w:val="fr-FR"/>
              </w:rPr>
              <w:br/>
            </w:r>
            <w:r w:rsidRPr="00FB57E7">
              <w:rPr>
                <w:rFonts w:eastAsia="Calibri"/>
                <w:lang w:val="fr-FR"/>
              </w:rPr>
              <w:t>de Moldova (1)</w:t>
            </w:r>
          </w:p>
        </w:tc>
        <w:tc>
          <w:tcPr>
            <w:tcW w:w="3628" w:type="dxa"/>
            <w:shd w:val="clear" w:color="auto" w:fill="auto"/>
            <w:tcMar>
              <w:right w:w="113" w:type="dxa"/>
            </w:tcMar>
          </w:tcPr>
          <w:p w14:paraId="0FC0E26B" w14:textId="77777777" w:rsidR="00D830B2" w:rsidRPr="00FB57E7" w:rsidRDefault="00D830B2" w:rsidP="001A7E87">
            <w:pPr>
              <w:spacing w:before="40" w:after="120"/>
              <w:ind w:right="113"/>
              <w:rPr>
                <w:rFonts w:eastAsia="Calibri"/>
              </w:rPr>
            </w:pPr>
            <w:r w:rsidRPr="00FB57E7">
              <w:rPr>
                <w:rFonts w:eastAsia="Calibri"/>
                <w:lang w:val="fr-FR"/>
              </w:rPr>
              <w:t>57/2015, Salifou Belemvire</w:t>
            </w:r>
          </w:p>
        </w:tc>
        <w:tc>
          <w:tcPr>
            <w:tcW w:w="2344" w:type="dxa"/>
            <w:shd w:val="clear" w:color="auto" w:fill="auto"/>
            <w:tcMar>
              <w:right w:w="113" w:type="dxa"/>
            </w:tcMar>
          </w:tcPr>
          <w:p w14:paraId="75BAD166" w14:textId="77777777" w:rsidR="00D830B2" w:rsidRPr="00FB57E7" w:rsidRDefault="00D830B2" w:rsidP="001A7E87">
            <w:pPr>
              <w:spacing w:before="40" w:after="120"/>
              <w:ind w:right="113"/>
              <w:rPr>
                <w:rFonts w:eastAsia="Calibri"/>
                <w:lang w:val="fr-FR"/>
              </w:rPr>
            </w:pPr>
            <w:r w:rsidRPr="00FB57E7">
              <w:rPr>
                <w:rFonts w:eastAsia="Calibri"/>
                <w:lang w:val="fr-FR"/>
              </w:rPr>
              <w:t>X (</w:t>
            </w:r>
            <w:hyperlink r:id="rId74" w:history="1">
              <w:r w:rsidRPr="00FB57E7">
                <w:rPr>
                  <w:rStyle w:val="Lienhypertexte"/>
                  <w:rFonts w:eastAsia="Calibri"/>
                  <w:lang w:val="fr-FR"/>
                </w:rPr>
                <w:t>A/73/18</w:t>
              </w:r>
            </w:hyperlink>
            <w:r w:rsidRPr="00FB57E7">
              <w:rPr>
                <w:rFonts w:eastAsia="Calibri"/>
                <w:lang w:val="fr-FR"/>
              </w:rPr>
              <w:t>)</w:t>
            </w:r>
          </w:p>
          <w:p w14:paraId="1B002E8B" w14:textId="77777777" w:rsidR="00D830B2" w:rsidRPr="00FB57E7" w:rsidRDefault="00D830B2" w:rsidP="001A7E87">
            <w:pPr>
              <w:spacing w:before="40" w:after="120"/>
              <w:ind w:right="113"/>
              <w:rPr>
                <w:rFonts w:eastAsia="Calibri"/>
              </w:rPr>
            </w:pPr>
            <w:r w:rsidRPr="00FB57E7">
              <w:rPr>
                <w:rFonts w:eastAsia="Calibri"/>
                <w:lang w:val="fr-FR"/>
              </w:rPr>
              <w:t>27 mars 2018</w:t>
            </w:r>
          </w:p>
        </w:tc>
        <w:tc>
          <w:tcPr>
            <w:tcW w:w="1433" w:type="dxa"/>
            <w:shd w:val="clear" w:color="auto" w:fill="auto"/>
            <w:tcMar>
              <w:right w:w="113" w:type="dxa"/>
            </w:tcMar>
          </w:tcPr>
          <w:p w14:paraId="710640F7" w14:textId="77777777" w:rsidR="00D830B2" w:rsidRPr="00FB57E7" w:rsidRDefault="00D830B2" w:rsidP="001A7E87">
            <w:pPr>
              <w:spacing w:before="40" w:after="120"/>
              <w:ind w:right="113"/>
              <w:rPr>
                <w:rFonts w:eastAsia="Calibri"/>
              </w:rPr>
            </w:pPr>
          </w:p>
        </w:tc>
        <w:tc>
          <w:tcPr>
            <w:tcW w:w="1467" w:type="dxa"/>
            <w:shd w:val="clear" w:color="auto" w:fill="auto"/>
            <w:tcMar>
              <w:right w:w="113" w:type="dxa"/>
            </w:tcMar>
          </w:tcPr>
          <w:p w14:paraId="17F745F5" w14:textId="77777777" w:rsidR="00D830B2" w:rsidRPr="00FB57E7" w:rsidRDefault="00D830B2" w:rsidP="001A7E87">
            <w:pPr>
              <w:spacing w:before="40" w:after="120"/>
              <w:ind w:right="113"/>
              <w:rPr>
                <w:rFonts w:eastAsia="Calibri"/>
              </w:rPr>
            </w:pPr>
            <w:r w:rsidRPr="00FB57E7">
              <w:rPr>
                <w:rFonts w:eastAsia="Calibri"/>
                <w:lang w:val="fr-FR"/>
              </w:rPr>
              <w:t>X En partie satisfaisante</w:t>
            </w:r>
          </w:p>
        </w:tc>
        <w:tc>
          <w:tcPr>
            <w:tcW w:w="1279" w:type="dxa"/>
            <w:shd w:val="clear" w:color="auto" w:fill="auto"/>
            <w:tcMar>
              <w:right w:w="113" w:type="dxa"/>
            </w:tcMar>
          </w:tcPr>
          <w:p w14:paraId="04439628" w14:textId="77777777" w:rsidR="00D830B2" w:rsidRPr="00FB57E7" w:rsidRDefault="00D830B2" w:rsidP="001A7E87">
            <w:pPr>
              <w:spacing w:before="40" w:after="120"/>
              <w:ind w:right="113"/>
              <w:rPr>
                <w:rFonts w:eastAsia="Calibri"/>
              </w:rPr>
            </w:pPr>
          </w:p>
        </w:tc>
        <w:tc>
          <w:tcPr>
            <w:tcW w:w="1389" w:type="dxa"/>
            <w:shd w:val="clear" w:color="auto" w:fill="auto"/>
            <w:tcMar>
              <w:right w:w="113" w:type="dxa"/>
            </w:tcMar>
          </w:tcPr>
          <w:p w14:paraId="2FE44151" w14:textId="77777777" w:rsidR="00D830B2" w:rsidRPr="00FB57E7" w:rsidRDefault="00D830B2" w:rsidP="001A7E87">
            <w:pPr>
              <w:spacing w:before="40" w:after="120"/>
              <w:ind w:right="113"/>
              <w:rPr>
                <w:rFonts w:eastAsia="Calibri"/>
              </w:rPr>
            </w:pPr>
            <w:r w:rsidRPr="00FB57E7">
              <w:rPr>
                <w:rFonts w:eastAsia="Calibri"/>
                <w:lang w:val="fr-FR"/>
              </w:rPr>
              <w:t>X</w:t>
            </w:r>
          </w:p>
        </w:tc>
      </w:tr>
      <w:tr w:rsidR="00D830B2" w:rsidRPr="00274A4B" w14:paraId="6BF67778" w14:textId="77777777" w:rsidTr="001A7E87">
        <w:trPr>
          <w:cantSplit/>
        </w:trPr>
        <w:tc>
          <w:tcPr>
            <w:tcW w:w="2234" w:type="dxa"/>
            <w:shd w:val="clear" w:color="auto" w:fill="auto"/>
            <w:tcMar>
              <w:right w:w="113" w:type="dxa"/>
            </w:tcMar>
          </w:tcPr>
          <w:p w14:paraId="44774530" w14:textId="77777777" w:rsidR="00D830B2" w:rsidRPr="00FB57E7" w:rsidRDefault="00D830B2" w:rsidP="001A7E87">
            <w:pPr>
              <w:spacing w:before="40" w:after="120"/>
              <w:rPr>
                <w:rFonts w:eastAsia="Calibri"/>
              </w:rPr>
            </w:pPr>
            <w:r w:rsidRPr="00FB57E7">
              <w:rPr>
                <w:rFonts w:eastAsia="Calibri"/>
                <w:lang w:val="fr-FR"/>
              </w:rPr>
              <w:t>Serbie-et-Monténégro (1)</w:t>
            </w:r>
          </w:p>
        </w:tc>
        <w:tc>
          <w:tcPr>
            <w:tcW w:w="3628" w:type="dxa"/>
            <w:shd w:val="clear" w:color="auto" w:fill="auto"/>
            <w:tcMar>
              <w:right w:w="113" w:type="dxa"/>
            </w:tcMar>
          </w:tcPr>
          <w:p w14:paraId="2EA61A7B" w14:textId="77777777" w:rsidR="00D830B2" w:rsidRPr="00FB57E7" w:rsidRDefault="00D830B2" w:rsidP="001A7E87">
            <w:pPr>
              <w:spacing w:before="40" w:after="120"/>
              <w:ind w:right="113"/>
              <w:rPr>
                <w:rFonts w:eastAsia="Calibri"/>
              </w:rPr>
            </w:pPr>
            <w:r w:rsidRPr="00FB57E7">
              <w:rPr>
                <w:rFonts w:eastAsia="Calibri"/>
                <w:lang w:val="fr-FR"/>
              </w:rPr>
              <w:t>29/2003, Dragan Durmic</w:t>
            </w:r>
          </w:p>
        </w:tc>
        <w:tc>
          <w:tcPr>
            <w:tcW w:w="2344" w:type="dxa"/>
            <w:shd w:val="clear" w:color="auto" w:fill="auto"/>
            <w:tcMar>
              <w:right w:w="113" w:type="dxa"/>
            </w:tcMar>
          </w:tcPr>
          <w:p w14:paraId="3552A492" w14:textId="77777777" w:rsidR="00D830B2" w:rsidRPr="00FB57E7" w:rsidRDefault="00D830B2" w:rsidP="001A7E87">
            <w:pPr>
              <w:spacing w:before="40" w:after="120"/>
              <w:ind w:right="113"/>
              <w:rPr>
                <w:rFonts w:eastAsia="Calibri"/>
              </w:rPr>
            </w:pPr>
            <w:r w:rsidRPr="00FB57E7">
              <w:rPr>
                <w:rFonts w:eastAsia="Calibri"/>
                <w:lang w:val="fr-FR"/>
              </w:rPr>
              <w:t>X (</w:t>
            </w:r>
            <w:hyperlink r:id="rId75" w:history="1">
              <w:r w:rsidRPr="00FB57E7">
                <w:rPr>
                  <w:rFonts w:eastAsia="Calibri"/>
                  <w:color w:val="0000FF"/>
                  <w:lang w:val="fr-FR"/>
                </w:rPr>
                <w:t>A/62/18</w:t>
              </w:r>
            </w:hyperlink>
            <w:r w:rsidRPr="00FB57E7">
              <w:rPr>
                <w:rFonts w:eastAsia="Calibri"/>
                <w:lang w:val="fr-FR"/>
              </w:rPr>
              <w:t>)</w:t>
            </w:r>
          </w:p>
        </w:tc>
        <w:tc>
          <w:tcPr>
            <w:tcW w:w="1433" w:type="dxa"/>
            <w:shd w:val="clear" w:color="auto" w:fill="auto"/>
            <w:tcMar>
              <w:right w:w="113" w:type="dxa"/>
            </w:tcMar>
          </w:tcPr>
          <w:p w14:paraId="3E803E3F" w14:textId="77777777" w:rsidR="00D830B2" w:rsidRPr="00FB57E7" w:rsidRDefault="00D830B2" w:rsidP="001A7E87">
            <w:pPr>
              <w:spacing w:before="40" w:after="120"/>
              <w:ind w:right="113"/>
              <w:rPr>
                <w:rFonts w:eastAsia="Calibri"/>
              </w:rPr>
            </w:pPr>
          </w:p>
        </w:tc>
        <w:tc>
          <w:tcPr>
            <w:tcW w:w="1467" w:type="dxa"/>
            <w:shd w:val="clear" w:color="auto" w:fill="auto"/>
            <w:tcMar>
              <w:right w:w="113" w:type="dxa"/>
            </w:tcMar>
          </w:tcPr>
          <w:p w14:paraId="58E0BC1F" w14:textId="77777777" w:rsidR="00D830B2" w:rsidRPr="00FB57E7" w:rsidRDefault="00D830B2" w:rsidP="001A7E87">
            <w:pPr>
              <w:spacing w:before="40" w:after="120"/>
              <w:ind w:right="113"/>
              <w:rPr>
                <w:rFonts w:eastAsia="Calibri"/>
              </w:rPr>
            </w:pPr>
          </w:p>
        </w:tc>
        <w:tc>
          <w:tcPr>
            <w:tcW w:w="1279" w:type="dxa"/>
            <w:shd w:val="clear" w:color="auto" w:fill="auto"/>
            <w:tcMar>
              <w:right w:w="113" w:type="dxa"/>
            </w:tcMar>
          </w:tcPr>
          <w:p w14:paraId="409DC4CF" w14:textId="77777777" w:rsidR="00D830B2" w:rsidRPr="00FB57E7" w:rsidRDefault="00D830B2" w:rsidP="001A7E87">
            <w:pPr>
              <w:spacing w:before="40" w:after="120"/>
              <w:ind w:right="113"/>
              <w:rPr>
                <w:rFonts w:eastAsia="Calibri"/>
              </w:rPr>
            </w:pPr>
          </w:p>
        </w:tc>
        <w:tc>
          <w:tcPr>
            <w:tcW w:w="1389" w:type="dxa"/>
            <w:shd w:val="clear" w:color="auto" w:fill="auto"/>
            <w:tcMar>
              <w:right w:w="113" w:type="dxa"/>
            </w:tcMar>
          </w:tcPr>
          <w:p w14:paraId="7F9400FA" w14:textId="77777777" w:rsidR="00D830B2" w:rsidRPr="00FB57E7" w:rsidRDefault="00D830B2" w:rsidP="001A7E87">
            <w:pPr>
              <w:spacing w:before="40" w:after="120"/>
              <w:ind w:right="113"/>
              <w:rPr>
                <w:rFonts w:eastAsia="Calibri"/>
              </w:rPr>
            </w:pPr>
            <w:r w:rsidRPr="00FB57E7">
              <w:rPr>
                <w:rFonts w:eastAsia="Calibri"/>
                <w:lang w:val="fr-FR"/>
              </w:rPr>
              <w:t>X</w:t>
            </w:r>
          </w:p>
        </w:tc>
      </w:tr>
      <w:tr w:rsidR="00D830B2" w:rsidRPr="00274A4B" w14:paraId="187032B8" w14:textId="77777777" w:rsidTr="001A7E87">
        <w:trPr>
          <w:cantSplit/>
        </w:trPr>
        <w:tc>
          <w:tcPr>
            <w:tcW w:w="2234" w:type="dxa"/>
            <w:shd w:val="clear" w:color="auto" w:fill="auto"/>
            <w:tcMar>
              <w:right w:w="113" w:type="dxa"/>
            </w:tcMar>
          </w:tcPr>
          <w:p w14:paraId="69523226" w14:textId="77777777" w:rsidR="00D830B2" w:rsidRPr="00FB57E7" w:rsidRDefault="00D830B2" w:rsidP="001A7E87">
            <w:pPr>
              <w:spacing w:before="40" w:after="120"/>
              <w:ind w:right="113"/>
              <w:rPr>
                <w:rFonts w:eastAsia="Calibri"/>
              </w:rPr>
            </w:pPr>
            <w:r w:rsidRPr="00FB57E7">
              <w:rPr>
                <w:rFonts w:eastAsia="Calibri"/>
                <w:lang w:val="fr-FR"/>
              </w:rPr>
              <w:t>Slovaquie (3)</w:t>
            </w:r>
          </w:p>
        </w:tc>
        <w:tc>
          <w:tcPr>
            <w:tcW w:w="3628" w:type="dxa"/>
            <w:shd w:val="clear" w:color="auto" w:fill="auto"/>
            <w:tcMar>
              <w:right w:w="113" w:type="dxa"/>
            </w:tcMar>
          </w:tcPr>
          <w:p w14:paraId="115AC9E1" w14:textId="77777777" w:rsidR="00D830B2" w:rsidRPr="00FB57E7" w:rsidRDefault="00D830B2" w:rsidP="001A7E87">
            <w:pPr>
              <w:spacing w:before="40" w:after="120"/>
              <w:ind w:right="113"/>
              <w:rPr>
                <w:rFonts w:eastAsia="Calibri"/>
                <w:lang w:val="fr-FR"/>
              </w:rPr>
            </w:pPr>
            <w:r w:rsidRPr="00FB57E7">
              <w:rPr>
                <w:rFonts w:eastAsia="Calibri"/>
                <w:lang w:val="fr-FR"/>
              </w:rPr>
              <w:t>13/1998, Anna Koptova</w:t>
            </w:r>
          </w:p>
        </w:tc>
        <w:tc>
          <w:tcPr>
            <w:tcW w:w="2344" w:type="dxa"/>
            <w:shd w:val="clear" w:color="auto" w:fill="auto"/>
            <w:tcMar>
              <w:right w:w="113" w:type="dxa"/>
            </w:tcMar>
          </w:tcPr>
          <w:p w14:paraId="62FF69B2" w14:textId="77777777" w:rsidR="00D830B2" w:rsidRPr="00FB57E7" w:rsidRDefault="00D830B2" w:rsidP="001A7E87">
            <w:pPr>
              <w:spacing w:before="40" w:after="120"/>
              <w:ind w:right="113"/>
              <w:rPr>
                <w:rFonts w:eastAsia="Calibri"/>
                <w:lang w:val="fr-FR"/>
              </w:rPr>
            </w:pPr>
            <w:r w:rsidRPr="00FB57E7">
              <w:rPr>
                <w:rFonts w:eastAsia="Calibri"/>
              </w:rPr>
              <w:t>X (</w:t>
            </w:r>
            <w:hyperlink r:id="rId76" w:history="1">
              <w:r w:rsidRPr="00FB57E7">
                <w:rPr>
                  <w:rFonts w:eastAsia="Calibri"/>
                  <w:color w:val="0000FF"/>
                </w:rPr>
                <w:t>A/61/18</w:t>
              </w:r>
            </w:hyperlink>
            <w:r w:rsidRPr="00FB57E7">
              <w:rPr>
                <w:rFonts w:eastAsia="Calibri"/>
              </w:rPr>
              <w:t>,</w:t>
            </w:r>
            <w:r w:rsidRPr="00FB57E7">
              <w:rPr>
                <w:rFonts w:eastAsia="Calibri"/>
              </w:rPr>
              <w:br/>
            </w:r>
            <w:hyperlink r:id="rId77" w:history="1">
              <w:r w:rsidRPr="00FB57E7">
                <w:rPr>
                  <w:rFonts w:eastAsia="Calibri"/>
                  <w:color w:val="0000FF"/>
                </w:rPr>
                <w:t>A/62/18</w:t>
              </w:r>
            </w:hyperlink>
            <w:r w:rsidRPr="00FB57E7">
              <w:rPr>
                <w:rFonts w:eastAsia="Calibri"/>
              </w:rPr>
              <w:t>)</w:t>
            </w:r>
          </w:p>
        </w:tc>
        <w:tc>
          <w:tcPr>
            <w:tcW w:w="1433" w:type="dxa"/>
            <w:shd w:val="clear" w:color="auto" w:fill="auto"/>
            <w:tcMar>
              <w:right w:w="113" w:type="dxa"/>
            </w:tcMar>
          </w:tcPr>
          <w:p w14:paraId="7B86AAE6" w14:textId="77777777" w:rsidR="00D830B2" w:rsidRPr="00FB57E7" w:rsidRDefault="00D830B2" w:rsidP="001A7E87">
            <w:pPr>
              <w:spacing w:before="40" w:after="120"/>
              <w:ind w:right="113"/>
              <w:rPr>
                <w:rFonts w:eastAsia="Calibri"/>
                <w:lang w:val="fr-FR"/>
              </w:rPr>
            </w:pPr>
          </w:p>
        </w:tc>
        <w:tc>
          <w:tcPr>
            <w:tcW w:w="1467" w:type="dxa"/>
            <w:shd w:val="clear" w:color="auto" w:fill="auto"/>
            <w:tcMar>
              <w:right w:w="113" w:type="dxa"/>
            </w:tcMar>
          </w:tcPr>
          <w:p w14:paraId="78574691" w14:textId="77777777" w:rsidR="00D830B2" w:rsidRPr="00FB57E7" w:rsidRDefault="00D830B2" w:rsidP="001A7E87">
            <w:pPr>
              <w:spacing w:before="40" w:after="120"/>
              <w:ind w:right="113"/>
              <w:rPr>
                <w:rFonts w:eastAsia="Calibri"/>
                <w:lang w:val="fr-FR"/>
              </w:rPr>
            </w:pPr>
          </w:p>
        </w:tc>
        <w:tc>
          <w:tcPr>
            <w:tcW w:w="1279" w:type="dxa"/>
            <w:shd w:val="clear" w:color="auto" w:fill="auto"/>
            <w:tcMar>
              <w:right w:w="113" w:type="dxa"/>
            </w:tcMar>
          </w:tcPr>
          <w:p w14:paraId="473B232F" w14:textId="77777777" w:rsidR="00D830B2" w:rsidRPr="00FB57E7" w:rsidRDefault="00D830B2" w:rsidP="001A7E87">
            <w:pPr>
              <w:spacing w:before="40" w:after="120"/>
              <w:ind w:right="113"/>
              <w:rPr>
                <w:rFonts w:eastAsia="Calibri"/>
                <w:lang w:val="fr-FR"/>
              </w:rPr>
            </w:pPr>
          </w:p>
        </w:tc>
        <w:tc>
          <w:tcPr>
            <w:tcW w:w="1389" w:type="dxa"/>
            <w:shd w:val="clear" w:color="auto" w:fill="auto"/>
            <w:tcMar>
              <w:right w:w="113" w:type="dxa"/>
            </w:tcMar>
          </w:tcPr>
          <w:p w14:paraId="42C19B50" w14:textId="77777777" w:rsidR="00D830B2" w:rsidRPr="00FB57E7" w:rsidRDefault="00D830B2" w:rsidP="001A7E87">
            <w:pPr>
              <w:spacing w:before="40" w:after="120"/>
              <w:ind w:right="113"/>
              <w:rPr>
                <w:rFonts w:eastAsia="Calibri"/>
              </w:rPr>
            </w:pPr>
            <w:r w:rsidRPr="00FB57E7">
              <w:rPr>
                <w:rFonts w:eastAsia="Calibri"/>
                <w:lang w:val="fr-FR"/>
              </w:rPr>
              <w:t>X</w:t>
            </w:r>
          </w:p>
        </w:tc>
      </w:tr>
      <w:tr w:rsidR="00D830B2" w:rsidRPr="00274A4B" w14:paraId="47306C05" w14:textId="77777777" w:rsidTr="001A7E87">
        <w:trPr>
          <w:cantSplit/>
        </w:trPr>
        <w:tc>
          <w:tcPr>
            <w:tcW w:w="2234" w:type="dxa"/>
            <w:shd w:val="clear" w:color="auto" w:fill="auto"/>
            <w:tcMar>
              <w:right w:w="113" w:type="dxa"/>
            </w:tcMar>
          </w:tcPr>
          <w:p w14:paraId="23566A7A" w14:textId="77777777" w:rsidR="00D830B2" w:rsidRPr="00FB57E7" w:rsidRDefault="00D830B2" w:rsidP="001A7E87">
            <w:pPr>
              <w:spacing w:before="40" w:after="120"/>
              <w:ind w:right="113"/>
              <w:rPr>
                <w:rFonts w:eastAsia="Calibri"/>
                <w:lang w:val="fr-FR"/>
              </w:rPr>
            </w:pPr>
          </w:p>
        </w:tc>
        <w:tc>
          <w:tcPr>
            <w:tcW w:w="3628" w:type="dxa"/>
            <w:shd w:val="clear" w:color="auto" w:fill="auto"/>
            <w:tcMar>
              <w:right w:w="113" w:type="dxa"/>
            </w:tcMar>
          </w:tcPr>
          <w:p w14:paraId="453F958C" w14:textId="5E875566" w:rsidR="00D830B2" w:rsidRPr="00FB57E7" w:rsidRDefault="00D830B2" w:rsidP="001A7E87">
            <w:pPr>
              <w:spacing w:before="40" w:after="120"/>
              <w:ind w:right="113"/>
              <w:rPr>
                <w:rFonts w:eastAsia="Calibri"/>
                <w:lang w:val="fr-FR"/>
              </w:rPr>
            </w:pPr>
            <w:r w:rsidRPr="00FB57E7">
              <w:rPr>
                <w:rFonts w:eastAsia="Calibri"/>
                <w:lang w:val="fr-FR"/>
              </w:rPr>
              <w:t>31/2003, L</w:t>
            </w:r>
            <w:r w:rsidR="00124804" w:rsidRPr="00FB57E7">
              <w:rPr>
                <w:rFonts w:eastAsia="Calibri"/>
                <w:lang w:val="fr-FR"/>
              </w:rPr>
              <w:t>.</w:t>
            </w:r>
            <w:r w:rsidRPr="00FB57E7">
              <w:rPr>
                <w:rFonts w:eastAsia="Calibri"/>
                <w:lang w:val="fr-FR"/>
              </w:rPr>
              <w:t xml:space="preserve"> R</w:t>
            </w:r>
            <w:r w:rsidR="00124804" w:rsidRPr="00FB57E7">
              <w:rPr>
                <w:rFonts w:eastAsia="Calibri"/>
                <w:lang w:val="fr-FR"/>
              </w:rPr>
              <w:t>.</w:t>
            </w:r>
            <w:r w:rsidRPr="00FB57E7">
              <w:rPr>
                <w:rFonts w:eastAsia="Calibri"/>
                <w:lang w:val="fr-FR"/>
              </w:rPr>
              <w:t xml:space="preserve"> et consorts</w:t>
            </w:r>
          </w:p>
        </w:tc>
        <w:tc>
          <w:tcPr>
            <w:tcW w:w="2344" w:type="dxa"/>
            <w:shd w:val="clear" w:color="auto" w:fill="auto"/>
            <w:tcMar>
              <w:right w:w="113" w:type="dxa"/>
            </w:tcMar>
          </w:tcPr>
          <w:p w14:paraId="335903C9" w14:textId="77777777" w:rsidR="00D830B2" w:rsidRPr="00FB57E7" w:rsidRDefault="00D830B2" w:rsidP="001A7E87">
            <w:pPr>
              <w:spacing w:before="40" w:after="120"/>
              <w:ind w:right="113"/>
              <w:rPr>
                <w:rFonts w:eastAsia="Calibri"/>
              </w:rPr>
            </w:pPr>
            <w:r w:rsidRPr="00FB57E7">
              <w:rPr>
                <w:rFonts w:eastAsia="Calibri"/>
              </w:rPr>
              <w:t>X (</w:t>
            </w:r>
            <w:hyperlink r:id="rId78" w:history="1">
              <w:r w:rsidRPr="00FB57E7">
                <w:rPr>
                  <w:rFonts w:eastAsia="Calibri"/>
                  <w:color w:val="0000FF"/>
                </w:rPr>
                <w:t>A/61/18</w:t>
              </w:r>
            </w:hyperlink>
            <w:r w:rsidRPr="00FB57E7">
              <w:rPr>
                <w:rFonts w:eastAsia="Calibri"/>
              </w:rPr>
              <w:t>,</w:t>
            </w:r>
            <w:r w:rsidRPr="00FB57E7">
              <w:rPr>
                <w:rFonts w:eastAsia="Calibri"/>
              </w:rPr>
              <w:br/>
            </w:r>
            <w:hyperlink r:id="rId79" w:history="1">
              <w:r w:rsidRPr="00FB57E7">
                <w:rPr>
                  <w:rFonts w:eastAsia="Calibri"/>
                  <w:color w:val="0000FF"/>
                </w:rPr>
                <w:t>A/62/18</w:t>
              </w:r>
            </w:hyperlink>
            <w:r w:rsidRPr="00FB57E7">
              <w:rPr>
                <w:rFonts w:eastAsia="Calibri"/>
              </w:rPr>
              <w:t>)</w:t>
            </w:r>
          </w:p>
        </w:tc>
        <w:tc>
          <w:tcPr>
            <w:tcW w:w="1433" w:type="dxa"/>
            <w:shd w:val="clear" w:color="auto" w:fill="auto"/>
            <w:tcMar>
              <w:right w:w="113" w:type="dxa"/>
            </w:tcMar>
          </w:tcPr>
          <w:p w14:paraId="78F30D62" w14:textId="77777777" w:rsidR="00D830B2" w:rsidRPr="00FB57E7" w:rsidRDefault="00D830B2" w:rsidP="001A7E87">
            <w:pPr>
              <w:spacing w:before="40" w:after="120"/>
              <w:ind w:right="113"/>
              <w:rPr>
                <w:rFonts w:eastAsia="Calibri"/>
                <w:lang w:val="fr-FR"/>
              </w:rPr>
            </w:pPr>
          </w:p>
        </w:tc>
        <w:tc>
          <w:tcPr>
            <w:tcW w:w="1467" w:type="dxa"/>
            <w:shd w:val="clear" w:color="auto" w:fill="auto"/>
            <w:tcMar>
              <w:right w:w="113" w:type="dxa"/>
            </w:tcMar>
          </w:tcPr>
          <w:p w14:paraId="1F5560DD" w14:textId="77777777" w:rsidR="00D830B2" w:rsidRPr="00FB57E7" w:rsidRDefault="00D830B2" w:rsidP="001A7E87">
            <w:pPr>
              <w:spacing w:before="40" w:after="120"/>
              <w:ind w:right="113"/>
              <w:rPr>
                <w:rFonts w:eastAsia="Calibri"/>
                <w:lang w:val="fr-FR"/>
              </w:rPr>
            </w:pPr>
          </w:p>
        </w:tc>
        <w:tc>
          <w:tcPr>
            <w:tcW w:w="1279" w:type="dxa"/>
            <w:shd w:val="clear" w:color="auto" w:fill="auto"/>
            <w:tcMar>
              <w:right w:w="113" w:type="dxa"/>
            </w:tcMar>
          </w:tcPr>
          <w:p w14:paraId="2971C64B" w14:textId="77777777" w:rsidR="00D830B2" w:rsidRPr="00FB57E7" w:rsidRDefault="00D830B2" w:rsidP="001A7E87">
            <w:pPr>
              <w:spacing w:before="40" w:after="120"/>
              <w:ind w:right="113"/>
              <w:rPr>
                <w:rFonts w:eastAsia="Calibri"/>
                <w:lang w:val="fr-FR"/>
              </w:rPr>
            </w:pPr>
          </w:p>
        </w:tc>
        <w:tc>
          <w:tcPr>
            <w:tcW w:w="1389" w:type="dxa"/>
            <w:shd w:val="clear" w:color="auto" w:fill="auto"/>
            <w:tcMar>
              <w:right w:w="113" w:type="dxa"/>
            </w:tcMar>
          </w:tcPr>
          <w:p w14:paraId="0CD0F414" w14:textId="77777777" w:rsidR="00D830B2" w:rsidRPr="00FB57E7" w:rsidRDefault="00D830B2" w:rsidP="001A7E87">
            <w:pPr>
              <w:spacing w:before="40" w:after="120"/>
              <w:ind w:right="113"/>
              <w:rPr>
                <w:rFonts w:eastAsia="Calibri"/>
                <w:lang w:val="fr-FR"/>
              </w:rPr>
            </w:pPr>
            <w:r w:rsidRPr="00FB57E7">
              <w:rPr>
                <w:rFonts w:eastAsia="Calibri"/>
                <w:lang w:val="fr-FR"/>
              </w:rPr>
              <w:t>X</w:t>
            </w:r>
          </w:p>
        </w:tc>
      </w:tr>
      <w:tr w:rsidR="00D830B2" w:rsidRPr="00274A4B" w14:paraId="02BA5678" w14:textId="77777777" w:rsidTr="001A7E87">
        <w:trPr>
          <w:cantSplit/>
        </w:trPr>
        <w:tc>
          <w:tcPr>
            <w:tcW w:w="2234" w:type="dxa"/>
            <w:tcBorders>
              <w:bottom w:val="single" w:sz="12" w:space="0" w:color="auto"/>
            </w:tcBorders>
            <w:shd w:val="clear" w:color="auto" w:fill="auto"/>
            <w:tcMar>
              <w:right w:w="113" w:type="dxa"/>
            </w:tcMar>
          </w:tcPr>
          <w:p w14:paraId="27ACE3F8" w14:textId="77777777" w:rsidR="00D830B2" w:rsidRPr="00FB57E7" w:rsidRDefault="00D830B2" w:rsidP="001A7E87">
            <w:pPr>
              <w:spacing w:before="40" w:after="120"/>
              <w:ind w:right="113"/>
              <w:rPr>
                <w:rFonts w:eastAsia="Calibri"/>
              </w:rPr>
            </w:pPr>
          </w:p>
        </w:tc>
        <w:tc>
          <w:tcPr>
            <w:tcW w:w="3628" w:type="dxa"/>
            <w:tcBorders>
              <w:bottom w:val="single" w:sz="12" w:space="0" w:color="auto"/>
            </w:tcBorders>
            <w:shd w:val="clear" w:color="auto" w:fill="auto"/>
            <w:tcMar>
              <w:right w:w="113" w:type="dxa"/>
            </w:tcMar>
          </w:tcPr>
          <w:p w14:paraId="2EB26701" w14:textId="203F032D" w:rsidR="00D830B2" w:rsidRPr="00FB57E7" w:rsidRDefault="00D830B2" w:rsidP="001A7E87">
            <w:pPr>
              <w:spacing w:before="40" w:after="120"/>
              <w:ind w:right="113"/>
              <w:rPr>
                <w:rFonts w:eastAsia="Calibri"/>
              </w:rPr>
            </w:pPr>
            <w:r w:rsidRPr="00FB57E7">
              <w:rPr>
                <w:rFonts w:eastAsia="Calibri"/>
                <w:lang w:val="fr-FR"/>
              </w:rPr>
              <w:t>56/2014, V</w:t>
            </w:r>
            <w:r w:rsidR="00124804" w:rsidRPr="00FB57E7">
              <w:rPr>
                <w:rFonts w:eastAsia="Calibri"/>
                <w:lang w:val="fr-FR"/>
              </w:rPr>
              <w:t>.</w:t>
            </w:r>
            <w:r w:rsidR="00FB57E7">
              <w:rPr>
                <w:rFonts w:eastAsia="Calibri"/>
                <w:lang w:val="fr-FR"/>
              </w:rPr>
              <w:t> </w:t>
            </w:r>
            <w:r w:rsidRPr="00FB57E7">
              <w:rPr>
                <w:rFonts w:eastAsia="Calibri"/>
                <w:lang w:val="fr-FR"/>
              </w:rPr>
              <w:t>S</w:t>
            </w:r>
            <w:r w:rsidR="00124804" w:rsidRPr="00FB57E7">
              <w:rPr>
                <w:rFonts w:eastAsia="Calibri"/>
                <w:lang w:val="fr-FR"/>
              </w:rPr>
              <w:t>.</w:t>
            </w:r>
          </w:p>
        </w:tc>
        <w:tc>
          <w:tcPr>
            <w:tcW w:w="2344" w:type="dxa"/>
            <w:tcBorders>
              <w:bottom w:val="single" w:sz="12" w:space="0" w:color="auto"/>
            </w:tcBorders>
            <w:shd w:val="clear" w:color="auto" w:fill="auto"/>
            <w:tcMar>
              <w:right w:w="113" w:type="dxa"/>
            </w:tcMar>
          </w:tcPr>
          <w:p w14:paraId="0D2656E6" w14:textId="77777777" w:rsidR="00D830B2" w:rsidRPr="00FB57E7" w:rsidRDefault="00D830B2" w:rsidP="001A7E87">
            <w:pPr>
              <w:spacing w:before="40" w:after="120"/>
              <w:ind w:right="113"/>
              <w:rPr>
                <w:rFonts w:eastAsia="Calibri"/>
                <w:lang w:val="fr-FR"/>
              </w:rPr>
            </w:pPr>
            <w:r w:rsidRPr="00FB57E7">
              <w:rPr>
                <w:rFonts w:eastAsia="Calibri"/>
                <w:lang w:val="fr-FR"/>
              </w:rPr>
              <w:t>X (</w:t>
            </w:r>
            <w:hyperlink r:id="rId80" w:history="1">
              <w:r w:rsidRPr="00FB57E7">
                <w:rPr>
                  <w:rFonts w:eastAsia="Calibri"/>
                  <w:color w:val="0000FF"/>
                  <w:lang w:val="fr-FR"/>
                </w:rPr>
                <w:t>A/71/18</w:t>
              </w:r>
            </w:hyperlink>
            <w:r w:rsidRPr="00FB57E7">
              <w:rPr>
                <w:rFonts w:eastAsia="Calibri"/>
                <w:lang w:val="fr-FR"/>
              </w:rPr>
              <w:t>)</w:t>
            </w:r>
          </w:p>
          <w:p w14:paraId="12E07E9D" w14:textId="77777777" w:rsidR="00D830B2" w:rsidRPr="00FB57E7" w:rsidRDefault="00D830B2" w:rsidP="001A7E87">
            <w:pPr>
              <w:spacing w:before="40" w:after="120"/>
              <w:ind w:right="113"/>
              <w:rPr>
                <w:rFonts w:eastAsia="Calibri"/>
              </w:rPr>
            </w:pPr>
            <w:r w:rsidRPr="00FB57E7">
              <w:rPr>
                <w:rFonts w:eastAsia="Calibri"/>
                <w:lang w:val="fr-FR"/>
              </w:rPr>
              <w:t>9 mars 2016</w:t>
            </w:r>
          </w:p>
        </w:tc>
        <w:tc>
          <w:tcPr>
            <w:tcW w:w="1433" w:type="dxa"/>
            <w:tcBorders>
              <w:bottom w:val="single" w:sz="12" w:space="0" w:color="auto"/>
            </w:tcBorders>
            <w:shd w:val="clear" w:color="auto" w:fill="auto"/>
            <w:tcMar>
              <w:right w:w="113" w:type="dxa"/>
            </w:tcMar>
          </w:tcPr>
          <w:p w14:paraId="49660455" w14:textId="77777777" w:rsidR="00D830B2" w:rsidRPr="00FB57E7" w:rsidRDefault="00D830B2" w:rsidP="001A7E87">
            <w:pPr>
              <w:spacing w:before="40" w:after="120"/>
              <w:ind w:right="113"/>
              <w:rPr>
                <w:rFonts w:eastAsia="Calibri"/>
              </w:rPr>
            </w:pPr>
          </w:p>
        </w:tc>
        <w:tc>
          <w:tcPr>
            <w:tcW w:w="1467" w:type="dxa"/>
            <w:tcBorders>
              <w:bottom w:val="single" w:sz="12" w:space="0" w:color="auto"/>
            </w:tcBorders>
            <w:shd w:val="clear" w:color="auto" w:fill="auto"/>
            <w:tcMar>
              <w:right w:w="113" w:type="dxa"/>
            </w:tcMar>
          </w:tcPr>
          <w:p w14:paraId="69C10CAA" w14:textId="77777777" w:rsidR="00D830B2" w:rsidRPr="00FB57E7" w:rsidRDefault="00D830B2" w:rsidP="001A7E87">
            <w:pPr>
              <w:spacing w:before="40" w:after="120"/>
              <w:ind w:right="57"/>
              <w:rPr>
                <w:rFonts w:eastAsia="Calibri"/>
              </w:rPr>
            </w:pPr>
            <w:r w:rsidRPr="00FB57E7">
              <w:rPr>
                <w:rFonts w:eastAsia="Calibri"/>
                <w:lang w:val="fr-FR"/>
              </w:rPr>
              <w:t>X insatisfaisante</w:t>
            </w:r>
          </w:p>
        </w:tc>
        <w:tc>
          <w:tcPr>
            <w:tcW w:w="1279" w:type="dxa"/>
            <w:tcBorders>
              <w:bottom w:val="single" w:sz="12" w:space="0" w:color="auto"/>
            </w:tcBorders>
            <w:shd w:val="clear" w:color="auto" w:fill="auto"/>
            <w:tcMar>
              <w:right w:w="113" w:type="dxa"/>
            </w:tcMar>
          </w:tcPr>
          <w:p w14:paraId="2E0FC328" w14:textId="77777777" w:rsidR="00D830B2" w:rsidRPr="00FB57E7" w:rsidRDefault="00D830B2" w:rsidP="001A7E87">
            <w:pPr>
              <w:spacing w:before="40" w:after="120"/>
              <w:ind w:right="113"/>
              <w:rPr>
                <w:rFonts w:eastAsia="Calibri"/>
              </w:rPr>
            </w:pPr>
          </w:p>
        </w:tc>
        <w:tc>
          <w:tcPr>
            <w:tcW w:w="1389" w:type="dxa"/>
            <w:tcBorders>
              <w:bottom w:val="single" w:sz="12" w:space="0" w:color="auto"/>
            </w:tcBorders>
            <w:shd w:val="clear" w:color="auto" w:fill="auto"/>
            <w:tcMar>
              <w:right w:w="113" w:type="dxa"/>
            </w:tcMar>
          </w:tcPr>
          <w:p w14:paraId="2DBE9080" w14:textId="77777777" w:rsidR="00D830B2" w:rsidRPr="00FB57E7" w:rsidRDefault="00D830B2" w:rsidP="001A7E87">
            <w:pPr>
              <w:spacing w:before="40" w:after="120"/>
              <w:ind w:right="113"/>
              <w:rPr>
                <w:rFonts w:eastAsia="Calibri"/>
              </w:rPr>
            </w:pPr>
            <w:r w:rsidRPr="00FB57E7">
              <w:rPr>
                <w:rFonts w:eastAsia="Calibri"/>
              </w:rPr>
              <w:t>X</w:t>
            </w:r>
          </w:p>
        </w:tc>
      </w:tr>
    </w:tbl>
    <w:p w14:paraId="4193F683" w14:textId="77777777" w:rsidR="001A7E87" w:rsidRDefault="001A7E87" w:rsidP="00D830B2">
      <w:pPr>
        <w:pStyle w:val="SingleTxtG"/>
        <w:rPr>
          <w:lang w:val="fr-FR"/>
        </w:rPr>
        <w:sectPr w:rsidR="001A7E87" w:rsidSect="00D830B2">
          <w:headerReference w:type="even" r:id="rId81"/>
          <w:headerReference w:type="default" r:id="rId82"/>
          <w:footerReference w:type="even" r:id="rId83"/>
          <w:footerReference w:type="default" r:id="rId84"/>
          <w:endnotePr>
            <w:numFmt w:val="decimal"/>
          </w:endnotePr>
          <w:pgSz w:w="16840" w:h="11907" w:orient="landscape" w:code="9"/>
          <w:pgMar w:top="1134" w:right="1417" w:bottom="1134" w:left="1134" w:header="567" w:footer="567" w:gutter="0"/>
          <w:cols w:space="720"/>
          <w:docGrid w:linePitch="272"/>
        </w:sectPr>
      </w:pPr>
    </w:p>
    <w:p w14:paraId="6464CCEB" w14:textId="3A0159A5" w:rsidR="0089497C" w:rsidRPr="0089497C" w:rsidRDefault="0089497C" w:rsidP="00580407">
      <w:pPr>
        <w:pStyle w:val="HChG"/>
        <w:rPr>
          <w:lang w:val="fr-FR"/>
        </w:rPr>
      </w:pPr>
      <w:r w:rsidRPr="0089497C">
        <w:rPr>
          <w:lang w:val="fr-FR"/>
        </w:rPr>
        <w:tab/>
      </w:r>
      <w:bookmarkStart w:id="26" w:name="_Toc428794297"/>
      <w:bookmarkStart w:id="27" w:name="_Toc17361309"/>
      <w:r w:rsidRPr="0089497C">
        <w:rPr>
          <w:lang w:val="fr-FR"/>
        </w:rPr>
        <w:t>X</w:t>
      </w:r>
      <w:r w:rsidR="006A19EC" w:rsidRPr="006A19EC">
        <w:rPr>
          <w:lang w:val="fr-FR"/>
        </w:rPr>
        <w:t>.</w:t>
      </w:r>
      <w:r w:rsidRPr="0089497C">
        <w:rPr>
          <w:lang w:val="fr-FR"/>
        </w:rPr>
        <w:tab/>
        <w:t xml:space="preserve">Suite donnée à la Conférence mondiale contre le racisme, </w:t>
      </w:r>
      <w:r w:rsidR="00580407">
        <w:rPr>
          <w:lang w:val="fr-FR"/>
        </w:rPr>
        <w:br/>
      </w:r>
      <w:r w:rsidRPr="0089497C">
        <w:rPr>
          <w:lang w:val="fr-FR"/>
        </w:rPr>
        <w:t xml:space="preserve">la discrimination raciale, la xénophobie et l’intolérance </w:t>
      </w:r>
      <w:r w:rsidR="00580407">
        <w:rPr>
          <w:lang w:val="fr-FR"/>
        </w:rPr>
        <w:br/>
      </w:r>
      <w:r w:rsidRPr="0089497C">
        <w:rPr>
          <w:lang w:val="fr-FR"/>
        </w:rPr>
        <w:t>qui y est associée, et de la Conférence d’examen de Durban</w:t>
      </w:r>
      <w:bookmarkEnd w:id="26"/>
      <w:bookmarkEnd w:id="27"/>
    </w:p>
    <w:p w14:paraId="0A162F3D" w14:textId="1CE14B91" w:rsidR="0089497C" w:rsidRPr="0089497C" w:rsidRDefault="0089497C" w:rsidP="0089497C">
      <w:pPr>
        <w:pStyle w:val="SingleTxtG"/>
        <w:rPr>
          <w:lang w:val="fr-FR"/>
        </w:rPr>
      </w:pPr>
      <w:r w:rsidRPr="0089497C">
        <w:rPr>
          <w:lang w:val="fr-FR"/>
        </w:rPr>
        <w:t>6</w:t>
      </w:r>
      <w:r>
        <w:rPr>
          <w:lang w:val="fr-FR"/>
        </w:rPr>
        <w:t>9</w:t>
      </w:r>
      <w:r w:rsidR="006A19EC" w:rsidRPr="006A19EC">
        <w:rPr>
          <w:lang w:val="fr-FR"/>
        </w:rPr>
        <w:t>.</w:t>
      </w:r>
      <w:r w:rsidRPr="0089497C">
        <w:rPr>
          <w:lang w:val="fr-FR"/>
        </w:rPr>
        <w:tab/>
        <w:t>Le Comité a examiné la question de la suite donnée à la Conférence mondiale contre le racisme, la discrimination raciale, la xénophobie et l’intolérance qui y est associée et à la Conférence d’examen de Durban à ses quatre</w:t>
      </w:r>
      <w:r w:rsidRPr="0089497C">
        <w:rPr>
          <w:lang w:val="fr-FR"/>
        </w:rPr>
        <w:noBreakHyphen/>
        <w:t>vingt</w:t>
      </w:r>
      <w:r w:rsidRPr="0089497C">
        <w:rPr>
          <w:lang w:val="fr-FR"/>
        </w:rPr>
        <w:noBreakHyphen/>
        <w:t>dix</w:t>
      </w:r>
      <w:r w:rsidRPr="0089497C">
        <w:rPr>
          <w:lang w:val="fr-FR"/>
        </w:rPr>
        <w:noBreakHyphen/>
        <w:t>septième et quatre</w:t>
      </w:r>
      <w:r w:rsidRPr="0089497C">
        <w:rPr>
          <w:lang w:val="fr-FR"/>
        </w:rPr>
        <w:noBreakHyphen/>
        <w:t>vingt</w:t>
      </w:r>
      <w:r w:rsidRPr="0089497C">
        <w:rPr>
          <w:lang w:val="fr-FR"/>
        </w:rPr>
        <w:noBreakHyphen/>
        <w:t>dix-huitième sessions</w:t>
      </w:r>
      <w:r w:rsidR="006A19EC" w:rsidRPr="006A19EC">
        <w:rPr>
          <w:lang w:val="fr-FR"/>
        </w:rPr>
        <w:t>.</w:t>
      </w:r>
    </w:p>
    <w:p w14:paraId="101EDECD" w14:textId="65C711C3" w:rsidR="009555E8" w:rsidRDefault="0089497C" w:rsidP="0089497C">
      <w:pPr>
        <w:pStyle w:val="SingleTxtG"/>
        <w:rPr>
          <w:lang w:val="fr-FR"/>
        </w:rPr>
      </w:pPr>
      <w:r>
        <w:rPr>
          <w:lang w:val="fr-FR"/>
        </w:rPr>
        <w:t>70</w:t>
      </w:r>
      <w:r w:rsidR="006A19EC" w:rsidRPr="006A19EC">
        <w:rPr>
          <w:lang w:val="fr-FR"/>
        </w:rPr>
        <w:t>.</w:t>
      </w:r>
      <w:r w:rsidRPr="0089497C">
        <w:rPr>
          <w:lang w:val="fr-FR"/>
        </w:rPr>
        <w:tab/>
        <w:t>Le Président du Comité a prononcé un discours à la réunion organisée à New York, le 29 octobre 2018, par le Groupe de travail d’experts sur les personnes d’ascendance africaine, intitulée « Pour une déclaration sur la promotion et le respect des droits des personnes d’ascendance d’africaine »</w:t>
      </w:r>
      <w:r w:rsidR="006A19EC" w:rsidRPr="006A19EC">
        <w:rPr>
          <w:lang w:val="fr-FR"/>
        </w:rPr>
        <w:t>.</w:t>
      </w:r>
      <w:r w:rsidRPr="0089497C">
        <w:rPr>
          <w:lang w:val="fr-FR"/>
        </w:rPr>
        <w:t xml:space="preserve"> M</w:t>
      </w:r>
      <w:r w:rsidRPr="0089497C">
        <w:rPr>
          <w:vertAlign w:val="superscript"/>
          <w:lang w:val="fr-FR"/>
        </w:rPr>
        <w:t>me</w:t>
      </w:r>
      <w:r w:rsidRPr="0089497C">
        <w:rPr>
          <w:lang w:val="fr-FR"/>
        </w:rPr>
        <w:t> Shepherd a participé à un certain nombre de manifestations, notamment à la vingt</w:t>
      </w:r>
      <w:r w:rsidRPr="0089497C">
        <w:rPr>
          <w:lang w:val="fr-FR"/>
        </w:rPr>
        <w:noBreakHyphen/>
        <w:t>quatrième session du Groupe de travail d’experts sur les personnes d’ascendance africaine, qui s’est tenue à Genève, le 28 mars 2019, où elle est intervenue sur les questions de la collecte des données et de la justice sociale et raciale, et à un débat sur l’Instance permanente pour les personnes d’ascendance africaine, qui s’est tenu à Genève, le 10 mai 2019</w:t>
      </w:r>
      <w:r w:rsidR="006A19EC" w:rsidRPr="006A19EC">
        <w:rPr>
          <w:lang w:val="fr-FR"/>
        </w:rPr>
        <w:t>.</w:t>
      </w:r>
    </w:p>
    <w:p w14:paraId="0B561553" w14:textId="77777777" w:rsidR="00CD7CB4" w:rsidRDefault="00CD7CB4">
      <w:pPr>
        <w:suppressAutoHyphens w:val="0"/>
        <w:kinsoku/>
        <w:overflowPunct/>
        <w:autoSpaceDE/>
        <w:autoSpaceDN/>
        <w:adjustRightInd/>
        <w:snapToGrid/>
        <w:spacing w:line="240" w:lineRule="auto"/>
        <w:rPr>
          <w:lang w:val="fr-FR"/>
        </w:rPr>
      </w:pPr>
      <w:r>
        <w:rPr>
          <w:lang w:val="fr-FR"/>
        </w:rPr>
        <w:br w:type="page"/>
      </w:r>
    </w:p>
    <w:p w14:paraId="007CC322" w14:textId="4CCBB025" w:rsidR="00417A4C" w:rsidRPr="00417A4C" w:rsidRDefault="00417A4C" w:rsidP="008779A2">
      <w:pPr>
        <w:pStyle w:val="HChG"/>
        <w:rPr>
          <w:lang w:val="fr-FR"/>
        </w:rPr>
      </w:pPr>
      <w:bookmarkStart w:id="28" w:name="_Toc17361310"/>
      <w:r w:rsidRPr="00417A4C">
        <w:rPr>
          <w:lang w:val="fr-FR"/>
        </w:rPr>
        <w:tab/>
        <w:t>XI</w:t>
      </w:r>
      <w:r w:rsidR="006A19EC" w:rsidRPr="006A19EC">
        <w:rPr>
          <w:lang w:val="fr-FR"/>
        </w:rPr>
        <w:t>.</w:t>
      </w:r>
      <w:r w:rsidRPr="00417A4C">
        <w:rPr>
          <w:lang w:val="fr-FR"/>
        </w:rPr>
        <w:tab/>
        <w:t xml:space="preserve">Élaboration d’une recommandation générale </w:t>
      </w:r>
      <w:r w:rsidR="008779A2">
        <w:rPr>
          <w:lang w:val="fr-FR"/>
        </w:rPr>
        <w:br/>
      </w:r>
      <w:r w:rsidRPr="00417A4C">
        <w:rPr>
          <w:lang w:val="fr-FR"/>
        </w:rPr>
        <w:t xml:space="preserve">sur la prévention et l’élimination du profilage racial </w:t>
      </w:r>
      <w:bookmarkEnd w:id="28"/>
    </w:p>
    <w:p w14:paraId="4D56A8BF" w14:textId="2590FD8A" w:rsidR="00417A4C" w:rsidRPr="00417A4C" w:rsidRDefault="00417A4C" w:rsidP="00417A4C">
      <w:pPr>
        <w:pStyle w:val="SingleTxtG"/>
        <w:rPr>
          <w:b/>
          <w:lang w:val="fr-FR"/>
        </w:rPr>
      </w:pPr>
      <w:r w:rsidRPr="00417A4C">
        <w:rPr>
          <w:lang w:val="fr-FR"/>
        </w:rPr>
        <w:t>71</w:t>
      </w:r>
      <w:r w:rsidR="006A19EC" w:rsidRPr="006A19EC">
        <w:rPr>
          <w:lang w:val="fr-FR"/>
        </w:rPr>
        <w:t>.</w:t>
      </w:r>
      <w:r w:rsidRPr="00417A4C">
        <w:rPr>
          <w:lang w:val="fr-FR"/>
        </w:rPr>
        <w:tab/>
        <w:t xml:space="preserve">Comme suite au débat thématique d’une demi-journée qu’il a tenu le 27 novembre 2017 </w:t>
      </w:r>
      <w:r w:rsidR="005C3DD6">
        <w:rPr>
          <w:lang w:val="fr-FR"/>
        </w:rPr>
        <w:t xml:space="preserve">(quatre-vingt-quatorzième session) </w:t>
      </w:r>
      <w:r w:rsidRPr="00417A4C">
        <w:rPr>
          <w:lang w:val="fr-FR"/>
        </w:rPr>
        <w:t>sur le thème «</w:t>
      </w:r>
      <w:r w:rsidR="004B287D">
        <w:rPr>
          <w:lang w:val="fr-FR"/>
        </w:rPr>
        <w:t> </w:t>
      </w:r>
      <w:r w:rsidRPr="00417A4C">
        <w:rPr>
          <w:lang w:val="fr-FR"/>
        </w:rPr>
        <w:t>La discrimination raciale dans le monde d’aujourd’hui</w:t>
      </w:r>
      <w:r w:rsidR="004B287D">
        <w:rPr>
          <w:lang w:val="fr-FR"/>
        </w:rPr>
        <w:t> </w:t>
      </w:r>
      <w:r w:rsidRPr="00417A4C">
        <w:rPr>
          <w:lang w:val="fr-FR"/>
        </w:rPr>
        <w:t>: profilage racial, nettoyage ethnique et problèmes et défis actuels à l’échelon mondial</w:t>
      </w:r>
      <w:r w:rsidR="004B287D">
        <w:rPr>
          <w:lang w:val="fr-FR"/>
        </w:rPr>
        <w:t> </w:t>
      </w:r>
      <w:r w:rsidRPr="00417A4C">
        <w:rPr>
          <w:lang w:val="fr-FR"/>
        </w:rPr>
        <w:t>», le Comité a décidé, à sa quatre-vingt-dix-septième session, d’élaborer une recommandation générale sur la prévention et l’élimination du profilage racial</w:t>
      </w:r>
      <w:r w:rsidR="006A19EC" w:rsidRPr="006A19EC">
        <w:rPr>
          <w:lang w:val="fr-FR"/>
        </w:rPr>
        <w:t>.</w:t>
      </w:r>
      <w:r w:rsidRPr="00417A4C">
        <w:rPr>
          <w:lang w:val="fr-FR"/>
        </w:rPr>
        <w:t xml:space="preserve"> Il a nommé M</w:t>
      </w:r>
      <w:r w:rsidR="006A19EC" w:rsidRPr="006A19EC">
        <w:rPr>
          <w:lang w:val="fr-FR"/>
        </w:rPr>
        <w:t>.</w:t>
      </w:r>
      <w:r w:rsidRPr="00417A4C">
        <w:rPr>
          <w:lang w:val="fr-FR"/>
        </w:rPr>
        <w:t xml:space="preserve"> Murillo Martínez </w:t>
      </w:r>
      <w:r w:rsidR="005C3DD6">
        <w:rPr>
          <w:lang w:val="fr-FR"/>
        </w:rPr>
        <w:t>R</w:t>
      </w:r>
      <w:r w:rsidRPr="00417A4C">
        <w:rPr>
          <w:lang w:val="fr-FR"/>
        </w:rPr>
        <w:t>apporteur pour la recommandation générale et constitué un groupe de rédaction informel à composition non limitée chargé d’assister le rapporteur</w:t>
      </w:r>
      <w:r w:rsidR="006A19EC" w:rsidRPr="006A19EC">
        <w:rPr>
          <w:lang w:val="fr-FR"/>
        </w:rPr>
        <w:t>.</w:t>
      </w:r>
      <w:r w:rsidRPr="00417A4C">
        <w:rPr>
          <w:lang w:val="fr-FR"/>
        </w:rPr>
        <w:t xml:space="preserve"> </w:t>
      </w:r>
    </w:p>
    <w:p w14:paraId="1094867A" w14:textId="63AC0A51" w:rsidR="00417A4C" w:rsidRPr="00417A4C" w:rsidRDefault="00417A4C" w:rsidP="00417A4C">
      <w:pPr>
        <w:pStyle w:val="SingleTxtG"/>
        <w:rPr>
          <w:lang w:val="fr-FR"/>
        </w:rPr>
      </w:pPr>
      <w:r w:rsidRPr="00417A4C">
        <w:rPr>
          <w:lang w:val="fr-FR"/>
        </w:rPr>
        <w:t>72</w:t>
      </w:r>
      <w:r w:rsidR="006A19EC" w:rsidRPr="006A19EC">
        <w:rPr>
          <w:lang w:val="fr-FR"/>
        </w:rPr>
        <w:t>.</w:t>
      </w:r>
      <w:r w:rsidRPr="00417A4C">
        <w:rPr>
          <w:lang w:val="fr-FR"/>
        </w:rPr>
        <w:tab/>
        <w:t>À sa quatre-vingt-dix-huitième session, le Comité a adopté un premier projet de recommandation générale et décidé de le communiquer aux parties prenantes et de solliciter leurs contributions</w:t>
      </w:r>
      <w:r w:rsidR="006A19EC" w:rsidRPr="006A19EC">
        <w:rPr>
          <w:lang w:val="fr-FR"/>
        </w:rPr>
        <w:t>.</w:t>
      </w:r>
      <w:r w:rsidRPr="00417A4C">
        <w:rPr>
          <w:lang w:val="fr-FR"/>
        </w:rPr>
        <w:t xml:space="preserve"> Il a également décidé de poursuivre la rédaction à des sessions ultérieures, en particulier à ses quatre-vingt-dix-neuvième et centième sessions</w:t>
      </w:r>
      <w:r w:rsidR="006A19EC" w:rsidRPr="006A19EC">
        <w:rPr>
          <w:lang w:val="fr-FR"/>
        </w:rPr>
        <w:t>.</w:t>
      </w:r>
      <w:r w:rsidRPr="00417A4C">
        <w:rPr>
          <w:lang w:val="fr-FR"/>
        </w:rPr>
        <w:t xml:space="preserve"> </w:t>
      </w:r>
    </w:p>
    <w:p w14:paraId="2CF7A228" w14:textId="77777777" w:rsidR="00417A4C" w:rsidRPr="00417A4C" w:rsidRDefault="00417A4C" w:rsidP="00417A4C">
      <w:pPr>
        <w:pStyle w:val="SingleTxtG"/>
        <w:rPr>
          <w:lang w:val="fr-FR"/>
        </w:rPr>
      </w:pPr>
      <w:r w:rsidRPr="00417A4C">
        <w:rPr>
          <w:lang w:val="fr-FR"/>
        </w:rPr>
        <w:br w:type="page"/>
      </w:r>
    </w:p>
    <w:p w14:paraId="331495F9" w14:textId="66176F63" w:rsidR="00417A4C" w:rsidRPr="00417A4C" w:rsidRDefault="00390B56" w:rsidP="00390B56">
      <w:pPr>
        <w:pStyle w:val="HChG"/>
        <w:rPr>
          <w:lang w:val="fr-FR"/>
        </w:rPr>
      </w:pPr>
      <w:r>
        <w:rPr>
          <w:lang w:val="fr-FR"/>
        </w:rPr>
        <w:tab/>
      </w:r>
      <w:r w:rsidR="00417A4C" w:rsidRPr="00417A4C">
        <w:rPr>
          <w:lang w:val="fr-FR"/>
        </w:rPr>
        <w:t>XII</w:t>
      </w:r>
      <w:r w:rsidR="006A19EC" w:rsidRPr="006A19EC">
        <w:rPr>
          <w:lang w:val="fr-FR"/>
        </w:rPr>
        <w:t>.</w:t>
      </w:r>
      <w:r w:rsidR="00417A4C" w:rsidRPr="00417A4C">
        <w:rPr>
          <w:lang w:val="fr-FR"/>
        </w:rPr>
        <w:tab/>
        <w:t>Sixième réunion informelle avec les États parties</w:t>
      </w:r>
      <w:bookmarkStart w:id="29" w:name="_Toc17361311"/>
      <w:bookmarkEnd w:id="29"/>
    </w:p>
    <w:p w14:paraId="37CA4933" w14:textId="25EBCF44" w:rsidR="00417A4C" w:rsidRPr="00417A4C" w:rsidRDefault="00417A4C" w:rsidP="00417A4C">
      <w:pPr>
        <w:pStyle w:val="SingleTxtG"/>
        <w:rPr>
          <w:lang w:val="fr-FR"/>
        </w:rPr>
      </w:pPr>
      <w:r w:rsidRPr="00417A4C">
        <w:rPr>
          <w:lang w:val="fr-FR"/>
        </w:rPr>
        <w:t>73</w:t>
      </w:r>
      <w:r w:rsidR="006A19EC" w:rsidRPr="006A19EC">
        <w:rPr>
          <w:lang w:val="fr-FR"/>
        </w:rPr>
        <w:t>.</w:t>
      </w:r>
      <w:r w:rsidRPr="00417A4C">
        <w:rPr>
          <w:lang w:val="fr-FR"/>
        </w:rPr>
        <w:tab/>
        <w:t>Le 7 décembre 2018, le Comité a tenu sa sixième réunion informelle avec les États parties à la Convention</w:t>
      </w:r>
      <w:r w:rsidR="006A19EC" w:rsidRPr="006A19EC">
        <w:rPr>
          <w:lang w:val="fr-FR"/>
        </w:rPr>
        <w:t>.</w:t>
      </w:r>
      <w:r w:rsidRPr="00417A4C">
        <w:rPr>
          <w:lang w:val="fr-FR"/>
        </w:rPr>
        <w:t xml:space="preserve"> Des représentants de 61 États parties y ont assisté</w:t>
      </w:r>
      <w:r w:rsidR="006A19EC" w:rsidRPr="006A19EC">
        <w:rPr>
          <w:lang w:val="fr-FR"/>
        </w:rPr>
        <w:t>.</w:t>
      </w:r>
      <w:r w:rsidRPr="00417A4C">
        <w:rPr>
          <w:lang w:val="fr-FR"/>
        </w:rPr>
        <w:t xml:space="preserve"> Les participants ont échangé des vues sur les trois questions suivantes :</w:t>
      </w:r>
      <w:r w:rsidR="00086245">
        <w:rPr>
          <w:lang w:val="fr-FR"/>
        </w:rPr>
        <w:t xml:space="preserve"> </w:t>
      </w:r>
      <w:r w:rsidRPr="00417A4C">
        <w:rPr>
          <w:lang w:val="fr-FR"/>
        </w:rPr>
        <w:t xml:space="preserve">a) l’examen de l’ensemble des organes conventionnels des droits de l’homme prévu par le paragraphe 41 de la résolution </w:t>
      </w:r>
      <w:hyperlink r:id="rId85" w:history="1">
        <w:r w:rsidRPr="00417A4C">
          <w:rPr>
            <w:rStyle w:val="Lienhypertexte"/>
            <w:lang w:val="fr-FR"/>
          </w:rPr>
          <w:t>68/268</w:t>
        </w:r>
      </w:hyperlink>
      <w:r w:rsidRPr="00417A4C">
        <w:rPr>
          <w:lang w:val="fr-FR"/>
        </w:rPr>
        <w:t xml:space="preserve"> de l’Assemblée générale, en date du 9 avril 2014 ; b) les mesures prises par les États parties</w:t>
      </w:r>
      <w:r w:rsidR="001E77AC">
        <w:rPr>
          <w:lang w:val="fr-FR"/>
        </w:rPr>
        <w:t xml:space="preserve"> </w:t>
      </w:r>
      <w:r w:rsidRPr="00417A4C">
        <w:rPr>
          <w:lang w:val="fr-FR"/>
        </w:rPr>
        <w:t xml:space="preserve">en application des recommandations du Comité ; c) les nouvelles manifestations du racisme, la résurgence d’un extrémisme vecteur de discrimination raciale et les mesures qui peuvent être prises pour lutter contre ces problèmes (voir </w:t>
      </w:r>
      <w:hyperlink r:id="rId86" w:history="1">
        <w:r w:rsidRPr="00417A4C">
          <w:rPr>
            <w:rStyle w:val="Lienhypertexte"/>
            <w:lang w:val="fr-FR"/>
          </w:rPr>
          <w:t>CERD/C/SR</w:t>
        </w:r>
        <w:r w:rsidR="006A19EC" w:rsidRPr="006A19EC">
          <w:rPr>
            <w:rStyle w:val="Lienhypertexte"/>
            <w:lang w:val="fr-FR"/>
          </w:rPr>
          <w:t>.</w:t>
        </w:r>
        <w:r w:rsidRPr="00417A4C">
          <w:rPr>
            <w:rStyle w:val="Lienhypertexte"/>
            <w:lang w:val="fr-FR"/>
          </w:rPr>
          <w:t>2698</w:t>
        </w:r>
      </w:hyperlink>
      <w:r w:rsidRPr="00417A4C">
        <w:rPr>
          <w:lang w:val="fr-FR"/>
        </w:rPr>
        <w:t>)</w:t>
      </w:r>
      <w:r w:rsidR="006A19EC" w:rsidRPr="006A19EC">
        <w:rPr>
          <w:lang w:val="fr-FR"/>
        </w:rPr>
        <w:t>.</w:t>
      </w:r>
    </w:p>
    <w:p w14:paraId="6666F7E6" w14:textId="77777777" w:rsidR="00417A4C" w:rsidRPr="00417A4C" w:rsidRDefault="00417A4C" w:rsidP="00417A4C">
      <w:pPr>
        <w:pStyle w:val="SingleTxtG"/>
        <w:rPr>
          <w:lang w:val="fr-FR"/>
        </w:rPr>
      </w:pPr>
      <w:r w:rsidRPr="00417A4C">
        <w:rPr>
          <w:lang w:val="fr-FR"/>
        </w:rPr>
        <w:br w:type="page"/>
      </w:r>
    </w:p>
    <w:p w14:paraId="1741329C" w14:textId="2BAA3E0B" w:rsidR="00417A4C" w:rsidRPr="00417A4C" w:rsidRDefault="00417A4C" w:rsidP="0002210C">
      <w:pPr>
        <w:pStyle w:val="HChG"/>
        <w:rPr>
          <w:lang w:val="fr-FR"/>
        </w:rPr>
      </w:pPr>
      <w:r w:rsidRPr="00417A4C">
        <w:rPr>
          <w:lang w:val="fr-FR"/>
        </w:rPr>
        <w:tab/>
        <w:t>XIII</w:t>
      </w:r>
      <w:r w:rsidR="006A19EC" w:rsidRPr="006A19EC">
        <w:rPr>
          <w:lang w:val="fr-FR"/>
        </w:rPr>
        <w:t>.</w:t>
      </w:r>
      <w:r w:rsidRPr="00417A4C">
        <w:rPr>
          <w:lang w:val="fr-FR"/>
        </w:rPr>
        <w:tab/>
        <w:t>Débat sur le renforcement des organes conventionnels</w:t>
      </w:r>
      <w:bookmarkStart w:id="30" w:name="_Toc17361312"/>
      <w:bookmarkEnd w:id="30"/>
    </w:p>
    <w:p w14:paraId="3B3F4E68" w14:textId="467F70A7" w:rsidR="00417A4C" w:rsidRPr="00417A4C" w:rsidRDefault="00417A4C" w:rsidP="00417A4C">
      <w:pPr>
        <w:pStyle w:val="SingleTxtG"/>
        <w:rPr>
          <w:lang w:val="fr-FR"/>
        </w:rPr>
      </w:pPr>
      <w:r w:rsidRPr="00417A4C">
        <w:rPr>
          <w:lang w:val="fr-FR"/>
        </w:rPr>
        <w:t>74</w:t>
      </w:r>
      <w:r w:rsidR="006A19EC" w:rsidRPr="006A19EC">
        <w:rPr>
          <w:lang w:val="fr-FR"/>
        </w:rPr>
        <w:t>.</w:t>
      </w:r>
      <w:r w:rsidRPr="00417A4C">
        <w:rPr>
          <w:lang w:val="fr-FR"/>
        </w:rPr>
        <w:tab/>
        <w:t xml:space="preserve">À sa quatre-vingt-seizième session, le Comité a examiné les diverses recommandations que l’Assemblée générale avait formulées dans sa résolution </w:t>
      </w:r>
      <w:hyperlink r:id="rId87" w:history="1">
        <w:r w:rsidRPr="00417A4C">
          <w:rPr>
            <w:rStyle w:val="Lienhypertexte"/>
            <w:lang w:val="fr-FR"/>
          </w:rPr>
          <w:t>68/268</w:t>
        </w:r>
      </w:hyperlink>
      <w:r w:rsidRPr="00417A4C">
        <w:rPr>
          <w:lang w:val="fr-FR"/>
        </w:rPr>
        <w:t>, du 9</w:t>
      </w:r>
      <w:r w:rsidR="001E32CA">
        <w:rPr>
          <w:lang w:val="fr-FR"/>
        </w:rPr>
        <w:t> </w:t>
      </w:r>
      <w:r w:rsidRPr="00417A4C">
        <w:rPr>
          <w:lang w:val="fr-FR"/>
        </w:rPr>
        <w:t>avril 2014, sur le renforcement et l’amélioration du fonctionnement de l’ensemble des organes conventionnels des droits de l’homme, et nommé M</w:t>
      </w:r>
      <w:r w:rsidR="006A19EC" w:rsidRPr="006A19EC">
        <w:rPr>
          <w:lang w:val="fr-FR"/>
        </w:rPr>
        <w:t>.</w:t>
      </w:r>
      <w:r w:rsidRPr="00417A4C">
        <w:rPr>
          <w:lang w:val="fr-FR"/>
        </w:rPr>
        <w:t> Albuquerque e Silva coordonnateur chargé du suivi de cette question</w:t>
      </w:r>
      <w:r w:rsidR="006A19EC" w:rsidRPr="006A19EC">
        <w:rPr>
          <w:lang w:val="fr-FR"/>
        </w:rPr>
        <w:t>.</w:t>
      </w:r>
      <w:r w:rsidRPr="00417A4C">
        <w:rPr>
          <w:lang w:val="fr-FR"/>
        </w:rPr>
        <w:t xml:space="preserve"> </w:t>
      </w:r>
    </w:p>
    <w:p w14:paraId="06AFCD6B" w14:textId="4F3D0E12" w:rsidR="00417A4C" w:rsidRPr="00417A4C" w:rsidRDefault="00417A4C" w:rsidP="00417A4C">
      <w:pPr>
        <w:pStyle w:val="SingleTxtG"/>
        <w:rPr>
          <w:lang w:val="fr-FR"/>
        </w:rPr>
      </w:pPr>
      <w:r w:rsidRPr="00417A4C">
        <w:rPr>
          <w:lang w:val="fr-FR"/>
        </w:rPr>
        <w:t>75</w:t>
      </w:r>
      <w:r w:rsidR="006A19EC" w:rsidRPr="006A19EC">
        <w:rPr>
          <w:lang w:val="fr-FR"/>
        </w:rPr>
        <w:t>.</w:t>
      </w:r>
      <w:r w:rsidRPr="00417A4C">
        <w:rPr>
          <w:lang w:val="fr-FR"/>
        </w:rPr>
        <w:tab/>
        <w:t xml:space="preserve"> À sa quatre-vingt-dix-septième session, le Comité a débattu des moyens par lesquels il pourrait contribuer pleinement à l’examen de l’ensemble des organes conventionnels</w:t>
      </w:r>
      <w:r w:rsidR="006A19EC" w:rsidRPr="006A19EC">
        <w:rPr>
          <w:lang w:val="fr-FR"/>
        </w:rPr>
        <w:t>.</w:t>
      </w:r>
      <w:r w:rsidRPr="00417A4C">
        <w:rPr>
          <w:lang w:val="fr-FR"/>
        </w:rPr>
        <w:t xml:space="preserve"> À la suite de la démission de M</w:t>
      </w:r>
      <w:r w:rsidR="006A19EC" w:rsidRPr="006A19EC">
        <w:rPr>
          <w:lang w:val="fr-FR"/>
        </w:rPr>
        <w:t>.</w:t>
      </w:r>
      <w:r w:rsidRPr="00417A4C">
        <w:rPr>
          <w:lang w:val="fr-FR"/>
        </w:rPr>
        <w:t> Albuquerque e Silva, il a désigné M</w:t>
      </w:r>
      <w:r w:rsidR="006A19EC" w:rsidRPr="006A19EC">
        <w:rPr>
          <w:lang w:val="fr-FR"/>
        </w:rPr>
        <w:t>.</w:t>
      </w:r>
      <w:r w:rsidRPr="00417A4C">
        <w:rPr>
          <w:lang w:val="fr-FR"/>
        </w:rPr>
        <w:t> Avtonomov et M</w:t>
      </w:r>
      <w:r w:rsidRPr="00417A4C">
        <w:rPr>
          <w:vertAlign w:val="superscript"/>
          <w:lang w:val="fr-FR"/>
        </w:rPr>
        <w:t>me</w:t>
      </w:r>
      <w:r w:rsidRPr="00417A4C">
        <w:rPr>
          <w:lang w:val="fr-FR"/>
        </w:rPr>
        <w:t> Chung coordonnateurs</w:t>
      </w:r>
      <w:r w:rsidR="006A19EC" w:rsidRPr="006A19EC">
        <w:rPr>
          <w:lang w:val="fr-FR"/>
        </w:rPr>
        <w:t>.</w:t>
      </w:r>
      <w:r w:rsidRPr="00417A4C">
        <w:rPr>
          <w:lang w:val="fr-FR"/>
        </w:rPr>
        <w:t xml:space="preserve"> </w:t>
      </w:r>
    </w:p>
    <w:p w14:paraId="216828FC" w14:textId="4499EF50" w:rsidR="001A7E87" w:rsidRDefault="00417A4C" w:rsidP="00417A4C">
      <w:pPr>
        <w:pStyle w:val="SingleTxtG"/>
        <w:rPr>
          <w:lang w:val="fr-FR"/>
        </w:rPr>
      </w:pPr>
      <w:r w:rsidRPr="00417A4C">
        <w:rPr>
          <w:lang w:val="fr-FR"/>
        </w:rPr>
        <w:t>76</w:t>
      </w:r>
      <w:r w:rsidR="006A19EC" w:rsidRPr="006A19EC">
        <w:rPr>
          <w:lang w:val="fr-FR"/>
        </w:rPr>
        <w:t>.</w:t>
      </w:r>
      <w:r w:rsidRPr="00417A4C">
        <w:rPr>
          <w:lang w:val="fr-FR"/>
        </w:rPr>
        <w:tab/>
        <w:t>À la quatre-vingt-dix-huitième session du Comité, les deux coordonnateurs ont présenté des projets d’exposé de position, sur lesquels le Comité s’est fondé pour arrêter ses vues au sujet de l’examen de l’ensemble des organes conventionnels</w:t>
      </w:r>
      <w:r w:rsidR="006A19EC" w:rsidRPr="006A19EC">
        <w:rPr>
          <w:lang w:val="fr-FR"/>
        </w:rPr>
        <w:t>.</w:t>
      </w:r>
    </w:p>
    <w:p w14:paraId="33F91E58" w14:textId="77777777" w:rsidR="00417A4C" w:rsidRDefault="00417A4C" w:rsidP="001E32CA">
      <w:pPr>
        <w:pStyle w:val="SingleTxtG"/>
        <w:rPr>
          <w:lang w:val="fr-FR"/>
        </w:rPr>
      </w:pPr>
      <w:r>
        <w:rPr>
          <w:lang w:val="fr-FR"/>
        </w:rPr>
        <w:br w:type="page"/>
      </w:r>
    </w:p>
    <w:p w14:paraId="770DE4CA" w14:textId="77777777" w:rsidR="00417A4C" w:rsidRPr="00417A4C" w:rsidRDefault="00417A4C" w:rsidP="003D1FFC">
      <w:pPr>
        <w:pStyle w:val="HChG"/>
        <w:rPr>
          <w:lang w:val="fr-FR"/>
        </w:rPr>
      </w:pPr>
      <w:bookmarkStart w:id="31" w:name="_Toc428794305"/>
      <w:r w:rsidRPr="00417A4C">
        <w:rPr>
          <w:lang w:val="fr-FR"/>
        </w:rPr>
        <w:t>Annexe I</w:t>
      </w:r>
      <w:bookmarkStart w:id="32" w:name="_Toc17361313"/>
      <w:bookmarkEnd w:id="31"/>
      <w:bookmarkEnd w:id="32"/>
    </w:p>
    <w:p w14:paraId="6B0F1CE1" w14:textId="77777777" w:rsidR="00417A4C" w:rsidRPr="00417A4C" w:rsidRDefault="00417A4C" w:rsidP="003D1FFC">
      <w:pPr>
        <w:pStyle w:val="HChG"/>
        <w:rPr>
          <w:lang w:val="fr-FR"/>
        </w:rPr>
      </w:pPr>
      <w:r w:rsidRPr="00417A4C">
        <w:rPr>
          <w:lang w:val="fr-FR"/>
        </w:rPr>
        <w:tab/>
      </w:r>
      <w:r w:rsidRPr="00417A4C">
        <w:rPr>
          <w:lang w:val="fr-FR"/>
        </w:rPr>
        <w:tab/>
        <w:t xml:space="preserve">Renseignements sur la suite donnée aux communications pour lesquelles le Comité a adopté des recommandations </w:t>
      </w:r>
      <w:bookmarkStart w:id="33" w:name="_Toc428794306"/>
      <w:bookmarkStart w:id="34" w:name="_Toc17361314"/>
      <w:bookmarkEnd w:id="33"/>
      <w:bookmarkEnd w:id="34"/>
    </w:p>
    <w:p w14:paraId="3DD3DB8D" w14:textId="69F81BD2" w:rsidR="00417A4C" w:rsidRPr="00417A4C" w:rsidRDefault="00417A4C" w:rsidP="00417A4C">
      <w:pPr>
        <w:pStyle w:val="SingleTxtG"/>
        <w:rPr>
          <w:lang w:val="fr-FR"/>
        </w:rPr>
      </w:pPr>
      <w:r w:rsidRPr="00417A4C">
        <w:rPr>
          <w:lang w:val="fr-FR"/>
        </w:rPr>
        <w:t>1</w:t>
      </w:r>
      <w:r w:rsidR="006A19EC" w:rsidRPr="006A19EC">
        <w:rPr>
          <w:lang w:val="fr-FR"/>
        </w:rPr>
        <w:t>.</w:t>
      </w:r>
      <w:r w:rsidRPr="00417A4C">
        <w:rPr>
          <w:lang w:val="fr-FR"/>
        </w:rPr>
        <w:tab/>
        <w:t xml:space="preserve">On trouvera dans la présente annexe une synthèse des renseignements sur la suite donnée aux communications individuelles que le Comité </w:t>
      </w:r>
      <w:r w:rsidR="002F3A04">
        <w:rPr>
          <w:lang w:val="fr-FR"/>
        </w:rPr>
        <w:t>a</w:t>
      </w:r>
      <w:r w:rsidRPr="00417A4C">
        <w:rPr>
          <w:lang w:val="fr-FR"/>
        </w:rPr>
        <w:t xml:space="preserve"> reçus depuis la parution du précédent rapport annuel</w:t>
      </w:r>
      <w:r w:rsidRPr="00417A4C">
        <w:rPr>
          <w:rStyle w:val="Appelnotedebasdep"/>
          <w:lang w:val="en-GB"/>
        </w:rPr>
        <w:footnoteReference w:id="13"/>
      </w:r>
      <w:r w:rsidRPr="00417A4C">
        <w:rPr>
          <w:lang w:val="fr-FR"/>
        </w:rPr>
        <w:t>, ainsi que les décisions que le Comité a prises concernant ces réponses</w:t>
      </w:r>
      <w:r w:rsidR="006A19EC" w:rsidRPr="006A19EC">
        <w:rPr>
          <w:lang w:val="fr-FR"/>
        </w:rPr>
        <w:t>.</w:t>
      </w:r>
    </w:p>
    <w:p w14:paraId="039A74C9" w14:textId="77777777" w:rsidR="00417A4C" w:rsidRPr="00417A4C" w:rsidRDefault="00417A4C" w:rsidP="003D1FFC">
      <w:pPr>
        <w:pStyle w:val="H1G"/>
        <w:rPr>
          <w:lang w:val="fr-FR"/>
        </w:rPr>
      </w:pPr>
      <w:r w:rsidRPr="00417A4C">
        <w:rPr>
          <w:lang w:val="fr-FR"/>
        </w:rPr>
        <w:tab/>
      </w:r>
      <w:r w:rsidRPr="00417A4C">
        <w:rPr>
          <w:lang w:val="fr-FR"/>
        </w:rPr>
        <w:tab/>
        <w:t>France</w:t>
      </w:r>
    </w:p>
    <w:p w14:paraId="577EFE36" w14:textId="77777777" w:rsidR="00417A4C" w:rsidRPr="00417A4C" w:rsidRDefault="00417A4C" w:rsidP="003D1FFC">
      <w:pPr>
        <w:pStyle w:val="H23G"/>
        <w:rPr>
          <w:lang w:val="fr-FR"/>
        </w:rPr>
      </w:pPr>
      <w:r w:rsidRPr="00417A4C">
        <w:rPr>
          <w:lang w:val="fr-FR"/>
        </w:rPr>
        <w:tab/>
      </w:r>
      <w:r w:rsidRPr="00417A4C">
        <w:rPr>
          <w:lang w:val="fr-FR"/>
        </w:rPr>
        <w:tab/>
        <w:t>Gabre Gabaroum, opinion n</w:t>
      </w:r>
      <w:r w:rsidRPr="00417A4C">
        <w:rPr>
          <w:vertAlign w:val="superscript"/>
          <w:lang w:val="fr-FR"/>
        </w:rPr>
        <w:t>o</w:t>
      </w:r>
      <w:r w:rsidRPr="00417A4C">
        <w:rPr>
          <w:lang w:val="fr-FR"/>
        </w:rPr>
        <w:t xml:space="preserve"> 52/2012, adoptée le 10 mai 2016</w:t>
      </w:r>
    </w:p>
    <w:p w14:paraId="3DEB4A7D" w14:textId="77777777" w:rsidR="00417A4C" w:rsidRPr="00417A4C" w:rsidRDefault="00417A4C" w:rsidP="003D1FFC">
      <w:pPr>
        <w:pStyle w:val="H23G"/>
        <w:rPr>
          <w:lang w:val="fr-FR"/>
        </w:rPr>
      </w:pPr>
      <w:r w:rsidRPr="00417A4C">
        <w:rPr>
          <w:lang w:val="fr-FR"/>
        </w:rPr>
        <w:tab/>
      </w:r>
      <w:r w:rsidRPr="00417A4C">
        <w:rPr>
          <w:lang w:val="fr-FR"/>
        </w:rPr>
        <w:tab/>
        <w:t>Questions soulevées et violations constatées</w:t>
      </w:r>
    </w:p>
    <w:p w14:paraId="06957455" w14:textId="57704742" w:rsidR="00417A4C" w:rsidRPr="00417A4C" w:rsidRDefault="00417A4C" w:rsidP="00417A4C">
      <w:pPr>
        <w:pStyle w:val="SingleTxtG"/>
        <w:rPr>
          <w:lang w:val="fr-FR"/>
        </w:rPr>
      </w:pPr>
      <w:r w:rsidRPr="00417A4C">
        <w:rPr>
          <w:lang w:val="fr-FR"/>
        </w:rPr>
        <w:t>2</w:t>
      </w:r>
      <w:r w:rsidR="006A19EC" w:rsidRPr="006A19EC">
        <w:rPr>
          <w:lang w:val="fr-FR"/>
        </w:rPr>
        <w:t>.</w:t>
      </w:r>
      <w:r w:rsidRPr="00417A4C">
        <w:rPr>
          <w:lang w:val="fr-FR"/>
        </w:rPr>
        <w:tab/>
        <w:t>La question dont le Comité était saisi était l’absence de mesures efficaces destinées à combattre la tendance d’une société à déconsidérer les Français d’origine africaine et à les réduire à des stéréotypes</w:t>
      </w:r>
      <w:r w:rsidR="001E77AC">
        <w:rPr>
          <w:lang w:val="fr-FR"/>
        </w:rPr>
        <w:t xml:space="preserve"> </w:t>
      </w:r>
      <w:r w:rsidRPr="00417A4C">
        <w:rPr>
          <w:lang w:val="fr-FR"/>
        </w:rPr>
        <w:t>liés à la couleur de leur peau ou à leur origine nationale, ethnique ou raciale</w:t>
      </w:r>
      <w:r w:rsidR="006A19EC" w:rsidRPr="006A19EC">
        <w:rPr>
          <w:lang w:val="fr-FR"/>
        </w:rPr>
        <w:t>.</w:t>
      </w:r>
      <w:r w:rsidRPr="00417A4C">
        <w:rPr>
          <w:lang w:val="fr-FR"/>
        </w:rPr>
        <w:t xml:space="preserve"> Le Comité a conclu à une violation de l’article 2 de la Convention</w:t>
      </w:r>
      <w:r w:rsidR="006A19EC" w:rsidRPr="006A19EC">
        <w:rPr>
          <w:lang w:val="fr-FR"/>
        </w:rPr>
        <w:t>.</w:t>
      </w:r>
      <w:r w:rsidRPr="00417A4C">
        <w:rPr>
          <w:lang w:val="fr-FR"/>
        </w:rPr>
        <w:t xml:space="preserve"> Il a également estimé que l’État partie avait violé l’article 6 de la Convention, les tribunaux nationaux ayant persisté à demander à l’auteur de prouver l’intention discriminatoire, contrairement à l’interdiction, établie dans la Convention, de tout comportement ayant un effet discriminatoire, ainsi qu’à la procédure de renversement de la charge de la preuve prévue par la législation nationale (art</w:t>
      </w:r>
      <w:r w:rsidR="006A19EC" w:rsidRPr="006A19EC">
        <w:rPr>
          <w:lang w:val="fr-FR"/>
        </w:rPr>
        <w:t>.</w:t>
      </w:r>
      <w:r w:rsidRPr="00417A4C">
        <w:rPr>
          <w:lang w:val="fr-FR"/>
        </w:rPr>
        <w:t xml:space="preserve"> L-1134-1 du Code du travail)</w:t>
      </w:r>
      <w:r w:rsidR="006A19EC" w:rsidRPr="006A19EC">
        <w:rPr>
          <w:lang w:val="fr-FR"/>
        </w:rPr>
        <w:t>.</w:t>
      </w:r>
    </w:p>
    <w:p w14:paraId="2E9C88F8" w14:textId="77777777" w:rsidR="00417A4C" w:rsidRPr="00417A4C" w:rsidRDefault="00417A4C" w:rsidP="003D1FFC">
      <w:pPr>
        <w:pStyle w:val="H23G"/>
        <w:rPr>
          <w:lang w:val="fr-FR"/>
        </w:rPr>
      </w:pPr>
      <w:r w:rsidRPr="00417A4C">
        <w:rPr>
          <w:lang w:val="fr-FR"/>
        </w:rPr>
        <w:tab/>
      </w:r>
      <w:r w:rsidRPr="00417A4C">
        <w:rPr>
          <w:lang w:val="fr-FR"/>
        </w:rPr>
        <w:tab/>
        <w:t>Réparation recommandée</w:t>
      </w:r>
    </w:p>
    <w:p w14:paraId="463F4C63" w14:textId="0A2577BC" w:rsidR="00417A4C" w:rsidRPr="00417A4C" w:rsidRDefault="00417A4C" w:rsidP="00417A4C">
      <w:pPr>
        <w:pStyle w:val="SingleTxtG"/>
        <w:rPr>
          <w:lang w:val="fr-FR"/>
        </w:rPr>
      </w:pPr>
      <w:r w:rsidRPr="00417A4C">
        <w:rPr>
          <w:lang w:val="fr-FR"/>
        </w:rPr>
        <w:t>3</w:t>
      </w:r>
      <w:r w:rsidR="006A19EC" w:rsidRPr="006A19EC">
        <w:rPr>
          <w:lang w:val="fr-FR"/>
        </w:rPr>
        <w:t>.</w:t>
      </w:r>
      <w:r w:rsidRPr="00417A4C">
        <w:rPr>
          <w:lang w:val="fr-FR"/>
        </w:rPr>
        <w:tab/>
        <w:t>Le Comité a recommandé à l’État partie de faire en sorte que le principe du renversement de la charge de la preuve soit pleinement appliqué : a) en améliorant les procédures judiciaires ouvertes aux victimes de discrimination raciale, notamment par une application stricte du principe du renversement de la charge de la preuve</w:t>
      </w:r>
      <w:r w:rsidR="00086245">
        <w:rPr>
          <w:lang w:val="fr-FR"/>
        </w:rPr>
        <w:t> ;</w:t>
      </w:r>
      <w:r w:rsidRPr="00417A4C">
        <w:rPr>
          <w:lang w:val="fr-FR"/>
        </w:rPr>
        <w:t xml:space="preserve"> et b) en diffusant des informations claires au sujet des recours internes ouverts aux victimes présumées de discrimination raciale</w:t>
      </w:r>
      <w:r w:rsidR="006A19EC" w:rsidRPr="006A19EC">
        <w:rPr>
          <w:lang w:val="fr-FR"/>
        </w:rPr>
        <w:t>.</w:t>
      </w:r>
      <w:r w:rsidRPr="00417A4C">
        <w:rPr>
          <w:lang w:val="fr-FR"/>
        </w:rPr>
        <w:t xml:space="preserve"> En outre, il a demandé à l’État partie de diffuser largement son opinion, notamment auprès des instances judiciaires</w:t>
      </w:r>
      <w:r w:rsidR="006A19EC" w:rsidRPr="006A19EC">
        <w:rPr>
          <w:lang w:val="fr-FR"/>
        </w:rPr>
        <w:t>.</w:t>
      </w:r>
    </w:p>
    <w:p w14:paraId="056257F2" w14:textId="77777777" w:rsidR="00417A4C" w:rsidRPr="00417A4C" w:rsidRDefault="00417A4C" w:rsidP="003D1FFC">
      <w:pPr>
        <w:pStyle w:val="H23G"/>
        <w:rPr>
          <w:lang w:val="fr-FR"/>
        </w:rPr>
      </w:pPr>
      <w:r w:rsidRPr="00417A4C">
        <w:rPr>
          <w:lang w:val="fr-FR"/>
        </w:rPr>
        <w:tab/>
      </w:r>
      <w:r w:rsidRPr="00417A4C">
        <w:rPr>
          <w:lang w:val="fr-FR"/>
        </w:rPr>
        <w:tab/>
        <w:t>Rapports initiaux ou périodiques examinés depuis l’adoption de l’opinion</w:t>
      </w:r>
    </w:p>
    <w:p w14:paraId="28D49A8F" w14:textId="3705802E" w:rsidR="00417A4C" w:rsidRPr="00417A4C" w:rsidRDefault="00417A4C" w:rsidP="00417A4C">
      <w:pPr>
        <w:pStyle w:val="SingleTxtG"/>
        <w:rPr>
          <w:lang w:val="fr-FR"/>
        </w:rPr>
      </w:pPr>
      <w:r w:rsidRPr="00417A4C">
        <w:rPr>
          <w:lang w:val="fr-FR"/>
        </w:rPr>
        <w:t>4</w:t>
      </w:r>
      <w:r w:rsidR="006A19EC" w:rsidRPr="006A19EC">
        <w:rPr>
          <w:lang w:val="fr-FR"/>
        </w:rPr>
        <w:t>.</w:t>
      </w:r>
      <w:r w:rsidRPr="00417A4C">
        <w:rPr>
          <w:lang w:val="fr-FR"/>
        </w:rPr>
        <w:tab/>
        <w:t>Le Comité n’a pas examiné de rapport périodique de l’État partie depuis l’adoption de l’opinion</w:t>
      </w:r>
      <w:r w:rsidR="006A19EC" w:rsidRPr="006A19EC">
        <w:rPr>
          <w:lang w:val="fr-FR"/>
        </w:rPr>
        <w:t>.</w:t>
      </w:r>
    </w:p>
    <w:p w14:paraId="7F3A29E6" w14:textId="77777777" w:rsidR="00417A4C" w:rsidRPr="00417A4C" w:rsidRDefault="00417A4C" w:rsidP="003D1FFC">
      <w:pPr>
        <w:pStyle w:val="H23G"/>
        <w:rPr>
          <w:lang w:val="fr-FR"/>
        </w:rPr>
      </w:pPr>
      <w:r w:rsidRPr="00417A4C">
        <w:rPr>
          <w:lang w:val="fr-FR"/>
        </w:rPr>
        <w:tab/>
      </w:r>
      <w:r w:rsidRPr="00417A4C">
        <w:rPr>
          <w:lang w:val="fr-FR"/>
        </w:rPr>
        <w:tab/>
        <w:t>Précédentes informations concernant la suite donnée par l’</w:t>
      </w:r>
      <w:r w:rsidR="002F3A04" w:rsidRPr="00417A4C">
        <w:rPr>
          <w:lang w:val="fr-FR"/>
        </w:rPr>
        <w:t>État</w:t>
      </w:r>
      <w:r w:rsidRPr="00417A4C">
        <w:rPr>
          <w:lang w:val="fr-FR"/>
        </w:rPr>
        <w:t xml:space="preserve"> partie</w:t>
      </w:r>
    </w:p>
    <w:p w14:paraId="75666778" w14:textId="1E06AD55" w:rsidR="00417A4C" w:rsidRPr="00417A4C" w:rsidRDefault="00417A4C" w:rsidP="00417A4C">
      <w:pPr>
        <w:pStyle w:val="SingleTxtG"/>
        <w:rPr>
          <w:bCs/>
          <w:lang w:val="fr-FR"/>
        </w:rPr>
      </w:pPr>
      <w:r w:rsidRPr="00417A4C">
        <w:rPr>
          <w:lang w:val="fr-FR"/>
        </w:rPr>
        <w:t>5</w:t>
      </w:r>
      <w:r w:rsidR="006A19EC" w:rsidRPr="006A19EC">
        <w:rPr>
          <w:lang w:val="fr-FR"/>
        </w:rPr>
        <w:t>.</w:t>
      </w:r>
      <w:r w:rsidRPr="00417A4C">
        <w:rPr>
          <w:lang w:val="fr-FR"/>
        </w:rPr>
        <w:tab/>
        <w:t>Les précédentes informations reçues au sujet de la suite donnée par l’</w:t>
      </w:r>
      <w:r w:rsidR="002F3A04" w:rsidRPr="00417A4C">
        <w:rPr>
          <w:lang w:val="fr-FR"/>
        </w:rPr>
        <w:t>État</w:t>
      </w:r>
      <w:r w:rsidRPr="00417A4C">
        <w:rPr>
          <w:lang w:val="fr-FR"/>
        </w:rPr>
        <w:t xml:space="preserve"> partie figurent dans les documents </w:t>
      </w:r>
      <w:hyperlink r:id="rId88" w:history="1">
        <w:r w:rsidRPr="00B0144E">
          <w:rPr>
            <w:rStyle w:val="Lienhypertexte"/>
            <w:lang w:val="fr-FR"/>
          </w:rPr>
          <w:t>A/72/18</w:t>
        </w:r>
      </w:hyperlink>
      <w:r w:rsidRPr="00417A4C">
        <w:rPr>
          <w:lang w:val="fr-FR"/>
        </w:rPr>
        <w:t xml:space="preserve"> et </w:t>
      </w:r>
      <w:hyperlink r:id="rId89" w:history="1">
        <w:r w:rsidRPr="00B0144E">
          <w:rPr>
            <w:rStyle w:val="Lienhypertexte"/>
            <w:lang w:val="fr-FR"/>
          </w:rPr>
          <w:t>A/73/18</w:t>
        </w:r>
      </w:hyperlink>
      <w:r w:rsidR="006A19EC" w:rsidRPr="006A19EC">
        <w:rPr>
          <w:lang w:val="fr-FR"/>
        </w:rPr>
        <w:t>.</w:t>
      </w:r>
    </w:p>
    <w:p w14:paraId="749C5DCD" w14:textId="77777777" w:rsidR="00417A4C" w:rsidRPr="00417A4C" w:rsidRDefault="00417A4C" w:rsidP="003D1FFC">
      <w:pPr>
        <w:pStyle w:val="H23G"/>
        <w:rPr>
          <w:lang w:val="fr-FR"/>
        </w:rPr>
      </w:pPr>
      <w:r w:rsidRPr="00417A4C">
        <w:rPr>
          <w:lang w:val="fr-FR"/>
        </w:rPr>
        <w:tab/>
      </w:r>
      <w:r w:rsidRPr="00417A4C">
        <w:rPr>
          <w:lang w:val="fr-FR"/>
        </w:rPr>
        <w:tab/>
        <w:t>Nouveaux commentaires de l’auteur</w:t>
      </w:r>
    </w:p>
    <w:p w14:paraId="2DC78160" w14:textId="44943778" w:rsidR="00417A4C" w:rsidRPr="00417A4C" w:rsidRDefault="00417A4C" w:rsidP="00417A4C">
      <w:pPr>
        <w:pStyle w:val="SingleTxtG"/>
        <w:rPr>
          <w:lang w:val="fr-FR"/>
        </w:rPr>
      </w:pPr>
      <w:r w:rsidRPr="00417A4C">
        <w:rPr>
          <w:lang w:val="fr-FR"/>
        </w:rPr>
        <w:t>6</w:t>
      </w:r>
      <w:r w:rsidR="006A19EC" w:rsidRPr="006A19EC">
        <w:rPr>
          <w:lang w:val="fr-FR"/>
        </w:rPr>
        <w:t>.</w:t>
      </w:r>
      <w:r w:rsidRPr="00417A4C">
        <w:rPr>
          <w:lang w:val="fr-FR"/>
        </w:rPr>
        <w:tab/>
        <w:t>Le 6 août et le 25 octobre 2018, le Comité a reçu de l’auteur une copie de la correspondance que celui-ci avait échangée avec Renault, son ancien employeur</w:t>
      </w:r>
      <w:r w:rsidR="006A19EC" w:rsidRPr="006A19EC">
        <w:rPr>
          <w:lang w:val="fr-FR"/>
        </w:rPr>
        <w:t>.</w:t>
      </w:r>
      <w:r w:rsidRPr="00417A4C">
        <w:rPr>
          <w:lang w:val="fr-FR"/>
        </w:rPr>
        <w:t xml:space="preserve"> Dans des lettres en date du 13 juillet et du 22 octobre 2018, l’auteur a demandé à la société de lui verser une indemnisation sur la base de l’opinion émise par le Comité</w:t>
      </w:r>
      <w:r w:rsidR="006A19EC" w:rsidRPr="006A19EC">
        <w:rPr>
          <w:lang w:val="fr-FR"/>
        </w:rPr>
        <w:t>.</w:t>
      </w:r>
      <w:r w:rsidRPr="00417A4C">
        <w:rPr>
          <w:lang w:val="fr-FR"/>
        </w:rPr>
        <w:t xml:space="preserve"> La société a répondu à l’auteur, par lettres datées du 19 juillet et du 2 octobre 2018, que l’opinion du Comité ne pouvait constituer le fondement juridique d’une demande d’indemnisation</w:t>
      </w:r>
      <w:r w:rsidR="006A19EC" w:rsidRPr="006A19EC">
        <w:rPr>
          <w:lang w:val="fr-FR"/>
        </w:rPr>
        <w:t>.</w:t>
      </w:r>
      <w:r w:rsidRPr="00417A4C">
        <w:rPr>
          <w:lang w:val="fr-FR"/>
        </w:rPr>
        <w:t xml:space="preserve"> Elle a également indiqué que l’opinion du Comité ne pouvait être invoquée contre Renault, qui n’avait pas pris part à l’examen de la question par le Comité</w:t>
      </w:r>
      <w:r w:rsidR="006A19EC" w:rsidRPr="006A19EC">
        <w:rPr>
          <w:lang w:val="fr-FR"/>
        </w:rPr>
        <w:t>.</w:t>
      </w:r>
      <w:r w:rsidRPr="00417A4C">
        <w:rPr>
          <w:lang w:val="fr-FR"/>
        </w:rPr>
        <w:t xml:space="preserve"> Le 4 juin 2019, l’auteur a informé le Comité qu’il prendrait sa retraite le 11 août 2020</w:t>
      </w:r>
      <w:r w:rsidR="006A19EC" w:rsidRPr="006A19EC">
        <w:rPr>
          <w:lang w:val="fr-FR"/>
        </w:rPr>
        <w:t>.</w:t>
      </w:r>
      <w:r w:rsidRPr="00417A4C">
        <w:rPr>
          <w:lang w:val="fr-FR"/>
        </w:rPr>
        <w:t xml:space="preserve"> Il a aussi fait savoir que, dans la mesure où l’opinion adoptée par le Comité était imprescriptible, il était disposé à rencontrer les représentants de la société ou de l’État partie pour obtenir une réparation pécuniaire</w:t>
      </w:r>
      <w:r w:rsidR="006A19EC" w:rsidRPr="006A19EC">
        <w:rPr>
          <w:lang w:val="fr-FR"/>
        </w:rPr>
        <w:t>.</w:t>
      </w:r>
      <w:r w:rsidRPr="00417A4C">
        <w:rPr>
          <w:lang w:val="fr-FR"/>
        </w:rPr>
        <w:t xml:space="preserve"> </w:t>
      </w:r>
    </w:p>
    <w:p w14:paraId="59BB1C1C" w14:textId="10F7F785" w:rsidR="00417A4C" w:rsidRPr="00417A4C" w:rsidRDefault="00417A4C" w:rsidP="00417A4C">
      <w:pPr>
        <w:pStyle w:val="SingleTxtG"/>
        <w:rPr>
          <w:lang w:val="fr-FR"/>
        </w:rPr>
      </w:pPr>
      <w:r w:rsidRPr="00417A4C">
        <w:rPr>
          <w:lang w:val="fr-FR"/>
        </w:rPr>
        <w:t>7</w:t>
      </w:r>
      <w:r w:rsidR="006A19EC" w:rsidRPr="006A19EC">
        <w:rPr>
          <w:lang w:val="fr-FR"/>
        </w:rPr>
        <w:t>.</w:t>
      </w:r>
      <w:r w:rsidRPr="00417A4C">
        <w:rPr>
          <w:lang w:val="fr-FR"/>
        </w:rPr>
        <w:tab/>
        <w:t>Le 6 décembre 2018 et le 8 janvier 2019, l’auteur a informé le Comité qu’il avait mené une grève de la faim du 8 au 10 décembre 2018 devant la basilique Saint-Pierre, à Rome, pour appeler l’attention sur son combat</w:t>
      </w:r>
      <w:r w:rsidR="006A19EC" w:rsidRPr="006A19EC">
        <w:rPr>
          <w:lang w:val="fr-FR"/>
        </w:rPr>
        <w:t>.</w:t>
      </w:r>
      <w:r w:rsidRPr="00417A4C">
        <w:rPr>
          <w:lang w:val="fr-FR"/>
        </w:rPr>
        <w:t xml:space="preserve"> Il a indiqué qu’il avait avisé l’Ambassadeur de France auprès du Saint-Siège et les autorités vaticanes du motif de sa grève de la faim, et qu’il avait publié un communiqué de presse</w:t>
      </w:r>
      <w:r w:rsidR="006A19EC" w:rsidRPr="006A19EC">
        <w:rPr>
          <w:lang w:val="fr-FR"/>
        </w:rPr>
        <w:t>.</w:t>
      </w:r>
      <w:r w:rsidRPr="00417A4C">
        <w:rPr>
          <w:lang w:val="fr-FR"/>
        </w:rPr>
        <w:t xml:space="preserve"> Il s’est en outre</w:t>
      </w:r>
      <w:r w:rsidR="001E77AC">
        <w:rPr>
          <w:lang w:val="fr-FR"/>
        </w:rPr>
        <w:t xml:space="preserve"> </w:t>
      </w:r>
      <w:r w:rsidRPr="00417A4C">
        <w:rPr>
          <w:lang w:val="fr-FR"/>
        </w:rPr>
        <w:t>dit disposé à entamer un dialogue avec les autorités compétentes en vue d’obtenir une indemnisation</w:t>
      </w:r>
      <w:r w:rsidR="006A19EC" w:rsidRPr="006A19EC">
        <w:rPr>
          <w:lang w:val="fr-FR"/>
        </w:rPr>
        <w:t>.</w:t>
      </w:r>
      <w:r w:rsidRPr="00417A4C">
        <w:rPr>
          <w:lang w:val="fr-FR"/>
        </w:rPr>
        <w:t xml:space="preserve"> Il a estimé que cette indemnisation devrait être prise en compte dans le calcul de sa pension, due en mars 2019</w:t>
      </w:r>
      <w:r w:rsidR="006A19EC" w:rsidRPr="006A19EC">
        <w:rPr>
          <w:lang w:val="fr-FR"/>
        </w:rPr>
        <w:t>.</w:t>
      </w:r>
      <w:r w:rsidRPr="00417A4C">
        <w:rPr>
          <w:lang w:val="fr-FR"/>
        </w:rPr>
        <w:t xml:space="preserve"> </w:t>
      </w:r>
    </w:p>
    <w:p w14:paraId="7A324F03" w14:textId="1FC292AB" w:rsidR="00417A4C" w:rsidRPr="00417A4C" w:rsidRDefault="00417A4C" w:rsidP="00417A4C">
      <w:pPr>
        <w:pStyle w:val="SingleTxtG"/>
        <w:rPr>
          <w:lang w:val="fr-FR"/>
        </w:rPr>
      </w:pPr>
      <w:r w:rsidRPr="00417A4C">
        <w:rPr>
          <w:lang w:val="fr-FR"/>
        </w:rPr>
        <w:t>8</w:t>
      </w:r>
      <w:r w:rsidR="006A19EC" w:rsidRPr="006A19EC">
        <w:rPr>
          <w:lang w:val="fr-FR"/>
        </w:rPr>
        <w:t>.</w:t>
      </w:r>
      <w:r w:rsidRPr="00417A4C">
        <w:rPr>
          <w:lang w:val="fr-FR"/>
        </w:rPr>
        <w:tab/>
        <w:t>À cet égard, le Comité fait observer que, dans l’opinion qu’il a adoptée le 10 mai 2016, il n’a pas recommandé le versement d’une réparation pécuniaire à l’auteur</w:t>
      </w:r>
      <w:r w:rsidR="006A19EC" w:rsidRPr="006A19EC">
        <w:rPr>
          <w:lang w:val="fr-FR"/>
        </w:rPr>
        <w:t>.</w:t>
      </w:r>
    </w:p>
    <w:p w14:paraId="770E150E" w14:textId="77777777" w:rsidR="00417A4C" w:rsidRPr="00417A4C" w:rsidRDefault="00417A4C" w:rsidP="00392E94">
      <w:pPr>
        <w:pStyle w:val="H23G"/>
        <w:rPr>
          <w:lang w:val="fr-FR"/>
        </w:rPr>
      </w:pPr>
      <w:r w:rsidRPr="00417A4C">
        <w:rPr>
          <w:lang w:val="fr-FR"/>
        </w:rPr>
        <w:tab/>
      </w:r>
      <w:r w:rsidRPr="00417A4C">
        <w:rPr>
          <w:lang w:val="fr-FR"/>
        </w:rPr>
        <w:tab/>
        <w:t>Réponse de l’État partie</w:t>
      </w:r>
    </w:p>
    <w:p w14:paraId="724ABABC" w14:textId="13AC0355" w:rsidR="00417A4C" w:rsidRPr="00417A4C" w:rsidRDefault="00417A4C" w:rsidP="00417A4C">
      <w:pPr>
        <w:pStyle w:val="SingleTxtG"/>
        <w:rPr>
          <w:lang w:val="fr-FR"/>
        </w:rPr>
      </w:pPr>
      <w:r w:rsidRPr="00417A4C">
        <w:rPr>
          <w:lang w:val="fr-FR"/>
        </w:rPr>
        <w:t>9</w:t>
      </w:r>
      <w:r w:rsidR="006A19EC" w:rsidRPr="006A19EC">
        <w:rPr>
          <w:lang w:val="fr-FR"/>
        </w:rPr>
        <w:t>.</w:t>
      </w:r>
      <w:r w:rsidRPr="00417A4C">
        <w:rPr>
          <w:lang w:val="fr-FR"/>
        </w:rPr>
        <w:tab/>
        <w:t>La réponse de l’État partie est attendue</w:t>
      </w:r>
      <w:r w:rsidR="006A19EC" w:rsidRPr="006A19EC">
        <w:rPr>
          <w:lang w:val="fr-FR"/>
        </w:rPr>
        <w:t>.</w:t>
      </w:r>
    </w:p>
    <w:p w14:paraId="37EAB9DB" w14:textId="77777777" w:rsidR="00417A4C" w:rsidRPr="00417A4C" w:rsidRDefault="00417A4C" w:rsidP="00392E94">
      <w:pPr>
        <w:pStyle w:val="H23G"/>
        <w:rPr>
          <w:lang w:val="fr-FR"/>
        </w:rPr>
      </w:pPr>
      <w:r w:rsidRPr="00417A4C">
        <w:rPr>
          <w:lang w:val="fr-FR"/>
        </w:rPr>
        <w:tab/>
      </w:r>
      <w:r w:rsidRPr="00417A4C">
        <w:rPr>
          <w:lang w:val="fr-FR"/>
        </w:rPr>
        <w:tab/>
        <w:t>Autres mesures proposées ou décisions du Comité</w:t>
      </w:r>
    </w:p>
    <w:p w14:paraId="42E8CE44" w14:textId="73A5E292" w:rsidR="00417A4C" w:rsidRPr="00417A4C" w:rsidRDefault="00417A4C" w:rsidP="00417A4C">
      <w:pPr>
        <w:pStyle w:val="SingleTxtG"/>
        <w:rPr>
          <w:lang w:val="fr-FR"/>
        </w:rPr>
      </w:pPr>
      <w:r w:rsidRPr="00417A4C">
        <w:rPr>
          <w:lang w:val="fr-FR"/>
        </w:rPr>
        <w:t>10</w:t>
      </w:r>
      <w:r w:rsidR="006A19EC" w:rsidRPr="006A19EC">
        <w:rPr>
          <w:lang w:val="fr-FR"/>
        </w:rPr>
        <w:t>.</w:t>
      </w:r>
      <w:r w:rsidRPr="00417A4C">
        <w:rPr>
          <w:lang w:val="fr-FR"/>
        </w:rPr>
        <w:tab/>
        <w:t>Le dialogue se poursuit</w:t>
      </w:r>
      <w:r w:rsidR="006A19EC" w:rsidRPr="006A19EC">
        <w:rPr>
          <w:lang w:val="fr-FR"/>
        </w:rPr>
        <w:t>.</w:t>
      </w:r>
    </w:p>
    <w:p w14:paraId="783DDA05" w14:textId="77777777" w:rsidR="00417A4C" w:rsidRPr="00417A4C" w:rsidRDefault="00417A4C" w:rsidP="00392E94">
      <w:pPr>
        <w:pStyle w:val="H1G"/>
        <w:rPr>
          <w:lang w:val="fr-FR"/>
        </w:rPr>
      </w:pPr>
      <w:r w:rsidRPr="00417A4C">
        <w:rPr>
          <w:lang w:val="fr-FR"/>
        </w:rPr>
        <w:tab/>
      </w:r>
      <w:r w:rsidRPr="00417A4C">
        <w:rPr>
          <w:lang w:val="fr-FR"/>
        </w:rPr>
        <w:tab/>
        <w:t>Danemark</w:t>
      </w:r>
      <w:bookmarkStart w:id="35" w:name="_Toc17361315"/>
      <w:bookmarkEnd w:id="35"/>
    </w:p>
    <w:p w14:paraId="77E1F16B" w14:textId="3D080D96" w:rsidR="00417A4C" w:rsidRPr="00417A4C" w:rsidRDefault="00417A4C" w:rsidP="00392E94">
      <w:pPr>
        <w:pStyle w:val="H23G"/>
        <w:rPr>
          <w:lang w:val="fr-FR"/>
        </w:rPr>
      </w:pPr>
      <w:r w:rsidRPr="00417A4C">
        <w:rPr>
          <w:lang w:val="fr-FR"/>
        </w:rPr>
        <w:tab/>
      </w:r>
      <w:r w:rsidRPr="00417A4C">
        <w:rPr>
          <w:lang w:val="fr-FR"/>
        </w:rPr>
        <w:tab/>
        <w:t>S</w:t>
      </w:r>
      <w:r w:rsidR="006A19EC" w:rsidRPr="006A19EC">
        <w:rPr>
          <w:lang w:val="fr-FR"/>
        </w:rPr>
        <w:t>.</w:t>
      </w:r>
      <w:r w:rsidR="006C6BEF">
        <w:rPr>
          <w:lang w:val="fr-FR"/>
        </w:rPr>
        <w:t> </w:t>
      </w:r>
      <w:r w:rsidRPr="00417A4C">
        <w:rPr>
          <w:lang w:val="fr-FR"/>
        </w:rPr>
        <w:t>A</w:t>
      </w:r>
      <w:r w:rsidR="006A19EC" w:rsidRPr="006A19EC">
        <w:rPr>
          <w:lang w:val="fr-FR"/>
        </w:rPr>
        <w:t>.</w:t>
      </w:r>
      <w:r w:rsidRPr="00417A4C">
        <w:rPr>
          <w:lang w:val="fr-FR"/>
        </w:rPr>
        <w:t>, décision n</w:t>
      </w:r>
      <w:r w:rsidRPr="00417A4C">
        <w:rPr>
          <w:vertAlign w:val="superscript"/>
          <w:lang w:val="fr-FR"/>
        </w:rPr>
        <w:t>o</w:t>
      </w:r>
      <w:r w:rsidRPr="00417A4C">
        <w:rPr>
          <w:lang w:val="fr-FR"/>
        </w:rPr>
        <w:t xml:space="preserve"> 58/2016, adoptée le 13 décembre 2018</w:t>
      </w:r>
    </w:p>
    <w:p w14:paraId="31F77C99" w14:textId="77777777" w:rsidR="00417A4C" w:rsidRPr="00417A4C" w:rsidRDefault="00417A4C" w:rsidP="00392E94">
      <w:pPr>
        <w:pStyle w:val="H23G"/>
        <w:rPr>
          <w:lang w:val="fr-FR"/>
        </w:rPr>
      </w:pPr>
      <w:r w:rsidRPr="00417A4C">
        <w:rPr>
          <w:lang w:val="fr-FR"/>
        </w:rPr>
        <w:tab/>
      </w:r>
      <w:r w:rsidRPr="00417A4C">
        <w:rPr>
          <w:lang w:val="fr-FR"/>
        </w:rPr>
        <w:tab/>
        <w:t>Questions soulevées et violations constatées</w:t>
      </w:r>
    </w:p>
    <w:p w14:paraId="7E73D49E" w14:textId="299943BA" w:rsidR="00417A4C" w:rsidRPr="00417A4C" w:rsidRDefault="00417A4C" w:rsidP="00417A4C">
      <w:pPr>
        <w:pStyle w:val="SingleTxtG"/>
        <w:rPr>
          <w:lang w:val="fr-FR"/>
        </w:rPr>
      </w:pPr>
      <w:r w:rsidRPr="00417A4C">
        <w:rPr>
          <w:lang w:val="fr-FR"/>
        </w:rPr>
        <w:t>11</w:t>
      </w:r>
      <w:r w:rsidR="006A19EC" w:rsidRPr="006A19EC">
        <w:rPr>
          <w:lang w:val="fr-FR"/>
        </w:rPr>
        <w:t>.</w:t>
      </w:r>
      <w:r w:rsidRPr="00417A4C">
        <w:rPr>
          <w:lang w:val="fr-FR"/>
        </w:rPr>
        <w:tab/>
        <w:t>La question était de savoir si l’État partie s’était acquitté de l’obligation que lui faisait l’article 6 de la Convention de garantir à l’intéressé le droit de saisir les tribunaux nationaux et autres organismes d’État compétents en vue d’obtenir une satisfaction ou une réparation juste et adéquate pour tout dommage subi par suite d’un acte de discrimination raciale</w:t>
      </w:r>
      <w:r w:rsidR="006A19EC" w:rsidRPr="006A19EC">
        <w:rPr>
          <w:lang w:val="fr-FR"/>
        </w:rPr>
        <w:t>.</w:t>
      </w:r>
      <w:r w:rsidRPr="00417A4C">
        <w:rPr>
          <w:lang w:val="fr-FR"/>
        </w:rPr>
        <w:t xml:space="preserve"> Le Comité a constaté une violation, concluant que l’indemnité reçue par l’auteur n’était pas conforme aux prescriptions de l’article 6 de la Convention en ce qu’elle n’était ni juste ni adéquate, et qu’elle ne constituait pas non plus une mesure de réadaptation étant donné qu’aucune sanction administrative ou judiciaire n’avait été imposée aux auteurs de l’acte de discrimination raciale</w:t>
      </w:r>
      <w:r w:rsidR="006A19EC" w:rsidRPr="006A19EC">
        <w:rPr>
          <w:lang w:val="fr-FR"/>
        </w:rPr>
        <w:t>.</w:t>
      </w:r>
      <w:r w:rsidRPr="00417A4C">
        <w:rPr>
          <w:lang w:val="fr-FR"/>
        </w:rPr>
        <w:t xml:space="preserve"> En outre, il était d’avis que la condamnation à des frais de justice élevés constituait une sanction contre une victime de discrimination raciale qui tentait d’obtenir une indemnisation juste et adéquate en réparation du préjudice subi</w:t>
      </w:r>
      <w:r w:rsidR="006A19EC" w:rsidRPr="006A19EC">
        <w:rPr>
          <w:lang w:val="fr-FR"/>
        </w:rPr>
        <w:t>.</w:t>
      </w:r>
      <w:r w:rsidRPr="00417A4C">
        <w:rPr>
          <w:lang w:val="fr-FR"/>
        </w:rPr>
        <w:t xml:space="preserve"> </w:t>
      </w:r>
    </w:p>
    <w:p w14:paraId="3CB0A5D6" w14:textId="77777777" w:rsidR="00417A4C" w:rsidRPr="00417A4C" w:rsidRDefault="00417A4C" w:rsidP="00392E94">
      <w:pPr>
        <w:pStyle w:val="H23G"/>
        <w:rPr>
          <w:lang w:val="fr-FR"/>
        </w:rPr>
      </w:pPr>
      <w:r w:rsidRPr="00417A4C">
        <w:rPr>
          <w:lang w:val="fr-FR"/>
        </w:rPr>
        <w:tab/>
      </w:r>
      <w:r w:rsidRPr="00417A4C">
        <w:rPr>
          <w:lang w:val="fr-FR"/>
        </w:rPr>
        <w:tab/>
        <w:t>Réparation recommandée</w:t>
      </w:r>
    </w:p>
    <w:p w14:paraId="5FD6E712" w14:textId="6EFCDCB8" w:rsidR="00417A4C" w:rsidRPr="00417A4C" w:rsidRDefault="00417A4C" w:rsidP="00417A4C">
      <w:pPr>
        <w:pStyle w:val="SingleTxtG"/>
        <w:rPr>
          <w:lang w:val="fr-FR"/>
        </w:rPr>
      </w:pPr>
      <w:r w:rsidRPr="00417A4C">
        <w:rPr>
          <w:lang w:val="fr-FR"/>
        </w:rPr>
        <w:t>12</w:t>
      </w:r>
      <w:r w:rsidR="006A19EC" w:rsidRPr="006A19EC">
        <w:rPr>
          <w:lang w:val="fr-FR"/>
        </w:rPr>
        <w:t>.</w:t>
      </w:r>
      <w:r w:rsidRPr="00417A4C">
        <w:rPr>
          <w:lang w:val="fr-FR"/>
        </w:rPr>
        <w:tab/>
        <w:t>Le Comité a recommandé que l’État partie révise le montant de l’indemnité accordée à l’auteur afin qu’elle soit juste et adéquate eu égard aux circonstances de l’espèce</w:t>
      </w:r>
      <w:r w:rsidR="006A19EC" w:rsidRPr="006A19EC">
        <w:rPr>
          <w:lang w:val="fr-FR"/>
        </w:rPr>
        <w:t>.</w:t>
      </w:r>
      <w:r w:rsidRPr="00417A4C">
        <w:rPr>
          <w:lang w:val="fr-FR"/>
        </w:rPr>
        <w:t xml:space="preserve"> Il a recommandé également que la décision par laquelle l’auteur avait été condamné à s’acquitter des frais de justice soit révisée et mise en conformité avec les principes énoncés dans la Convention</w:t>
      </w:r>
      <w:r w:rsidR="006A19EC" w:rsidRPr="006A19EC">
        <w:rPr>
          <w:lang w:val="fr-FR"/>
        </w:rPr>
        <w:t>.</w:t>
      </w:r>
      <w:r w:rsidRPr="00417A4C">
        <w:rPr>
          <w:lang w:val="fr-FR"/>
        </w:rPr>
        <w:t xml:space="preserve"> En outre, l’État partie a été prié de diffuser largement l’avis du Comité, y compris auprès des organes administratifs et judiciaires et des autres autorités compétentes, et de le traduire dans sa langue officielle</w:t>
      </w:r>
      <w:r w:rsidR="006A19EC" w:rsidRPr="006A19EC">
        <w:rPr>
          <w:lang w:val="fr-FR"/>
        </w:rPr>
        <w:t>.</w:t>
      </w:r>
      <w:r w:rsidRPr="00417A4C">
        <w:rPr>
          <w:lang w:val="fr-FR"/>
        </w:rPr>
        <w:t xml:space="preserve"> </w:t>
      </w:r>
    </w:p>
    <w:p w14:paraId="526B7FB2" w14:textId="77777777" w:rsidR="00417A4C" w:rsidRPr="00417A4C" w:rsidRDefault="00417A4C" w:rsidP="00392E94">
      <w:pPr>
        <w:pStyle w:val="H23G"/>
        <w:rPr>
          <w:lang w:val="fr-FR"/>
        </w:rPr>
      </w:pPr>
      <w:r w:rsidRPr="00417A4C">
        <w:rPr>
          <w:lang w:val="fr-FR"/>
        </w:rPr>
        <w:tab/>
      </w:r>
      <w:r w:rsidRPr="00417A4C">
        <w:rPr>
          <w:lang w:val="fr-FR"/>
        </w:rPr>
        <w:tab/>
        <w:t>Rapports initiaux ou périodiques examinés depuis l’adoption de la décision</w:t>
      </w:r>
    </w:p>
    <w:p w14:paraId="010EA78F" w14:textId="05F47A5D" w:rsidR="00417A4C" w:rsidRPr="00417A4C" w:rsidRDefault="00417A4C" w:rsidP="00417A4C">
      <w:pPr>
        <w:pStyle w:val="SingleTxtG"/>
        <w:rPr>
          <w:lang w:val="fr-FR"/>
        </w:rPr>
      </w:pPr>
      <w:r w:rsidRPr="00417A4C">
        <w:rPr>
          <w:lang w:val="fr-FR"/>
        </w:rPr>
        <w:t>13</w:t>
      </w:r>
      <w:r w:rsidR="006A19EC" w:rsidRPr="006A19EC">
        <w:rPr>
          <w:lang w:val="fr-FR"/>
        </w:rPr>
        <w:t>.</w:t>
      </w:r>
      <w:r w:rsidRPr="00417A4C">
        <w:rPr>
          <w:lang w:val="fr-FR"/>
        </w:rPr>
        <w:tab/>
        <w:t>Le Comité n’a pas examiné de rapport périodique de l’État partie depuis l’adoption de la décision</w:t>
      </w:r>
      <w:r w:rsidR="006A19EC" w:rsidRPr="006A19EC">
        <w:rPr>
          <w:lang w:val="fr-FR"/>
        </w:rPr>
        <w:t>.</w:t>
      </w:r>
    </w:p>
    <w:p w14:paraId="2A3ECEE6" w14:textId="77777777" w:rsidR="00417A4C" w:rsidRPr="00417A4C" w:rsidRDefault="00417A4C" w:rsidP="00392E94">
      <w:pPr>
        <w:pStyle w:val="H23G"/>
        <w:rPr>
          <w:lang w:val="fr-FR"/>
        </w:rPr>
      </w:pPr>
      <w:r w:rsidRPr="00417A4C">
        <w:rPr>
          <w:lang w:val="fr-FR"/>
        </w:rPr>
        <w:tab/>
      </w:r>
      <w:r w:rsidRPr="00417A4C">
        <w:rPr>
          <w:lang w:val="fr-FR"/>
        </w:rPr>
        <w:tab/>
        <w:t>Précédentes informations concernant la suite donnée par l’</w:t>
      </w:r>
      <w:r w:rsidR="002F3A04" w:rsidRPr="00417A4C">
        <w:rPr>
          <w:lang w:val="fr-FR"/>
        </w:rPr>
        <w:t>État</w:t>
      </w:r>
      <w:r w:rsidRPr="00417A4C">
        <w:rPr>
          <w:lang w:val="fr-FR"/>
        </w:rPr>
        <w:t xml:space="preserve"> partie</w:t>
      </w:r>
    </w:p>
    <w:p w14:paraId="46941F01" w14:textId="286C3B0E" w:rsidR="00417A4C" w:rsidRPr="00417A4C" w:rsidRDefault="00417A4C" w:rsidP="00417A4C">
      <w:pPr>
        <w:pStyle w:val="SingleTxtG"/>
        <w:rPr>
          <w:bCs/>
          <w:lang w:val="fr-FR"/>
        </w:rPr>
      </w:pPr>
      <w:r w:rsidRPr="00417A4C">
        <w:rPr>
          <w:lang w:val="fr-FR"/>
        </w:rPr>
        <w:t>14</w:t>
      </w:r>
      <w:r w:rsidR="006A19EC" w:rsidRPr="006A19EC">
        <w:rPr>
          <w:lang w:val="fr-FR"/>
        </w:rPr>
        <w:t>.</w:t>
      </w:r>
      <w:r w:rsidRPr="00417A4C">
        <w:rPr>
          <w:lang w:val="fr-FR"/>
        </w:rPr>
        <w:tab/>
        <w:t>Aucune information n’avait précédemment été reçue concernant la suite donnée par l’</w:t>
      </w:r>
      <w:r w:rsidR="002F3A04" w:rsidRPr="00417A4C">
        <w:rPr>
          <w:lang w:val="fr-FR"/>
        </w:rPr>
        <w:t>État</w:t>
      </w:r>
      <w:r w:rsidRPr="00417A4C">
        <w:rPr>
          <w:lang w:val="fr-FR"/>
        </w:rPr>
        <w:t xml:space="preserve"> partie</w:t>
      </w:r>
      <w:r w:rsidR="006A19EC" w:rsidRPr="006A19EC">
        <w:rPr>
          <w:lang w:val="fr-FR"/>
        </w:rPr>
        <w:t>.</w:t>
      </w:r>
    </w:p>
    <w:p w14:paraId="3B76395A" w14:textId="77777777" w:rsidR="00417A4C" w:rsidRPr="00417A4C" w:rsidRDefault="00417A4C" w:rsidP="00392E94">
      <w:pPr>
        <w:pStyle w:val="H23G"/>
        <w:rPr>
          <w:lang w:val="fr-FR"/>
        </w:rPr>
      </w:pPr>
      <w:r w:rsidRPr="00417A4C">
        <w:rPr>
          <w:lang w:val="fr-FR"/>
        </w:rPr>
        <w:tab/>
      </w:r>
      <w:r w:rsidRPr="00417A4C">
        <w:rPr>
          <w:lang w:val="fr-FR"/>
        </w:rPr>
        <w:tab/>
        <w:t>Observations de l’État partie</w:t>
      </w:r>
    </w:p>
    <w:p w14:paraId="4182F488" w14:textId="74C11604" w:rsidR="00417A4C" w:rsidRPr="00417A4C" w:rsidRDefault="00417A4C" w:rsidP="00417A4C">
      <w:pPr>
        <w:pStyle w:val="SingleTxtG"/>
        <w:rPr>
          <w:bCs/>
          <w:lang w:val="fr-FR"/>
        </w:rPr>
      </w:pPr>
      <w:r w:rsidRPr="00417A4C">
        <w:rPr>
          <w:lang w:val="fr-FR"/>
        </w:rPr>
        <w:t>15</w:t>
      </w:r>
      <w:r w:rsidR="006A19EC" w:rsidRPr="006A19EC">
        <w:rPr>
          <w:lang w:val="fr-FR"/>
        </w:rPr>
        <w:t>.</w:t>
      </w:r>
      <w:r w:rsidRPr="00417A4C">
        <w:rPr>
          <w:lang w:val="fr-FR"/>
        </w:rPr>
        <w:tab/>
        <w:t>Le 5 avril 2019, l’État partie a communiqué des informations complémentaires au Comité</w:t>
      </w:r>
      <w:r w:rsidR="006A19EC" w:rsidRPr="006A19EC">
        <w:rPr>
          <w:lang w:val="fr-FR"/>
        </w:rPr>
        <w:t>.</w:t>
      </w:r>
      <w:r w:rsidRPr="00417A4C">
        <w:rPr>
          <w:lang w:val="fr-FR"/>
        </w:rPr>
        <w:t xml:space="preserve"> Il a fait savoir que, le 8 mars 2019, la Commission pour l’égalité de traitement avait décidé de ne pas rouvrir le dossier de l’auteur, et donc de ne pas revoir le montant de l’indemnisation</w:t>
      </w:r>
      <w:r w:rsidR="006A19EC" w:rsidRPr="006A19EC">
        <w:rPr>
          <w:lang w:val="fr-FR"/>
        </w:rPr>
        <w:t>.</w:t>
      </w:r>
      <w:r w:rsidRPr="00417A4C">
        <w:rPr>
          <w:lang w:val="fr-FR"/>
        </w:rPr>
        <w:t xml:space="preserve"> La Commission n’avait pas reçu de demande de réouverture du dossier de la part de l’auteur</w:t>
      </w:r>
      <w:r w:rsidR="006A19EC" w:rsidRPr="006A19EC">
        <w:rPr>
          <w:lang w:val="fr-FR"/>
        </w:rPr>
        <w:t>.</w:t>
      </w:r>
      <w:r w:rsidRPr="00417A4C">
        <w:rPr>
          <w:lang w:val="fr-FR"/>
        </w:rPr>
        <w:t xml:space="preserve"> Conformément à l’article 10 de la loi sur la Commission pour l’égalité de traitement, les affaires dont la Commission est saisie ne peuvent être rouvertes que si des raisons particulières le justifient</w:t>
      </w:r>
      <w:r w:rsidR="006A19EC" w:rsidRPr="006A19EC">
        <w:rPr>
          <w:lang w:val="fr-FR"/>
        </w:rPr>
        <w:t>.</w:t>
      </w:r>
      <w:r w:rsidRPr="00417A4C">
        <w:rPr>
          <w:lang w:val="fr-FR"/>
        </w:rPr>
        <w:t xml:space="preserve"> La Commission avait conclu que, compte tenu de cette disposition, elle n’était pas en mesure de rouvrir le dossier de sa propre initiative</w:t>
      </w:r>
      <w:r w:rsidR="006A19EC" w:rsidRPr="006A19EC">
        <w:rPr>
          <w:lang w:val="fr-FR"/>
        </w:rPr>
        <w:t>.</w:t>
      </w:r>
      <w:r w:rsidRPr="00417A4C">
        <w:rPr>
          <w:lang w:val="fr-FR"/>
        </w:rPr>
        <w:t xml:space="preserve"> </w:t>
      </w:r>
    </w:p>
    <w:p w14:paraId="57EBE025" w14:textId="5F121E9D" w:rsidR="00417A4C" w:rsidRPr="00417A4C" w:rsidRDefault="00417A4C" w:rsidP="00417A4C">
      <w:pPr>
        <w:pStyle w:val="SingleTxtG"/>
        <w:rPr>
          <w:bCs/>
          <w:lang w:val="fr-FR"/>
        </w:rPr>
      </w:pPr>
      <w:r w:rsidRPr="00417A4C">
        <w:rPr>
          <w:lang w:val="fr-FR"/>
        </w:rPr>
        <w:t>16</w:t>
      </w:r>
      <w:r w:rsidR="006A19EC" w:rsidRPr="006A19EC">
        <w:rPr>
          <w:lang w:val="fr-FR"/>
        </w:rPr>
        <w:t>.</w:t>
      </w:r>
      <w:r w:rsidRPr="00417A4C">
        <w:rPr>
          <w:lang w:val="fr-FR"/>
        </w:rPr>
        <w:tab/>
        <w:t>L’État partie a aussi indiqué qu’il avait publié l’avis du Comité sur les sites Web de la Commission et du Ministère des affaires étrangères pour en assurer une large diffusion, y compris auprès des organes administratifs et judiciaires</w:t>
      </w:r>
      <w:r w:rsidR="006A19EC" w:rsidRPr="006A19EC">
        <w:rPr>
          <w:lang w:val="fr-FR"/>
        </w:rPr>
        <w:t>.</w:t>
      </w:r>
      <w:r w:rsidRPr="00417A4C">
        <w:rPr>
          <w:lang w:val="fr-FR"/>
        </w:rPr>
        <w:t xml:space="preserve"> En outre, un résumé de l’avis figurerait dans le rapport de 2019 de la Commission, qui serait publié sur son site Web</w:t>
      </w:r>
      <w:r w:rsidR="006A19EC" w:rsidRPr="006A19EC">
        <w:rPr>
          <w:lang w:val="fr-FR"/>
        </w:rPr>
        <w:t>.</w:t>
      </w:r>
      <w:r w:rsidRPr="00417A4C">
        <w:rPr>
          <w:lang w:val="fr-FR"/>
        </w:rPr>
        <w:t xml:space="preserve"> L’avis du Comité avait également été communiqué aux autorités concernées par l’affaire</w:t>
      </w:r>
      <w:r w:rsidR="006A19EC" w:rsidRPr="006A19EC">
        <w:rPr>
          <w:lang w:val="fr-FR"/>
        </w:rPr>
        <w:t>.</w:t>
      </w:r>
    </w:p>
    <w:p w14:paraId="0F02C403" w14:textId="34ADDB9E" w:rsidR="00417A4C" w:rsidRPr="00417A4C" w:rsidRDefault="00417A4C" w:rsidP="00417A4C">
      <w:pPr>
        <w:pStyle w:val="SingleTxtG"/>
        <w:rPr>
          <w:bCs/>
          <w:lang w:val="fr-FR"/>
        </w:rPr>
      </w:pPr>
      <w:r w:rsidRPr="00417A4C">
        <w:rPr>
          <w:lang w:val="fr-FR"/>
        </w:rPr>
        <w:t>17</w:t>
      </w:r>
      <w:r w:rsidR="006A19EC" w:rsidRPr="006A19EC">
        <w:rPr>
          <w:lang w:val="fr-FR"/>
        </w:rPr>
        <w:t>.</w:t>
      </w:r>
      <w:r w:rsidRPr="00417A4C">
        <w:rPr>
          <w:lang w:val="fr-FR"/>
        </w:rPr>
        <w:tab/>
        <w:t>Aucune information n’a été fournie sur la recommandation du Comité</w:t>
      </w:r>
      <w:r w:rsidR="001E77AC">
        <w:rPr>
          <w:lang w:val="fr-FR"/>
        </w:rPr>
        <w:t xml:space="preserve"> </w:t>
      </w:r>
      <w:r w:rsidRPr="00417A4C">
        <w:rPr>
          <w:lang w:val="fr-FR"/>
        </w:rPr>
        <w:t>concernant la révision de la décision par laquelle l’auteur avait été condamné aux dépens</w:t>
      </w:r>
      <w:r w:rsidR="006A19EC" w:rsidRPr="006A19EC">
        <w:rPr>
          <w:lang w:val="fr-FR"/>
        </w:rPr>
        <w:t>.</w:t>
      </w:r>
    </w:p>
    <w:p w14:paraId="78264F06" w14:textId="77777777" w:rsidR="00417A4C" w:rsidRPr="00417A4C" w:rsidRDefault="00417A4C" w:rsidP="00392E94">
      <w:pPr>
        <w:pStyle w:val="H23G"/>
        <w:rPr>
          <w:lang w:val="fr-FR"/>
        </w:rPr>
      </w:pPr>
      <w:r w:rsidRPr="00417A4C">
        <w:rPr>
          <w:lang w:val="fr-FR"/>
        </w:rPr>
        <w:tab/>
      </w:r>
      <w:r w:rsidRPr="00417A4C">
        <w:rPr>
          <w:lang w:val="fr-FR"/>
        </w:rPr>
        <w:tab/>
        <w:t>Commentaires de l’auteur</w:t>
      </w:r>
    </w:p>
    <w:p w14:paraId="70B29243" w14:textId="4223767B" w:rsidR="00417A4C" w:rsidRPr="00417A4C" w:rsidRDefault="00417A4C" w:rsidP="00417A4C">
      <w:pPr>
        <w:pStyle w:val="SingleTxtG"/>
        <w:rPr>
          <w:bCs/>
          <w:lang w:val="fr-FR"/>
        </w:rPr>
      </w:pPr>
      <w:r w:rsidRPr="00417A4C">
        <w:rPr>
          <w:lang w:val="fr-FR"/>
        </w:rPr>
        <w:t>18</w:t>
      </w:r>
      <w:r w:rsidR="006A19EC" w:rsidRPr="006A19EC">
        <w:rPr>
          <w:lang w:val="fr-FR"/>
        </w:rPr>
        <w:t>.</w:t>
      </w:r>
      <w:r w:rsidRPr="00417A4C">
        <w:rPr>
          <w:lang w:val="fr-FR"/>
        </w:rPr>
        <w:tab/>
        <w:t>Le Comité attend les commentaires de l’auteur</w:t>
      </w:r>
      <w:r w:rsidR="006A19EC" w:rsidRPr="006A19EC">
        <w:rPr>
          <w:lang w:val="fr-FR"/>
        </w:rPr>
        <w:t>.</w:t>
      </w:r>
    </w:p>
    <w:p w14:paraId="0DA20290" w14:textId="77777777" w:rsidR="00417A4C" w:rsidRPr="00417A4C" w:rsidRDefault="00417A4C" w:rsidP="00392E94">
      <w:pPr>
        <w:pStyle w:val="H23G"/>
        <w:rPr>
          <w:lang w:val="fr-FR"/>
        </w:rPr>
      </w:pPr>
      <w:r w:rsidRPr="00417A4C">
        <w:rPr>
          <w:lang w:val="fr-FR"/>
        </w:rPr>
        <w:tab/>
      </w:r>
      <w:r w:rsidRPr="00417A4C">
        <w:rPr>
          <w:lang w:val="fr-FR"/>
        </w:rPr>
        <w:tab/>
        <w:t>Autres mesures proposées ou décisions du Comité</w:t>
      </w:r>
    </w:p>
    <w:p w14:paraId="1B490949" w14:textId="2C58198C" w:rsidR="00417A4C" w:rsidRPr="00417A4C" w:rsidRDefault="00417A4C" w:rsidP="00417A4C">
      <w:pPr>
        <w:pStyle w:val="SingleTxtG"/>
        <w:rPr>
          <w:lang w:val="fr-FR"/>
        </w:rPr>
      </w:pPr>
      <w:r w:rsidRPr="00417A4C">
        <w:rPr>
          <w:lang w:val="fr-FR"/>
        </w:rPr>
        <w:t>19</w:t>
      </w:r>
      <w:r w:rsidR="006A19EC" w:rsidRPr="006A19EC">
        <w:rPr>
          <w:lang w:val="fr-FR"/>
        </w:rPr>
        <w:t>.</w:t>
      </w:r>
      <w:r w:rsidRPr="00417A4C">
        <w:rPr>
          <w:lang w:val="fr-FR"/>
        </w:rPr>
        <w:tab/>
        <w:t>Le dialogue se poursuit</w:t>
      </w:r>
      <w:r w:rsidR="006A19EC" w:rsidRPr="006A19EC">
        <w:rPr>
          <w:lang w:val="fr-FR"/>
        </w:rPr>
        <w:t>.</w:t>
      </w:r>
    </w:p>
    <w:p w14:paraId="5BF5E71F" w14:textId="77777777" w:rsidR="00417A4C" w:rsidRPr="00417A4C" w:rsidRDefault="00417A4C" w:rsidP="00417A4C">
      <w:pPr>
        <w:pStyle w:val="SingleTxtG"/>
        <w:rPr>
          <w:b/>
          <w:bCs/>
          <w:lang w:val="fr-FR"/>
        </w:rPr>
      </w:pPr>
      <w:r w:rsidRPr="00417A4C">
        <w:rPr>
          <w:b/>
          <w:bCs/>
          <w:lang w:val="fr-FR"/>
        </w:rPr>
        <w:br w:type="page"/>
      </w:r>
    </w:p>
    <w:p w14:paraId="03B0738C" w14:textId="77777777" w:rsidR="00417A4C" w:rsidRPr="00417A4C" w:rsidRDefault="00417A4C" w:rsidP="00417A4C">
      <w:pPr>
        <w:pStyle w:val="HChG"/>
        <w:rPr>
          <w:lang w:val="fr-FR"/>
        </w:rPr>
      </w:pPr>
      <w:r w:rsidRPr="00417A4C">
        <w:rPr>
          <w:lang w:val="fr-FR"/>
        </w:rPr>
        <w:t>Annexe II</w:t>
      </w:r>
    </w:p>
    <w:p w14:paraId="234D68D3" w14:textId="77777777" w:rsidR="00417A4C" w:rsidRPr="00417A4C" w:rsidRDefault="00417A4C" w:rsidP="00417A4C">
      <w:pPr>
        <w:pStyle w:val="HChG"/>
        <w:rPr>
          <w:lang w:val="fr-FR"/>
        </w:rPr>
      </w:pPr>
      <w:r w:rsidRPr="00417A4C">
        <w:rPr>
          <w:lang w:val="fr-FR"/>
        </w:rPr>
        <w:tab/>
      </w:r>
      <w:r w:rsidRPr="00417A4C">
        <w:rPr>
          <w:lang w:val="fr-FR"/>
        </w:rPr>
        <w:tab/>
        <w:t xml:space="preserve">Règlement intérieur applicable aux auditions tenues </w:t>
      </w:r>
      <w:r>
        <w:rPr>
          <w:lang w:val="fr-FR"/>
        </w:rPr>
        <w:br/>
      </w:r>
      <w:r w:rsidRPr="00417A4C">
        <w:rPr>
          <w:lang w:val="fr-FR"/>
        </w:rPr>
        <w:t xml:space="preserve">en application de l’article 11 de la Convention </w:t>
      </w:r>
      <w:r>
        <w:rPr>
          <w:lang w:val="fr-FR"/>
        </w:rPr>
        <w:br/>
      </w:r>
      <w:r w:rsidRPr="00417A4C">
        <w:rPr>
          <w:lang w:val="fr-FR"/>
        </w:rPr>
        <w:t xml:space="preserve">internationale sur l’élimination de toutes les formes </w:t>
      </w:r>
      <w:r>
        <w:rPr>
          <w:lang w:val="fr-FR"/>
        </w:rPr>
        <w:br/>
      </w:r>
      <w:r w:rsidRPr="00417A4C">
        <w:rPr>
          <w:lang w:val="fr-FR"/>
        </w:rPr>
        <w:t xml:space="preserve">de discrimination raciale </w:t>
      </w:r>
      <w:bookmarkStart w:id="36" w:name="_Toc17361316"/>
      <w:bookmarkEnd w:id="36"/>
    </w:p>
    <w:p w14:paraId="6BBB2B82" w14:textId="77777777" w:rsidR="00417A4C" w:rsidRPr="00417A4C" w:rsidRDefault="00417A4C" w:rsidP="007B5401">
      <w:pPr>
        <w:pStyle w:val="H23G"/>
        <w:rPr>
          <w:lang w:val="fr-FR"/>
        </w:rPr>
      </w:pPr>
      <w:r w:rsidRPr="00417A4C">
        <w:rPr>
          <w:lang w:val="fr-FR"/>
        </w:rPr>
        <w:tab/>
      </w:r>
      <w:r w:rsidRPr="00417A4C">
        <w:rPr>
          <w:lang w:val="fr-FR"/>
        </w:rPr>
        <w:tab/>
        <w:t>Préambule</w:t>
      </w:r>
    </w:p>
    <w:p w14:paraId="068117A9" w14:textId="77777777" w:rsidR="00417A4C" w:rsidRPr="00417A4C" w:rsidRDefault="00417A4C" w:rsidP="00417A4C">
      <w:pPr>
        <w:pStyle w:val="SingleTxtG"/>
        <w:rPr>
          <w:lang w:val="fr-FR"/>
        </w:rPr>
      </w:pPr>
      <w:r>
        <w:rPr>
          <w:lang w:val="fr-FR"/>
        </w:rPr>
        <w:tab/>
      </w:r>
      <w:r>
        <w:rPr>
          <w:lang w:val="fr-FR"/>
        </w:rPr>
        <w:tab/>
      </w:r>
      <w:r w:rsidRPr="00417A4C">
        <w:rPr>
          <w:lang w:val="fr-FR"/>
        </w:rPr>
        <w:t>Le Comité pour l’élimination de la discrimination raciale (ci-après «</w:t>
      </w:r>
      <w:r w:rsidR="009A7C4A">
        <w:rPr>
          <w:lang w:val="fr-FR"/>
        </w:rPr>
        <w:t> </w:t>
      </w:r>
      <w:r w:rsidRPr="00417A4C">
        <w:rPr>
          <w:lang w:val="fr-FR"/>
        </w:rPr>
        <w:t>le Comité</w:t>
      </w:r>
      <w:r w:rsidR="009A7C4A">
        <w:rPr>
          <w:lang w:val="fr-FR"/>
        </w:rPr>
        <w:t> </w:t>
      </w:r>
      <w:r w:rsidRPr="00417A4C">
        <w:rPr>
          <w:lang w:val="fr-FR"/>
        </w:rPr>
        <w:t>»), chargé d’examiner les communications soumises par les États parties au titre de l’article 11 de la Convention internationale sur l’élimination de toutes les formes de discrimination raciale (ci-après «</w:t>
      </w:r>
      <w:r w:rsidR="009A7C4A">
        <w:rPr>
          <w:lang w:val="fr-FR"/>
        </w:rPr>
        <w:t> </w:t>
      </w:r>
      <w:r w:rsidRPr="00417A4C">
        <w:rPr>
          <w:lang w:val="fr-FR"/>
        </w:rPr>
        <w:t>la Convention</w:t>
      </w:r>
      <w:r w:rsidR="009A7C4A">
        <w:rPr>
          <w:lang w:val="fr-FR"/>
        </w:rPr>
        <w:t> </w:t>
      </w:r>
      <w:r w:rsidRPr="00417A4C">
        <w:rPr>
          <w:lang w:val="fr-FR"/>
        </w:rPr>
        <w:t>»),</w:t>
      </w:r>
    </w:p>
    <w:p w14:paraId="21756492" w14:textId="77777777" w:rsidR="00417A4C" w:rsidRPr="00417A4C" w:rsidRDefault="00417A4C" w:rsidP="00417A4C">
      <w:pPr>
        <w:pStyle w:val="SingleTxtG"/>
        <w:rPr>
          <w:lang w:val="fr-FR"/>
        </w:rPr>
      </w:pPr>
      <w:r>
        <w:rPr>
          <w:lang w:val="fr-FR"/>
        </w:rPr>
        <w:tab/>
      </w:r>
      <w:r>
        <w:rPr>
          <w:lang w:val="fr-FR"/>
        </w:rPr>
        <w:tab/>
      </w:r>
      <w:r w:rsidRPr="00417A4C">
        <w:rPr>
          <w:lang w:val="fr-FR"/>
        </w:rPr>
        <w:t>Tenant compte des articles 11, 12 et 13 de la Convention, qui concernent les communications interétatiques,</w:t>
      </w:r>
    </w:p>
    <w:p w14:paraId="2F9FF507" w14:textId="77777777" w:rsidR="00417A4C" w:rsidRPr="00417A4C" w:rsidRDefault="00417A4C" w:rsidP="00417A4C">
      <w:pPr>
        <w:pStyle w:val="SingleTxtG"/>
        <w:rPr>
          <w:lang w:val="fr-FR"/>
        </w:rPr>
      </w:pPr>
      <w:r>
        <w:rPr>
          <w:lang w:val="fr-FR"/>
        </w:rPr>
        <w:tab/>
      </w:r>
      <w:r>
        <w:rPr>
          <w:lang w:val="fr-FR"/>
        </w:rPr>
        <w:tab/>
      </w:r>
      <w:r w:rsidRPr="00417A4C">
        <w:rPr>
          <w:lang w:val="fr-FR"/>
        </w:rPr>
        <w:t>Tenant compte également de son règlement intérieur,</w:t>
      </w:r>
    </w:p>
    <w:p w14:paraId="2687EC08" w14:textId="77777777" w:rsidR="00417A4C" w:rsidRPr="00417A4C" w:rsidRDefault="00417A4C" w:rsidP="00417A4C">
      <w:pPr>
        <w:pStyle w:val="SingleTxtG"/>
        <w:rPr>
          <w:lang w:val="fr-FR"/>
        </w:rPr>
      </w:pPr>
      <w:r>
        <w:rPr>
          <w:lang w:val="fr-FR"/>
        </w:rPr>
        <w:tab/>
      </w:r>
      <w:r>
        <w:rPr>
          <w:lang w:val="fr-FR"/>
        </w:rPr>
        <w:tab/>
      </w:r>
      <w:r w:rsidRPr="00417A4C">
        <w:rPr>
          <w:lang w:val="fr-FR"/>
        </w:rPr>
        <w:t>Agissant en application de l’article 11 de la Convention et des articles 69, 70 et 71 de son règlement intérieur,</w:t>
      </w:r>
    </w:p>
    <w:p w14:paraId="4776A441" w14:textId="7AB0560E" w:rsidR="00417A4C" w:rsidRPr="00417A4C" w:rsidRDefault="00417A4C" w:rsidP="00417A4C">
      <w:pPr>
        <w:pStyle w:val="SingleTxtG"/>
        <w:rPr>
          <w:lang w:val="fr-FR"/>
        </w:rPr>
      </w:pPr>
      <w:r>
        <w:rPr>
          <w:lang w:val="fr-FR"/>
        </w:rPr>
        <w:tab/>
      </w:r>
      <w:r>
        <w:rPr>
          <w:lang w:val="fr-FR"/>
        </w:rPr>
        <w:tab/>
      </w:r>
      <w:r w:rsidRPr="00417A4C">
        <w:rPr>
          <w:lang w:val="fr-FR"/>
        </w:rPr>
        <w:t>Établit le présent règlement intérieur</w:t>
      </w:r>
      <w:r w:rsidR="006A19EC" w:rsidRPr="006A19EC">
        <w:rPr>
          <w:lang w:val="fr-FR"/>
        </w:rPr>
        <w:t>.</w:t>
      </w:r>
    </w:p>
    <w:p w14:paraId="2D88380B" w14:textId="56279FAF" w:rsidR="00417A4C" w:rsidRPr="00417A4C" w:rsidRDefault="00417A4C" w:rsidP="00417A4C">
      <w:pPr>
        <w:pStyle w:val="H23G"/>
        <w:rPr>
          <w:lang w:val="fr-FR"/>
        </w:rPr>
      </w:pPr>
      <w:r w:rsidRPr="00417A4C">
        <w:rPr>
          <w:lang w:val="fr-FR"/>
        </w:rPr>
        <w:tab/>
      </w:r>
      <w:r w:rsidRPr="00417A4C">
        <w:rPr>
          <w:lang w:val="fr-FR"/>
        </w:rPr>
        <w:tab/>
        <w:t xml:space="preserve">Article </w:t>
      </w:r>
      <w:r w:rsidR="00234390">
        <w:rPr>
          <w:lang w:val="fr-FR"/>
        </w:rPr>
        <w:t>1</w:t>
      </w:r>
    </w:p>
    <w:p w14:paraId="5DDABD16" w14:textId="77777777" w:rsidR="00417A4C" w:rsidRPr="00417A4C" w:rsidRDefault="00417A4C" w:rsidP="00417A4C">
      <w:pPr>
        <w:pStyle w:val="H4G"/>
        <w:rPr>
          <w:lang w:val="fr-FR"/>
        </w:rPr>
      </w:pPr>
      <w:r w:rsidRPr="00417A4C">
        <w:rPr>
          <w:lang w:val="fr-FR"/>
        </w:rPr>
        <w:tab/>
      </w:r>
      <w:r w:rsidRPr="00417A4C">
        <w:rPr>
          <w:lang w:val="fr-FR"/>
        </w:rPr>
        <w:tab/>
        <w:t>Formalités préalables à l’audition</w:t>
      </w:r>
    </w:p>
    <w:p w14:paraId="2B94CC96" w14:textId="19FEF298" w:rsidR="00417A4C" w:rsidRPr="00417A4C" w:rsidRDefault="00417A4C" w:rsidP="00417A4C">
      <w:pPr>
        <w:pStyle w:val="SingleTxtG"/>
        <w:rPr>
          <w:lang w:val="fr-FR"/>
        </w:rPr>
      </w:pPr>
      <w:r w:rsidRPr="00417A4C">
        <w:rPr>
          <w:lang w:val="fr-FR"/>
        </w:rPr>
        <w:t>1</w:t>
      </w:r>
      <w:r w:rsidR="006A19EC" w:rsidRPr="006A19EC">
        <w:rPr>
          <w:lang w:val="fr-FR"/>
        </w:rPr>
        <w:t>.</w:t>
      </w:r>
      <w:r w:rsidRPr="00417A4C">
        <w:rPr>
          <w:lang w:val="fr-FR"/>
        </w:rPr>
        <w:tab/>
        <w:t>Si un État partie soumet à nouveau une question au Comité en vertu du paragraphe 2 de l’article 11 de la Convention, le Comité prie l’État défendeur de lui faire savoir, dans un délai d’un mois à compter de la réception de la demande, s’il a des informations pertinentes à lui soumettre au sujet de sa compétence ou de la recevabilité de la communication, notamment en ce qui concerne l’épuisement de tous les recours internes disponibles</w:t>
      </w:r>
      <w:r w:rsidR="006A19EC" w:rsidRPr="006A19EC">
        <w:rPr>
          <w:lang w:val="fr-FR"/>
        </w:rPr>
        <w:t>.</w:t>
      </w:r>
    </w:p>
    <w:p w14:paraId="067956EF" w14:textId="1C314563" w:rsidR="00417A4C" w:rsidRPr="00417A4C" w:rsidRDefault="00417A4C" w:rsidP="00417A4C">
      <w:pPr>
        <w:pStyle w:val="SingleTxtG"/>
        <w:rPr>
          <w:lang w:val="fr-FR"/>
        </w:rPr>
      </w:pPr>
      <w:r w:rsidRPr="00417A4C">
        <w:rPr>
          <w:lang w:val="fr-FR"/>
        </w:rPr>
        <w:t>2</w:t>
      </w:r>
      <w:r w:rsidR="006A19EC" w:rsidRPr="006A19EC">
        <w:rPr>
          <w:lang w:val="fr-FR"/>
        </w:rPr>
        <w:t>.</w:t>
      </w:r>
      <w:r w:rsidRPr="00417A4C">
        <w:rPr>
          <w:lang w:val="fr-FR"/>
        </w:rPr>
        <w:tab/>
        <w:t>Le Secrétariat transmet sans délai toute réponse reçue au Comité et à l’autre État intéressé</w:t>
      </w:r>
      <w:r w:rsidR="006A19EC" w:rsidRPr="006A19EC">
        <w:rPr>
          <w:lang w:val="fr-FR"/>
        </w:rPr>
        <w:t>.</w:t>
      </w:r>
      <w:r w:rsidRPr="00417A4C">
        <w:rPr>
          <w:lang w:val="fr-FR"/>
        </w:rPr>
        <w:t xml:space="preserve"> L’autre État peut soumettre des observations sur cette réponse dans un délai d’un mois à compter de sa réception</w:t>
      </w:r>
      <w:r w:rsidR="006A19EC" w:rsidRPr="006A19EC">
        <w:rPr>
          <w:lang w:val="fr-FR"/>
        </w:rPr>
        <w:t>.</w:t>
      </w:r>
      <w:r w:rsidRPr="00417A4C">
        <w:rPr>
          <w:lang w:val="fr-FR"/>
        </w:rPr>
        <w:t xml:space="preserve"> Les États parties intéressés peuvent décider de limiter leurs réponses aux informations déjà fournies dans leurs précédentes lettres</w:t>
      </w:r>
      <w:r w:rsidR="006A19EC" w:rsidRPr="006A19EC">
        <w:rPr>
          <w:lang w:val="fr-FR"/>
        </w:rPr>
        <w:t>.</w:t>
      </w:r>
      <w:r w:rsidRPr="00417A4C">
        <w:rPr>
          <w:lang w:val="fr-FR"/>
        </w:rPr>
        <w:t xml:space="preserve"> </w:t>
      </w:r>
    </w:p>
    <w:p w14:paraId="7808CA64" w14:textId="7F60311D" w:rsidR="00417A4C" w:rsidRPr="00417A4C" w:rsidRDefault="00417A4C" w:rsidP="00417A4C">
      <w:pPr>
        <w:pStyle w:val="SingleTxtG"/>
        <w:rPr>
          <w:lang w:val="fr-FR"/>
        </w:rPr>
      </w:pPr>
      <w:r w:rsidRPr="00417A4C">
        <w:rPr>
          <w:lang w:val="fr-FR"/>
        </w:rPr>
        <w:t>3</w:t>
      </w:r>
      <w:r w:rsidR="006A19EC" w:rsidRPr="006A19EC">
        <w:rPr>
          <w:lang w:val="fr-FR"/>
        </w:rPr>
        <w:t>.</w:t>
      </w:r>
      <w:r w:rsidRPr="00417A4C">
        <w:rPr>
          <w:lang w:val="fr-FR"/>
        </w:rPr>
        <w:tab/>
        <w:t>Si les États intéressés n’exercent pas leur droit dans les délais définis aux paragraphes 1 et 2 du présent article, le Comité peut considérer qu’ils y ont renoncé</w:t>
      </w:r>
      <w:r w:rsidR="006A19EC" w:rsidRPr="006A19EC">
        <w:rPr>
          <w:lang w:val="fr-FR"/>
        </w:rPr>
        <w:t>.</w:t>
      </w:r>
      <w:r w:rsidRPr="00417A4C">
        <w:rPr>
          <w:lang w:val="fr-FR"/>
        </w:rPr>
        <w:t xml:space="preserve"> </w:t>
      </w:r>
    </w:p>
    <w:p w14:paraId="044947AE" w14:textId="5DD840FE" w:rsidR="00417A4C" w:rsidRPr="00417A4C" w:rsidRDefault="00417A4C" w:rsidP="00417A4C">
      <w:pPr>
        <w:pStyle w:val="SingleTxtG"/>
        <w:rPr>
          <w:lang w:val="fr-FR"/>
        </w:rPr>
      </w:pPr>
      <w:r w:rsidRPr="00417A4C">
        <w:rPr>
          <w:lang w:val="fr-FR"/>
        </w:rPr>
        <w:t>4</w:t>
      </w:r>
      <w:r w:rsidR="006A19EC" w:rsidRPr="006A19EC">
        <w:rPr>
          <w:lang w:val="fr-FR"/>
        </w:rPr>
        <w:t>.</w:t>
      </w:r>
      <w:r w:rsidRPr="00417A4C">
        <w:rPr>
          <w:lang w:val="fr-FR"/>
        </w:rPr>
        <w:tab/>
        <w:t>En application de l’article 87 de son règlement intérieur, le Comité peut constituer un groupe de travail composé de cinq membres qui sera chargé de l’aider à examiner les communications interétatiques</w:t>
      </w:r>
      <w:r w:rsidR="006A19EC" w:rsidRPr="006A19EC">
        <w:rPr>
          <w:lang w:val="fr-FR"/>
        </w:rPr>
        <w:t>.</w:t>
      </w:r>
    </w:p>
    <w:p w14:paraId="0A4FA0AD" w14:textId="3F4D9750" w:rsidR="00417A4C" w:rsidRPr="00417A4C" w:rsidRDefault="00417A4C" w:rsidP="00417A4C">
      <w:pPr>
        <w:pStyle w:val="SingleTxtG"/>
        <w:rPr>
          <w:lang w:val="fr-FR"/>
        </w:rPr>
      </w:pPr>
      <w:r w:rsidRPr="00417A4C">
        <w:rPr>
          <w:lang w:val="fr-FR"/>
        </w:rPr>
        <w:t>5</w:t>
      </w:r>
      <w:r w:rsidR="006A19EC" w:rsidRPr="006A19EC">
        <w:rPr>
          <w:lang w:val="fr-FR"/>
        </w:rPr>
        <w:t>.</w:t>
      </w:r>
      <w:r w:rsidRPr="00417A4C">
        <w:rPr>
          <w:lang w:val="fr-FR"/>
        </w:rPr>
        <w:tab/>
        <w:t>À la demande de l’une des parties, le Groupe de travail peut accepter, à titre exceptionnel, que des observations écrites lui soient soumises tardivement, compte dûment tenu des circonstances de l’affaire et du principe d’égalité des moyens</w:t>
      </w:r>
      <w:r w:rsidR="006A19EC" w:rsidRPr="006A19EC">
        <w:rPr>
          <w:lang w:val="fr-FR"/>
        </w:rPr>
        <w:t>.</w:t>
      </w:r>
      <w:r w:rsidRPr="00417A4C">
        <w:rPr>
          <w:lang w:val="fr-FR"/>
        </w:rPr>
        <w:t xml:space="preserve"> S’il estime que ces observations peuvent être prises en compte, il les transmet sans délai à l’État partie intéressé et lui donne la possibilité de faire connaître ses vues, dans un délai fixé, sur toute nouvelle question soulevée</w:t>
      </w:r>
      <w:r w:rsidR="006A19EC" w:rsidRPr="006A19EC">
        <w:rPr>
          <w:lang w:val="fr-FR"/>
        </w:rPr>
        <w:t>.</w:t>
      </w:r>
      <w:r w:rsidRPr="00417A4C">
        <w:rPr>
          <w:lang w:val="fr-FR"/>
        </w:rPr>
        <w:t xml:space="preserve"> </w:t>
      </w:r>
    </w:p>
    <w:p w14:paraId="2BD3C4BF" w14:textId="29FB3828" w:rsidR="00417A4C" w:rsidRPr="00417A4C" w:rsidRDefault="00417A4C" w:rsidP="00417A4C">
      <w:pPr>
        <w:pStyle w:val="SingleTxtG"/>
        <w:rPr>
          <w:lang w:val="fr-FR"/>
        </w:rPr>
      </w:pPr>
      <w:r w:rsidRPr="00417A4C">
        <w:rPr>
          <w:lang w:val="fr-FR"/>
        </w:rPr>
        <w:t>6</w:t>
      </w:r>
      <w:r w:rsidR="006A19EC" w:rsidRPr="006A19EC">
        <w:rPr>
          <w:lang w:val="fr-FR"/>
        </w:rPr>
        <w:t>.</w:t>
      </w:r>
      <w:r w:rsidRPr="00417A4C">
        <w:rPr>
          <w:lang w:val="fr-FR"/>
        </w:rPr>
        <w:tab/>
        <w:t>Après clôture de la procédure écrite relative à la compétence et à la recevabilité, notamment en ce qui concerne l’épuisement des recours internes, l’affaire est en état</w:t>
      </w:r>
      <w:r w:rsidR="006A19EC" w:rsidRPr="006A19EC">
        <w:rPr>
          <w:lang w:val="fr-FR"/>
        </w:rPr>
        <w:t>.</w:t>
      </w:r>
      <w:r w:rsidRPr="00417A4C">
        <w:rPr>
          <w:lang w:val="fr-FR"/>
        </w:rPr>
        <w:t xml:space="preserve"> Les États intéressés sont dûment informés de la date à laquelle la question sera examinée</w:t>
      </w:r>
      <w:r w:rsidR="006A19EC" w:rsidRPr="006A19EC">
        <w:rPr>
          <w:lang w:val="fr-FR"/>
        </w:rPr>
        <w:t>.</w:t>
      </w:r>
    </w:p>
    <w:p w14:paraId="762F9A31" w14:textId="417BC27E" w:rsidR="00417A4C" w:rsidRPr="00417A4C" w:rsidRDefault="00417A4C" w:rsidP="00417A4C">
      <w:pPr>
        <w:pStyle w:val="SingleTxtG"/>
        <w:rPr>
          <w:lang w:val="fr-FR"/>
        </w:rPr>
      </w:pPr>
      <w:r w:rsidRPr="00417A4C">
        <w:rPr>
          <w:lang w:val="fr-FR"/>
        </w:rPr>
        <w:t>7</w:t>
      </w:r>
      <w:r w:rsidR="006A19EC" w:rsidRPr="006A19EC">
        <w:rPr>
          <w:lang w:val="fr-FR"/>
        </w:rPr>
        <w:t>.</w:t>
      </w:r>
      <w:r w:rsidRPr="00417A4C">
        <w:rPr>
          <w:lang w:val="fr-FR"/>
        </w:rPr>
        <w:tab/>
        <w:t>En application du paragraphe 5 de l’article 11 de la Convention, le Comité invite les États parties intéressés à désigner un représentant qui participera sans droit de vote à la procédure orale devant le Comité</w:t>
      </w:r>
      <w:r w:rsidR="006A19EC" w:rsidRPr="006A19EC">
        <w:rPr>
          <w:lang w:val="fr-FR"/>
        </w:rPr>
        <w:t>.</w:t>
      </w:r>
      <w:r w:rsidRPr="00417A4C">
        <w:rPr>
          <w:lang w:val="fr-FR"/>
        </w:rPr>
        <w:t xml:space="preserve"> La notification de la nomination comprend le nom et la notice biographique du représentant de l’État, et est soumise dans le délai fixé par le Comité</w:t>
      </w:r>
      <w:r w:rsidR="006A19EC" w:rsidRPr="006A19EC">
        <w:rPr>
          <w:lang w:val="fr-FR"/>
        </w:rPr>
        <w:t>.</w:t>
      </w:r>
      <w:r w:rsidRPr="00417A4C">
        <w:rPr>
          <w:lang w:val="fr-FR"/>
        </w:rPr>
        <w:t xml:space="preserve"> Elle est communiquée en temps voulu aux États parties intéressés, conformément à l’article 71 du règlement intérieur du Comité</w:t>
      </w:r>
      <w:r w:rsidR="006A19EC" w:rsidRPr="006A19EC">
        <w:rPr>
          <w:lang w:val="fr-FR"/>
        </w:rPr>
        <w:t>.</w:t>
      </w:r>
    </w:p>
    <w:p w14:paraId="1B3B3C98" w14:textId="77777777" w:rsidR="00417A4C" w:rsidRPr="00417A4C" w:rsidRDefault="00417A4C" w:rsidP="00417A4C">
      <w:pPr>
        <w:pStyle w:val="H23G"/>
        <w:rPr>
          <w:lang w:val="fr-FR"/>
        </w:rPr>
      </w:pPr>
      <w:r w:rsidRPr="00417A4C">
        <w:rPr>
          <w:lang w:val="fr-FR"/>
        </w:rPr>
        <w:tab/>
      </w:r>
      <w:r w:rsidRPr="00417A4C">
        <w:rPr>
          <w:lang w:val="fr-FR"/>
        </w:rPr>
        <w:tab/>
        <w:t>Article 2</w:t>
      </w:r>
    </w:p>
    <w:p w14:paraId="4A90512F" w14:textId="77777777" w:rsidR="00417A4C" w:rsidRPr="00417A4C" w:rsidRDefault="00417A4C" w:rsidP="00417A4C">
      <w:pPr>
        <w:pStyle w:val="H4G"/>
        <w:rPr>
          <w:lang w:val="fr-FR"/>
        </w:rPr>
      </w:pPr>
      <w:r w:rsidRPr="00417A4C">
        <w:rPr>
          <w:lang w:val="fr-FR"/>
        </w:rPr>
        <w:tab/>
      </w:r>
      <w:r w:rsidRPr="00417A4C">
        <w:rPr>
          <w:lang w:val="fr-FR"/>
        </w:rPr>
        <w:tab/>
        <w:t>Langues</w:t>
      </w:r>
    </w:p>
    <w:p w14:paraId="1D875A3C" w14:textId="54677AF4" w:rsidR="00417A4C" w:rsidRPr="00417A4C" w:rsidRDefault="00234390" w:rsidP="00417A4C">
      <w:pPr>
        <w:pStyle w:val="SingleTxtG"/>
        <w:rPr>
          <w:lang w:val="fr-FR"/>
        </w:rPr>
      </w:pPr>
      <w:r>
        <w:rPr>
          <w:lang w:val="fr-FR"/>
        </w:rPr>
        <w:tab/>
      </w:r>
      <w:r>
        <w:rPr>
          <w:lang w:val="fr-FR"/>
        </w:rPr>
        <w:tab/>
      </w:r>
      <w:r w:rsidR="00417A4C" w:rsidRPr="00417A4C">
        <w:rPr>
          <w:lang w:val="fr-FR"/>
        </w:rPr>
        <w:t>Les langues de la procédure sont les langues de travail habituelles du Comité</w:t>
      </w:r>
      <w:r w:rsidR="006A19EC" w:rsidRPr="006A19EC">
        <w:rPr>
          <w:lang w:val="fr-FR"/>
        </w:rPr>
        <w:t>.</w:t>
      </w:r>
      <w:r w:rsidR="00417A4C" w:rsidRPr="00417A4C">
        <w:rPr>
          <w:lang w:val="fr-FR"/>
        </w:rPr>
        <w:t xml:space="preserve"> Si l’un des États intéressés souhaite s’adresser au Comité dans l’une des langues officielles de l’Organisation des Nations Unies, des services d’interprétation sont assurés dans cette langue</w:t>
      </w:r>
      <w:r w:rsidR="006A19EC" w:rsidRPr="006A19EC">
        <w:rPr>
          <w:lang w:val="fr-FR"/>
        </w:rPr>
        <w:t>.</w:t>
      </w:r>
      <w:r w:rsidR="00417A4C" w:rsidRPr="00417A4C">
        <w:rPr>
          <w:lang w:val="fr-FR"/>
        </w:rPr>
        <w:t xml:space="preserve"> Les décisions prises par le Comité sont traduites dans les six langues officielles de l’Organisation des Nations Unies</w:t>
      </w:r>
      <w:r w:rsidR="006A19EC" w:rsidRPr="006A19EC">
        <w:rPr>
          <w:lang w:val="fr-FR"/>
        </w:rPr>
        <w:t>.</w:t>
      </w:r>
    </w:p>
    <w:p w14:paraId="6C9D6152" w14:textId="77777777" w:rsidR="00417A4C" w:rsidRPr="00417A4C" w:rsidRDefault="00417A4C" w:rsidP="00417A4C">
      <w:pPr>
        <w:pStyle w:val="H23G"/>
        <w:rPr>
          <w:lang w:val="fr-FR"/>
        </w:rPr>
      </w:pPr>
      <w:r w:rsidRPr="00417A4C">
        <w:rPr>
          <w:lang w:val="fr-FR"/>
        </w:rPr>
        <w:tab/>
      </w:r>
      <w:r w:rsidRPr="00417A4C">
        <w:rPr>
          <w:lang w:val="fr-FR"/>
        </w:rPr>
        <w:tab/>
        <w:t>Article 3</w:t>
      </w:r>
    </w:p>
    <w:p w14:paraId="6CAB8976" w14:textId="77777777" w:rsidR="00417A4C" w:rsidRPr="00417A4C" w:rsidRDefault="00417A4C" w:rsidP="00417A4C">
      <w:pPr>
        <w:pStyle w:val="H4G"/>
        <w:rPr>
          <w:lang w:val="fr-FR"/>
        </w:rPr>
      </w:pPr>
      <w:r w:rsidRPr="00417A4C">
        <w:rPr>
          <w:lang w:val="fr-FR"/>
        </w:rPr>
        <w:tab/>
      </w:r>
      <w:r w:rsidRPr="00417A4C">
        <w:rPr>
          <w:lang w:val="fr-FR"/>
        </w:rPr>
        <w:tab/>
        <w:t>Présidence de l’audition</w:t>
      </w:r>
    </w:p>
    <w:p w14:paraId="0BC56BAE" w14:textId="02DD43D3" w:rsidR="00417A4C" w:rsidRPr="00417A4C" w:rsidRDefault="00234390" w:rsidP="00417A4C">
      <w:pPr>
        <w:pStyle w:val="SingleTxtG"/>
        <w:rPr>
          <w:b/>
          <w:i/>
          <w:lang w:val="fr-FR"/>
        </w:rPr>
      </w:pPr>
      <w:r>
        <w:rPr>
          <w:lang w:val="fr-FR"/>
        </w:rPr>
        <w:tab/>
      </w:r>
      <w:r>
        <w:rPr>
          <w:lang w:val="fr-FR"/>
        </w:rPr>
        <w:tab/>
      </w:r>
      <w:r w:rsidR="00417A4C" w:rsidRPr="00417A4C">
        <w:rPr>
          <w:lang w:val="fr-FR"/>
        </w:rPr>
        <w:t>L’audition est présidée conformément aux articles 17, 18 et 19 du règlement intérieur du Comité</w:t>
      </w:r>
      <w:r w:rsidR="006A19EC" w:rsidRPr="006A19EC">
        <w:rPr>
          <w:lang w:val="fr-FR"/>
        </w:rPr>
        <w:t>.</w:t>
      </w:r>
    </w:p>
    <w:p w14:paraId="2FC0B6C6" w14:textId="77777777" w:rsidR="00417A4C" w:rsidRPr="00417A4C" w:rsidRDefault="00417A4C" w:rsidP="00417A4C">
      <w:pPr>
        <w:pStyle w:val="H23G"/>
        <w:rPr>
          <w:lang w:val="fr-FR"/>
        </w:rPr>
      </w:pPr>
      <w:r w:rsidRPr="00417A4C">
        <w:rPr>
          <w:lang w:val="fr-FR"/>
        </w:rPr>
        <w:tab/>
      </w:r>
      <w:r w:rsidRPr="00417A4C">
        <w:rPr>
          <w:lang w:val="fr-FR"/>
        </w:rPr>
        <w:tab/>
        <w:t>Article 4</w:t>
      </w:r>
    </w:p>
    <w:p w14:paraId="0F308520" w14:textId="77777777" w:rsidR="00417A4C" w:rsidRPr="00417A4C" w:rsidRDefault="00417A4C" w:rsidP="00417A4C">
      <w:pPr>
        <w:pStyle w:val="H4G"/>
        <w:rPr>
          <w:lang w:val="fr-FR"/>
        </w:rPr>
      </w:pPr>
      <w:r w:rsidRPr="00417A4C">
        <w:rPr>
          <w:lang w:val="fr-FR"/>
        </w:rPr>
        <w:tab/>
      </w:r>
      <w:r w:rsidRPr="00417A4C">
        <w:rPr>
          <w:lang w:val="fr-FR"/>
        </w:rPr>
        <w:tab/>
        <w:t>Indépendance et impartialité des membres du Comité</w:t>
      </w:r>
    </w:p>
    <w:p w14:paraId="536FE322" w14:textId="24F2AF64" w:rsidR="00417A4C" w:rsidRPr="00417A4C" w:rsidRDefault="00417A4C" w:rsidP="00417A4C">
      <w:pPr>
        <w:pStyle w:val="SingleTxtG"/>
        <w:rPr>
          <w:lang w:val="fr-FR"/>
        </w:rPr>
      </w:pPr>
      <w:r w:rsidRPr="00417A4C">
        <w:rPr>
          <w:lang w:val="fr-FR"/>
        </w:rPr>
        <w:t>1</w:t>
      </w:r>
      <w:r w:rsidR="006A19EC" w:rsidRPr="006A19EC">
        <w:rPr>
          <w:lang w:val="fr-FR"/>
        </w:rPr>
        <w:t>.</w:t>
      </w:r>
      <w:r w:rsidRPr="00417A4C">
        <w:rPr>
          <w:lang w:val="fr-FR"/>
        </w:rPr>
        <w:tab/>
        <w:t>Les membres ne prennent pas part à l’examen d’une communication par le Comité :</w:t>
      </w:r>
    </w:p>
    <w:p w14:paraId="06696646" w14:textId="77777777" w:rsidR="00417A4C" w:rsidRPr="00417A4C" w:rsidRDefault="006467D1" w:rsidP="00417A4C">
      <w:pPr>
        <w:pStyle w:val="SingleTxtG"/>
        <w:rPr>
          <w:lang w:val="fr-FR"/>
        </w:rPr>
      </w:pPr>
      <w:r>
        <w:rPr>
          <w:lang w:val="fr-FR"/>
        </w:rPr>
        <w:tab/>
      </w:r>
      <w:r w:rsidR="00417A4C" w:rsidRPr="00417A4C">
        <w:rPr>
          <w:lang w:val="fr-FR"/>
        </w:rPr>
        <w:tab/>
        <w:t>a)</w:t>
      </w:r>
      <w:r w:rsidR="00417A4C" w:rsidRPr="00417A4C">
        <w:rPr>
          <w:lang w:val="fr-FR"/>
        </w:rPr>
        <w:tab/>
        <w:t>S’ils sont ressortissants de l’un des États parties intéressés ;</w:t>
      </w:r>
    </w:p>
    <w:p w14:paraId="14853385" w14:textId="77777777" w:rsidR="00417A4C" w:rsidRPr="00417A4C" w:rsidRDefault="006467D1" w:rsidP="00417A4C">
      <w:pPr>
        <w:pStyle w:val="SingleTxtG"/>
        <w:rPr>
          <w:lang w:val="fr-FR"/>
        </w:rPr>
      </w:pPr>
      <w:r>
        <w:rPr>
          <w:lang w:val="fr-FR"/>
        </w:rPr>
        <w:tab/>
      </w:r>
      <w:r w:rsidR="00417A4C" w:rsidRPr="00417A4C">
        <w:rPr>
          <w:lang w:val="fr-FR"/>
        </w:rPr>
        <w:tab/>
        <w:t>b)</w:t>
      </w:r>
      <w:r w:rsidR="00417A4C" w:rsidRPr="00417A4C">
        <w:rPr>
          <w:lang w:val="fr-FR"/>
        </w:rPr>
        <w:tab/>
        <w:t>Si leur participation donne lieu à un quelconque conflit d’intérêts personnel ou professionnel ;</w:t>
      </w:r>
    </w:p>
    <w:p w14:paraId="55162F9C" w14:textId="4FF55EDE" w:rsidR="00417A4C" w:rsidRPr="00417A4C" w:rsidRDefault="006467D1" w:rsidP="00417A4C">
      <w:pPr>
        <w:pStyle w:val="SingleTxtG"/>
        <w:rPr>
          <w:lang w:val="fr-FR"/>
        </w:rPr>
      </w:pPr>
      <w:r>
        <w:rPr>
          <w:lang w:val="fr-FR"/>
        </w:rPr>
        <w:tab/>
      </w:r>
      <w:r w:rsidR="00417A4C" w:rsidRPr="00417A4C">
        <w:rPr>
          <w:lang w:val="fr-FR"/>
        </w:rPr>
        <w:tab/>
        <w:t>c)</w:t>
      </w:r>
      <w:r w:rsidR="00417A4C" w:rsidRPr="00417A4C">
        <w:rPr>
          <w:lang w:val="fr-FR"/>
        </w:rPr>
        <w:tab/>
        <w:t>S’ils ont participé à quelque titre que ce soit à l’adoption d’une quelconque décision relative à la question sur laquelle porte la communication</w:t>
      </w:r>
      <w:r w:rsidR="006A19EC" w:rsidRPr="006A19EC">
        <w:rPr>
          <w:lang w:val="fr-FR"/>
        </w:rPr>
        <w:t>.</w:t>
      </w:r>
    </w:p>
    <w:p w14:paraId="4F2D59A6" w14:textId="3E410562" w:rsidR="00417A4C" w:rsidRPr="00417A4C" w:rsidRDefault="00417A4C" w:rsidP="00417A4C">
      <w:pPr>
        <w:pStyle w:val="SingleTxtG"/>
        <w:rPr>
          <w:b/>
          <w:i/>
          <w:lang w:val="fr-FR"/>
        </w:rPr>
      </w:pPr>
      <w:r w:rsidRPr="00417A4C">
        <w:rPr>
          <w:lang w:val="fr-FR"/>
        </w:rPr>
        <w:t>2</w:t>
      </w:r>
      <w:r w:rsidR="006A19EC" w:rsidRPr="006A19EC">
        <w:rPr>
          <w:lang w:val="fr-FR"/>
        </w:rPr>
        <w:t>.</w:t>
      </w:r>
      <w:r w:rsidRPr="00417A4C">
        <w:rPr>
          <w:lang w:val="fr-FR"/>
        </w:rPr>
        <w:tab/>
        <w:t>Toute question relative à l’application du paragraphe 1 du présent article est tranchée par le Comité</w:t>
      </w:r>
      <w:r w:rsidR="006A19EC" w:rsidRPr="006A19EC">
        <w:rPr>
          <w:lang w:val="fr-FR"/>
        </w:rPr>
        <w:t>.</w:t>
      </w:r>
      <w:r w:rsidRPr="00417A4C">
        <w:rPr>
          <w:lang w:val="fr-FR"/>
        </w:rPr>
        <w:t xml:space="preserve"> Les membres concernés ne prennent pas part à la décision</w:t>
      </w:r>
      <w:r w:rsidR="006A19EC" w:rsidRPr="006A19EC">
        <w:rPr>
          <w:lang w:val="fr-FR"/>
        </w:rPr>
        <w:t>.</w:t>
      </w:r>
      <w:r w:rsidRPr="00417A4C">
        <w:rPr>
          <w:lang w:val="fr-FR"/>
        </w:rPr>
        <w:t xml:space="preserve"> </w:t>
      </w:r>
    </w:p>
    <w:p w14:paraId="19D51750" w14:textId="77777777" w:rsidR="00417A4C" w:rsidRPr="00417A4C" w:rsidRDefault="00417A4C" w:rsidP="006467D1">
      <w:pPr>
        <w:pStyle w:val="H23G"/>
        <w:rPr>
          <w:lang w:val="fr-FR"/>
        </w:rPr>
      </w:pPr>
      <w:r w:rsidRPr="00417A4C">
        <w:rPr>
          <w:lang w:val="fr-FR"/>
        </w:rPr>
        <w:tab/>
      </w:r>
      <w:r w:rsidRPr="00417A4C">
        <w:rPr>
          <w:lang w:val="fr-FR"/>
        </w:rPr>
        <w:tab/>
        <w:t>Article 5</w:t>
      </w:r>
    </w:p>
    <w:p w14:paraId="1EEC2205" w14:textId="77777777" w:rsidR="00417A4C" w:rsidRPr="00417A4C" w:rsidRDefault="00417A4C" w:rsidP="00EA5FA9">
      <w:pPr>
        <w:pStyle w:val="H4G"/>
        <w:rPr>
          <w:lang w:val="fr-FR"/>
        </w:rPr>
      </w:pPr>
      <w:r w:rsidRPr="00417A4C">
        <w:rPr>
          <w:lang w:val="fr-FR"/>
        </w:rPr>
        <w:tab/>
      </w:r>
      <w:r w:rsidRPr="00417A4C">
        <w:rPr>
          <w:lang w:val="fr-FR"/>
        </w:rPr>
        <w:tab/>
        <w:t>Déroulement de l’audition</w:t>
      </w:r>
    </w:p>
    <w:p w14:paraId="63E1D801" w14:textId="5B219C15" w:rsidR="00417A4C" w:rsidRPr="00417A4C" w:rsidRDefault="00417A4C" w:rsidP="00417A4C">
      <w:pPr>
        <w:pStyle w:val="SingleTxtG"/>
        <w:rPr>
          <w:lang w:val="fr-FR"/>
        </w:rPr>
      </w:pPr>
      <w:r w:rsidRPr="00417A4C">
        <w:rPr>
          <w:lang w:val="fr-FR"/>
        </w:rPr>
        <w:t>1</w:t>
      </w:r>
      <w:r w:rsidR="006A19EC" w:rsidRPr="006A19EC">
        <w:rPr>
          <w:lang w:val="fr-FR"/>
        </w:rPr>
        <w:t>.</w:t>
      </w:r>
      <w:r w:rsidRPr="00417A4C">
        <w:rPr>
          <w:lang w:val="fr-FR"/>
        </w:rPr>
        <w:tab/>
        <w:t>Au cours de la procédure prévue à l’article 11 de la Convention, les décisions prises par le Comité ne doivent en aucun cas être interprétées comme l’expression de ses vues sur sa compétence ou sur la recevabilité ou le fond de la communication</w:t>
      </w:r>
      <w:r w:rsidR="006A19EC" w:rsidRPr="006A19EC">
        <w:rPr>
          <w:lang w:val="fr-FR"/>
        </w:rPr>
        <w:t>.</w:t>
      </w:r>
    </w:p>
    <w:p w14:paraId="6A28956C" w14:textId="765803FC" w:rsidR="00417A4C" w:rsidRPr="00417A4C" w:rsidRDefault="00417A4C" w:rsidP="00417A4C">
      <w:pPr>
        <w:pStyle w:val="SingleTxtG"/>
        <w:rPr>
          <w:lang w:val="fr-FR"/>
        </w:rPr>
      </w:pPr>
      <w:r w:rsidRPr="00417A4C">
        <w:rPr>
          <w:lang w:val="fr-FR"/>
        </w:rPr>
        <w:t>2</w:t>
      </w:r>
      <w:r w:rsidR="006A19EC" w:rsidRPr="006A19EC">
        <w:rPr>
          <w:lang w:val="fr-FR"/>
        </w:rPr>
        <w:t>.</w:t>
      </w:r>
      <w:r w:rsidRPr="00417A4C">
        <w:rPr>
          <w:lang w:val="fr-FR"/>
        </w:rPr>
        <w:tab/>
        <w:t>L’audition se tient à huis clos</w:t>
      </w:r>
      <w:r w:rsidR="006A19EC" w:rsidRPr="006A19EC">
        <w:rPr>
          <w:lang w:val="fr-FR"/>
        </w:rPr>
        <w:t>.</w:t>
      </w:r>
    </w:p>
    <w:p w14:paraId="31F94220" w14:textId="64A77574" w:rsidR="00417A4C" w:rsidRPr="00417A4C" w:rsidRDefault="00417A4C" w:rsidP="00417A4C">
      <w:pPr>
        <w:pStyle w:val="SingleTxtG"/>
        <w:rPr>
          <w:lang w:val="fr-FR"/>
        </w:rPr>
      </w:pPr>
      <w:r w:rsidRPr="00417A4C">
        <w:rPr>
          <w:lang w:val="fr-FR"/>
        </w:rPr>
        <w:t>3</w:t>
      </w:r>
      <w:r w:rsidR="006A19EC" w:rsidRPr="006A19EC">
        <w:rPr>
          <w:lang w:val="fr-FR"/>
        </w:rPr>
        <w:t>.</w:t>
      </w:r>
      <w:r w:rsidRPr="00417A4C">
        <w:rPr>
          <w:lang w:val="fr-FR"/>
        </w:rPr>
        <w:tab/>
        <w:t>Pendant l’audition, le représentant de l’État partie qui a soulevé les questions préliminaires est invité à faire connaître les vues de cet État partie</w:t>
      </w:r>
      <w:r w:rsidR="001E77AC">
        <w:rPr>
          <w:lang w:val="fr-FR"/>
        </w:rPr>
        <w:t xml:space="preserve"> </w:t>
      </w:r>
      <w:r w:rsidRPr="00417A4C">
        <w:rPr>
          <w:lang w:val="fr-FR"/>
        </w:rPr>
        <w:t xml:space="preserve">en </w:t>
      </w:r>
      <w:r w:rsidR="006D46D5">
        <w:rPr>
          <w:lang w:val="fr-FR"/>
        </w:rPr>
        <w:t>quarante-cinq</w:t>
      </w:r>
      <w:r w:rsidR="006D46D5" w:rsidRPr="00417A4C">
        <w:rPr>
          <w:lang w:val="fr-FR"/>
        </w:rPr>
        <w:t xml:space="preserve"> </w:t>
      </w:r>
      <w:r w:rsidRPr="00417A4C">
        <w:rPr>
          <w:lang w:val="fr-FR"/>
        </w:rPr>
        <w:t>minutes au plus</w:t>
      </w:r>
      <w:r w:rsidR="006A19EC" w:rsidRPr="006A19EC">
        <w:rPr>
          <w:lang w:val="fr-FR"/>
        </w:rPr>
        <w:t>.</w:t>
      </w:r>
      <w:r w:rsidRPr="00417A4C">
        <w:rPr>
          <w:lang w:val="fr-FR"/>
        </w:rPr>
        <w:t xml:space="preserve"> Ensuite, le représentant de l’autre État partie dispose à son tour de </w:t>
      </w:r>
      <w:r w:rsidR="006D46D5">
        <w:rPr>
          <w:lang w:val="fr-FR"/>
        </w:rPr>
        <w:t>quarante-cinq</w:t>
      </w:r>
      <w:r w:rsidR="006D46D5" w:rsidRPr="00417A4C">
        <w:rPr>
          <w:lang w:val="fr-FR"/>
        </w:rPr>
        <w:t xml:space="preserve"> </w:t>
      </w:r>
      <w:r w:rsidRPr="00417A4C">
        <w:rPr>
          <w:lang w:val="fr-FR"/>
        </w:rPr>
        <w:t>minutes au plus pour s’adresser au Comité</w:t>
      </w:r>
      <w:r w:rsidR="006A19EC" w:rsidRPr="006A19EC">
        <w:rPr>
          <w:lang w:val="fr-FR"/>
        </w:rPr>
        <w:t>.</w:t>
      </w:r>
      <w:r w:rsidRPr="00417A4C">
        <w:rPr>
          <w:lang w:val="fr-FR"/>
        </w:rPr>
        <w:t xml:space="preserve"> Immédiatement après, les représentants des deux États parties sont invités à donner une réponse orale en </w:t>
      </w:r>
      <w:r w:rsidR="009A7C4A">
        <w:rPr>
          <w:lang w:val="fr-FR"/>
        </w:rPr>
        <w:t>quinze</w:t>
      </w:r>
      <w:r w:rsidRPr="00417A4C">
        <w:rPr>
          <w:lang w:val="fr-FR"/>
        </w:rPr>
        <w:t xml:space="preserve"> minutes au plus</w:t>
      </w:r>
      <w:r w:rsidR="006A19EC" w:rsidRPr="006A19EC">
        <w:rPr>
          <w:lang w:val="fr-FR"/>
        </w:rPr>
        <w:t>.</w:t>
      </w:r>
      <w:r w:rsidRPr="00417A4C">
        <w:rPr>
          <w:lang w:val="fr-FR"/>
        </w:rPr>
        <w:t xml:space="preserve"> </w:t>
      </w:r>
    </w:p>
    <w:p w14:paraId="426AA310" w14:textId="12ABC27E" w:rsidR="00417A4C" w:rsidRPr="00417A4C" w:rsidRDefault="00417A4C" w:rsidP="00417A4C">
      <w:pPr>
        <w:pStyle w:val="SingleTxtG"/>
        <w:rPr>
          <w:lang w:val="fr-FR"/>
        </w:rPr>
      </w:pPr>
      <w:r w:rsidRPr="00417A4C">
        <w:rPr>
          <w:lang w:val="fr-FR"/>
        </w:rPr>
        <w:t>4</w:t>
      </w:r>
      <w:r w:rsidR="006A19EC" w:rsidRPr="006A19EC">
        <w:rPr>
          <w:lang w:val="fr-FR"/>
        </w:rPr>
        <w:t>.</w:t>
      </w:r>
      <w:r w:rsidRPr="00417A4C">
        <w:rPr>
          <w:lang w:val="fr-FR"/>
        </w:rPr>
        <w:tab/>
        <w:t xml:space="preserve">Après que les représentants des États parties ont présenté oralement leurs vues au Comité en </w:t>
      </w:r>
      <w:r w:rsidR="009A7C4A">
        <w:rPr>
          <w:lang w:val="fr-FR"/>
        </w:rPr>
        <w:t>quarante-cinq</w:t>
      </w:r>
      <w:r w:rsidR="009A7C4A" w:rsidRPr="00417A4C">
        <w:rPr>
          <w:lang w:val="fr-FR"/>
        </w:rPr>
        <w:t xml:space="preserve"> </w:t>
      </w:r>
      <w:r w:rsidRPr="00417A4C">
        <w:rPr>
          <w:lang w:val="fr-FR"/>
        </w:rPr>
        <w:t xml:space="preserve">minutes, les États parties peuvent communiquer des informations supplémentaires par écrit dans les </w:t>
      </w:r>
      <w:r w:rsidR="009A7C4A">
        <w:rPr>
          <w:lang w:val="fr-FR"/>
        </w:rPr>
        <w:t>vingt-quatre</w:t>
      </w:r>
      <w:r w:rsidRPr="00417A4C">
        <w:rPr>
          <w:lang w:val="fr-FR"/>
        </w:rPr>
        <w:t xml:space="preserve"> heures suivant la procédure orale, dans un document de 10 pages au plus</w:t>
      </w:r>
      <w:r w:rsidR="006A19EC" w:rsidRPr="006A19EC">
        <w:rPr>
          <w:lang w:val="fr-FR"/>
        </w:rPr>
        <w:t>.</w:t>
      </w:r>
      <w:r w:rsidRPr="00417A4C">
        <w:rPr>
          <w:lang w:val="fr-FR"/>
        </w:rPr>
        <w:t xml:space="preserve"> À titre exceptionnel, le Comité peut autoriser les États parties à soumettre une réponse écrite à la place de la réponse orale</w:t>
      </w:r>
      <w:r w:rsidR="006A19EC" w:rsidRPr="006A19EC">
        <w:rPr>
          <w:lang w:val="fr-FR"/>
        </w:rPr>
        <w:t>.</w:t>
      </w:r>
      <w:r w:rsidRPr="00417A4C">
        <w:rPr>
          <w:lang w:val="fr-FR"/>
        </w:rPr>
        <w:t xml:space="preserve"> </w:t>
      </w:r>
    </w:p>
    <w:p w14:paraId="0FFE63B3" w14:textId="49A819B1" w:rsidR="00417A4C" w:rsidRPr="00417A4C" w:rsidRDefault="00417A4C" w:rsidP="00417A4C">
      <w:pPr>
        <w:pStyle w:val="SingleTxtG"/>
        <w:rPr>
          <w:lang w:val="fr-FR"/>
        </w:rPr>
      </w:pPr>
      <w:r w:rsidRPr="00417A4C">
        <w:rPr>
          <w:lang w:val="fr-FR"/>
        </w:rPr>
        <w:t>5</w:t>
      </w:r>
      <w:r w:rsidR="006A19EC" w:rsidRPr="006A19EC">
        <w:rPr>
          <w:lang w:val="fr-FR"/>
        </w:rPr>
        <w:t>.</w:t>
      </w:r>
      <w:r w:rsidRPr="00417A4C">
        <w:rPr>
          <w:lang w:val="fr-FR"/>
        </w:rPr>
        <w:tab/>
        <w:t>Les réponses orales sont limitées à deux tours de parole, à moins que le Président du Comité n’en décide autrement</w:t>
      </w:r>
      <w:r w:rsidR="006A19EC" w:rsidRPr="006A19EC">
        <w:rPr>
          <w:lang w:val="fr-FR"/>
        </w:rPr>
        <w:t>.</w:t>
      </w:r>
      <w:r w:rsidRPr="00417A4C">
        <w:rPr>
          <w:lang w:val="fr-FR"/>
        </w:rPr>
        <w:t xml:space="preserve"> </w:t>
      </w:r>
    </w:p>
    <w:p w14:paraId="2D437710" w14:textId="1BAE9EE4" w:rsidR="00417A4C" w:rsidRPr="00417A4C" w:rsidRDefault="00417A4C" w:rsidP="00417A4C">
      <w:pPr>
        <w:pStyle w:val="SingleTxtG"/>
        <w:rPr>
          <w:lang w:val="fr-FR"/>
        </w:rPr>
      </w:pPr>
      <w:r w:rsidRPr="00417A4C">
        <w:rPr>
          <w:lang w:val="fr-FR"/>
        </w:rPr>
        <w:t>6</w:t>
      </w:r>
      <w:r w:rsidR="006A19EC" w:rsidRPr="006A19EC">
        <w:rPr>
          <w:lang w:val="fr-FR"/>
        </w:rPr>
        <w:t>.</w:t>
      </w:r>
      <w:r w:rsidRPr="00417A4C">
        <w:rPr>
          <w:lang w:val="fr-FR"/>
        </w:rPr>
        <w:tab/>
        <w:t>Si le représentant de l’un des deux États parties intéressés s’oppose à</w:t>
      </w:r>
      <w:r w:rsidR="001E77AC">
        <w:rPr>
          <w:lang w:val="fr-FR"/>
        </w:rPr>
        <w:t xml:space="preserve"> </w:t>
      </w:r>
      <w:r w:rsidRPr="00417A4C">
        <w:rPr>
          <w:lang w:val="fr-FR"/>
        </w:rPr>
        <w:t>ce que le représentant de l’autre État partie soit présent dans la salle quand il présente son exposé ou donne sa réponse orale, le Comité prend acte de cette objection et déclare que la présence de ce représentant ne doit en aucun cas être interprétée comme une prise de position de sa part sur le fond de l’objection ou sur l’une quelconque des questions soulevées dans la communication</w:t>
      </w:r>
      <w:r w:rsidR="006A19EC" w:rsidRPr="006A19EC">
        <w:rPr>
          <w:lang w:val="fr-FR"/>
        </w:rPr>
        <w:t>.</w:t>
      </w:r>
    </w:p>
    <w:p w14:paraId="103B5AA9" w14:textId="2F09BB99" w:rsidR="00417A4C" w:rsidRPr="00417A4C" w:rsidRDefault="00417A4C" w:rsidP="00417A4C">
      <w:pPr>
        <w:pStyle w:val="SingleTxtG"/>
        <w:rPr>
          <w:lang w:val="fr-FR"/>
        </w:rPr>
      </w:pPr>
      <w:r w:rsidRPr="00417A4C">
        <w:rPr>
          <w:lang w:val="fr-FR"/>
        </w:rPr>
        <w:t>7</w:t>
      </w:r>
      <w:r w:rsidR="006A19EC" w:rsidRPr="006A19EC">
        <w:rPr>
          <w:lang w:val="fr-FR"/>
        </w:rPr>
        <w:t>.</w:t>
      </w:r>
      <w:r w:rsidRPr="00417A4C">
        <w:rPr>
          <w:lang w:val="fr-FR"/>
        </w:rPr>
        <w:tab/>
        <w:t>Suivant la décision du Comité, préalablement communiquée aux États parties intéressés, les réponses données oralement au nom de chaque État partie portent exclusivement soit sur les questions de compétence et de recevabilité, soit sur les seules questions de compétence</w:t>
      </w:r>
      <w:r w:rsidR="006A19EC" w:rsidRPr="006A19EC">
        <w:rPr>
          <w:lang w:val="fr-FR"/>
        </w:rPr>
        <w:t>.</w:t>
      </w:r>
      <w:r w:rsidRPr="00417A4C">
        <w:rPr>
          <w:lang w:val="fr-FR"/>
        </w:rPr>
        <w:t xml:space="preserve"> </w:t>
      </w:r>
    </w:p>
    <w:p w14:paraId="5011C190" w14:textId="2ACCC7D6" w:rsidR="00417A4C" w:rsidRPr="00417A4C" w:rsidRDefault="00417A4C" w:rsidP="00417A4C">
      <w:pPr>
        <w:pStyle w:val="SingleTxtG"/>
        <w:rPr>
          <w:lang w:val="fr-FR"/>
        </w:rPr>
      </w:pPr>
      <w:r w:rsidRPr="00417A4C">
        <w:rPr>
          <w:lang w:val="fr-FR"/>
        </w:rPr>
        <w:t>8</w:t>
      </w:r>
      <w:r w:rsidR="006A19EC" w:rsidRPr="006A19EC">
        <w:rPr>
          <w:lang w:val="fr-FR"/>
        </w:rPr>
        <w:t>.</w:t>
      </w:r>
      <w:r w:rsidRPr="00417A4C">
        <w:rPr>
          <w:lang w:val="fr-FR"/>
        </w:rPr>
        <w:tab/>
        <w:t>Pendant l’audition, les membres du Comité peuvent demander au Président, par écrit, de poser des questions aux représentants des États parties intéressés</w:t>
      </w:r>
      <w:r w:rsidR="006A19EC" w:rsidRPr="006A19EC">
        <w:rPr>
          <w:lang w:val="fr-FR"/>
        </w:rPr>
        <w:t>.</w:t>
      </w:r>
      <w:r w:rsidRPr="00417A4C">
        <w:rPr>
          <w:lang w:val="fr-FR"/>
        </w:rPr>
        <w:t xml:space="preserve"> Le Président pose ces questions aux représentants après qu’ils ont tous deux présenté leur exposé de </w:t>
      </w:r>
      <w:r w:rsidR="002F3A04">
        <w:rPr>
          <w:lang w:val="fr-FR"/>
        </w:rPr>
        <w:t>quarante-cinq</w:t>
      </w:r>
      <w:r w:rsidR="002F3A04" w:rsidRPr="00417A4C">
        <w:rPr>
          <w:lang w:val="fr-FR"/>
        </w:rPr>
        <w:t xml:space="preserve"> </w:t>
      </w:r>
      <w:r w:rsidRPr="00417A4C">
        <w:rPr>
          <w:lang w:val="fr-FR"/>
        </w:rPr>
        <w:t>minutes conformément au paragraphe 3 de l’article 5 ci-dessus</w:t>
      </w:r>
      <w:r w:rsidR="006A19EC" w:rsidRPr="006A19EC">
        <w:rPr>
          <w:lang w:val="fr-FR"/>
        </w:rPr>
        <w:t>.</w:t>
      </w:r>
      <w:r w:rsidRPr="00417A4C">
        <w:rPr>
          <w:lang w:val="fr-FR"/>
        </w:rPr>
        <w:t xml:space="preserve"> </w:t>
      </w:r>
    </w:p>
    <w:p w14:paraId="543B85AE" w14:textId="3F8A0BF5" w:rsidR="00417A4C" w:rsidRPr="00417A4C" w:rsidRDefault="00417A4C" w:rsidP="00417A4C">
      <w:pPr>
        <w:pStyle w:val="SingleTxtG"/>
        <w:rPr>
          <w:lang w:val="fr-FR"/>
        </w:rPr>
      </w:pPr>
      <w:r w:rsidRPr="00417A4C">
        <w:rPr>
          <w:lang w:val="fr-FR"/>
        </w:rPr>
        <w:t>9</w:t>
      </w:r>
      <w:r w:rsidR="006A19EC" w:rsidRPr="006A19EC">
        <w:rPr>
          <w:lang w:val="fr-FR"/>
        </w:rPr>
        <w:t>.</w:t>
      </w:r>
      <w:r w:rsidRPr="00417A4C">
        <w:rPr>
          <w:lang w:val="fr-FR"/>
        </w:rPr>
        <w:tab/>
        <w:t xml:space="preserve">Le représentant de l’un des États parties intéressés ne peut s’adresser directement au représentant de l’autre </w:t>
      </w:r>
      <w:r w:rsidR="002F3A04" w:rsidRPr="00417A4C">
        <w:rPr>
          <w:lang w:val="fr-FR"/>
        </w:rPr>
        <w:t>État</w:t>
      </w:r>
      <w:r w:rsidRPr="00417A4C">
        <w:rPr>
          <w:lang w:val="fr-FR"/>
        </w:rPr>
        <w:t xml:space="preserve"> partie intéressé, mais il peut proposer que le Président le fasse en son nom pendant le dernier exposé de </w:t>
      </w:r>
      <w:r w:rsidR="002F3A04">
        <w:rPr>
          <w:lang w:val="fr-FR"/>
        </w:rPr>
        <w:t>quarante-cinq</w:t>
      </w:r>
      <w:r w:rsidRPr="00417A4C">
        <w:rPr>
          <w:lang w:val="fr-FR"/>
        </w:rPr>
        <w:t xml:space="preserve"> minutes</w:t>
      </w:r>
      <w:r w:rsidR="006A19EC" w:rsidRPr="006A19EC">
        <w:rPr>
          <w:lang w:val="fr-FR"/>
        </w:rPr>
        <w:t>.</w:t>
      </w:r>
    </w:p>
    <w:p w14:paraId="0A845249" w14:textId="56448A02" w:rsidR="00417A4C" w:rsidRPr="00417A4C" w:rsidRDefault="00417A4C" w:rsidP="00417A4C">
      <w:pPr>
        <w:pStyle w:val="SingleTxtG"/>
        <w:rPr>
          <w:lang w:val="fr-FR"/>
        </w:rPr>
      </w:pPr>
      <w:r w:rsidRPr="00417A4C">
        <w:rPr>
          <w:lang w:val="fr-FR"/>
        </w:rPr>
        <w:t>10</w:t>
      </w:r>
      <w:r w:rsidR="006A19EC" w:rsidRPr="006A19EC">
        <w:rPr>
          <w:lang w:val="fr-FR"/>
        </w:rPr>
        <w:t>.</w:t>
      </w:r>
      <w:r w:rsidRPr="00417A4C">
        <w:rPr>
          <w:lang w:val="fr-FR"/>
        </w:rPr>
        <w:tab/>
        <w:t>À tout moment avant ou pendant l’audition, le Comité peut demander aux parties de traiter une question ou un point précis, ou déclarer qu’une question ou un point a été suffisamment couvert</w:t>
      </w:r>
      <w:r w:rsidR="006A19EC" w:rsidRPr="006A19EC">
        <w:rPr>
          <w:lang w:val="fr-FR"/>
        </w:rPr>
        <w:t>.</w:t>
      </w:r>
    </w:p>
    <w:p w14:paraId="1155677B" w14:textId="203C4A31" w:rsidR="00417A4C" w:rsidRPr="00417A4C" w:rsidRDefault="00417A4C" w:rsidP="00417A4C">
      <w:pPr>
        <w:pStyle w:val="SingleTxtG"/>
        <w:rPr>
          <w:lang w:val="fr-FR"/>
        </w:rPr>
      </w:pPr>
      <w:r w:rsidRPr="00417A4C">
        <w:rPr>
          <w:lang w:val="fr-FR"/>
        </w:rPr>
        <w:t>11</w:t>
      </w:r>
      <w:r w:rsidR="006A19EC" w:rsidRPr="006A19EC">
        <w:rPr>
          <w:lang w:val="fr-FR"/>
        </w:rPr>
        <w:t>.</w:t>
      </w:r>
      <w:r w:rsidRPr="00417A4C">
        <w:rPr>
          <w:lang w:val="fr-FR"/>
        </w:rPr>
        <w:tab/>
        <w:t>Le Président peut autoriser les membres du Comité à tenir des consultations privées au plus tôt après le premier tour de parole</w:t>
      </w:r>
      <w:r w:rsidR="006A19EC" w:rsidRPr="006A19EC">
        <w:rPr>
          <w:lang w:val="fr-FR"/>
        </w:rPr>
        <w:t>.</w:t>
      </w:r>
      <w:r w:rsidRPr="00417A4C">
        <w:rPr>
          <w:lang w:val="fr-FR"/>
        </w:rPr>
        <w:t xml:space="preserve"> Aux fins de ces consultations, il peut suspendre l’audition pendant </w:t>
      </w:r>
      <w:r w:rsidR="002F3A04">
        <w:rPr>
          <w:lang w:val="fr-FR"/>
        </w:rPr>
        <w:t>quinze</w:t>
      </w:r>
      <w:r w:rsidRPr="00417A4C">
        <w:rPr>
          <w:lang w:val="fr-FR"/>
        </w:rPr>
        <w:t xml:space="preserve"> minutes au plus</w:t>
      </w:r>
      <w:r w:rsidR="006A19EC" w:rsidRPr="006A19EC">
        <w:rPr>
          <w:lang w:val="fr-FR"/>
        </w:rPr>
        <w:t>.</w:t>
      </w:r>
      <w:r w:rsidRPr="00417A4C">
        <w:rPr>
          <w:lang w:val="fr-FR"/>
        </w:rPr>
        <w:t xml:space="preserve"> Le secrétariat accompagne alors les représentants des États parties intéressés dans une pièce située à côté de la salle où a lieu l’audition</w:t>
      </w:r>
      <w:r w:rsidR="006A19EC" w:rsidRPr="006A19EC">
        <w:rPr>
          <w:lang w:val="fr-FR"/>
        </w:rPr>
        <w:t>.</w:t>
      </w:r>
    </w:p>
    <w:p w14:paraId="146F8C90" w14:textId="5EB2F1B8" w:rsidR="00417A4C" w:rsidRPr="00417A4C" w:rsidRDefault="00417A4C" w:rsidP="00417A4C">
      <w:pPr>
        <w:pStyle w:val="SingleTxtG"/>
        <w:rPr>
          <w:lang w:val="fr-FR"/>
        </w:rPr>
      </w:pPr>
      <w:r w:rsidRPr="00417A4C">
        <w:rPr>
          <w:lang w:val="fr-FR"/>
        </w:rPr>
        <w:t>12</w:t>
      </w:r>
      <w:r w:rsidR="006A19EC" w:rsidRPr="006A19EC">
        <w:rPr>
          <w:lang w:val="fr-FR"/>
        </w:rPr>
        <w:t>.</w:t>
      </w:r>
      <w:r w:rsidRPr="00417A4C">
        <w:rPr>
          <w:lang w:val="fr-FR"/>
        </w:rPr>
        <w:tab/>
        <w:t>Pendant l’audition, les représentants des États parties intéressés peuvent demander à tenir des consultations</w:t>
      </w:r>
      <w:r w:rsidR="006A19EC" w:rsidRPr="006A19EC">
        <w:rPr>
          <w:lang w:val="fr-FR"/>
        </w:rPr>
        <w:t>.</w:t>
      </w:r>
      <w:r w:rsidRPr="00417A4C">
        <w:rPr>
          <w:lang w:val="fr-FR"/>
        </w:rPr>
        <w:t xml:space="preserve"> Aux fins de ces consultations, le Président peut autoriser des pauses de </w:t>
      </w:r>
      <w:r w:rsidR="006D46D5">
        <w:rPr>
          <w:lang w:val="fr-FR"/>
        </w:rPr>
        <w:t>quinze</w:t>
      </w:r>
      <w:r w:rsidRPr="00417A4C">
        <w:rPr>
          <w:lang w:val="fr-FR"/>
        </w:rPr>
        <w:t xml:space="preserve"> minutes au plus</w:t>
      </w:r>
      <w:r w:rsidR="006A19EC" w:rsidRPr="006A19EC">
        <w:rPr>
          <w:lang w:val="fr-FR"/>
        </w:rPr>
        <w:t>.</w:t>
      </w:r>
      <w:r w:rsidRPr="00417A4C">
        <w:rPr>
          <w:lang w:val="fr-FR"/>
        </w:rPr>
        <w:t xml:space="preserve"> Les consultations doivent avoir lieu hors de la salle où se déroule l’audition</w:t>
      </w:r>
      <w:r w:rsidR="006A19EC" w:rsidRPr="006A19EC">
        <w:rPr>
          <w:lang w:val="fr-FR"/>
        </w:rPr>
        <w:t>.</w:t>
      </w:r>
      <w:r w:rsidRPr="00417A4C">
        <w:rPr>
          <w:lang w:val="fr-FR"/>
        </w:rPr>
        <w:t xml:space="preserve"> </w:t>
      </w:r>
    </w:p>
    <w:p w14:paraId="1670309B" w14:textId="77777777" w:rsidR="00417A4C" w:rsidRPr="00417A4C" w:rsidRDefault="00417A4C" w:rsidP="006467D1">
      <w:pPr>
        <w:pStyle w:val="H23G"/>
        <w:rPr>
          <w:lang w:val="fr-FR"/>
        </w:rPr>
      </w:pPr>
      <w:r w:rsidRPr="00417A4C">
        <w:rPr>
          <w:lang w:val="fr-FR"/>
        </w:rPr>
        <w:tab/>
      </w:r>
      <w:r w:rsidRPr="00417A4C">
        <w:rPr>
          <w:lang w:val="fr-FR"/>
        </w:rPr>
        <w:tab/>
        <w:t>Article 6</w:t>
      </w:r>
    </w:p>
    <w:p w14:paraId="690557F0" w14:textId="77777777" w:rsidR="00417A4C" w:rsidRPr="00417A4C" w:rsidRDefault="00417A4C" w:rsidP="006467D1">
      <w:pPr>
        <w:pStyle w:val="H4G"/>
        <w:rPr>
          <w:lang w:val="fr-FR"/>
        </w:rPr>
      </w:pPr>
      <w:r w:rsidRPr="00417A4C">
        <w:rPr>
          <w:lang w:val="fr-FR"/>
        </w:rPr>
        <w:tab/>
      </w:r>
      <w:r w:rsidRPr="00417A4C">
        <w:rPr>
          <w:lang w:val="fr-FR"/>
        </w:rPr>
        <w:tab/>
        <w:t xml:space="preserve">Délibérations et décisions </w:t>
      </w:r>
    </w:p>
    <w:p w14:paraId="0D0B83C8" w14:textId="64709F15" w:rsidR="00417A4C" w:rsidRPr="00417A4C" w:rsidRDefault="00417A4C" w:rsidP="00417A4C">
      <w:pPr>
        <w:pStyle w:val="SingleTxtG"/>
        <w:rPr>
          <w:lang w:val="fr-FR"/>
        </w:rPr>
      </w:pPr>
      <w:r w:rsidRPr="00417A4C">
        <w:rPr>
          <w:lang w:val="fr-FR"/>
        </w:rPr>
        <w:t>1</w:t>
      </w:r>
      <w:r w:rsidR="006A19EC" w:rsidRPr="006A19EC">
        <w:rPr>
          <w:lang w:val="fr-FR"/>
        </w:rPr>
        <w:t>.</w:t>
      </w:r>
      <w:r w:rsidRPr="00417A4C">
        <w:rPr>
          <w:lang w:val="fr-FR"/>
        </w:rPr>
        <w:tab/>
        <w:t>Le Comité délibère à huis clos et ses délibérations demeurent confidentielles</w:t>
      </w:r>
      <w:r w:rsidR="006A19EC" w:rsidRPr="006A19EC">
        <w:rPr>
          <w:lang w:val="fr-FR"/>
        </w:rPr>
        <w:t>.</w:t>
      </w:r>
      <w:r w:rsidRPr="00417A4C">
        <w:rPr>
          <w:lang w:val="fr-FR"/>
        </w:rPr>
        <w:t xml:space="preserve"> Le représentant de chaque État partie intéressé est autorisé à participer sans droit de vote aux travaux du Comité pendant toute la durée des débats</w:t>
      </w:r>
      <w:r w:rsidR="006A19EC" w:rsidRPr="006A19EC">
        <w:rPr>
          <w:lang w:val="fr-FR"/>
        </w:rPr>
        <w:t>.</w:t>
      </w:r>
    </w:p>
    <w:p w14:paraId="0DCB5139" w14:textId="2F894E8C" w:rsidR="00417A4C" w:rsidRPr="00417A4C" w:rsidRDefault="00417A4C" w:rsidP="00417A4C">
      <w:pPr>
        <w:pStyle w:val="SingleTxtG"/>
        <w:rPr>
          <w:lang w:val="fr-FR"/>
        </w:rPr>
      </w:pPr>
      <w:r w:rsidRPr="00417A4C">
        <w:rPr>
          <w:lang w:val="fr-FR"/>
        </w:rPr>
        <w:t>2</w:t>
      </w:r>
      <w:r w:rsidR="006A19EC" w:rsidRPr="006A19EC">
        <w:rPr>
          <w:lang w:val="fr-FR"/>
        </w:rPr>
        <w:t>.</w:t>
      </w:r>
      <w:r w:rsidRPr="00417A4C">
        <w:rPr>
          <w:lang w:val="fr-FR"/>
        </w:rPr>
        <w:tab/>
        <w:t>Le Comité peut également organiser des délibérations informelles, auxquelles seuls ses membres participent, et bénéficie à cette fin de l’appui du secrétariat et du personnel des services de conférence, à l’exclusion des rédacteurs de comptes rendus, ces délibérations ne faisant pas l’objet de comptes rendus analytiques</w:t>
      </w:r>
      <w:r w:rsidR="006A19EC" w:rsidRPr="006A19EC">
        <w:rPr>
          <w:lang w:val="fr-FR"/>
        </w:rPr>
        <w:t>.</w:t>
      </w:r>
    </w:p>
    <w:p w14:paraId="4BF7A8B6" w14:textId="475C16C6" w:rsidR="00417A4C" w:rsidRPr="00417A4C" w:rsidRDefault="00417A4C" w:rsidP="00417A4C">
      <w:pPr>
        <w:pStyle w:val="SingleTxtG"/>
        <w:rPr>
          <w:lang w:val="fr-FR"/>
        </w:rPr>
      </w:pPr>
      <w:r w:rsidRPr="00417A4C">
        <w:rPr>
          <w:lang w:val="fr-FR"/>
        </w:rPr>
        <w:t>3</w:t>
      </w:r>
      <w:r w:rsidR="006A19EC" w:rsidRPr="006A19EC">
        <w:rPr>
          <w:lang w:val="fr-FR"/>
        </w:rPr>
        <w:t>.</w:t>
      </w:r>
      <w:r w:rsidRPr="00417A4C">
        <w:rPr>
          <w:lang w:val="fr-FR"/>
        </w:rPr>
        <w:tab/>
        <w:t>Les décisions du Comité sont prises à la majorité des membres présents et votants</w:t>
      </w:r>
      <w:r w:rsidR="006A19EC" w:rsidRPr="006A19EC">
        <w:rPr>
          <w:lang w:val="fr-FR"/>
        </w:rPr>
        <w:t>.</w:t>
      </w:r>
      <w:r w:rsidRPr="00417A4C">
        <w:rPr>
          <w:lang w:val="fr-FR"/>
        </w:rPr>
        <w:t xml:space="preserve"> Les votes sont régis par les articles 36 et 49 à 57 du règlement intérieur du Comité</w:t>
      </w:r>
      <w:r w:rsidR="006A19EC" w:rsidRPr="006A19EC">
        <w:rPr>
          <w:lang w:val="fr-FR"/>
        </w:rPr>
        <w:t>.</w:t>
      </w:r>
      <w:r w:rsidRPr="00417A4C">
        <w:rPr>
          <w:lang w:val="fr-FR"/>
        </w:rPr>
        <w:t xml:space="preserve"> Si aucun membre du Comité ne demande qu’un vote ait lieu, la décision peut être adoptée sans être mise aux voix</w:t>
      </w:r>
      <w:r w:rsidR="006A19EC" w:rsidRPr="006A19EC">
        <w:rPr>
          <w:lang w:val="fr-FR"/>
        </w:rPr>
        <w:t>.</w:t>
      </w:r>
      <w:r w:rsidRPr="00417A4C">
        <w:rPr>
          <w:lang w:val="fr-FR"/>
        </w:rPr>
        <w:t xml:space="preserve"> </w:t>
      </w:r>
    </w:p>
    <w:p w14:paraId="77102003" w14:textId="54BE15B9" w:rsidR="00417A4C" w:rsidRPr="00417A4C" w:rsidRDefault="00417A4C" w:rsidP="00417A4C">
      <w:pPr>
        <w:pStyle w:val="SingleTxtG"/>
        <w:rPr>
          <w:lang w:val="fr-FR"/>
        </w:rPr>
      </w:pPr>
      <w:r w:rsidRPr="00417A4C">
        <w:rPr>
          <w:lang w:val="fr-FR"/>
        </w:rPr>
        <w:t>4</w:t>
      </w:r>
      <w:r w:rsidR="006A19EC" w:rsidRPr="006A19EC">
        <w:rPr>
          <w:lang w:val="fr-FR"/>
        </w:rPr>
        <w:t>.</w:t>
      </w:r>
      <w:r w:rsidRPr="00417A4C">
        <w:rPr>
          <w:lang w:val="fr-FR"/>
        </w:rPr>
        <w:tab/>
        <w:t>Après l’audition et l’examen de toutes les observations écrites des États parties, le Comité rend sa décision à la session en cours ou à une session ultérieure</w:t>
      </w:r>
      <w:r w:rsidR="006A19EC" w:rsidRPr="006A19EC">
        <w:rPr>
          <w:lang w:val="fr-FR"/>
        </w:rPr>
        <w:t>.</w:t>
      </w:r>
      <w:r w:rsidRPr="00417A4C">
        <w:rPr>
          <w:lang w:val="fr-FR"/>
        </w:rPr>
        <w:t xml:space="preserve"> Le Secrétaire général veille à ce que le Comité dispose des services dont il a besoin pour adopter une décision, y compris tous les services de documentation et de conférence nécessaires pour que la question sur laquelle porte la communication puisse être traitée intégralement</w:t>
      </w:r>
      <w:r w:rsidR="006A19EC" w:rsidRPr="006A19EC">
        <w:rPr>
          <w:lang w:val="fr-FR"/>
        </w:rPr>
        <w:t>.</w:t>
      </w:r>
      <w:r w:rsidRPr="00417A4C">
        <w:rPr>
          <w:lang w:val="fr-FR"/>
        </w:rPr>
        <w:t xml:space="preserve"> </w:t>
      </w:r>
    </w:p>
    <w:p w14:paraId="40A90162" w14:textId="6201FC2F" w:rsidR="00417A4C" w:rsidRPr="00417A4C" w:rsidRDefault="00417A4C" w:rsidP="00417A4C">
      <w:pPr>
        <w:pStyle w:val="SingleTxtG"/>
        <w:rPr>
          <w:lang w:val="fr-FR"/>
        </w:rPr>
      </w:pPr>
      <w:r w:rsidRPr="00417A4C">
        <w:rPr>
          <w:lang w:val="fr-FR"/>
        </w:rPr>
        <w:t>5</w:t>
      </w:r>
      <w:r w:rsidR="006A19EC" w:rsidRPr="006A19EC">
        <w:rPr>
          <w:lang w:val="fr-FR"/>
        </w:rPr>
        <w:t>.</w:t>
      </w:r>
      <w:r w:rsidRPr="00417A4C">
        <w:rPr>
          <w:lang w:val="fr-FR"/>
        </w:rPr>
        <w:tab/>
        <w:t>Si le Comité rejette les questions préliminaires ou déclare qu’elles ne revêtent pas un caractère exclusivement préliminaire, il fixe un délai pour les étapes suivantes prévues à l’article 12 de la Convention, concernant la désignation d’une commission de conciliation ad</w:t>
      </w:r>
      <w:r w:rsidR="006A19EC">
        <w:rPr>
          <w:lang w:val="fr-FR"/>
        </w:rPr>
        <w:t> </w:t>
      </w:r>
      <w:r w:rsidRPr="00417A4C">
        <w:rPr>
          <w:lang w:val="fr-FR"/>
        </w:rPr>
        <w:t>hoc chargée d’examiner les questions de fond soulevées dans la communication</w:t>
      </w:r>
      <w:r w:rsidR="006A19EC" w:rsidRPr="006A19EC">
        <w:rPr>
          <w:lang w:val="fr-FR"/>
        </w:rPr>
        <w:t>.</w:t>
      </w:r>
      <w:r w:rsidRPr="00417A4C">
        <w:rPr>
          <w:lang w:val="fr-FR"/>
        </w:rPr>
        <w:t xml:space="preserve"> </w:t>
      </w:r>
    </w:p>
    <w:p w14:paraId="2EA6F4D4" w14:textId="3ECE093D" w:rsidR="00417A4C" w:rsidRPr="00417A4C" w:rsidRDefault="00417A4C" w:rsidP="00417A4C">
      <w:pPr>
        <w:pStyle w:val="SingleTxtG"/>
        <w:rPr>
          <w:lang w:val="fr-FR"/>
        </w:rPr>
      </w:pPr>
      <w:r w:rsidRPr="00417A4C">
        <w:rPr>
          <w:lang w:val="fr-FR"/>
        </w:rPr>
        <w:t>6</w:t>
      </w:r>
      <w:r w:rsidR="006A19EC" w:rsidRPr="006A19EC">
        <w:rPr>
          <w:lang w:val="fr-FR"/>
        </w:rPr>
        <w:t>.</w:t>
      </w:r>
      <w:r w:rsidRPr="00417A4C">
        <w:rPr>
          <w:lang w:val="fr-FR"/>
        </w:rPr>
        <w:tab/>
        <w:t>Si le Comité décide qu’il n’a pas compétence pour connaître de la communication ou que celle-ci est irrecevable, il informe les États parties intéressés de sa décision de ne pas poursuivre la procédure</w:t>
      </w:r>
      <w:r w:rsidR="006A19EC" w:rsidRPr="006A19EC">
        <w:rPr>
          <w:lang w:val="fr-FR"/>
        </w:rPr>
        <w:t>.</w:t>
      </w:r>
    </w:p>
    <w:p w14:paraId="560B35E4" w14:textId="5627084B" w:rsidR="00417A4C" w:rsidRPr="00417A4C" w:rsidRDefault="00417A4C" w:rsidP="00417A4C">
      <w:pPr>
        <w:pStyle w:val="SingleTxtG"/>
        <w:rPr>
          <w:lang w:val="fr-FR"/>
        </w:rPr>
      </w:pPr>
      <w:r w:rsidRPr="00417A4C">
        <w:rPr>
          <w:lang w:val="fr-FR"/>
        </w:rPr>
        <w:t>7</w:t>
      </w:r>
      <w:r w:rsidR="006A19EC" w:rsidRPr="006A19EC">
        <w:rPr>
          <w:lang w:val="fr-FR"/>
        </w:rPr>
        <w:t>.</w:t>
      </w:r>
      <w:r w:rsidRPr="00417A4C">
        <w:rPr>
          <w:lang w:val="fr-FR"/>
        </w:rPr>
        <w:tab/>
        <w:t>Le Comité transmet toute décision adoptée aux États parties intéressés dans le délai qu’il</w:t>
      </w:r>
      <w:r w:rsidR="001E77AC">
        <w:rPr>
          <w:lang w:val="fr-FR"/>
        </w:rPr>
        <w:t xml:space="preserve"> </w:t>
      </w:r>
      <w:r w:rsidRPr="00417A4C">
        <w:rPr>
          <w:lang w:val="fr-FR"/>
        </w:rPr>
        <w:t>aura fixé</w:t>
      </w:r>
      <w:r w:rsidR="006A19EC" w:rsidRPr="006A19EC">
        <w:rPr>
          <w:lang w:val="fr-FR"/>
        </w:rPr>
        <w:t>.</w:t>
      </w:r>
      <w:r w:rsidRPr="00417A4C">
        <w:rPr>
          <w:lang w:val="fr-FR"/>
        </w:rPr>
        <w:t xml:space="preserve"> </w:t>
      </w:r>
    </w:p>
    <w:p w14:paraId="071F539C" w14:textId="77777777" w:rsidR="00417A4C" w:rsidRPr="00417A4C" w:rsidRDefault="00417A4C" w:rsidP="00417A4C">
      <w:pPr>
        <w:pStyle w:val="H23G"/>
        <w:rPr>
          <w:lang w:val="fr-FR"/>
        </w:rPr>
      </w:pPr>
      <w:r w:rsidRPr="00417A4C">
        <w:rPr>
          <w:lang w:val="fr-FR"/>
        </w:rPr>
        <w:tab/>
      </w:r>
      <w:r w:rsidRPr="00417A4C">
        <w:rPr>
          <w:lang w:val="fr-FR"/>
        </w:rPr>
        <w:tab/>
        <w:t>Article 7</w:t>
      </w:r>
    </w:p>
    <w:p w14:paraId="57D72ABD" w14:textId="77777777" w:rsidR="00417A4C" w:rsidRPr="00417A4C" w:rsidRDefault="00417A4C" w:rsidP="00417A4C">
      <w:pPr>
        <w:pStyle w:val="H4G"/>
        <w:rPr>
          <w:lang w:val="fr-FR"/>
        </w:rPr>
      </w:pPr>
      <w:r w:rsidRPr="00417A4C">
        <w:rPr>
          <w:lang w:val="fr-FR"/>
        </w:rPr>
        <w:tab/>
      </w:r>
      <w:r w:rsidRPr="00417A4C">
        <w:rPr>
          <w:lang w:val="fr-FR"/>
        </w:rPr>
        <w:tab/>
        <w:t>Dispositions finales</w:t>
      </w:r>
    </w:p>
    <w:p w14:paraId="748F6ECC" w14:textId="0418D218" w:rsidR="00417A4C" w:rsidRPr="00417A4C" w:rsidRDefault="00417A4C" w:rsidP="00417A4C">
      <w:pPr>
        <w:pStyle w:val="SingleTxtG"/>
        <w:rPr>
          <w:lang w:val="fr-FR"/>
        </w:rPr>
      </w:pPr>
      <w:r w:rsidRPr="00417A4C">
        <w:rPr>
          <w:lang w:val="fr-FR"/>
        </w:rPr>
        <w:t>1</w:t>
      </w:r>
      <w:r w:rsidR="006A19EC" w:rsidRPr="006A19EC">
        <w:rPr>
          <w:lang w:val="fr-FR"/>
        </w:rPr>
        <w:t>.</w:t>
      </w:r>
      <w:r w:rsidRPr="00417A4C">
        <w:rPr>
          <w:lang w:val="fr-FR"/>
        </w:rPr>
        <w:tab/>
        <w:t>Le Comité adopte le présent règlement intérieur avant le début des auditions et le transmet aux États parties intéressés</w:t>
      </w:r>
      <w:r w:rsidR="006A19EC" w:rsidRPr="006A19EC">
        <w:rPr>
          <w:lang w:val="fr-FR"/>
        </w:rPr>
        <w:t>.</w:t>
      </w:r>
      <w:r w:rsidRPr="00417A4C">
        <w:rPr>
          <w:lang w:val="fr-FR"/>
        </w:rPr>
        <w:t xml:space="preserve"> </w:t>
      </w:r>
    </w:p>
    <w:p w14:paraId="3D9A75A8" w14:textId="27F1EF47" w:rsidR="00417A4C" w:rsidRPr="00417A4C" w:rsidRDefault="00417A4C" w:rsidP="00417A4C">
      <w:pPr>
        <w:pStyle w:val="SingleTxtG"/>
        <w:rPr>
          <w:lang w:val="fr-FR"/>
        </w:rPr>
      </w:pPr>
      <w:r w:rsidRPr="00417A4C">
        <w:rPr>
          <w:lang w:val="fr-FR"/>
        </w:rPr>
        <w:t>2</w:t>
      </w:r>
      <w:r w:rsidR="006A19EC" w:rsidRPr="006A19EC">
        <w:rPr>
          <w:lang w:val="fr-FR"/>
        </w:rPr>
        <w:t>.</w:t>
      </w:r>
      <w:r w:rsidRPr="00417A4C">
        <w:rPr>
          <w:lang w:val="fr-FR"/>
        </w:rPr>
        <w:tab/>
        <w:t>Le Comité statue sur toute question relative aux auditions</w:t>
      </w:r>
      <w:r w:rsidR="001E77AC">
        <w:rPr>
          <w:lang w:val="fr-FR"/>
        </w:rPr>
        <w:t xml:space="preserve"> </w:t>
      </w:r>
      <w:r w:rsidRPr="00417A4C">
        <w:rPr>
          <w:lang w:val="fr-FR"/>
        </w:rPr>
        <w:t>qui n’est pas couverte par le présent règlement intérieur</w:t>
      </w:r>
      <w:r w:rsidR="006A19EC" w:rsidRPr="006A19EC">
        <w:rPr>
          <w:lang w:val="fr-FR"/>
        </w:rPr>
        <w:t>.</w:t>
      </w:r>
      <w:r w:rsidRPr="00417A4C">
        <w:rPr>
          <w:lang w:val="fr-FR"/>
        </w:rPr>
        <w:t xml:space="preserve"> </w:t>
      </w:r>
    </w:p>
    <w:p w14:paraId="69A07716" w14:textId="3ABFE73B" w:rsidR="00417A4C" w:rsidRDefault="00417A4C" w:rsidP="00417A4C">
      <w:pPr>
        <w:pStyle w:val="SingleTxtG"/>
        <w:rPr>
          <w:lang w:val="fr-FR"/>
        </w:rPr>
      </w:pPr>
      <w:r w:rsidRPr="00417A4C">
        <w:rPr>
          <w:lang w:val="fr-FR"/>
        </w:rPr>
        <w:t>3</w:t>
      </w:r>
      <w:r w:rsidR="006A19EC" w:rsidRPr="006A19EC">
        <w:rPr>
          <w:lang w:val="fr-FR"/>
        </w:rPr>
        <w:t>.</w:t>
      </w:r>
      <w:r w:rsidRPr="00417A4C">
        <w:rPr>
          <w:lang w:val="fr-FR"/>
        </w:rPr>
        <w:tab/>
        <w:t>Le présent règlement intérieur peut être modifié par décision du Comité</w:t>
      </w:r>
      <w:r w:rsidR="006A19EC" w:rsidRPr="006A19EC">
        <w:rPr>
          <w:lang w:val="fr-FR"/>
        </w:rPr>
        <w:t>.</w:t>
      </w:r>
    </w:p>
    <w:p w14:paraId="4C0564A7" w14:textId="77777777" w:rsidR="00417A4C" w:rsidRPr="00772BBF" w:rsidRDefault="00417A4C" w:rsidP="00772BBF">
      <w:pPr>
        <w:pStyle w:val="SingleTxtG"/>
        <w:spacing w:before="240" w:after="0"/>
        <w:jc w:val="center"/>
        <w:rPr>
          <w:u w:val="single"/>
          <w:lang w:val="fr-FR"/>
        </w:rPr>
      </w:pPr>
      <w:r>
        <w:rPr>
          <w:lang w:val="fr-FR"/>
        </w:rPr>
        <w:tab/>
      </w:r>
      <w:r w:rsidR="00772BBF">
        <w:rPr>
          <w:u w:val="single"/>
          <w:lang w:val="fr-FR"/>
        </w:rPr>
        <w:tab/>
      </w:r>
      <w:r w:rsidR="00772BBF">
        <w:rPr>
          <w:u w:val="single"/>
          <w:lang w:val="fr-FR"/>
        </w:rPr>
        <w:tab/>
      </w:r>
      <w:r w:rsidR="00772BBF">
        <w:rPr>
          <w:u w:val="single"/>
          <w:lang w:val="fr-FR"/>
        </w:rPr>
        <w:tab/>
      </w:r>
    </w:p>
    <w:sectPr w:rsidR="00417A4C" w:rsidRPr="00772BBF" w:rsidSect="001A7E87">
      <w:headerReference w:type="even" r:id="rId90"/>
      <w:headerReference w:type="default" r:id="rId91"/>
      <w:footerReference w:type="even" r:id="rId92"/>
      <w:footerReference w:type="default" r:id="rId9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F11A" w14:textId="77777777" w:rsidR="00833B7C" w:rsidRDefault="00833B7C"/>
  </w:endnote>
  <w:endnote w:type="continuationSeparator" w:id="0">
    <w:p w14:paraId="66970C66" w14:textId="77777777" w:rsidR="00833B7C" w:rsidRDefault="00833B7C">
      <w:pPr>
        <w:pStyle w:val="Pieddepage"/>
      </w:pPr>
    </w:p>
  </w:endnote>
  <w:endnote w:type="continuationNotice" w:id="1">
    <w:p w14:paraId="29885F18" w14:textId="77777777" w:rsidR="00833B7C" w:rsidRPr="00C451B9" w:rsidRDefault="00833B7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CF92" w14:textId="73DD64A0" w:rsidR="00833B7C" w:rsidRPr="00660D73" w:rsidRDefault="00833B7C">
    <w:pPr>
      <w:pStyle w:val="Pieddepage"/>
      <w:rPr>
        <w:rFonts w:ascii="C39T30Lfz" w:hAnsi="C39T30Lfz"/>
        <w:sz w:val="56"/>
      </w:rPr>
    </w:pPr>
    <w:r w:rsidRPr="00660D73">
      <w:rPr>
        <w:rFonts w:ascii="C39T30Lfz" w:hAnsi="C39T30Lfz"/>
        <w:noProof/>
        <w:sz w:val="56"/>
        <w:lang w:eastAsia="fr-CH"/>
      </w:rPr>
      <w:drawing>
        <wp:anchor distT="0" distB="0" distL="114300" distR="114300" simplePos="0" relativeHeight="251659264" behindDoc="0" locked="0" layoutInCell="1" allowOverlap="0" wp14:anchorId="4A88FA53" wp14:editId="03F819AC">
          <wp:simplePos x="0" y="0"/>
          <wp:positionH relativeFrom="margin">
            <wp:posOffset>4216075</wp:posOffset>
          </wp:positionH>
          <wp:positionV relativeFrom="margin">
            <wp:posOffset>9136041</wp:posOffset>
          </wp:positionV>
          <wp:extent cx="1105200" cy="234000"/>
          <wp:effectExtent l="0" t="0" r="0" b="0"/>
          <wp:wrapNone/>
          <wp:docPr id="17" name="Image 1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6A19EC">
      <w:rPr>
        <w:sz w:val="20"/>
      </w:rPr>
      <w:t>.</w:t>
    </w:r>
    <w:r>
      <w:rPr>
        <w:sz w:val="20"/>
      </w:rPr>
      <w:t>19-14322  (F)</w:t>
    </w:r>
    <w:r w:rsidRPr="00660D73">
      <w:rPr>
        <w:rFonts w:ascii="C39T30Lfz" w:hAnsi="C39T30Lfz"/>
        <w:noProof/>
        <w:sz w:val="56"/>
        <w:lang w:eastAsia="fr-CH"/>
      </w:rPr>
      <w:drawing>
        <wp:anchor distT="0" distB="0" distL="114300" distR="114300" simplePos="0" relativeHeight="251664384" behindDoc="0" locked="0" layoutInCell="1" allowOverlap="1" wp14:anchorId="5FFD94F4" wp14:editId="1E483AB2">
          <wp:simplePos x="0" y="0"/>
          <wp:positionH relativeFrom="column">
            <wp:posOffset>5486076</wp:posOffset>
          </wp:positionH>
          <wp:positionV relativeFrom="paragraph">
            <wp:posOffset>-42205</wp:posOffset>
          </wp:positionV>
          <wp:extent cx="561975" cy="561975"/>
          <wp:effectExtent l="0" t="0" r="9525" b="9525"/>
          <wp:wrapNone/>
          <wp:docPr id="18" name="Image 1" descr="https://undocs.org/m2/QRCode.ashx?DS=A/74/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4/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Pr>
        <w:noProof/>
        <w:lang w:eastAsia="fr-CH"/>
      </w:rPr>
      <w:br/>
    </w:r>
    <w:r w:rsidRPr="00660D73">
      <w:rPr>
        <w:rFonts w:ascii="C39T30Lfz" w:hAnsi="C39T30Lfz"/>
        <w:sz w:val="56"/>
      </w:rPr>
      <w:t></w:t>
    </w:r>
    <w:r w:rsidRPr="00660D73">
      <w:rPr>
        <w:rFonts w:ascii="C39T30Lfz" w:hAnsi="C39T30Lfz"/>
        <w:sz w:val="56"/>
      </w:rPr>
      <w:t></w:t>
    </w:r>
    <w:r w:rsidRPr="00660D73">
      <w:rPr>
        <w:rFonts w:ascii="C39T30Lfz" w:hAnsi="C39T30Lfz"/>
        <w:sz w:val="56"/>
      </w:rPr>
      <w:t></w:t>
    </w:r>
    <w:r w:rsidRPr="00660D73">
      <w:rPr>
        <w:rFonts w:ascii="C39T30Lfz" w:hAnsi="C39T30Lfz"/>
        <w:sz w:val="56"/>
      </w:rPr>
      <w:t></w:t>
    </w:r>
    <w:r w:rsidRPr="00660D73">
      <w:rPr>
        <w:rFonts w:ascii="C39T30Lfz" w:hAnsi="C39T30Lfz"/>
        <w:sz w:val="56"/>
      </w:rPr>
      <w:t></w:t>
    </w:r>
    <w:r w:rsidRPr="00660D73">
      <w:rPr>
        <w:rFonts w:ascii="C39T30Lfz" w:hAnsi="C39T30Lfz"/>
        <w:sz w:val="56"/>
      </w:rPr>
      <w:t></w:t>
    </w:r>
    <w:r w:rsidRPr="00660D73">
      <w:rPr>
        <w:rFonts w:ascii="C39T30Lfz" w:hAnsi="C39T30Lfz"/>
        <w:sz w:val="56"/>
      </w:rPr>
      <w:t></w:t>
    </w:r>
    <w:r w:rsidRPr="00660D73">
      <w:rPr>
        <w:rFonts w:ascii="C39T30Lfz" w:hAnsi="C39T30Lfz"/>
        <w:sz w:val="56"/>
      </w:rPr>
      <w:t></w:t>
    </w:r>
    <w:r w:rsidRPr="00660D73">
      <w:rPr>
        <w:rFonts w:ascii="C39T30Lfz" w:hAnsi="C39T30Lfz"/>
        <w:sz w:val="5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01A2" w14:textId="14785657" w:rsidR="00833B7C" w:rsidRPr="001A7E87" w:rsidRDefault="00833B7C" w:rsidP="001A7E87">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1A7E87">
      <w:t>GE</w:t>
    </w:r>
    <w:r w:rsidRPr="006A19EC">
      <w:t>.</w:t>
    </w:r>
    <w:r w:rsidRPr="001A7E87">
      <w:t>19-14322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88FE" w14:textId="5D56996C" w:rsidR="00833B7C" w:rsidRPr="001A7E87" w:rsidRDefault="00833B7C" w:rsidP="001A7E87">
    <w:pPr>
      <w:pStyle w:val="Pieddepage"/>
      <w:tabs>
        <w:tab w:val="right" w:pos="9638"/>
      </w:tabs>
      <w:rPr>
        <w:b/>
        <w:sz w:val="18"/>
      </w:rPr>
    </w:pPr>
    <w:r>
      <w:t>GE</w:t>
    </w:r>
    <w:r w:rsidRPr="006A19EC">
      <w:t>.</w:t>
    </w:r>
    <w:r w:rsidRPr="001A7E87">
      <w:t>19</w:t>
    </w:r>
    <w:r>
      <w:t>-</w:t>
    </w:r>
    <w:r w:rsidRPr="001A7E87">
      <w:t>14322</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BF8F" w14:textId="77777777" w:rsidR="00833B7C" w:rsidRDefault="00833B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DFDA" w14:textId="77777777" w:rsidR="00833B7C" w:rsidRDefault="00833B7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993" w14:textId="787A6A3B" w:rsidR="00833B7C" w:rsidRPr="00045883" w:rsidRDefault="00833B7C" w:rsidP="00045883">
    <w:pPr>
      <w:pStyle w:val="Pieddepage"/>
      <w:tabs>
        <w:tab w:val="right" w:pos="9638"/>
      </w:tabs>
    </w:pPr>
    <w:r w:rsidRPr="00045883">
      <w:rPr>
        <w:b/>
        <w:sz w:val="18"/>
      </w:rPr>
      <w:fldChar w:fldCharType="begin"/>
    </w:r>
    <w:r w:rsidRPr="00045883">
      <w:rPr>
        <w:b/>
        <w:sz w:val="18"/>
      </w:rPr>
      <w:instrText xml:space="preserve"> PAGE  \* MERGEFORMAT </w:instrText>
    </w:r>
    <w:r w:rsidRPr="00045883">
      <w:rPr>
        <w:b/>
        <w:sz w:val="18"/>
      </w:rPr>
      <w:fldChar w:fldCharType="separate"/>
    </w:r>
    <w:r w:rsidRPr="00045883">
      <w:rPr>
        <w:b/>
        <w:noProof/>
        <w:sz w:val="18"/>
      </w:rPr>
      <w:t>iv</w:t>
    </w:r>
    <w:r w:rsidRPr="00045883">
      <w:rPr>
        <w:b/>
        <w:sz w:val="18"/>
      </w:rPr>
      <w:fldChar w:fldCharType="end"/>
    </w:r>
    <w:r>
      <w:rPr>
        <w:b/>
        <w:sz w:val="18"/>
      </w:rPr>
      <w:tab/>
    </w:r>
    <w:r>
      <w:t>GE</w:t>
    </w:r>
    <w:r w:rsidRPr="006A19EC">
      <w:t>.</w:t>
    </w:r>
    <w:r>
      <w:t>19-14322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52EE" w14:textId="3C9A4857" w:rsidR="00833B7C" w:rsidRPr="00045883" w:rsidRDefault="00833B7C" w:rsidP="00045883">
    <w:pPr>
      <w:pStyle w:val="Pieddepage"/>
      <w:tabs>
        <w:tab w:val="right" w:pos="9638"/>
      </w:tabs>
      <w:rPr>
        <w:b/>
        <w:sz w:val="18"/>
      </w:rPr>
    </w:pPr>
    <w:r>
      <w:t>GE</w:t>
    </w:r>
    <w:r w:rsidRPr="006A19EC">
      <w:t>.</w:t>
    </w:r>
    <w:r>
      <w:t>19-14322</w:t>
    </w:r>
    <w:r>
      <w:tab/>
    </w:r>
    <w:r w:rsidRPr="00045883">
      <w:rPr>
        <w:b/>
        <w:sz w:val="18"/>
      </w:rPr>
      <w:fldChar w:fldCharType="begin"/>
    </w:r>
    <w:r w:rsidRPr="00045883">
      <w:rPr>
        <w:b/>
        <w:sz w:val="18"/>
      </w:rPr>
      <w:instrText xml:space="preserve"> PAGE  \* MERGEFORMAT </w:instrText>
    </w:r>
    <w:r w:rsidRPr="00045883">
      <w:rPr>
        <w:b/>
        <w:sz w:val="18"/>
      </w:rPr>
      <w:fldChar w:fldCharType="separate"/>
    </w:r>
    <w:r w:rsidRPr="00045883">
      <w:rPr>
        <w:b/>
        <w:noProof/>
        <w:sz w:val="18"/>
      </w:rPr>
      <w:t>v</w:t>
    </w:r>
    <w:r w:rsidRPr="00045883">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44A7" w14:textId="00C0F7BC" w:rsidR="00833B7C" w:rsidRPr="00045883" w:rsidRDefault="00833B7C" w:rsidP="00045883">
    <w:pPr>
      <w:pStyle w:val="Pieddepage"/>
      <w:tabs>
        <w:tab w:val="right" w:pos="9638"/>
      </w:tabs>
      <w:spacing w:before="120"/>
      <w:rPr>
        <w:b/>
        <w:sz w:val="18"/>
      </w:rPr>
    </w:pPr>
    <w:r>
      <w:rPr>
        <w:sz w:val="20"/>
      </w:rPr>
      <w:t>GE</w:t>
    </w:r>
    <w:r w:rsidRPr="006A19EC">
      <w:rPr>
        <w:sz w:val="20"/>
      </w:rPr>
      <w:t>.</w:t>
    </w:r>
    <w:r>
      <w:rPr>
        <w:sz w:val="20"/>
      </w:rPr>
      <w:t>19-14322  (F)    170919    180919</w:t>
    </w:r>
    <w:r>
      <w:rPr>
        <w:sz w:val="20"/>
      </w:rPr>
      <w:tab/>
    </w:r>
    <w:r>
      <w:rPr>
        <w:b/>
        <w:sz w:val="18"/>
      </w:rPr>
      <w:fldChar w:fldCharType="begin"/>
    </w:r>
    <w:r>
      <w:rPr>
        <w:b/>
        <w:sz w:val="18"/>
      </w:rPr>
      <w:instrText xml:space="preserve"> PAGE  \* MERGEFORMAT </w:instrText>
    </w:r>
    <w:r>
      <w:rPr>
        <w:b/>
        <w:sz w:val="18"/>
      </w:rPr>
      <w:fldChar w:fldCharType="separate"/>
    </w:r>
    <w:r>
      <w:rPr>
        <w:b/>
        <w:noProof/>
        <w:sz w:val="18"/>
      </w:rPr>
      <w:t>iii</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9781" w14:textId="61594B55" w:rsidR="00833B7C" w:rsidRPr="00045883" w:rsidRDefault="00833B7C" w:rsidP="00045883">
    <w:pPr>
      <w:pStyle w:val="Pieddepage"/>
      <w:tabs>
        <w:tab w:val="right" w:pos="9638"/>
      </w:tabs>
      <w:rPr>
        <w:b/>
        <w:sz w:val="18"/>
      </w:rPr>
    </w:pPr>
    <w:r>
      <w:t>GE</w:t>
    </w:r>
    <w:r w:rsidRPr="006A19EC">
      <w:t>.</w:t>
    </w:r>
    <w:r>
      <w:t>19-14322</w:t>
    </w:r>
    <w:r>
      <w:tab/>
    </w:r>
    <w:r w:rsidRPr="00045883">
      <w:rPr>
        <w:b/>
        <w:sz w:val="18"/>
      </w:rPr>
      <w:fldChar w:fldCharType="begin"/>
    </w:r>
    <w:r w:rsidRPr="00045883">
      <w:rPr>
        <w:b/>
        <w:sz w:val="18"/>
      </w:rPr>
      <w:instrText xml:space="preserve"> PAGE  \* MERGEFORMAT </w:instrText>
    </w:r>
    <w:r w:rsidRPr="00045883">
      <w:rPr>
        <w:b/>
        <w:sz w:val="18"/>
      </w:rPr>
      <w:fldChar w:fldCharType="separate"/>
    </w:r>
    <w:r w:rsidRPr="00045883">
      <w:rPr>
        <w:b/>
        <w:noProof/>
        <w:sz w:val="18"/>
      </w:rPr>
      <w:t>v</w:t>
    </w:r>
    <w:r w:rsidRPr="00045883">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2016" w14:textId="77777777" w:rsidR="00833B7C" w:rsidRPr="00D830B2" w:rsidRDefault="00833B7C" w:rsidP="00D830B2">
    <w:pPr>
      <w:pStyle w:val="Pieddepage"/>
    </w:pPr>
    <w:r>
      <w:rPr>
        <w:noProof/>
      </w:rPr>
      <mc:AlternateContent>
        <mc:Choice Requires="wps">
          <w:drawing>
            <wp:anchor distT="0" distB="0" distL="114300" distR="114300" simplePos="0" relativeHeight="251661312" behindDoc="0" locked="0" layoutInCell="1" allowOverlap="1" wp14:anchorId="1B82B7FE" wp14:editId="00D95934">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719337" w14:textId="26FE415F" w:rsidR="00833B7C" w:rsidRPr="00045883" w:rsidRDefault="00833B7C" w:rsidP="00D830B2">
                          <w:pPr>
                            <w:pStyle w:val="Pieddepage"/>
                            <w:tabs>
                              <w:tab w:val="right" w:pos="9638"/>
                            </w:tabs>
                          </w:pPr>
                          <w:r w:rsidRPr="00045883">
                            <w:rPr>
                              <w:b/>
                              <w:sz w:val="18"/>
                            </w:rPr>
                            <w:fldChar w:fldCharType="begin"/>
                          </w:r>
                          <w:r w:rsidRPr="00045883">
                            <w:rPr>
                              <w:b/>
                              <w:sz w:val="18"/>
                            </w:rPr>
                            <w:instrText xml:space="preserve"> PAGE  \* MERGEFORMAT </w:instrText>
                          </w:r>
                          <w:r w:rsidRPr="00045883">
                            <w:rPr>
                              <w:b/>
                              <w:sz w:val="18"/>
                            </w:rPr>
                            <w:fldChar w:fldCharType="separate"/>
                          </w:r>
                          <w:r>
                            <w:rPr>
                              <w:b/>
                              <w:sz w:val="18"/>
                            </w:rPr>
                            <w:t>2</w:t>
                          </w:r>
                          <w:r w:rsidRPr="00045883">
                            <w:rPr>
                              <w:b/>
                              <w:sz w:val="18"/>
                            </w:rPr>
                            <w:fldChar w:fldCharType="end"/>
                          </w:r>
                          <w:r>
                            <w:rPr>
                              <w:b/>
                              <w:sz w:val="18"/>
                            </w:rPr>
                            <w:tab/>
                          </w:r>
                          <w:r>
                            <w:t>GE</w:t>
                          </w:r>
                          <w:r w:rsidRPr="006A19EC">
                            <w:t>.</w:t>
                          </w:r>
                          <w:r>
                            <w:t>19-14322</w:t>
                          </w:r>
                        </w:p>
                        <w:p w14:paraId="43299B38" w14:textId="77777777" w:rsidR="00833B7C" w:rsidRDefault="00833B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82B7FE" id="_x0000_t202" coordsize="21600,21600" o:spt="202" path="m,l,21600r21600,l21600,xe">
              <v:stroke joinstyle="miter"/>
              <v:path gradientshapeok="t" o:connecttype="rect"/>
            </v:shapetype>
            <v:shape id="Zone de texte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oq/g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Dyyx18YBOshoMB8Wc4Ysa&#10;KV8y52+YxfyBEjPVX2MppQY59F6ipNL22+/0wT6nYQWbMM9A1K9rZsEt+VFhYMCl7wTbCctOUOvm&#10;QqNnshhNFHHBetmJpdXNPUbtLLyCI6Y4IskpXmvFC99OVYxqLmazaIQRZ5i/VLeGB9eBl6G0d7t7&#10;Zs2+w8OUudLdpGOTZ43e2oabSs/WXpd1nAIB1xZFIB82GI+xBvtRHubvr/to9fjDmf4E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uyaKv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14:paraId="7F719337" w14:textId="26FE415F" w:rsidR="00833B7C" w:rsidRPr="00045883" w:rsidRDefault="00833B7C" w:rsidP="00D830B2">
                    <w:pPr>
                      <w:pStyle w:val="Pieddepage"/>
                      <w:tabs>
                        <w:tab w:val="right" w:pos="9638"/>
                      </w:tabs>
                    </w:pPr>
                    <w:r w:rsidRPr="00045883">
                      <w:rPr>
                        <w:b/>
                        <w:sz w:val="18"/>
                      </w:rPr>
                      <w:fldChar w:fldCharType="begin"/>
                    </w:r>
                    <w:r w:rsidRPr="00045883">
                      <w:rPr>
                        <w:b/>
                        <w:sz w:val="18"/>
                      </w:rPr>
                      <w:instrText xml:space="preserve"> PAGE  \* MERGEFORMAT </w:instrText>
                    </w:r>
                    <w:r w:rsidRPr="00045883">
                      <w:rPr>
                        <w:b/>
                        <w:sz w:val="18"/>
                      </w:rPr>
                      <w:fldChar w:fldCharType="separate"/>
                    </w:r>
                    <w:r>
                      <w:rPr>
                        <w:b/>
                        <w:sz w:val="18"/>
                      </w:rPr>
                      <w:t>2</w:t>
                    </w:r>
                    <w:r w:rsidRPr="00045883">
                      <w:rPr>
                        <w:b/>
                        <w:sz w:val="18"/>
                      </w:rPr>
                      <w:fldChar w:fldCharType="end"/>
                    </w:r>
                    <w:r>
                      <w:rPr>
                        <w:b/>
                        <w:sz w:val="18"/>
                      </w:rPr>
                      <w:tab/>
                    </w:r>
                    <w:r>
                      <w:t>GE</w:t>
                    </w:r>
                    <w:r w:rsidRPr="006A19EC">
                      <w:t>.</w:t>
                    </w:r>
                    <w:r>
                      <w:t>19-14322</w:t>
                    </w:r>
                  </w:p>
                  <w:p w14:paraId="43299B38" w14:textId="77777777" w:rsidR="00833B7C" w:rsidRDefault="00833B7C"/>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5952" w14:textId="77777777" w:rsidR="00833B7C" w:rsidRPr="00D830B2" w:rsidRDefault="00833B7C" w:rsidP="00D830B2">
    <w:pPr>
      <w:pStyle w:val="Pieddepage"/>
    </w:pPr>
    <w:r>
      <w:rPr>
        <w:noProof/>
      </w:rPr>
      <mc:AlternateContent>
        <mc:Choice Requires="wps">
          <w:drawing>
            <wp:anchor distT="0" distB="0" distL="114300" distR="114300" simplePos="0" relativeHeight="251663360" behindDoc="0" locked="0" layoutInCell="1" allowOverlap="1" wp14:anchorId="2D3FCFC5" wp14:editId="04129508">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4B51B3" w14:textId="4A8E83FB" w:rsidR="00833B7C" w:rsidRPr="00045883" w:rsidRDefault="00833B7C" w:rsidP="00D830B2">
                          <w:pPr>
                            <w:pStyle w:val="Pieddepage"/>
                            <w:tabs>
                              <w:tab w:val="right" w:pos="9638"/>
                            </w:tabs>
                            <w:rPr>
                              <w:b/>
                              <w:sz w:val="18"/>
                            </w:rPr>
                          </w:pPr>
                          <w:r>
                            <w:t>GE</w:t>
                          </w:r>
                          <w:r w:rsidRPr="006A19EC">
                            <w:t>.</w:t>
                          </w:r>
                          <w:r>
                            <w:t>19-14322</w:t>
                          </w:r>
                          <w:r>
                            <w:tab/>
                          </w:r>
                          <w:r w:rsidRPr="00045883">
                            <w:rPr>
                              <w:b/>
                              <w:sz w:val="18"/>
                            </w:rPr>
                            <w:fldChar w:fldCharType="begin"/>
                          </w:r>
                          <w:r w:rsidRPr="00045883">
                            <w:rPr>
                              <w:b/>
                              <w:sz w:val="18"/>
                            </w:rPr>
                            <w:instrText xml:space="preserve"> PAGE  \* MERGEFORMAT </w:instrText>
                          </w:r>
                          <w:r w:rsidRPr="00045883">
                            <w:rPr>
                              <w:b/>
                              <w:sz w:val="18"/>
                            </w:rPr>
                            <w:fldChar w:fldCharType="separate"/>
                          </w:r>
                          <w:r>
                            <w:rPr>
                              <w:b/>
                              <w:sz w:val="18"/>
                            </w:rPr>
                            <w:t>3</w:t>
                          </w:r>
                          <w:r w:rsidRPr="00045883">
                            <w:rPr>
                              <w:b/>
                              <w:sz w:val="18"/>
                            </w:rPr>
                            <w:fldChar w:fldCharType="end"/>
                          </w:r>
                        </w:p>
                        <w:p w14:paraId="758A0B2D" w14:textId="77777777" w:rsidR="00833B7C" w:rsidRDefault="00833B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3FCFC5" id="_x0000_t202" coordsize="21600,21600" o:spt="202" path="m,l,21600r21600,l21600,xe">
              <v:stroke joinstyle="miter"/>
              <v:path gradientshapeok="t" o:connecttype="rect"/>
            </v:shapetype>
            <v:shape id="Zone de texte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54B51B3" w14:textId="4A8E83FB" w:rsidR="00833B7C" w:rsidRPr="00045883" w:rsidRDefault="00833B7C" w:rsidP="00D830B2">
                    <w:pPr>
                      <w:pStyle w:val="Pieddepage"/>
                      <w:tabs>
                        <w:tab w:val="right" w:pos="9638"/>
                      </w:tabs>
                      <w:rPr>
                        <w:b/>
                        <w:sz w:val="18"/>
                      </w:rPr>
                    </w:pPr>
                    <w:r>
                      <w:t>GE</w:t>
                    </w:r>
                    <w:r w:rsidRPr="006A19EC">
                      <w:t>.</w:t>
                    </w:r>
                    <w:r>
                      <w:t>19-14322</w:t>
                    </w:r>
                    <w:r>
                      <w:tab/>
                    </w:r>
                    <w:r w:rsidRPr="00045883">
                      <w:rPr>
                        <w:b/>
                        <w:sz w:val="18"/>
                      </w:rPr>
                      <w:fldChar w:fldCharType="begin"/>
                    </w:r>
                    <w:r w:rsidRPr="00045883">
                      <w:rPr>
                        <w:b/>
                        <w:sz w:val="18"/>
                      </w:rPr>
                      <w:instrText xml:space="preserve"> PAGE  \* MERGEFORMAT </w:instrText>
                    </w:r>
                    <w:r w:rsidRPr="00045883">
                      <w:rPr>
                        <w:b/>
                        <w:sz w:val="18"/>
                      </w:rPr>
                      <w:fldChar w:fldCharType="separate"/>
                    </w:r>
                    <w:r>
                      <w:rPr>
                        <w:b/>
                        <w:sz w:val="18"/>
                      </w:rPr>
                      <w:t>3</w:t>
                    </w:r>
                    <w:r w:rsidRPr="00045883">
                      <w:rPr>
                        <w:b/>
                        <w:sz w:val="18"/>
                      </w:rPr>
                      <w:fldChar w:fldCharType="end"/>
                    </w:r>
                  </w:p>
                  <w:p w14:paraId="758A0B2D" w14:textId="77777777" w:rsidR="00833B7C" w:rsidRDefault="00833B7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AAF8" w14:textId="77777777" w:rsidR="00833B7C" w:rsidRPr="00D27D5E" w:rsidRDefault="00833B7C" w:rsidP="00D27D5E">
      <w:pPr>
        <w:tabs>
          <w:tab w:val="right" w:pos="2155"/>
        </w:tabs>
        <w:spacing w:after="80"/>
        <w:ind w:left="680"/>
        <w:rPr>
          <w:u w:val="single"/>
        </w:rPr>
      </w:pPr>
      <w:r>
        <w:rPr>
          <w:u w:val="single"/>
        </w:rPr>
        <w:tab/>
      </w:r>
    </w:p>
  </w:footnote>
  <w:footnote w:type="continuationSeparator" w:id="0">
    <w:p w14:paraId="4ECE5E1A" w14:textId="77777777" w:rsidR="00833B7C" w:rsidRPr="00D171D4" w:rsidRDefault="00833B7C" w:rsidP="00D171D4">
      <w:pPr>
        <w:tabs>
          <w:tab w:val="right" w:pos="2155"/>
        </w:tabs>
        <w:spacing w:after="80"/>
        <w:ind w:left="680"/>
        <w:rPr>
          <w:u w:val="single"/>
        </w:rPr>
      </w:pPr>
      <w:r w:rsidRPr="00D171D4">
        <w:rPr>
          <w:u w:val="single"/>
        </w:rPr>
        <w:tab/>
      </w:r>
    </w:p>
  </w:footnote>
  <w:footnote w:type="continuationNotice" w:id="1">
    <w:p w14:paraId="4BE63CD1" w14:textId="77777777" w:rsidR="00833B7C" w:rsidRPr="00C451B9" w:rsidRDefault="00833B7C" w:rsidP="00C451B9">
      <w:pPr>
        <w:spacing w:line="240" w:lineRule="auto"/>
        <w:rPr>
          <w:sz w:val="2"/>
          <w:szCs w:val="2"/>
        </w:rPr>
      </w:pPr>
    </w:p>
  </w:footnote>
  <w:footnote w:id="2">
    <w:p w14:paraId="73B3EEF6" w14:textId="62A72A54" w:rsidR="00833B7C" w:rsidRPr="0065525C" w:rsidRDefault="00833B7C" w:rsidP="001E77AC">
      <w:pPr>
        <w:pStyle w:val="Notedebasdepage"/>
      </w:pPr>
      <w:r w:rsidRPr="00387641">
        <w:tab/>
      </w:r>
      <w:r w:rsidRPr="001E77AC">
        <w:rPr>
          <w:rStyle w:val="Appelnotedebasdep"/>
        </w:rPr>
        <w:footnoteRef/>
      </w:r>
      <w:r w:rsidRPr="0065525C">
        <w:tab/>
        <w:t xml:space="preserve">Voir </w:t>
      </w:r>
      <w:r w:rsidRPr="0065525C">
        <w:rPr>
          <w:i/>
        </w:rPr>
        <w:t>Documents officiels de l’Assemblée générale, vingt-septième session</w:t>
      </w:r>
      <w:r w:rsidRPr="0065525C">
        <w:t xml:space="preserve">, </w:t>
      </w:r>
      <w:r w:rsidRPr="0065525C">
        <w:rPr>
          <w:i/>
        </w:rPr>
        <w:t>Supplément n</w:t>
      </w:r>
      <w:r w:rsidRPr="0065525C">
        <w:rPr>
          <w:i/>
          <w:vertAlign w:val="superscript"/>
        </w:rPr>
        <w:t>o</w:t>
      </w:r>
      <w:r w:rsidRPr="0065525C">
        <w:rPr>
          <w:i/>
        </w:rPr>
        <w:t> 18</w:t>
      </w:r>
      <w:r w:rsidRPr="0065525C">
        <w:t xml:space="preserve"> (</w:t>
      </w:r>
      <w:hyperlink r:id="rId1" w:history="1">
        <w:r w:rsidRPr="0065525C">
          <w:rPr>
            <w:rStyle w:val="Lienhypertexte"/>
          </w:rPr>
          <w:t>A/8718</w:t>
        </w:r>
      </w:hyperlink>
      <w:r w:rsidRPr="0065525C">
        <w:t>), chap</w:t>
      </w:r>
      <w:r w:rsidRPr="006A19EC">
        <w:t>.</w:t>
      </w:r>
      <w:r w:rsidRPr="0065525C">
        <w:t> IX, sect</w:t>
      </w:r>
      <w:r w:rsidRPr="006A19EC">
        <w:t>.</w:t>
      </w:r>
      <w:r w:rsidRPr="0065525C">
        <w:t> B</w:t>
      </w:r>
      <w:r w:rsidRPr="006A19EC">
        <w:t>.</w:t>
      </w:r>
    </w:p>
  </w:footnote>
  <w:footnote w:id="3">
    <w:p w14:paraId="58E34E2C" w14:textId="741F6657" w:rsidR="00833B7C" w:rsidRPr="0065525C" w:rsidRDefault="00833B7C" w:rsidP="001E77AC">
      <w:pPr>
        <w:pStyle w:val="Notedebasdepage"/>
        <w:rPr>
          <w:color w:val="000000" w:themeColor="text1"/>
        </w:rPr>
      </w:pPr>
      <w:r w:rsidRPr="0065525C">
        <w:rPr>
          <w:color w:val="000000" w:themeColor="text1"/>
        </w:rPr>
        <w:tab/>
      </w:r>
      <w:r w:rsidRPr="001E77AC">
        <w:rPr>
          <w:rStyle w:val="Appelnotedebasdep"/>
        </w:rPr>
        <w:footnoteRef/>
      </w:r>
      <w:r w:rsidRPr="0065525C">
        <w:tab/>
        <w:t xml:space="preserve">Voir </w:t>
      </w:r>
      <w:r w:rsidRPr="0065525C">
        <w:rPr>
          <w:i/>
          <w:spacing w:val="-1"/>
        </w:rPr>
        <w:t>Documents officiels de l’Assemblée générale, soixante-deuxième session, Supplément n</w:t>
      </w:r>
      <w:r w:rsidRPr="0065525C">
        <w:rPr>
          <w:i/>
          <w:spacing w:val="-1"/>
          <w:vertAlign w:val="superscript"/>
        </w:rPr>
        <w:t>o</w:t>
      </w:r>
      <w:r w:rsidRPr="0065525C">
        <w:rPr>
          <w:i/>
          <w:spacing w:val="-1"/>
        </w:rPr>
        <w:t> 18</w:t>
      </w:r>
      <w:r w:rsidRPr="0065525C">
        <w:rPr>
          <w:spacing w:val="-1"/>
        </w:rPr>
        <w:t xml:space="preserve"> (</w:t>
      </w:r>
      <w:hyperlink r:id="rId2" w:history="1">
        <w:r w:rsidRPr="0065525C">
          <w:rPr>
            <w:rStyle w:val="Lienhypertexte"/>
            <w:spacing w:val="-1"/>
          </w:rPr>
          <w:t>A/62/18</w:t>
        </w:r>
      </w:hyperlink>
      <w:r w:rsidRPr="0065525C">
        <w:rPr>
          <w:spacing w:val="-1"/>
        </w:rPr>
        <w:t>),</w:t>
      </w:r>
      <w:r w:rsidRPr="0065525C">
        <w:t xml:space="preserve"> annexe III</w:t>
      </w:r>
      <w:r w:rsidRPr="006A19EC">
        <w:t>.</w:t>
      </w:r>
    </w:p>
  </w:footnote>
  <w:footnote w:id="4">
    <w:p w14:paraId="233AE319" w14:textId="46CC67DC" w:rsidR="00833B7C" w:rsidRPr="00FB16FD" w:rsidRDefault="00833B7C" w:rsidP="001E77AC">
      <w:pPr>
        <w:pStyle w:val="Notedebasdepage"/>
        <w:rPr>
          <w:lang w:val="fr-FR"/>
        </w:rPr>
      </w:pPr>
      <w:r w:rsidRPr="0065525C">
        <w:tab/>
      </w:r>
      <w:r w:rsidRPr="001E77AC">
        <w:rPr>
          <w:rStyle w:val="Appelnotedebasdep"/>
        </w:rPr>
        <w:footnoteRef/>
      </w:r>
      <w:r w:rsidRPr="0065525C">
        <w:tab/>
        <w:t xml:space="preserve">Voir </w:t>
      </w:r>
      <w:r w:rsidRPr="0065525C">
        <w:rPr>
          <w:i/>
          <w:spacing w:val="-1"/>
        </w:rPr>
        <w:t>Documents officiels de l’Assemblée générale, soixante-treizième session, Supplément n</w:t>
      </w:r>
      <w:r w:rsidRPr="0065525C">
        <w:rPr>
          <w:i/>
          <w:spacing w:val="-1"/>
          <w:vertAlign w:val="superscript"/>
        </w:rPr>
        <w:t>o</w:t>
      </w:r>
      <w:r w:rsidRPr="0065525C">
        <w:rPr>
          <w:i/>
          <w:spacing w:val="-1"/>
        </w:rPr>
        <w:t> 18</w:t>
      </w:r>
      <w:r w:rsidRPr="0065525C">
        <w:rPr>
          <w:spacing w:val="-1"/>
        </w:rPr>
        <w:t xml:space="preserve"> (</w:t>
      </w:r>
      <w:hyperlink r:id="rId3" w:history="1">
        <w:r w:rsidRPr="0065525C">
          <w:rPr>
            <w:rStyle w:val="Lienhypertexte"/>
            <w:spacing w:val="-1"/>
          </w:rPr>
          <w:t>A/73/18</w:t>
        </w:r>
      </w:hyperlink>
      <w:r w:rsidRPr="0065525C">
        <w:rPr>
          <w:spacing w:val="-1"/>
        </w:rPr>
        <w:t>)</w:t>
      </w:r>
      <w:r w:rsidRPr="006A19EC">
        <w:rPr>
          <w:spacing w:val="-1"/>
        </w:rPr>
        <w:t>.</w:t>
      </w:r>
    </w:p>
  </w:footnote>
  <w:footnote w:id="5">
    <w:p w14:paraId="25270C40" w14:textId="1E2C2439" w:rsidR="00833B7C" w:rsidRPr="00274A4B" w:rsidRDefault="00833B7C" w:rsidP="001E77AC">
      <w:pPr>
        <w:pStyle w:val="Notedebasdepage"/>
        <w:rPr>
          <w:lang w:val="fr-FR"/>
        </w:rPr>
      </w:pPr>
      <w:r>
        <w:rPr>
          <w:lang w:val="fr-FR"/>
        </w:rPr>
        <w:tab/>
      </w:r>
      <w:r w:rsidRPr="001E77AC">
        <w:rPr>
          <w:rStyle w:val="Appelnotedebasdep"/>
        </w:rPr>
        <w:footnoteRef/>
      </w:r>
      <w:r w:rsidRPr="00274A4B">
        <w:rPr>
          <w:lang w:val="fr-FR"/>
        </w:rPr>
        <w:tab/>
        <w:t xml:space="preserve">Pour le mandat du coordonnateur chargé du suivi, voir </w:t>
      </w:r>
      <w:r w:rsidRPr="00274A4B">
        <w:rPr>
          <w:i/>
          <w:lang w:val="fr-FR"/>
        </w:rPr>
        <w:t xml:space="preserve">Documents officiels de l’Assemblée générale, soixantième session, Supplément </w:t>
      </w:r>
      <w:r w:rsidRPr="00274A4B">
        <w:rPr>
          <w:rFonts w:eastAsia="MS Mincho"/>
          <w:i/>
          <w:lang w:val="fr-FR"/>
        </w:rPr>
        <w:t>n</w:t>
      </w:r>
      <w:r w:rsidRPr="00274A4B">
        <w:rPr>
          <w:rFonts w:eastAsia="MS Mincho"/>
          <w:i/>
          <w:vertAlign w:val="superscript"/>
          <w:lang w:val="fr-FR"/>
        </w:rPr>
        <w:t>o</w:t>
      </w:r>
      <w:r w:rsidRPr="00274A4B">
        <w:rPr>
          <w:i/>
          <w:lang w:val="fr-FR"/>
        </w:rPr>
        <w:t> 18</w:t>
      </w:r>
      <w:r w:rsidRPr="00274A4B">
        <w:rPr>
          <w:lang w:val="fr-FR"/>
        </w:rPr>
        <w:t xml:space="preserve"> (</w:t>
      </w:r>
      <w:hyperlink r:id="rId4" w:history="1">
        <w:r w:rsidRPr="001E32CA">
          <w:rPr>
            <w:rStyle w:val="Lienhypertexte"/>
            <w:szCs w:val="18"/>
            <w:lang w:val="fr-FR"/>
          </w:rPr>
          <w:t>A/60/18</w:t>
        </w:r>
      </w:hyperlink>
      <w:r w:rsidRPr="00274A4B">
        <w:rPr>
          <w:lang w:val="fr-FR"/>
        </w:rPr>
        <w:t>), annexe IV</w:t>
      </w:r>
      <w:r w:rsidRPr="006A19EC">
        <w:rPr>
          <w:lang w:val="fr-FR"/>
        </w:rPr>
        <w:t>.</w:t>
      </w:r>
      <w:r w:rsidRPr="00274A4B">
        <w:rPr>
          <w:lang w:val="fr-FR"/>
        </w:rPr>
        <w:t xml:space="preserve"> </w:t>
      </w:r>
    </w:p>
  </w:footnote>
  <w:footnote w:id="6">
    <w:p w14:paraId="660DC8BE" w14:textId="3E638DEA" w:rsidR="00833B7C" w:rsidRPr="00274A4B" w:rsidRDefault="00833B7C" w:rsidP="001E77AC">
      <w:pPr>
        <w:pStyle w:val="Notedebasdepage"/>
        <w:rPr>
          <w:lang w:val="fr-FR"/>
        </w:rPr>
      </w:pPr>
      <w:r>
        <w:rPr>
          <w:lang w:val="fr-FR"/>
        </w:rPr>
        <w:tab/>
      </w:r>
      <w:r w:rsidRPr="001E77AC">
        <w:rPr>
          <w:rStyle w:val="Appelnotedebasdep"/>
        </w:rPr>
        <w:footnoteRef/>
      </w:r>
      <w:r w:rsidRPr="00274A4B">
        <w:rPr>
          <w:lang w:val="fr-FR"/>
        </w:rPr>
        <w:tab/>
        <w:t xml:space="preserve">Pour le texte des directives, voir </w:t>
      </w:r>
      <w:r w:rsidRPr="00274A4B">
        <w:rPr>
          <w:i/>
          <w:lang w:val="fr-FR"/>
        </w:rPr>
        <w:t xml:space="preserve">Documents officiels de l’Assemblée générale, soixante et unième session, Supplément </w:t>
      </w:r>
      <w:r w:rsidRPr="00274A4B">
        <w:rPr>
          <w:rFonts w:eastAsia="MS Mincho"/>
          <w:i/>
          <w:lang w:val="fr-FR"/>
        </w:rPr>
        <w:t>n</w:t>
      </w:r>
      <w:r w:rsidRPr="00274A4B">
        <w:rPr>
          <w:rFonts w:eastAsia="MS Mincho"/>
          <w:i/>
          <w:vertAlign w:val="superscript"/>
          <w:lang w:val="fr-FR"/>
        </w:rPr>
        <w:t>o</w:t>
      </w:r>
      <w:r w:rsidRPr="00274A4B">
        <w:rPr>
          <w:i/>
          <w:lang w:val="fr-FR"/>
        </w:rPr>
        <w:t> 18</w:t>
      </w:r>
      <w:r w:rsidRPr="00274A4B">
        <w:rPr>
          <w:lang w:val="fr-FR"/>
        </w:rPr>
        <w:t xml:space="preserve"> (</w:t>
      </w:r>
      <w:hyperlink r:id="rId5" w:history="1">
        <w:r w:rsidRPr="001E32CA">
          <w:rPr>
            <w:rStyle w:val="Lienhypertexte"/>
            <w:szCs w:val="18"/>
            <w:lang w:val="fr-FR"/>
          </w:rPr>
          <w:t>A/61/18</w:t>
        </w:r>
      </w:hyperlink>
      <w:r w:rsidRPr="00274A4B">
        <w:rPr>
          <w:lang w:val="fr-FR"/>
        </w:rPr>
        <w:t>), annexe VI</w:t>
      </w:r>
      <w:r w:rsidRPr="006A19EC">
        <w:rPr>
          <w:lang w:val="fr-FR"/>
        </w:rPr>
        <w:t>.</w:t>
      </w:r>
    </w:p>
  </w:footnote>
  <w:footnote w:id="7">
    <w:p w14:paraId="39DB0487" w14:textId="4E6BFDCD" w:rsidR="00833B7C" w:rsidRPr="00274A4B" w:rsidRDefault="00833B7C" w:rsidP="001E77AC">
      <w:pPr>
        <w:pStyle w:val="Notedebasdepage"/>
        <w:rPr>
          <w:lang w:val="fr-FR"/>
        </w:rPr>
      </w:pPr>
      <w:r>
        <w:tab/>
      </w:r>
      <w:r w:rsidRPr="001E77AC">
        <w:rPr>
          <w:rStyle w:val="Appelnotedebasdep"/>
        </w:rPr>
        <w:footnoteRef/>
      </w:r>
      <w:r w:rsidRPr="00274A4B">
        <w:tab/>
        <w:t>HCDH, « CERD information note on inter-State communications », 30 août 2018</w:t>
      </w:r>
      <w:r w:rsidRPr="006A19EC">
        <w:t>.</w:t>
      </w:r>
      <w:r w:rsidRPr="00274A4B">
        <w:t xml:space="preserve"> Pour de plus amples renseignements, voir </w:t>
      </w:r>
      <w:hyperlink r:id="rId6" w:history="1">
        <w:r w:rsidRPr="001E32CA">
          <w:rPr>
            <w:rStyle w:val="Lienhypertexte"/>
          </w:rPr>
          <w:t>www</w:t>
        </w:r>
        <w:r w:rsidRPr="006A19EC">
          <w:rPr>
            <w:rStyle w:val="Lienhypertexte"/>
          </w:rPr>
          <w:t>.</w:t>
        </w:r>
        <w:r w:rsidRPr="001E32CA">
          <w:rPr>
            <w:rStyle w:val="Lienhypertexte"/>
          </w:rPr>
          <w:t>ohchr</w:t>
        </w:r>
        <w:r w:rsidRPr="006A19EC">
          <w:rPr>
            <w:rStyle w:val="Lienhypertexte"/>
          </w:rPr>
          <w:t>.</w:t>
        </w:r>
        <w:r w:rsidRPr="001E32CA">
          <w:rPr>
            <w:rStyle w:val="Lienhypertexte"/>
          </w:rPr>
          <w:t>org/EN/HRBodies/CERD/Pages/</w:t>
        </w:r>
        <w:r>
          <w:rPr>
            <w:rStyle w:val="Lienhypertexte"/>
          </w:rPr>
          <w:t xml:space="preserve"> </w:t>
        </w:r>
        <w:r w:rsidRPr="001E32CA">
          <w:rPr>
            <w:rStyle w:val="Lienhypertexte"/>
          </w:rPr>
          <w:t>InterstateCommunications</w:t>
        </w:r>
        <w:r w:rsidRPr="006A19EC">
          <w:rPr>
            <w:rStyle w:val="Lienhypertexte"/>
          </w:rPr>
          <w:t>.</w:t>
        </w:r>
        <w:r w:rsidRPr="001E32CA">
          <w:rPr>
            <w:rStyle w:val="Lienhypertexte"/>
          </w:rPr>
          <w:t>aspx</w:t>
        </w:r>
      </w:hyperlink>
      <w:r w:rsidRPr="006A19EC">
        <w:t>.</w:t>
      </w:r>
      <w:r w:rsidRPr="00274A4B" w:rsidDel="007F02D3">
        <w:t xml:space="preserve"> </w:t>
      </w:r>
    </w:p>
  </w:footnote>
  <w:footnote w:id="8">
    <w:p w14:paraId="22499147" w14:textId="6FB01DAC" w:rsidR="00833B7C" w:rsidRPr="00274A4B" w:rsidRDefault="00833B7C" w:rsidP="001E77AC">
      <w:pPr>
        <w:pStyle w:val="Notedebasdepage"/>
      </w:pPr>
      <w:r>
        <w:tab/>
      </w:r>
      <w:r w:rsidRPr="001E77AC">
        <w:rPr>
          <w:rStyle w:val="Appelnotedebasdep"/>
        </w:rPr>
        <w:footnoteRef/>
      </w:r>
      <w:r w:rsidRPr="00274A4B">
        <w:tab/>
      </w:r>
      <w:r w:rsidRPr="00274A4B">
        <w:rPr>
          <w:i/>
          <w:lang w:val="fr-FR"/>
        </w:rPr>
        <w:t xml:space="preserve">Documents officiels de l’Assemblée générale, soixante-treizième session, Supplément </w:t>
      </w:r>
      <w:r w:rsidRPr="00274A4B">
        <w:rPr>
          <w:rFonts w:eastAsia="MS Mincho"/>
          <w:i/>
          <w:lang w:val="fr-FR"/>
        </w:rPr>
        <w:t>n</w:t>
      </w:r>
      <w:r w:rsidRPr="00274A4B">
        <w:rPr>
          <w:rFonts w:eastAsia="MS Mincho"/>
          <w:i/>
          <w:vertAlign w:val="superscript"/>
          <w:lang w:val="fr-FR"/>
        </w:rPr>
        <w:t>o</w:t>
      </w:r>
      <w:r w:rsidRPr="00274A4B">
        <w:rPr>
          <w:i/>
          <w:lang w:val="fr-FR"/>
        </w:rPr>
        <w:t xml:space="preserve"> 18 </w:t>
      </w:r>
      <w:r w:rsidRPr="00274A4B">
        <w:t>(</w:t>
      </w:r>
      <w:hyperlink r:id="rId7" w:history="1">
        <w:r w:rsidRPr="001E32CA">
          <w:rPr>
            <w:rStyle w:val="Lienhypertexte"/>
            <w:szCs w:val="18"/>
          </w:rPr>
          <w:t>A/73/18</w:t>
        </w:r>
      </w:hyperlink>
      <w:r w:rsidRPr="00274A4B">
        <w:t>), par</w:t>
      </w:r>
      <w:r w:rsidRPr="006A19EC">
        <w:t>.</w:t>
      </w:r>
      <w:r w:rsidRPr="00274A4B">
        <w:t> 34</w:t>
      </w:r>
      <w:r w:rsidRPr="006A19EC">
        <w:t>.</w:t>
      </w:r>
    </w:p>
  </w:footnote>
  <w:footnote w:id="9">
    <w:p w14:paraId="7B570949" w14:textId="01F1BC98" w:rsidR="00833B7C" w:rsidRPr="00274A4B" w:rsidRDefault="00833B7C" w:rsidP="001E77AC">
      <w:pPr>
        <w:pStyle w:val="Notedebasdepage"/>
      </w:pPr>
      <w:r>
        <w:tab/>
      </w:r>
      <w:r w:rsidRPr="001E77AC">
        <w:rPr>
          <w:rStyle w:val="Appelnotedebasdep"/>
        </w:rPr>
        <w:footnoteRef/>
      </w:r>
      <w:r w:rsidRPr="00274A4B">
        <w:tab/>
        <w:t>Le 23 avril et le 1</w:t>
      </w:r>
      <w:r w:rsidRPr="00274A4B">
        <w:rPr>
          <w:vertAlign w:val="superscript"/>
        </w:rPr>
        <w:t>er</w:t>
      </w:r>
      <w:r w:rsidRPr="00274A4B">
        <w:t> mai 2019, Israël a informé le Comité qu’il ne pourrait pas participer aux débats prévus à la quatre-vingt-dix-huitième session</w:t>
      </w:r>
      <w:r w:rsidRPr="006A19EC">
        <w:t>.</w:t>
      </w:r>
      <w:r w:rsidRPr="00274A4B">
        <w:t xml:space="preserve"> Israël ne pouvait pas participer à cette séance avec le représentant de l’« entité palestinienne », car il estimait qu’aucune relation n’existait entre Israël et l’« entité palestinienne » dans le cadre de la Convention</w:t>
      </w:r>
      <w:r w:rsidRPr="006A19EC">
        <w:t>.</w:t>
      </w:r>
      <w:r w:rsidRPr="00274A4B">
        <w:t xml:space="preserve"> Israël a dit qu’il était prêt à coopérer avec le Comité sur la question de la compétence par la voie de communications écrites</w:t>
      </w:r>
      <w:r w:rsidRPr="006A19EC">
        <w:t>.</w:t>
      </w:r>
      <w:r>
        <w:t xml:space="preserve"> </w:t>
      </w:r>
    </w:p>
  </w:footnote>
  <w:footnote w:id="10">
    <w:p w14:paraId="550C3413" w14:textId="27A4D530" w:rsidR="00833B7C" w:rsidRPr="00274A4B" w:rsidRDefault="00833B7C" w:rsidP="001E77AC">
      <w:pPr>
        <w:pStyle w:val="Notedebasdepage"/>
      </w:pPr>
      <w:r>
        <w:tab/>
      </w:r>
      <w:r w:rsidRPr="001E77AC">
        <w:rPr>
          <w:rStyle w:val="Appelnotedebasdep"/>
        </w:rPr>
        <w:footnoteRef/>
      </w:r>
      <w:r w:rsidRPr="00274A4B">
        <w:tab/>
      </w:r>
      <w:r w:rsidRPr="00274A4B">
        <w:rPr>
          <w:lang w:val="fr-FR"/>
        </w:rPr>
        <w:t>Des renseignements concernant les déclarations sont disponibles à l’adresse</w:t>
      </w:r>
      <w:r w:rsidRPr="00274A4B">
        <w:t xml:space="preserve"> </w:t>
      </w:r>
      <w:hyperlink r:id="rId8" w:history="1">
        <w:r w:rsidRPr="009555E8">
          <w:rPr>
            <w:rStyle w:val="Lienhypertexte"/>
            <w:szCs w:val="18"/>
          </w:rPr>
          <w:t>https://treaties</w:t>
        </w:r>
        <w:r w:rsidRPr="006A19EC">
          <w:rPr>
            <w:rStyle w:val="Lienhypertexte"/>
            <w:szCs w:val="18"/>
          </w:rPr>
          <w:t>.</w:t>
        </w:r>
        <w:r w:rsidRPr="009555E8">
          <w:rPr>
            <w:rStyle w:val="Lienhypertexte"/>
            <w:szCs w:val="18"/>
          </w:rPr>
          <w:t>un</w:t>
        </w:r>
        <w:r w:rsidRPr="006A19EC">
          <w:rPr>
            <w:rStyle w:val="Lienhypertexte"/>
            <w:szCs w:val="18"/>
          </w:rPr>
          <w:t>.</w:t>
        </w:r>
        <w:r w:rsidRPr="009555E8">
          <w:rPr>
            <w:rStyle w:val="Lienhypertexte"/>
            <w:szCs w:val="18"/>
          </w:rPr>
          <w:t>org/</w:t>
        </w:r>
      </w:hyperlink>
      <w:r w:rsidRPr="006A19EC">
        <w:rPr>
          <w:szCs w:val="18"/>
        </w:rPr>
        <w:t>.</w:t>
      </w:r>
    </w:p>
  </w:footnote>
  <w:footnote w:id="11">
    <w:p w14:paraId="50368ECC" w14:textId="2449AF87" w:rsidR="00833B7C" w:rsidRPr="00274A4B" w:rsidRDefault="00833B7C" w:rsidP="001E77AC">
      <w:pPr>
        <w:pStyle w:val="Notedebasdepage"/>
      </w:pPr>
      <w:r>
        <w:tab/>
      </w:r>
      <w:r w:rsidRPr="001E77AC">
        <w:rPr>
          <w:rStyle w:val="Appelnotedebasdep"/>
        </w:rPr>
        <w:footnoteRef/>
      </w:r>
      <w:r w:rsidRPr="00274A4B">
        <w:tab/>
        <w:t>Le Danemark a ratifié la Convention le 9 décembre 1971 et a présenté la déclaration prévue à l’article 14 le 11 octobre 1985</w:t>
      </w:r>
      <w:r w:rsidRPr="006A19EC">
        <w:t>.</w:t>
      </w:r>
      <w:r>
        <w:t xml:space="preserve"> </w:t>
      </w:r>
    </w:p>
  </w:footnote>
  <w:footnote w:id="12">
    <w:p w14:paraId="58111667" w14:textId="5B28FF79" w:rsidR="00833B7C" w:rsidRPr="00274A4B" w:rsidRDefault="00833B7C" w:rsidP="001E77AC">
      <w:pPr>
        <w:pStyle w:val="Notedebasdepage"/>
      </w:pPr>
      <w:r>
        <w:tab/>
      </w:r>
      <w:r w:rsidRPr="001E77AC">
        <w:rPr>
          <w:rStyle w:val="Appelnotedebasdep"/>
        </w:rPr>
        <w:footnoteRef/>
      </w:r>
      <w:r w:rsidRPr="00274A4B">
        <w:tab/>
        <w:t xml:space="preserve">Voir </w:t>
      </w:r>
      <w:r w:rsidRPr="00274A4B">
        <w:rPr>
          <w:i/>
          <w:lang w:val="fr-FR"/>
        </w:rPr>
        <w:t>Documents officiels de l’Assemblée générale, soixant</w:t>
      </w:r>
      <w:r>
        <w:rPr>
          <w:i/>
          <w:lang w:val="fr-FR"/>
        </w:rPr>
        <w:t>ièm</w:t>
      </w:r>
      <w:r w:rsidRPr="00274A4B">
        <w:rPr>
          <w:i/>
          <w:lang w:val="fr-FR"/>
        </w:rPr>
        <w:t xml:space="preserve">e session, Supplément </w:t>
      </w:r>
      <w:r w:rsidRPr="00274A4B">
        <w:rPr>
          <w:rFonts w:eastAsia="MS Mincho"/>
          <w:i/>
          <w:lang w:val="fr-FR"/>
        </w:rPr>
        <w:t>n</w:t>
      </w:r>
      <w:r w:rsidRPr="00274A4B">
        <w:rPr>
          <w:rFonts w:eastAsia="MS Mincho"/>
          <w:i/>
          <w:vertAlign w:val="superscript"/>
          <w:lang w:val="fr-FR"/>
        </w:rPr>
        <w:t>o</w:t>
      </w:r>
      <w:r w:rsidRPr="00274A4B">
        <w:rPr>
          <w:i/>
          <w:lang w:val="fr-FR"/>
        </w:rPr>
        <w:t> 18</w:t>
      </w:r>
      <w:r w:rsidRPr="00274A4B">
        <w:rPr>
          <w:i/>
        </w:rPr>
        <w:t xml:space="preserve"> </w:t>
      </w:r>
      <w:r w:rsidRPr="00274A4B">
        <w:t>(</w:t>
      </w:r>
      <w:hyperlink r:id="rId9" w:history="1">
        <w:r w:rsidRPr="001E32CA">
          <w:rPr>
            <w:rStyle w:val="Lienhypertexte"/>
            <w:szCs w:val="18"/>
          </w:rPr>
          <w:t>A/60/18</w:t>
        </w:r>
      </w:hyperlink>
      <w:r w:rsidRPr="00274A4B">
        <w:t>), annexe IV, sect</w:t>
      </w:r>
      <w:r w:rsidRPr="006A19EC">
        <w:t>.</w:t>
      </w:r>
      <w:r w:rsidRPr="00274A4B">
        <w:t> II</w:t>
      </w:r>
      <w:r w:rsidRPr="006A19EC">
        <w:t>.</w:t>
      </w:r>
    </w:p>
  </w:footnote>
  <w:footnote w:id="13">
    <w:p w14:paraId="229555A5" w14:textId="29BCABC8" w:rsidR="00833B7C" w:rsidRPr="00780F41" w:rsidRDefault="00833B7C" w:rsidP="001E77AC">
      <w:pPr>
        <w:pStyle w:val="Notedebasdepage"/>
        <w:rPr>
          <w:lang w:val="fr-FR"/>
        </w:rPr>
      </w:pPr>
      <w:r>
        <w:rPr>
          <w:lang w:val="fr-FR"/>
        </w:rPr>
        <w:tab/>
      </w:r>
      <w:r w:rsidRPr="001E77AC">
        <w:rPr>
          <w:rStyle w:val="Appelnotedebasdep"/>
        </w:rPr>
        <w:footnoteRef/>
      </w:r>
      <w:r>
        <w:rPr>
          <w:lang w:val="fr-FR"/>
        </w:rPr>
        <w:tab/>
      </w:r>
      <w:r w:rsidRPr="003D1FFC">
        <w:rPr>
          <w:i/>
          <w:lang w:val="fr-FR"/>
        </w:rPr>
        <w:t>Documents officiels de l’Assemblée générale, soixante-treizième session, Supplément n</w:t>
      </w:r>
      <w:r w:rsidRPr="003D1FFC">
        <w:rPr>
          <w:i/>
          <w:vertAlign w:val="superscript"/>
          <w:lang w:val="fr-FR"/>
        </w:rPr>
        <w:t>o</w:t>
      </w:r>
      <w:r w:rsidRPr="003D1FFC">
        <w:rPr>
          <w:i/>
          <w:lang w:val="fr-FR"/>
        </w:rPr>
        <w:t> 18</w:t>
      </w:r>
      <w:r>
        <w:rPr>
          <w:lang w:val="fr-FR"/>
        </w:rPr>
        <w:t xml:space="preserve"> (</w:t>
      </w:r>
      <w:hyperlink r:id="rId10" w:history="1">
        <w:r w:rsidRPr="006C6BEF">
          <w:rPr>
            <w:rStyle w:val="Lienhypertexte"/>
            <w:lang w:val="fr-FR"/>
          </w:rPr>
          <w:t>A/73/18</w:t>
        </w:r>
      </w:hyperlink>
      <w:r>
        <w:rPr>
          <w:lang w:val="fr-FR"/>
        </w:rPr>
        <w:t>)</w:t>
      </w:r>
      <w:r w:rsidRPr="006A19E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E5A9" w14:textId="77777777" w:rsidR="00833B7C" w:rsidRDefault="00833B7C" w:rsidP="00E37E2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6BA5" w14:textId="0C54620C" w:rsidR="00833B7C" w:rsidRPr="001A7E87" w:rsidRDefault="00833B7C" w:rsidP="001A7E87">
    <w:pPr>
      <w:pStyle w:val="En-tte"/>
      <w:jc w:val="right"/>
    </w:pPr>
    <w:fldSimple w:instr=" TITLE  \* MERGEFORMAT ">
      <w:r w:rsidR="00C263D3">
        <w:t>A/74/18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82F4" w14:textId="77777777" w:rsidR="00833B7C" w:rsidRDefault="00833B7C" w:rsidP="000458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BC53" w14:textId="5F8AD720" w:rsidR="00833B7C" w:rsidRPr="00045883" w:rsidRDefault="00833B7C" w:rsidP="00045883">
    <w:pPr>
      <w:pStyle w:val="En-tte"/>
    </w:pPr>
    <w:fldSimple w:instr=" TITLE  \* MERGEFORMAT ">
      <w:r w:rsidR="00C263D3">
        <w:t>A/74/18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6AB5" w14:textId="7DBA9BC7" w:rsidR="00833B7C" w:rsidRDefault="00833B7C" w:rsidP="00045883">
    <w:pPr>
      <w:pStyle w:val="En-tte"/>
      <w:jc w:val="right"/>
    </w:pPr>
    <w:fldSimple w:instr=" TITLE  \* MERGEFORMAT ">
      <w:r w:rsidR="00C263D3">
        <w:t>A/74/18</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9B18" w14:textId="745CE76F" w:rsidR="00833B7C" w:rsidRDefault="00833B7C" w:rsidP="00045883">
    <w:pPr>
      <w:pStyle w:val="En-tte"/>
      <w:jc w:val="right"/>
    </w:pPr>
    <w:fldSimple w:instr=" TITLE  \* MERGEFORMAT ">
      <w:r w:rsidR="00C263D3">
        <w:t>A/74/18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3A75" w14:textId="26FA4AF7" w:rsidR="00833B7C" w:rsidRDefault="00833B7C" w:rsidP="00045883">
    <w:pPr>
      <w:pStyle w:val="En-tte"/>
      <w:jc w:val="right"/>
    </w:pPr>
    <w:fldSimple w:instr=" TITLE  \* MERGEFORMAT ">
      <w:r w:rsidR="00C263D3">
        <w:t>A/74/18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F0F7" w14:textId="77777777" w:rsidR="00833B7C" w:rsidRPr="00D830B2" w:rsidRDefault="00833B7C" w:rsidP="00D830B2">
    <w:r>
      <w:rPr>
        <w:noProof/>
      </w:rPr>
      <mc:AlternateContent>
        <mc:Choice Requires="wps">
          <w:drawing>
            <wp:anchor distT="0" distB="0" distL="114300" distR="114300" simplePos="0" relativeHeight="251660288" behindDoc="0" locked="0" layoutInCell="1" allowOverlap="1" wp14:anchorId="4F210D7A" wp14:editId="420EE5B9">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B2A4B3" w14:textId="2D8FE7CE" w:rsidR="00833B7C" w:rsidRPr="00045883" w:rsidRDefault="00833B7C" w:rsidP="00D830B2">
                          <w:pPr>
                            <w:pStyle w:val="En-tte"/>
                          </w:pPr>
                          <w:fldSimple w:instr=" TITLE  \* MERGEFORMAT ">
                            <w:r w:rsidR="00C263D3">
                              <w:t>A/74/18</w:t>
                            </w:r>
                          </w:fldSimple>
                        </w:p>
                        <w:p w14:paraId="6F6556D1" w14:textId="77777777" w:rsidR="00833B7C" w:rsidRDefault="00833B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210D7A"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5BB2A4B3" w14:textId="2D8FE7CE" w:rsidR="00833B7C" w:rsidRPr="00045883" w:rsidRDefault="00833B7C" w:rsidP="00D830B2">
                    <w:pPr>
                      <w:pStyle w:val="En-tte"/>
                    </w:pPr>
                    <w:fldSimple w:instr=" TITLE  \* MERGEFORMAT ">
                      <w:r w:rsidR="00C263D3">
                        <w:t>A/74/18</w:t>
                      </w:r>
                    </w:fldSimple>
                  </w:p>
                  <w:p w14:paraId="6F6556D1" w14:textId="77777777" w:rsidR="00833B7C" w:rsidRDefault="00833B7C"/>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DAD9" w14:textId="77777777" w:rsidR="00833B7C" w:rsidRPr="00D830B2" w:rsidRDefault="00833B7C" w:rsidP="00D830B2">
    <w:r>
      <w:rPr>
        <w:noProof/>
      </w:rPr>
      <mc:AlternateContent>
        <mc:Choice Requires="wps">
          <w:drawing>
            <wp:anchor distT="0" distB="0" distL="114300" distR="114300" simplePos="0" relativeHeight="251662336" behindDoc="0" locked="0" layoutInCell="1" allowOverlap="1" wp14:anchorId="508FD355" wp14:editId="38AB37A6">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EFCAE10" w14:textId="528FA4A6" w:rsidR="00833B7C" w:rsidRDefault="00833B7C" w:rsidP="00D830B2">
                          <w:pPr>
                            <w:pStyle w:val="En-tte"/>
                            <w:jc w:val="right"/>
                          </w:pPr>
                          <w:fldSimple w:instr=" TITLE  \* MERGEFORMAT ">
                            <w:r w:rsidR="00C263D3">
                              <w:t>A/74/18</w:t>
                            </w:r>
                          </w:fldSimple>
                        </w:p>
                        <w:p w14:paraId="2EAE5655" w14:textId="77777777" w:rsidR="00833B7C" w:rsidRDefault="00833B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8FD355"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pAvw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QaD5xZQfWClLGAiCG6zvCFRN9L5vwd&#10;s9hoeInDw9/iUivA2sJOoqQB+/1P90G/pGGlZIuNW1L3bc2soER91tgZaNIPgh2E1SDodXsFyIEs&#10;RhNF/GC9GsTaQvuIM2UevOAT0xwjKSl668Ur348PnElczOdRCXvZML/U94YPnRFq/NA9Mmt2jA3t&#10;dANDS7PiHXF73cAcDfO1h1pGVoe69lXEyocDzoGIwW5mhUHz9hy1Xifr7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G6xGkC/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2EFCAE10" w14:textId="528FA4A6" w:rsidR="00833B7C" w:rsidRDefault="00833B7C" w:rsidP="00D830B2">
                    <w:pPr>
                      <w:pStyle w:val="En-tte"/>
                      <w:jc w:val="right"/>
                    </w:pPr>
                    <w:fldSimple w:instr=" TITLE  \* MERGEFORMAT ">
                      <w:r w:rsidR="00C263D3">
                        <w:t>A/74/18</w:t>
                      </w:r>
                    </w:fldSimple>
                  </w:p>
                  <w:p w14:paraId="2EAE5655" w14:textId="77777777" w:rsidR="00833B7C" w:rsidRDefault="00833B7C"/>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2AC0" w14:textId="79235904" w:rsidR="00833B7C" w:rsidRPr="001A7E87" w:rsidRDefault="00833B7C" w:rsidP="001A7E87">
    <w:pPr>
      <w:pStyle w:val="En-tte"/>
    </w:pPr>
    <w:fldSimple w:instr=" TITLE  \* MERGEFORMAT ">
      <w:r w:rsidR="00C263D3">
        <w:t>A/74/18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64"/>
    <w:rsid w:val="000067A6"/>
    <w:rsid w:val="0001470D"/>
    <w:rsid w:val="00016165"/>
    <w:rsid w:val="00016AC5"/>
    <w:rsid w:val="00021907"/>
    <w:rsid w:val="0002210C"/>
    <w:rsid w:val="000233A5"/>
    <w:rsid w:val="0002445D"/>
    <w:rsid w:val="00024C50"/>
    <w:rsid w:val="00025E92"/>
    <w:rsid w:val="000276A3"/>
    <w:rsid w:val="00031C3D"/>
    <w:rsid w:val="00032060"/>
    <w:rsid w:val="00032629"/>
    <w:rsid w:val="00040539"/>
    <w:rsid w:val="00040598"/>
    <w:rsid w:val="00044560"/>
    <w:rsid w:val="00045883"/>
    <w:rsid w:val="00047F10"/>
    <w:rsid w:val="00052157"/>
    <w:rsid w:val="0005346D"/>
    <w:rsid w:val="00055FE4"/>
    <w:rsid w:val="000641CE"/>
    <w:rsid w:val="00067310"/>
    <w:rsid w:val="00077E35"/>
    <w:rsid w:val="00086245"/>
    <w:rsid w:val="0008669E"/>
    <w:rsid w:val="00090599"/>
    <w:rsid w:val="00096270"/>
    <w:rsid w:val="000A1501"/>
    <w:rsid w:val="000A2494"/>
    <w:rsid w:val="000A6B7E"/>
    <w:rsid w:val="000C6CDB"/>
    <w:rsid w:val="000D5C25"/>
    <w:rsid w:val="000E4F06"/>
    <w:rsid w:val="000E5601"/>
    <w:rsid w:val="000F41F2"/>
    <w:rsid w:val="0010373B"/>
    <w:rsid w:val="00124804"/>
    <w:rsid w:val="00125446"/>
    <w:rsid w:val="00126DCC"/>
    <w:rsid w:val="001358D9"/>
    <w:rsid w:val="00141E26"/>
    <w:rsid w:val="00143EB9"/>
    <w:rsid w:val="00145051"/>
    <w:rsid w:val="001477DD"/>
    <w:rsid w:val="0015389C"/>
    <w:rsid w:val="00160540"/>
    <w:rsid w:val="00166C68"/>
    <w:rsid w:val="00173145"/>
    <w:rsid w:val="00174814"/>
    <w:rsid w:val="00181A90"/>
    <w:rsid w:val="00190D5D"/>
    <w:rsid w:val="00192660"/>
    <w:rsid w:val="00192EEB"/>
    <w:rsid w:val="00194484"/>
    <w:rsid w:val="0019559B"/>
    <w:rsid w:val="001A2040"/>
    <w:rsid w:val="001A20FB"/>
    <w:rsid w:val="001A376F"/>
    <w:rsid w:val="001A7E87"/>
    <w:rsid w:val="001B09BB"/>
    <w:rsid w:val="001B5E4B"/>
    <w:rsid w:val="001C3D8D"/>
    <w:rsid w:val="001C6497"/>
    <w:rsid w:val="001C7648"/>
    <w:rsid w:val="001D12EC"/>
    <w:rsid w:val="001D7F8A"/>
    <w:rsid w:val="001E0447"/>
    <w:rsid w:val="001E1495"/>
    <w:rsid w:val="001E32CA"/>
    <w:rsid w:val="001E34CB"/>
    <w:rsid w:val="001E3FEB"/>
    <w:rsid w:val="001E4541"/>
    <w:rsid w:val="001E4A02"/>
    <w:rsid w:val="001E4E3F"/>
    <w:rsid w:val="001E5979"/>
    <w:rsid w:val="001E653B"/>
    <w:rsid w:val="001E6DF0"/>
    <w:rsid w:val="001E77AC"/>
    <w:rsid w:val="001F3E68"/>
    <w:rsid w:val="001F4931"/>
    <w:rsid w:val="001F6DE4"/>
    <w:rsid w:val="001F6EA4"/>
    <w:rsid w:val="00200CBA"/>
    <w:rsid w:val="00204B66"/>
    <w:rsid w:val="002059CE"/>
    <w:rsid w:val="00206AD4"/>
    <w:rsid w:val="00224B8B"/>
    <w:rsid w:val="00225A8C"/>
    <w:rsid w:val="00231A7F"/>
    <w:rsid w:val="00234390"/>
    <w:rsid w:val="00236481"/>
    <w:rsid w:val="00242BBD"/>
    <w:rsid w:val="0024586F"/>
    <w:rsid w:val="00246BC8"/>
    <w:rsid w:val="00251F95"/>
    <w:rsid w:val="00252317"/>
    <w:rsid w:val="002659F1"/>
    <w:rsid w:val="00270821"/>
    <w:rsid w:val="00271E41"/>
    <w:rsid w:val="00284C19"/>
    <w:rsid w:val="00286E23"/>
    <w:rsid w:val="002876A1"/>
    <w:rsid w:val="00287CA6"/>
    <w:rsid w:val="00287E79"/>
    <w:rsid w:val="00290049"/>
    <w:rsid w:val="002928F9"/>
    <w:rsid w:val="00294D5B"/>
    <w:rsid w:val="002A2A2C"/>
    <w:rsid w:val="002A5D07"/>
    <w:rsid w:val="002D25CA"/>
    <w:rsid w:val="002D3DA4"/>
    <w:rsid w:val="002D64CF"/>
    <w:rsid w:val="002E2F5C"/>
    <w:rsid w:val="002F0C48"/>
    <w:rsid w:val="002F3A04"/>
    <w:rsid w:val="003016B7"/>
    <w:rsid w:val="00305BCD"/>
    <w:rsid w:val="0030754C"/>
    <w:rsid w:val="00317E54"/>
    <w:rsid w:val="00322DF1"/>
    <w:rsid w:val="00324EBF"/>
    <w:rsid w:val="0032556C"/>
    <w:rsid w:val="00330508"/>
    <w:rsid w:val="0033286A"/>
    <w:rsid w:val="00333130"/>
    <w:rsid w:val="0034168A"/>
    <w:rsid w:val="00346E32"/>
    <w:rsid w:val="003509FC"/>
    <w:rsid w:val="003515AA"/>
    <w:rsid w:val="00355D9A"/>
    <w:rsid w:val="00364F13"/>
    <w:rsid w:val="0036776C"/>
    <w:rsid w:val="00372A7A"/>
    <w:rsid w:val="00372D1D"/>
    <w:rsid w:val="00374106"/>
    <w:rsid w:val="0037679A"/>
    <w:rsid w:val="0038047C"/>
    <w:rsid w:val="00385116"/>
    <w:rsid w:val="00390B56"/>
    <w:rsid w:val="00390EEF"/>
    <w:rsid w:val="00392E94"/>
    <w:rsid w:val="00394410"/>
    <w:rsid w:val="003976D5"/>
    <w:rsid w:val="003B53B6"/>
    <w:rsid w:val="003D1FFC"/>
    <w:rsid w:val="003D3C77"/>
    <w:rsid w:val="003D6C68"/>
    <w:rsid w:val="003E01D0"/>
    <w:rsid w:val="003E21E9"/>
    <w:rsid w:val="003E49B9"/>
    <w:rsid w:val="003E5F12"/>
    <w:rsid w:val="003E786C"/>
    <w:rsid w:val="003F2A89"/>
    <w:rsid w:val="003F4433"/>
    <w:rsid w:val="003F4A54"/>
    <w:rsid w:val="0040144C"/>
    <w:rsid w:val="004067AE"/>
    <w:rsid w:val="00410521"/>
    <w:rsid w:val="00413BB0"/>
    <w:rsid w:val="00414B29"/>
    <w:rsid w:val="004159D0"/>
    <w:rsid w:val="00417326"/>
    <w:rsid w:val="00417A4C"/>
    <w:rsid w:val="00422499"/>
    <w:rsid w:val="004342E2"/>
    <w:rsid w:val="00434354"/>
    <w:rsid w:val="00436764"/>
    <w:rsid w:val="00440BC8"/>
    <w:rsid w:val="00454F8D"/>
    <w:rsid w:val="004567EB"/>
    <w:rsid w:val="00460E72"/>
    <w:rsid w:val="00467412"/>
    <w:rsid w:val="00476265"/>
    <w:rsid w:val="00481132"/>
    <w:rsid w:val="00483E94"/>
    <w:rsid w:val="00490F56"/>
    <w:rsid w:val="00491F39"/>
    <w:rsid w:val="004A49A5"/>
    <w:rsid w:val="004A66A2"/>
    <w:rsid w:val="004B287D"/>
    <w:rsid w:val="004B51CD"/>
    <w:rsid w:val="004C54C0"/>
    <w:rsid w:val="004C56B2"/>
    <w:rsid w:val="004D00B2"/>
    <w:rsid w:val="004E4963"/>
    <w:rsid w:val="004E6809"/>
    <w:rsid w:val="004E7F24"/>
    <w:rsid w:val="004F163B"/>
    <w:rsid w:val="004F49A4"/>
    <w:rsid w:val="005111B1"/>
    <w:rsid w:val="0051457E"/>
    <w:rsid w:val="0051552D"/>
    <w:rsid w:val="00516D6F"/>
    <w:rsid w:val="0051714B"/>
    <w:rsid w:val="00520F80"/>
    <w:rsid w:val="005239FF"/>
    <w:rsid w:val="00523DB8"/>
    <w:rsid w:val="00533150"/>
    <w:rsid w:val="00541BE4"/>
    <w:rsid w:val="00543B57"/>
    <w:rsid w:val="00543C47"/>
    <w:rsid w:val="00543D5E"/>
    <w:rsid w:val="00550C89"/>
    <w:rsid w:val="00552260"/>
    <w:rsid w:val="00552777"/>
    <w:rsid w:val="00555494"/>
    <w:rsid w:val="00555CBA"/>
    <w:rsid w:val="005629D6"/>
    <w:rsid w:val="00565B29"/>
    <w:rsid w:val="00567F8A"/>
    <w:rsid w:val="00571BC1"/>
    <w:rsid w:val="00571F41"/>
    <w:rsid w:val="00575476"/>
    <w:rsid w:val="00580407"/>
    <w:rsid w:val="00584373"/>
    <w:rsid w:val="00591DB3"/>
    <w:rsid w:val="005939ED"/>
    <w:rsid w:val="005947BC"/>
    <w:rsid w:val="00595E8A"/>
    <w:rsid w:val="005A0268"/>
    <w:rsid w:val="005A6014"/>
    <w:rsid w:val="005B473C"/>
    <w:rsid w:val="005C3008"/>
    <w:rsid w:val="005C3DD6"/>
    <w:rsid w:val="005C549A"/>
    <w:rsid w:val="005D7719"/>
    <w:rsid w:val="005E1B9B"/>
    <w:rsid w:val="005E32D1"/>
    <w:rsid w:val="005E5D1F"/>
    <w:rsid w:val="005E65F6"/>
    <w:rsid w:val="0061113B"/>
    <w:rsid w:val="00611D43"/>
    <w:rsid w:val="00612D48"/>
    <w:rsid w:val="00613A5E"/>
    <w:rsid w:val="00614FBD"/>
    <w:rsid w:val="00616B45"/>
    <w:rsid w:val="006241C6"/>
    <w:rsid w:val="00627593"/>
    <w:rsid w:val="00630D9B"/>
    <w:rsid w:val="00631953"/>
    <w:rsid w:val="0063208D"/>
    <w:rsid w:val="00643814"/>
    <w:rsid w:val="006439EC"/>
    <w:rsid w:val="00645090"/>
    <w:rsid w:val="006467D1"/>
    <w:rsid w:val="00647059"/>
    <w:rsid w:val="00647162"/>
    <w:rsid w:val="0065029A"/>
    <w:rsid w:val="00650770"/>
    <w:rsid w:val="00660D73"/>
    <w:rsid w:val="00661667"/>
    <w:rsid w:val="00661E96"/>
    <w:rsid w:val="00665786"/>
    <w:rsid w:val="00671C93"/>
    <w:rsid w:val="00671F00"/>
    <w:rsid w:val="006729C8"/>
    <w:rsid w:val="00675501"/>
    <w:rsid w:val="0068562A"/>
    <w:rsid w:val="006911E2"/>
    <w:rsid w:val="006957F9"/>
    <w:rsid w:val="006A19EC"/>
    <w:rsid w:val="006A6B31"/>
    <w:rsid w:val="006A6C95"/>
    <w:rsid w:val="006A7B29"/>
    <w:rsid w:val="006B0EB2"/>
    <w:rsid w:val="006B0FF8"/>
    <w:rsid w:val="006B4590"/>
    <w:rsid w:val="006C340C"/>
    <w:rsid w:val="006C6BEF"/>
    <w:rsid w:val="006D46D5"/>
    <w:rsid w:val="006E492F"/>
    <w:rsid w:val="006F1D0B"/>
    <w:rsid w:val="006F27A8"/>
    <w:rsid w:val="006F3493"/>
    <w:rsid w:val="006F3544"/>
    <w:rsid w:val="006F5A52"/>
    <w:rsid w:val="00702F0F"/>
    <w:rsid w:val="0070347C"/>
    <w:rsid w:val="007102D2"/>
    <w:rsid w:val="00714647"/>
    <w:rsid w:val="00714A66"/>
    <w:rsid w:val="007176C1"/>
    <w:rsid w:val="00720BC0"/>
    <w:rsid w:val="0072116B"/>
    <w:rsid w:val="00725063"/>
    <w:rsid w:val="00732E72"/>
    <w:rsid w:val="00741D90"/>
    <w:rsid w:val="007607B1"/>
    <w:rsid w:val="00765296"/>
    <w:rsid w:val="00766D28"/>
    <w:rsid w:val="00772386"/>
    <w:rsid w:val="007723C2"/>
    <w:rsid w:val="00772BBF"/>
    <w:rsid w:val="007815B9"/>
    <w:rsid w:val="00785F1F"/>
    <w:rsid w:val="00790B9D"/>
    <w:rsid w:val="00796316"/>
    <w:rsid w:val="007A1C58"/>
    <w:rsid w:val="007A20D2"/>
    <w:rsid w:val="007A79CD"/>
    <w:rsid w:val="007B5401"/>
    <w:rsid w:val="007C3D01"/>
    <w:rsid w:val="007D2668"/>
    <w:rsid w:val="007D3119"/>
    <w:rsid w:val="007E6816"/>
    <w:rsid w:val="007F1867"/>
    <w:rsid w:val="007F1EC4"/>
    <w:rsid w:val="007F55CB"/>
    <w:rsid w:val="007F6597"/>
    <w:rsid w:val="007F768E"/>
    <w:rsid w:val="008021D4"/>
    <w:rsid w:val="008149F9"/>
    <w:rsid w:val="00822093"/>
    <w:rsid w:val="008245B7"/>
    <w:rsid w:val="0082755E"/>
    <w:rsid w:val="00831A18"/>
    <w:rsid w:val="00833B7C"/>
    <w:rsid w:val="00837345"/>
    <w:rsid w:val="00844750"/>
    <w:rsid w:val="00851A74"/>
    <w:rsid w:val="0085367E"/>
    <w:rsid w:val="00853AB8"/>
    <w:rsid w:val="00854C34"/>
    <w:rsid w:val="0085586A"/>
    <w:rsid w:val="00867200"/>
    <w:rsid w:val="008779A2"/>
    <w:rsid w:val="00892E54"/>
    <w:rsid w:val="0089497C"/>
    <w:rsid w:val="00895DE5"/>
    <w:rsid w:val="008A0FA8"/>
    <w:rsid w:val="008A1EC0"/>
    <w:rsid w:val="008B44C4"/>
    <w:rsid w:val="008B6DFA"/>
    <w:rsid w:val="008C322B"/>
    <w:rsid w:val="008C4B74"/>
    <w:rsid w:val="008D1156"/>
    <w:rsid w:val="008D59DB"/>
    <w:rsid w:val="008E0319"/>
    <w:rsid w:val="008E03F4"/>
    <w:rsid w:val="008E4DE2"/>
    <w:rsid w:val="008E7CE2"/>
    <w:rsid w:val="008E7FAE"/>
    <w:rsid w:val="00911BF7"/>
    <w:rsid w:val="0091594A"/>
    <w:rsid w:val="009230F1"/>
    <w:rsid w:val="00935490"/>
    <w:rsid w:val="009418DE"/>
    <w:rsid w:val="009516B7"/>
    <w:rsid w:val="00951979"/>
    <w:rsid w:val="009555E8"/>
    <w:rsid w:val="0095776B"/>
    <w:rsid w:val="00957CE5"/>
    <w:rsid w:val="009624E2"/>
    <w:rsid w:val="00972775"/>
    <w:rsid w:val="00977EC8"/>
    <w:rsid w:val="00983432"/>
    <w:rsid w:val="009A3048"/>
    <w:rsid w:val="009A6C26"/>
    <w:rsid w:val="009A7C4A"/>
    <w:rsid w:val="009B17AD"/>
    <w:rsid w:val="009B3F8C"/>
    <w:rsid w:val="009B45E0"/>
    <w:rsid w:val="009B540F"/>
    <w:rsid w:val="009C17E1"/>
    <w:rsid w:val="009D3A8C"/>
    <w:rsid w:val="009E1BA9"/>
    <w:rsid w:val="009E2876"/>
    <w:rsid w:val="009E2F0B"/>
    <w:rsid w:val="009E7956"/>
    <w:rsid w:val="009F072F"/>
    <w:rsid w:val="009F26C1"/>
    <w:rsid w:val="009F3F95"/>
    <w:rsid w:val="00A023FC"/>
    <w:rsid w:val="00A0338D"/>
    <w:rsid w:val="00A05DD1"/>
    <w:rsid w:val="00A077E9"/>
    <w:rsid w:val="00A14D25"/>
    <w:rsid w:val="00A2492E"/>
    <w:rsid w:val="00A31163"/>
    <w:rsid w:val="00A34593"/>
    <w:rsid w:val="00A364DB"/>
    <w:rsid w:val="00A45E90"/>
    <w:rsid w:val="00A4770F"/>
    <w:rsid w:val="00A50D6B"/>
    <w:rsid w:val="00A51050"/>
    <w:rsid w:val="00A56945"/>
    <w:rsid w:val="00A57027"/>
    <w:rsid w:val="00A5750C"/>
    <w:rsid w:val="00A71181"/>
    <w:rsid w:val="00A72C35"/>
    <w:rsid w:val="00A73F44"/>
    <w:rsid w:val="00A752BB"/>
    <w:rsid w:val="00A81F93"/>
    <w:rsid w:val="00A86ECF"/>
    <w:rsid w:val="00A9247E"/>
    <w:rsid w:val="00AA7796"/>
    <w:rsid w:val="00AB19E7"/>
    <w:rsid w:val="00AC67A1"/>
    <w:rsid w:val="00AC7977"/>
    <w:rsid w:val="00AC7E56"/>
    <w:rsid w:val="00AE2617"/>
    <w:rsid w:val="00AE352C"/>
    <w:rsid w:val="00AE79AC"/>
    <w:rsid w:val="00B0144E"/>
    <w:rsid w:val="00B01AAD"/>
    <w:rsid w:val="00B101DB"/>
    <w:rsid w:val="00B10DD9"/>
    <w:rsid w:val="00B21751"/>
    <w:rsid w:val="00B256F0"/>
    <w:rsid w:val="00B31D7D"/>
    <w:rsid w:val="00B32E2D"/>
    <w:rsid w:val="00B35D4C"/>
    <w:rsid w:val="00B40353"/>
    <w:rsid w:val="00B43741"/>
    <w:rsid w:val="00B45642"/>
    <w:rsid w:val="00B52F29"/>
    <w:rsid w:val="00B5388D"/>
    <w:rsid w:val="00B5722C"/>
    <w:rsid w:val="00B61990"/>
    <w:rsid w:val="00B6249B"/>
    <w:rsid w:val="00B70CCD"/>
    <w:rsid w:val="00B7180A"/>
    <w:rsid w:val="00B75E66"/>
    <w:rsid w:val="00B773BF"/>
    <w:rsid w:val="00B93C7D"/>
    <w:rsid w:val="00BC3F20"/>
    <w:rsid w:val="00BD03A2"/>
    <w:rsid w:val="00BD28B2"/>
    <w:rsid w:val="00BD5A8D"/>
    <w:rsid w:val="00BD7343"/>
    <w:rsid w:val="00BE7987"/>
    <w:rsid w:val="00BF0556"/>
    <w:rsid w:val="00BF37EE"/>
    <w:rsid w:val="00C024A1"/>
    <w:rsid w:val="00C02C42"/>
    <w:rsid w:val="00C10FB1"/>
    <w:rsid w:val="00C11282"/>
    <w:rsid w:val="00C12CA3"/>
    <w:rsid w:val="00C14108"/>
    <w:rsid w:val="00C261F8"/>
    <w:rsid w:val="00C263D3"/>
    <w:rsid w:val="00C27662"/>
    <w:rsid w:val="00C33100"/>
    <w:rsid w:val="00C451B9"/>
    <w:rsid w:val="00C467A6"/>
    <w:rsid w:val="00C51D9C"/>
    <w:rsid w:val="00C54DA4"/>
    <w:rsid w:val="00C55118"/>
    <w:rsid w:val="00C577D1"/>
    <w:rsid w:val="00C57A2D"/>
    <w:rsid w:val="00C6018C"/>
    <w:rsid w:val="00C67D23"/>
    <w:rsid w:val="00C71827"/>
    <w:rsid w:val="00C76518"/>
    <w:rsid w:val="00C80048"/>
    <w:rsid w:val="00C825E5"/>
    <w:rsid w:val="00C95EB8"/>
    <w:rsid w:val="00CB02C5"/>
    <w:rsid w:val="00CB39CD"/>
    <w:rsid w:val="00CC7CE6"/>
    <w:rsid w:val="00CD044C"/>
    <w:rsid w:val="00CD1A71"/>
    <w:rsid w:val="00CD1FBB"/>
    <w:rsid w:val="00CD7CB4"/>
    <w:rsid w:val="00CE033D"/>
    <w:rsid w:val="00CE08E5"/>
    <w:rsid w:val="00CF4346"/>
    <w:rsid w:val="00D016B5"/>
    <w:rsid w:val="00D034F1"/>
    <w:rsid w:val="00D0430C"/>
    <w:rsid w:val="00D14F42"/>
    <w:rsid w:val="00D171D4"/>
    <w:rsid w:val="00D26F76"/>
    <w:rsid w:val="00D27D5E"/>
    <w:rsid w:val="00D32B08"/>
    <w:rsid w:val="00D407D1"/>
    <w:rsid w:val="00D43E5F"/>
    <w:rsid w:val="00D51CE6"/>
    <w:rsid w:val="00D52A42"/>
    <w:rsid w:val="00D639BD"/>
    <w:rsid w:val="00D65777"/>
    <w:rsid w:val="00D66E0D"/>
    <w:rsid w:val="00D7425A"/>
    <w:rsid w:val="00D74F7E"/>
    <w:rsid w:val="00D7695F"/>
    <w:rsid w:val="00D830B2"/>
    <w:rsid w:val="00D83B6C"/>
    <w:rsid w:val="00D86CFE"/>
    <w:rsid w:val="00D9039B"/>
    <w:rsid w:val="00D93582"/>
    <w:rsid w:val="00DA41A2"/>
    <w:rsid w:val="00DA43A1"/>
    <w:rsid w:val="00DA5E1D"/>
    <w:rsid w:val="00DC4F43"/>
    <w:rsid w:val="00DE4E2C"/>
    <w:rsid w:val="00DE6D90"/>
    <w:rsid w:val="00DF002F"/>
    <w:rsid w:val="00DF128E"/>
    <w:rsid w:val="00DF4D0D"/>
    <w:rsid w:val="00E0244D"/>
    <w:rsid w:val="00E026DF"/>
    <w:rsid w:val="00E02F48"/>
    <w:rsid w:val="00E03712"/>
    <w:rsid w:val="00E06B3F"/>
    <w:rsid w:val="00E074E2"/>
    <w:rsid w:val="00E10A73"/>
    <w:rsid w:val="00E14F27"/>
    <w:rsid w:val="00E171D2"/>
    <w:rsid w:val="00E25534"/>
    <w:rsid w:val="00E26EF3"/>
    <w:rsid w:val="00E319B6"/>
    <w:rsid w:val="00E32145"/>
    <w:rsid w:val="00E32F5A"/>
    <w:rsid w:val="00E37E21"/>
    <w:rsid w:val="00E42347"/>
    <w:rsid w:val="00E449B6"/>
    <w:rsid w:val="00E510F3"/>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A3B1D"/>
    <w:rsid w:val="00EA5FA9"/>
    <w:rsid w:val="00EB77B9"/>
    <w:rsid w:val="00EB7D07"/>
    <w:rsid w:val="00ED3A26"/>
    <w:rsid w:val="00EF33E0"/>
    <w:rsid w:val="00EF70BB"/>
    <w:rsid w:val="00EF7D1D"/>
    <w:rsid w:val="00F02FA9"/>
    <w:rsid w:val="00F06660"/>
    <w:rsid w:val="00F115C8"/>
    <w:rsid w:val="00F116EB"/>
    <w:rsid w:val="00F1794E"/>
    <w:rsid w:val="00F17DC0"/>
    <w:rsid w:val="00F211AF"/>
    <w:rsid w:val="00F25EC3"/>
    <w:rsid w:val="00F32ADB"/>
    <w:rsid w:val="00F32C98"/>
    <w:rsid w:val="00F37E12"/>
    <w:rsid w:val="00F424BD"/>
    <w:rsid w:val="00F515AD"/>
    <w:rsid w:val="00F57DD7"/>
    <w:rsid w:val="00F636AD"/>
    <w:rsid w:val="00F734D9"/>
    <w:rsid w:val="00F73F83"/>
    <w:rsid w:val="00F74902"/>
    <w:rsid w:val="00F85A4E"/>
    <w:rsid w:val="00F9353A"/>
    <w:rsid w:val="00F94EBB"/>
    <w:rsid w:val="00F965C2"/>
    <w:rsid w:val="00FA1D61"/>
    <w:rsid w:val="00FA27D4"/>
    <w:rsid w:val="00FA4FD9"/>
    <w:rsid w:val="00FA5A79"/>
    <w:rsid w:val="00FB0BFE"/>
    <w:rsid w:val="00FB1C8F"/>
    <w:rsid w:val="00FB2487"/>
    <w:rsid w:val="00FB4300"/>
    <w:rsid w:val="00FB4C51"/>
    <w:rsid w:val="00FB57E7"/>
    <w:rsid w:val="00FB734D"/>
    <w:rsid w:val="00FC21B2"/>
    <w:rsid w:val="00FD02A2"/>
    <w:rsid w:val="00FD5E64"/>
    <w:rsid w:val="00FD7985"/>
    <w:rsid w:val="00FE6526"/>
    <w:rsid w:val="00FF1DBD"/>
    <w:rsid w:val="00FF1E4B"/>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10064F7"/>
  <w15:docId w15:val="{58C310FD-4408-49C5-90B2-CA5D9CFF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semiHidden="1" w:uiPriority="99" w:qFormat="1"/>
    <w:lsdException w:name="Emphasis" w:semiHidden="1"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722C"/>
    <w:pPr>
      <w:suppressAutoHyphens/>
      <w:kinsoku w:val="0"/>
      <w:overflowPunct w:val="0"/>
      <w:autoSpaceDE w:val="0"/>
      <w:autoSpaceDN w:val="0"/>
      <w:adjustRightInd w:val="0"/>
      <w:snapToGrid w:val="0"/>
      <w:spacing w:line="240" w:lineRule="atLeast"/>
    </w:pPr>
    <w:rPr>
      <w:rFonts w:eastAsiaTheme="minorHAnsi"/>
      <w:lang w:val="fr-CH" w:eastAsia="en-US"/>
    </w:rPr>
  </w:style>
  <w:style w:type="paragraph" w:styleId="Titre1">
    <w:name w:val="heading 1"/>
    <w:aliases w:val="Table_G"/>
    <w:basedOn w:val="SingleTxtG"/>
    <w:next w:val="SingleTxtG"/>
    <w:link w:val="Titre1Car"/>
    <w:qFormat/>
    <w:rsid w:val="00B5722C"/>
    <w:pPr>
      <w:keepNext/>
      <w:keepLines/>
      <w:spacing w:after="0" w:line="240" w:lineRule="auto"/>
      <w:ind w:right="0"/>
      <w:jc w:val="left"/>
      <w:outlineLvl w:val="0"/>
    </w:pPr>
  </w:style>
  <w:style w:type="paragraph" w:styleId="Titre2">
    <w:name w:val="heading 2"/>
    <w:basedOn w:val="Normal"/>
    <w:next w:val="Normal"/>
    <w:link w:val="Titre2Car"/>
    <w:semiHidden/>
    <w:qFormat/>
    <w:rsid w:val="00B5722C"/>
    <w:pPr>
      <w:outlineLvl w:val="1"/>
    </w:pPr>
  </w:style>
  <w:style w:type="paragraph" w:styleId="Titre3">
    <w:name w:val="heading 3"/>
    <w:basedOn w:val="Normal"/>
    <w:next w:val="Normal"/>
    <w:link w:val="Titre3Car"/>
    <w:semiHidden/>
    <w:qFormat/>
    <w:rsid w:val="00B5722C"/>
    <w:pPr>
      <w:outlineLvl w:val="2"/>
    </w:pPr>
  </w:style>
  <w:style w:type="paragraph" w:styleId="Titre4">
    <w:name w:val="heading 4"/>
    <w:basedOn w:val="Normal"/>
    <w:next w:val="Normal"/>
    <w:link w:val="Titre4Car"/>
    <w:semiHidden/>
    <w:qFormat/>
    <w:rsid w:val="00B5722C"/>
    <w:pPr>
      <w:outlineLvl w:val="3"/>
    </w:pPr>
  </w:style>
  <w:style w:type="paragraph" w:styleId="Titre5">
    <w:name w:val="heading 5"/>
    <w:basedOn w:val="Normal"/>
    <w:next w:val="Normal"/>
    <w:link w:val="Titre5Car"/>
    <w:semiHidden/>
    <w:qFormat/>
    <w:rsid w:val="00B5722C"/>
    <w:pPr>
      <w:outlineLvl w:val="4"/>
    </w:pPr>
  </w:style>
  <w:style w:type="paragraph" w:styleId="Titre6">
    <w:name w:val="heading 6"/>
    <w:basedOn w:val="Normal"/>
    <w:next w:val="Normal"/>
    <w:link w:val="Titre6Car"/>
    <w:semiHidden/>
    <w:qFormat/>
    <w:rsid w:val="00B5722C"/>
    <w:pPr>
      <w:outlineLvl w:val="5"/>
    </w:pPr>
  </w:style>
  <w:style w:type="paragraph" w:styleId="Titre7">
    <w:name w:val="heading 7"/>
    <w:basedOn w:val="Normal"/>
    <w:next w:val="Normal"/>
    <w:link w:val="Titre7Car"/>
    <w:semiHidden/>
    <w:qFormat/>
    <w:rsid w:val="00B5722C"/>
    <w:pPr>
      <w:outlineLvl w:val="6"/>
    </w:pPr>
  </w:style>
  <w:style w:type="paragraph" w:styleId="Titre8">
    <w:name w:val="heading 8"/>
    <w:basedOn w:val="Normal"/>
    <w:next w:val="Normal"/>
    <w:link w:val="Titre8Car"/>
    <w:semiHidden/>
    <w:qFormat/>
    <w:rsid w:val="00B5722C"/>
    <w:pPr>
      <w:outlineLvl w:val="7"/>
    </w:pPr>
  </w:style>
  <w:style w:type="paragraph" w:styleId="Titre9">
    <w:name w:val="heading 9"/>
    <w:basedOn w:val="Normal"/>
    <w:next w:val="Normal"/>
    <w:link w:val="Titre9Car"/>
    <w:semiHidden/>
    <w:qFormat/>
    <w:rsid w:val="00B5722C"/>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B5722C"/>
    <w:pPr>
      <w:spacing w:after="120"/>
      <w:ind w:left="1134" w:right="1134"/>
      <w:jc w:val="both"/>
    </w:pPr>
  </w:style>
  <w:style w:type="paragraph" w:styleId="Notedefin">
    <w:name w:val="endnote text"/>
    <w:aliases w:val="2_G"/>
    <w:basedOn w:val="Notedebasdepage"/>
    <w:link w:val="NotedefinCar"/>
    <w:qFormat/>
    <w:rsid w:val="00B5722C"/>
  </w:style>
  <w:style w:type="paragraph" w:styleId="Notedebasdepage">
    <w:name w:val="footnote text"/>
    <w:aliases w:val="5_G"/>
    <w:basedOn w:val="Normal"/>
    <w:link w:val="NotedebasdepageCar"/>
    <w:qFormat/>
    <w:rsid w:val="00B5722C"/>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B5722C"/>
    <w:pPr>
      <w:spacing w:line="240" w:lineRule="auto"/>
    </w:pPr>
    <w:rPr>
      <w:sz w:val="16"/>
    </w:rPr>
  </w:style>
  <w:style w:type="character" w:styleId="Appeldenotedefin">
    <w:name w:val="endnote reference"/>
    <w:aliases w:val="1_G"/>
    <w:basedOn w:val="Appelnotedebasdep"/>
    <w:qFormat/>
    <w:rsid w:val="00B5722C"/>
    <w:rPr>
      <w:rFonts w:ascii="Times New Roman" w:hAnsi="Times New Roman"/>
      <w:sz w:val="18"/>
      <w:vertAlign w:val="superscript"/>
      <w:lang w:val="fr-CH"/>
    </w:rPr>
  </w:style>
  <w:style w:type="character" w:styleId="Appelnotedebasdep">
    <w:name w:val="footnote reference"/>
    <w:aliases w:val="4_G"/>
    <w:basedOn w:val="Policepardfaut"/>
    <w:qFormat/>
    <w:rsid w:val="00B5722C"/>
    <w:rPr>
      <w:rFonts w:ascii="Times New Roman" w:hAnsi="Times New Roman"/>
      <w:sz w:val="18"/>
      <w:vertAlign w:val="superscript"/>
      <w:lang w:val="fr-CH"/>
    </w:rPr>
  </w:style>
  <w:style w:type="character" w:styleId="Numrodepage">
    <w:name w:val="page number"/>
    <w:aliases w:val="7_G"/>
    <w:basedOn w:val="Policepardfaut"/>
    <w:qFormat/>
    <w:rsid w:val="00B5722C"/>
    <w:rPr>
      <w:rFonts w:ascii="Times New Roman" w:hAnsi="Times New Roman"/>
      <w:b/>
      <w:sz w:val="18"/>
      <w:lang w:val="fr-CH"/>
    </w:rPr>
  </w:style>
  <w:style w:type="paragraph" w:styleId="En-tte">
    <w:name w:val="header"/>
    <w:aliases w:val="6_G"/>
    <w:basedOn w:val="Normal"/>
    <w:next w:val="Normal"/>
    <w:link w:val="En-tteCar"/>
    <w:qFormat/>
    <w:rsid w:val="00B5722C"/>
    <w:pPr>
      <w:pBdr>
        <w:bottom w:val="single" w:sz="4" w:space="4" w:color="auto"/>
      </w:pBdr>
      <w:spacing w:line="240" w:lineRule="auto"/>
    </w:pPr>
    <w:rPr>
      <w:b/>
      <w:sz w:val="18"/>
    </w:rPr>
  </w:style>
  <w:style w:type="paragraph" w:customStyle="1" w:styleId="H1G">
    <w:name w:val="_ H_1_G"/>
    <w:basedOn w:val="Normal"/>
    <w:next w:val="Normal"/>
    <w:qFormat/>
    <w:rsid w:val="00B5722C"/>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B5722C"/>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B5722C"/>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B572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572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5722C"/>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B5722C"/>
    <w:pPr>
      <w:keepNext/>
      <w:keepLines/>
      <w:spacing w:before="240" w:after="240" w:line="420" w:lineRule="exact"/>
      <w:ind w:left="1134" w:right="1134"/>
    </w:pPr>
    <w:rPr>
      <w:b/>
      <w:sz w:val="40"/>
    </w:rPr>
  </w:style>
  <w:style w:type="paragraph" w:customStyle="1" w:styleId="SLG">
    <w:name w:val="__S_L_G"/>
    <w:basedOn w:val="Normal"/>
    <w:next w:val="Normal"/>
    <w:rsid w:val="00B5722C"/>
    <w:pPr>
      <w:keepNext/>
      <w:keepLines/>
      <w:spacing w:before="240" w:after="240" w:line="580" w:lineRule="exact"/>
      <w:ind w:left="1134" w:right="1134"/>
    </w:pPr>
    <w:rPr>
      <w:b/>
      <w:sz w:val="56"/>
    </w:rPr>
  </w:style>
  <w:style w:type="paragraph" w:customStyle="1" w:styleId="SSG">
    <w:name w:val="__S_S_G"/>
    <w:basedOn w:val="Normal"/>
    <w:next w:val="Normal"/>
    <w:rsid w:val="00B5722C"/>
    <w:pPr>
      <w:keepNext/>
      <w:keepLines/>
      <w:spacing w:before="240" w:after="240" w:line="300" w:lineRule="exact"/>
      <w:ind w:left="1134" w:right="1134"/>
    </w:pPr>
    <w:rPr>
      <w:b/>
      <w:sz w:val="28"/>
    </w:rPr>
  </w:style>
  <w:style w:type="paragraph" w:customStyle="1" w:styleId="XLargeG">
    <w:name w:val="__XLarge_G"/>
    <w:basedOn w:val="Normal"/>
    <w:next w:val="Normal"/>
    <w:rsid w:val="00B5722C"/>
    <w:pPr>
      <w:keepNext/>
      <w:keepLines/>
      <w:spacing w:before="240" w:after="240" w:line="420" w:lineRule="exact"/>
      <w:ind w:left="1134" w:right="1134"/>
    </w:pPr>
    <w:rPr>
      <w:b/>
      <w:sz w:val="40"/>
    </w:rPr>
  </w:style>
  <w:style w:type="paragraph" w:customStyle="1" w:styleId="Bullet1G">
    <w:name w:val="_Bullet 1_G"/>
    <w:basedOn w:val="Normal"/>
    <w:qFormat/>
    <w:rsid w:val="00B5722C"/>
    <w:pPr>
      <w:numPr>
        <w:numId w:val="4"/>
      </w:numPr>
      <w:spacing w:after="120"/>
      <w:ind w:right="1134"/>
      <w:jc w:val="both"/>
    </w:pPr>
  </w:style>
  <w:style w:type="paragraph" w:customStyle="1" w:styleId="Bullet2G">
    <w:name w:val="_Bullet 2_G"/>
    <w:basedOn w:val="Normal"/>
    <w:qFormat/>
    <w:rsid w:val="00B5722C"/>
    <w:pPr>
      <w:numPr>
        <w:numId w:val="5"/>
      </w:numPr>
      <w:spacing w:after="120"/>
      <w:ind w:right="1134"/>
      <w:jc w:val="both"/>
    </w:pPr>
  </w:style>
  <w:style w:type="table" w:styleId="Grilledutableau">
    <w:name w:val="Table Grid"/>
    <w:basedOn w:val="TableauNormal"/>
    <w:rsid w:val="00B5722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Policepardfaut"/>
    <w:link w:val="SingleTxtG"/>
    <w:rsid w:val="00541BE4"/>
    <w:rPr>
      <w:rFonts w:eastAsiaTheme="minorHAnsi"/>
      <w:lang w:val="fr-CH" w:eastAsia="en-US"/>
    </w:rPr>
  </w:style>
  <w:style w:type="character" w:styleId="Lienhypertexte">
    <w:name w:val="Hyperlink"/>
    <w:basedOn w:val="Policepardfaut"/>
    <w:uiPriority w:val="99"/>
    <w:rsid w:val="00B5722C"/>
    <w:rPr>
      <w:color w:val="0000FF"/>
      <w:u w:val="none"/>
    </w:rPr>
  </w:style>
  <w:style w:type="character" w:styleId="Lienhypertextesuivivisit">
    <w:name w:val="FollowedHyperlink"/>
    <w:basedOn w:val="Policepardfaut"/>
    <w:semiHidden/>
    <w:rsid w:val="00B5722C"/>
    <w:rPr>
      <w:color w:val="0000FF"/>
      <w:u w:val="none"/>
    </w:rPr>
  </w:style>
  <w:style w:type="paragraph" w:customStyle="1" w:styleId="ParNoG">
    <w:name w:val="_ParNo_G"/>
    <w:basedOn w:val="Normal"/>
    <w:qFormat/>
    <w:rsid w:val="00B5722C"/>
    <w:pPr>
      <w:numPr>
        <w:numId w:val="6"/>
      </w:numPr>
      <w:tabs>
        <w:tab w:val="clear" w:pos="1701"/>
      </w:tabs>
      <w:spacing w:after="120"/>
      <w:ind w:right="1134"/>
      <w:jc w:val="both"/>
    </w:pPr>
  </w:style>
  <w:style w:type="paragraph" w:styleId="Textedebulles">
    <w:name w:val="Balloon Text"/>
    <w:basedOn w:val="Normal"/>
    <w:link w:val="TextedebullesCar"/>
    <w:uiPriority w:val="99"/>
    <w:semiHidden/>
    <w:rsid w:val="00550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7A6"/>
    <w:rPr>
      <w:rFonts w:ascii="Tahoma" w:hAnsi="Tahoma" w:cs="Tahoma"/>
      <w:sz w:val="16"/>
      <w:szCs w:val="16"/>
      <w:lang w:val="fr-CH" w:eastAsia="en-US"/>
    </w:rPr>
  </w:style>
  <w:style w:type="character" w:customStyle="1" w:styleId="En-tteCar">
    <w:name w:val="En-tête Car"/>
    <w:aliases w:val="6_G Car"/>
    <w:basedOn w:val="Policepardfaut"/>
    <w:link w:val="En-tte"/>
    <w:rsid w:val="00B5722C"/>
    <w:rPr>
      <w:rFonts w:eastAsiaTheme="minorHAnsi"/>
      <w:b/>
      <w:sz w:val="18"/>
      <w:lang w:val="fr-CH" w:eastAsia="en-US"/>
    </w:rPr>
  </w:style>
  <w:style w:type="character" w:customStyle="1" w:styleId="NotedebasdepageCar">
    <w:name w:val="Note de bas de page Car"/>
    <w:aliases w:val="5_G Car"/>
    <w:basedOn w:val="Policepardfaut"/>
    <w:link w:val="Notedebasdepage"/>
    <w:rsid w:val="00B5722C"/>
    <w:rPr>
      <w:rFonts w:eastAsiaTheme="minorHAnsi"/>
      <w:sz w:val="18"/>
      <w:lang w:val="fr-CH" w:eastAsia="en-US"/>
    </w:rPr>
  </w:style>
  <w:style w:type="character" w:customStyle="1" w:styleId="NotedefinCar">
    <w:name w:val="Note de fin Car"/>
    <w:aliases w:val="2_G Car"/>
    <w:basedOn w:val="Policepardfaut"/>
    <w:link w:val="Notedefin"/>
    <w:rsid w:val="00B5722C"/>
    <w:rPr>
      <w:rFonts w:eastAsiaTheme="minorHAnsi"/>
      <w:sz w:val="18"/>
      <w:lang w:val="fr-CH" w:eastAsia="en-US"/>
    </w:rPr>
  </w:style>
  <w:style w:type="character" w:customStyle="1" w:styleId="PieddepageCar">
    <w:name w:val="Pied de page Car"/>
    <w:aliases w:val="3_G Car"/>
    <w:basedOn w:val="Policepardfaut"/>
    <w:link w:val="Pieddepage"/>
    <w:rsid w:val="00B5722C"/>
    <w:rPr>
      <w:rFonts w:eastAsiaTheme="minorHAnsi"/>
      <w:sz w:val="16"/>
      <w:lang w:val="fr-CH" w:eastAsia="en-US"/>
    </w:rPr>
  </w:style>
  <w:style w:type="character" w:customStyle="1" w:styleId="Titre1Car">
    <w:name w:val="Titre 1 Car"/>
    <w:aliases w:val="Table_G Car"/>
    <w:basedOn w:val="Policepardfaut"/>
    <w:link w:val="Titre1"/>
    <w:rsid w:val="00B5722C"/>
    <w:rPr>
      <w:rFonts w:eastAsiaTheme="minorHAnsi"/>
      <w:lang w:val="fr-CH" w:eastAsia="en-US"/>
    </w:rPr>
  </w:style>
  <w:style w:type="character" w:customStyle="1" w:styleId="Titre2Car">
    <w:name w:val="Titre 2 Car"/>
    <w:basedOn w:val="Policepardfaut"/>
    <w:link w:val="Titre2"/>
    <w:semiHidden/>
    <w:rsid w:val="00B5722C"/>
    <w:rPr>
      <w:rFonts w:eastAsiaTheme="minorHAnsi"/>
      <w:lang w:val="fr-CH" w:eastAsia="en-US"/>
    </w:rPr>
  </w:style>
  <w:style w:type="character" w:customStyle="1" w:styleId="Titre3Car">
    <w:name w:val="Titre 3 Car"/>
    <w:basedOn w:val="Policepardfaut"/>
    <w:link w:val="Titre3"/>
    <w:semiHidden/>
    <w:rsid w:val="00B5722C"/>
    <w:rPr>
      <w:rFonts w:eastAsiaTheme="minorHAnsi"/>
      <w:lang w:val="fr-CH" w:eastAsia="en-US"/>
    </w:rPr>
  </w:style>
  <w:style w:type="character" w:customStyle="1" w:styleId="Titre4Car">
    <w:name w:val="Titre 4 Car"/>
    <w:basedOn w:val="Policepardfaut"/>
    <w:link w:val="Titre4"/>
    <w:semiHidden/>
    <w:rsid w:val="00B5722C"/>
    <w:rPr>
      <w:rFonts w:eastAsiaTheme="minorHAnsi"/>
      <w:lang w:val="fr-CH" w:eastAsia="en-US"/>
    </w:rPr>
  </w:style>
  <w:style w:type="character" w:customStyle="1" w:styleId="Titre5Car">
    <w:name w:val="Titre 5 Car"/>
    <w:basedOn w:val="Policepardfaut"/>
    <w:link w:val="Titre5"/>
    <w:semiHidden/>
    <w:rsid w:val="00B5722C"/>
    <w:rPr>
      <w:rFonts w:eastAsiaTheme="minorHAnsi"/>
      <w:lang w:val="fr-CH" w:eastAsia="en-US"/>
    </w:rPr>
  </w:style>
  <w:style w:type="character" w:customStyle="1" w:styleId="Titre6Car">
    <w:name w:val="Titre 6 Car"/>
    <w:basedOn w:val="Policepardfaut"/>
    <w:link w:val="Titre6"/>
    <w:semiHidden/>
    <w:rsid w:val="00B5722C"/>
    <w:rPr>
      <w:rFonts w:eastAsiaTheme="minorHAnsi"/>
      <w:lang w:val="fr-CH" w:eastAsia="en-US"/>
    </w:rPr>
  </w:style>
  <w:style w:type="character" w:customStyle="1" w:styleId="Titre7Car">
    <w:name w:val="Titre 7 Car"/>
    <w:basedOn w:val="Policepardfaut"/>
    <w:link w:val="Titre7"/>
    <w:semiHidden/>
    <w:rsid w:val="00B5722C"/>
    <w:rPr>
      <w:rFonts w:eastAsiaTheme="minorHAnsi"/>
      <w:lang w:val="fr-CH" w:eastAsia="en-US"/>
    </w:rPr>
  </w:style>
  <w:style w:type="character" w:customStyle="1" w:styleId="Titre8Car">
    <w:name w:val="Titre 8 Car"/>
    <w:basedOn w:val="Policepardfaut"/>
    <w:link w:val="Titre8"/>
    <w:semiHidden/>
    <w:rsid w:val="00B5722C"/>
    <w:rPr>
      <w:rFonts w:eastAsiaTheme="minorHAnsi"/>
      <w:lang w:val="fr-CH" w:eastAsia="en-US"/>
    </w:rPr>
  </w:style>
  <w:style w:type="character" w:customStyle="1" w:styleId="Titre9Car">
    <w:name w:val="Titre 9 Car"/>
    <w:basedOn w:val="Policepardfaut"/>
    <w:link w:val="Titre9"/>
    <w:semiHidden/>
    <w:rsid w:val="00B5722C"/>
    <w:rPr>
      <w:rFonts w:eastAsiaTheme="minorHAnsi"/>
      <w:lang w:val="fr-CH" w:eastAsia="en-US"/>
    </w:rPr>
  </w:style>
  <w:style w:type="character" w:styleId="Mentionnonrsolue">
    <w:name w:val="Unresolved Mention"/>
    <w:basedOn w:val="Policepardfaut"/>
    <w:uiPriority w:val="99"/>
    <w:semiHidden/>
    <w:unhideWhenUsed/>
    <w:rsid w:val="00C8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undocs.org/fr/CERD/C/91/1%20" TargetMode="External"/><Relationship Id="rId39" Type="http://schemas.openxmlformats.org/officeDocument/2006/relationships/hyperlink" Target="http://undocs.org/fr/CERD/C/QAT/CO/17-21" TargetMode="External"/><Relationship Id="rId21" Type="http://schemas.openxmlformats.org/officeDocument/2006/relationships/hyperlink" Target="https://undocs.org/fr/A/RES/68/268" TargetMode="External"/><Relationship Id="rId34" Type="http://schemas.openxmlformats.org/officeDocument/2006/relationships/hyperlink" Target="http://undocs.org/fr/CERD/C/MNE/CO/4-6" TargetMode="External"/><Relationship Id="rId42" Type="http://schemas.openxmlformats.org/officeDocument/2006/relationships/hyperlink" Target="http://undocs.org/fr/CERD/C/GTM/CO/16-17" TargetMode="External"/><Relationship Id="rId47" Type="http://schemas.openxmlformats.org/officeDocument/2006/relationships/hyperlink" Target="https://documents.un.org/prod/ods.nsf/home.xsp" TargetMode="External"/><Relationship Id="rId50" Type="http://schemas.openxmlformats.org/officeDocument/2006/relationships/hyperlink" Target="http://undocs.org/fr/CERD/C/BGR/CO/20-22/Add.1" TargetMode="External"/><Relationship Id="rId55" Type="http://schemas.openxmlformats.org/officeDocument/2006/relationships/hyperlink" Target="http://undocs.org/fr/CERD/C/NZL/CO/21-22/Add.1" TargetMode="External"/><Relationship Id="rId63" Type="http://schemas.openxmlformats.org/officeDocument/2006/relationships/footer" Target="footer7.xml"/><Relationship Id="rId68" Type="http://schemas.openxmlformats.org/officeDocument/2006/relationships/hyperlink" Target="https://undocs.org/fr/A/63/18" TargetMode="External"/><Relationship Id="rId76" Type="http://schemas.openxmlformats.org/officeDocument/2006/relationships/hyperlink" Target="https://undocs.org/fr/A/61/18" TargetMode="External"/><Relationship Id="rId84" Type="http://schemas.openxmlformats.org/officeDocument/2006/relationships/footer" Target="footer9.xml"/><Relationship Id="rId89" Type="http://schemas.openxmlformats.org/officeDocument/2006/relationships/hyperlink" Target="https://undocs.org/fr/A/73/18" TargetMode="External"/><Relationship Id="rId7" Type="http://schemas.openxmlformats.org/officeDocument/2006/relationships/image" Target="media/image1.wmf"/><Relationship Id="rId71" Type="http://schemas.openxmlformats.org/officeDocument/2006/relationships/hyperlink" Target="https://undocs.org/fr/A/72/18" TargetMode="External"/><Relationship Id="rId92"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undocs.org/fr/CERD/C/BIH/CO/12-13" TargetMode="External"/><Relationship Id="rId11" Type="http://schemas.openxmlformats.org/officeDocument/2006/relationships/header" Target="header1.xml"/><Relationship Id="rId24" Type="http://schemas.openxmlformats.org/officeDocument/2006/relationships/hyperlink" Target="https://treaties.un.org/Pages/Treaties.aspx?id=4&amp;subid=A&amp;lang=fr" TargetMode="External"/><Relationship Id="rId32" Type="http://schemas.openxmlformats.org/officeDocument/2006/relationships/hyperlink" Target="http://undocs.org/fr/CERD/C/JPN/CO/10-11" TargetMode="External"/><Relationship Id="rId37" Type="http://schemas.openxmlformats.org/officeDocument/2006/relationships/hyperlink" Target="http://undocs.org/fr/CERD/C/IRQ/CO/22-25" TargetMode="External"/><Relationship Id="rId40" Type="http://schemas.openxmlformats.org/officeDocument/2006/relationships/hyperlink" Target="http://undocs.org/fr/CERD/C/KOR/CO/17-19" TargetMode="External"/><Relationship Id="rId45" Type="http://schemas.openxmlformats.org/officeDocument/2006/relationships/hyperlink" Target="http://undocs.org/fr/CERD/C/ZMB/CO/17-19" TargetMode="External"/><Relationship Id="rId53" Type="http://schemas.openxmlformats.org/officeDocument/2006/relationships/hyperlink" Target="http://undocs.org/fr/CERD/C/FIN/CO/23/Add.1" TargetMode="External"/><Relationship Id="rId58" Type="http://schemas.openxmlformats.org/officeDocument/2006/relationships/hyperlink" Target="http://undocs.org/fr/CERD/C/SRB/CO/2-5/Add.1" TargetMode="External"/><Relationship Id="rId66" Type="http://schemas.openxmlformats.org/officeDocument/2006/relationships/hyperlink" Target="https://undocs.org/fr/A/61/18" TargetMode="External"/><Relationship Id="rId74" Type="http://schemas.openxmlformats.org/officeDocument/2006/relationships/hyperlink" Target="http://undocs.org/fr/A/73/18" TargetMode="External"/><Relationship Id="rId79" Type="http://schemas.openxmlformats.org/officeDocument/2006/relationships/hyperlink" Target="https://undocs.org/fr/A/62/18" TargetMode="External"/><Relationship Id="rId87" Type="http://schemas.openxmlformats.org/officeDocument/2006/relationships/hyperlink" Target="https://undocs.org/fr/A/RES/68/268" TargetMode="External"/><Relationship Id="rId5" Type="http://schemas.openxmlformats.org/officeDocument/2006/relationships/footnotes" Target="footnotes.xml"/><Relationship Id="rId61" Type="http://schemas.openxmlformats.org/officeDocument/2006/relationships/hyperlink" Target="http://undocs.org/fr/CERD/C/CUB/19-21" TargetMode="External"/><Relationship Id="rId82" Type="http://schemas.openxmlformats.org/officeDocument/2006/relationships/header" Target="header8.xml"/><Relationship Id="rId90" Type="http://schemas.openxmlformats.org/officeDocument/2006/relationships/header" Target="header9.xml"/><Relationship Id="rId95"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hyperlink" Target="https://documents-dds-ny.un.org/doc/RESOLUTION/GEN/NR0/219/94/img/NR021994.pdf?OpenElement" TargetMode="External"/><Relationship Id="rId27" Type="http://schemas.openxmlformats.org/officeDocument/2006/relationships/hyperlink" Target="https://undocs.org/fr/CERD/C/95/1" TargetMode="External"/><Relationship Id="rId30" Type="http://schemas.openxmlformats.org/officeDocument/2006/relationships/hyperlink" Target="http://undocs.org/fr/CERD/C/CHN/CO/14-17" TargetMode="External"/><Relationship Id="rId35" Type="http://schemas.openxmlformats.org/officeDocument/2006/relationships/hyperlink" Target="http://undocs.org/fr/CERD/C/ALB/CO/9-12" TargetMode="External"/><Relationship Id="rId43" Type="http://schemas.openxmlformats.org/officeDocument/2006/relationships/hyperlink" Target="http://undocs.org/fr/CERD/C/HUN/CO/18-25" TargetMode="External"/><Relationship Id="rId48" Type="http://schemas.openxmlformats.org/officeDocument/2006/relationships/hyperlink" Target="http://undocs.org/fr/CERD/C/ARM/CO/7-11/Add.1" TargetMode="External"/><Relationship Id="rId56" Type="http://schemas.openxmlformats.org/officeDocument/2006/relationships/hyperlink" Target="http://undocs.org/fr/CERD/C/PAK/CO/21-23/Add.1" TargetMode="External"/><Relationship Id="rId64" Type="http://schemas.openxmlformats.org/officeDocument/2006/relationships/hyperlink" Target="https://undocs.org/fr/A/70/18" TargetMode="External"/><Relationship Id="rId69" Type="http://schemas.openxmlformats.org/officeDocument/2006/relationships/hyperlink" Target="https://undocs.org/fr/A/66/18" TargetMode="External"/><Relationship Id="rId77" Type="http://schemas.openxmlformats.org/officeDocument/2006/relationships/hyperlink" Target="https://undocs.org/fr/A/62/18" TargetMode="External"/><Relationship Id="rId8" Type="http://schemas.openxmlformats.org/officeDocument/2006/relationships/footer" Target="footer1.xml"/><Relationship Id="rId51" Type="http://schemas.openxmlformats.org/officeDocument/2006/relationships/hyperlink" Target="http://undocs.org/fr/CERD/C/CYP/CO/23-24/Add.1" TargetMode="External"/><Relationship Id="rId72" Type="http://schemas.openxmlformats.org/officeDocument/2006/relationships/hyperlink" Target="https://undocs.org/fr/A/62/18" TargetMode="External"/><Relationship Id="rId80" Type="http://schemas.openxmlformats.org/officeDocument/2006/relationships/hyperlink" Target="https://undocs.org/fr/A/71/18" TargetMode="External"/><Relationship Id="rId85" Type="http://schemas.openxmlformats.org/officeDocument/2006/relationships/hyperlink" Target="https://undocs.org/fr/A/RES/68/268" TargetMode="External"/><Relationship Id="rId93"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undocs.org/fr/CERD/C/90/1" TargetMode="External"/><Relationship Id="rId33" Type="http://schemas.openxmlformats.org/officeDocument/2006/relationships/hyperlink" Target="http://undocs.org/fr/CERD/C/LVA/CO/6-12" TargetMode="External"/><Relationship Id="rId38" Type="http://schemas.openxmlformats.org/officeDocument/2006/relationships/hyperlink" Target="http://undocs.org/fr/CERD/C/NOR/CO/23-24" TargetMode="External"/><Relationship Id="rId46" Type="http://schemas.openxmlformats.org/officeDocument/2006/relationships/hyperlink" Target="https://www.ohchr.org/FR/Pages/Home.aspx" TargetMode="External"/><Relationship Id="rId59" Type="http://schemas.openxmlformats.org/officeDocument/2006/relationships/hyperlink" Target="http://undocs.org/fr/CERD/C/TJK/CO/9-11/Add.1" TargetMode="External"/><Relationship Id="rId67" Type="http://schemas.openxmlformats.org/officeDocument/2006/relationships/hyperlink" Target="https://undocs.org/fr/A/62/18" TargetMode="External"/><Relationship Id="rId20" Type="http://schemas.openxmlformats.org/officeDocument/2006/relationships/footer" Target="footer6.xml"/><Relationship Id="rId41" Type="http://schemas.openxmlformats.org/officeDocument/2006/relationships/hyperlink" Target="http://undocs.org/fr/CERD/C/AND/CO/1-6" TargetMode="External"/><Relationship Id="rId54" Type="http://schemas.openxmlformats.org/officeDocument/2006/relationships/hyperlink" Target="http://undocs.org/fr/CERD/C/KWT/CO/21-24/Add.1" TargetMode="External"/><Relationship Id="rId62" Type="http://schemas.openxmlformats.org/officeDocument/2006/relationships/header" Target="header6.xml"/><Relationship Id="rId70" Type="http://schemas.openxmlformats.org/officeDocument/2006/relationships/hyperlink" Target="https://undocs.org/fr/A/69/18" TargetMode="External"/><Relationship Id="rId75" Type="http://schemas.openxmlformats.org/officeDocument/2006/relationships/hyperlink" Target="https://undocs.org/fr/A/62/18" TargetMode="External"/><Relationship Id="rId83" Type="http://schemas.openxmlformats.org/officeDocument/2006/relationships/footer" Target="footer8.xml"/><Relationship Id="rId88" Type="http://schemas.openxmlformats.org/officeDocument/2006/relationships/hyperlink" Target="https://undocs.org/fr/A/72/18" TargetMode="External"/><Relationship Id="rId9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undocs.org/fr/A/RES/47/111" TargetMode="External"/><Relationship Id="rId28" Type="http://schemas.openxmlformats.org/officeDocument/2006/relationships/hyperlink" Target="https://undocs.org/fr/CERD/C/CHL/CO/19-21" TargetMode="External"/><Relationship Id="rId36" Type="http://schemas.openxmlformats.org/officeDocument/2006/relationships/hyperlink" Target="http://undocs.org/fr/CERD/C/HND/CO/6-8" TargetMode="External"/><Relationship Id="rId49" Type="http://schemas.openxmlformats.org/officeDocument/2006/relationships/hyperlink" Target="http://undocs.org/fr/CERD/C/AUS/CO/18-20/Add.1" TargetMode="External"/><Relationship Id="rId57" Type="http://schemas.openxmlformats.org/officeDocument/2006/relationships/hyperlink" Target="http://undocs.org/fr/CERD/C/MDA/CO/10-11/Add.1" TargetMode="External"/><Relationship Id="rId10" Type="http://schemas.openxmlformats.org/officeDocument/2006/relationships/image" Target="media/image4.png"/><Relationship Id="rId31" Type="http://schemas.openxmlformats.org/officeDocument/2006/relationships/hyperlink" Target="http://undocs.org/fr/CERD/C/CUB/CO/19-21" TargetMode="External"/><Relationship Id="rId44" Type="http://schemas.openxmlformats.org/officeDocument/2006/relationships/hyperlink" Target="http://undocs.org/fr/CERD/C/LTU/CO/9-10" TargetMode="External"/><Relationship Id="rId52" Type="http://schemas.openxmlformats.org/officeDocument/2006/relationships/hyperlink" Target="http://undocs.org/fr/CERD/C/ECU/CO/23-24/Add.1" TargetMode="External"/><Relationship Id="rId60" Type="http://schemas.openxmlformats.org/officeDocument/2006/relationships/hyperlink" Target="http://undocs.org/fr/CERD/C/URY/CO/21-23/Add.1" TargetMode="External"/><Relationship Id="rId65" Type="http://schemas.openxmlformats.org/officeDocument/2006/relationships/hyperlink" Target="https://undocs.org/fr/A/61/18" TargetMode="External"/><Relationship Id="rId73" Type="http://schemas.openxmlformats.org/officeDocument/2006/relationships/hyperlink" Target="https://undocs.org/fr/A/71/18" TargetMode="External"/><Relationship Id="rId78" Type="http://schemas.openxmlformats.org/officeDocument/2006/relationships/hyperlink" Target="https://undocs.org/fr/A/61/18" TargetMode="External"/><Relationship Id="rId81" Type="http://schemas.openxmlformats.org/officeDocument/2006/relationships/header" Target="header7.xml"/><Relationship Id="rId86" Type="http://schemas.openxmlformats.org/officeDocument/2006/relationships/hyperlink" Target="https://undocs.org/fr/CERD/C/SR.2698"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docs.org/fr/A/74/1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 TargetMode="External"/><Relationship Id="rId3" Type="http://schemas.openxmlformats.org/officeDocument/2006/relationships/hyperlink" Target="https://undocs.org/fr/A/62/18" TargetMode="External"/><Relationship Id="rId7" Type="http://schemas.openxmlformats.org/officeDocument/2006/relationships/hyperlink" Target="https://undocs.org/fr/A/73/18" TargetMode="External"/><Relationship Id="rId2" Type="http://schemas.openxmlformats.org/officeDocument/2006/relationships/hyperlink" Target="https://undocs.org/fr/A/62/18" TargetMode="External"/><Relationship Id="rId1" Type="http://schemas.openxmlformats.org/officeDocument/2006/relationships/hyperlink" Target="https://undocs.org/fr/A/8718" TargetMode="External"/><Relationship Id="rId6" Type="http://schemas.openxmlformats.org/officeDocument/2006/relationships/hyperlink" Target="http://www.ohchr.org/EN/HRBodies/CERD/Pages/InterstateCommunications.aspx" TargetMode="External"/><Relationship Id="rId5" Type="http://schemas.openxmlformats.org/officeDocument/2006/relationships/hyperlink" Target="http://undocs.org/fr/A/61/18" TargetMode="External"/><Relationship Id="rId10" Type="http://schemas.openxmlformats.org/officeDocument/2006/relationships/hyperlink" Target="https://undocs.org/fr/A/73/18" TargetMode="External"/><Relationship Id="rId4" Type="http://schemas.openxmlformats.org/officeDocument/2006/relationships/hyperlink" Target="http://undocs.org/fr/A/60/18(SUPP)" TargetMode="External"/><Relationship Id="rId9" Type="http://schemas.openxmlformats.org/officeDocument/2006/relationships/hyperlink" Target="https://undocs.org/fr/A/6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AG.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Rapport_AG.dotm</Template>
  <TotalTime>2</TotalTime>
  <Pages>37</Pages>
  <Words>12428</Words>
  <Characters>65996</Characters>
  <Application>Microsoft Office Word</Application>
  <DocSecurity>0</DocSecurity>
  <Lines>4714</Lines>
  <Paragraphs>3734</Paragraphs>
  <ScaleCrop>false</ScaleCrop>
  <HeadingPairs>
    <vt:vector size="2" baseType="variant">
      <vt:variant>
        <vt:lpstr>Titre</vt:lpstr>
      </vt:variant>
      <vt:variant>
        <vt:i4>1</vt:i4>
      </vt:variant>
    </vt:vector>
  </HeadingPairs>
  <TitlesOfParts>
    <vt:vector size="1" baseType="lpstr">
      <vt:lpstr>A/74/18</vt:lpstr>
    </vt:vector>
  </TitlesOfParts>
  <Manager>Corinne</Manager>
  <Company>CSD</Company>
  <LinksUpToDate>false</LinksUpToDate>
  <CharactersWithSpaces>74690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A/74/18</dc:title>
  <dc:subject/>
  <dc:creator>Maud DARICHE</dc:creator>
  <cp:keywords/>
  <dc:description/>
  <cp:lastModifiedBy>Maud Dariche</cp:lastModifiedBy>
  <cp:revision>5</cp:revision>
  <cp:lastPrinted>2019-09-18T13:49:00Z</cp:lastPrinted>
  <dcterms:created xsi:type="dcterms:W3CDTF">2019-09-18T13:49:00Z</dcterms:created>
  <dcterms:modified xsi:type="dcterms:W3CDTF">2019-09-18T13:51:00Z</dcterms:modified>
</cp:coreProperties>
</file>