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52B" w:rsidRPr="00A50896" w:rsidRDefault="00133C6F" w:rsidP="00726922">
      <w:pPr>
        <w:spacing w:after="360"/>
        <w:jc w:val="right"/>
        <w:outlineLvl w:val="0"/>
        <w:rPr>
          <w:rStyle w:val="Hyperlink"/>
          <w:b/>
        </w:rPr>
      </w:pPr>
      <w:r>
        <w:rPr>
          <w:b/>
        </w:rPr>
        <w:fldChar w:fldCharType="begin"/>
      </w:r>
      <w:r>
        <w:rPr>
          <w:b/>
        </w:rPr>
        <w:instrText xml:space="preserve"> HYPERLINK "http://undocs.org/en/A/74/18</w:instrText>
      </w:r>
      <w:r>
        <w:rPr>
          <w:b/>
        </w:rPr>
        <w:cr/>
        <w:instrText xml:space="preserve">" </w:instrText>
      </w:r>
      <w:r>
        <w:rPr>
          <w:b/>
        </w:rPr>
        <w:fldChar w:fldCharType="separate"/>
      </w:r>
      <w:r w:rsidR="0041552B" w:rsidRPr="00A50896">
        <w:rPr>
          <w:rStyle w:val="Hyperlink"/>
          <w:b/>
        </w:rPr>
        <w:t>A/</w:t>
      </w:r>
      <w:r w:rsidR="00242971" w:rsidRPr="00A50896">
        <w:rPr>
          <w:rStyle w:val="Hyperlink"/>
          <w:b/>
        </w:rPr>
        <w:t>7</w:t>
      </w:r>
      <w:r w:rsidR="00726922" w:rsidRPr="00A50896">
        <w:rPr>
          <w:rStyle w:val="Hyperlink"/>
          <w:b/>
        </w:rPr>
        <w:t>4</w:t>
      </w:r>
      <w:r w:rsidR="0041552B" w:rsidRPr="00A50896">
        <w:rPr>
          <w:rStyle w:val="Hyperlink"/>
          <w:b/>
        </w:rPr>
        <w:t>/</w:t>
      </w:r>
      <w:r w:rsidR="006A0A47" w:rsidRPr="00A50896">
        <w:rPr>
          <w:rStyle w:val="Hyperlink"/>
          <w:b/>
        </w:rPr>
        <w:t>18</w:t>
      </w:r>
    </w:p>
    <w:p w:rsidR="0041552B" w:rsidRPr="001F5981" w:rsidRDefault="00133C6F" w:rsidP="00A66574">
      <w:pPr>
        <w:ind w:left="1134" w:right="1134"/>
      </w:pPr>
      <w:r>
        <w:rPr>
          <w:b/>
        </w:rPr>
        <w:fldChar w:fldCharType="end"/>
      </w:r>
      <w:r w:rsidR="00902131" w:rsidRPr="001F5981">
        <w:rPr>
          <w:noProof/>
          <w:lang w:val="en-US"/>
        </w:rPr>
        <w:drawing>
          <wp:inline distT="0" distB="0" distL="0" distR="0">
            <wp:extent cx="1191260" cy="101727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260" cy="1017270"/>
                    </a:xfrm>
                    <a:prstGeom prst="rect">
                      <a:avLst/>
                    </a:prstGeom>
                    <a:noFill/>
                    <a:ln>
                      <a:noFill/>
                    </a:ln>
                  </pic:spPr>
                </pic:pic>
              </a:graphicData>
            </a:graphic>
          </wp:inline>
        </w:drawing>
      </w:r>
    </w:p>
    <w:p w:rsidR="0041552B" w:rsidRPr="001F5981" w:rsidRDefault="0041552B" w:rsidP="00A66574">
      <w:pPr>
        <w:pStyle w:val="SMG"/>
        <w:spacing w:before="0" w:after="1080"/>
      </w:pPr>
      <w:r w:rsidRPr="001F5981">
        <w:t>United</w:t>
      </w:r>
      <w:r w:rsidR="00FD5699" w:rsidRPr="001F5981">
        <w:t xml:space="preserve"> </w:t>
      </w:r>
      <w:r w:rsidRPr="001F5981">
        <w:t>Nations</w:t>
      </w:r>
    </w:p>
    <w:p w:rsidR="006F4EC2" w:rsidRPr="001F5981" w:rsidRDefault="006F4EC2" w:rsidP="006F4EC2">
      <w:pPr>
        <w:pStyle w:val="SLG"/>
        <w:spacing w:after="960"/>
      </w:pPr>
      <w:r w:rsidRPr="001F5981">
        <w:t>Report</w:t>
      </w:r>
      <w:r w:rsidR="00FD5699" w:rsidRPr="001F5981">
        <w:t xml:space="preserve"> </w:t>
      </w:r>
      <w:r w:rsidRPr="001F5981">
        <w:t>of</w:t>
      </w:r>
      <w:r w:rsidR="00FD5699" w:rsidRPr="001F5981">
        <w:t xml:space="preserve"> </w:t>
      </w:r>
      <w:r w:rsidRPr="001F5981">
        <w:t>the</w:t>
      </w:r>
      <w:r w:rsidR="00FD5699" w:rsidRPr="001F5981">
        <w:t xml:space="preserve"> </w:t>
      </w:r>
      <w:r w:rsidRPr="001F5981">
        <w:t>Committee</w:t>
      </w:r>
      <w:r w:rsidR="00FD5699" w:rsidRPr="001F5981">
        <w:t xml:space="preserve"> </w:t>
      </w:r>
      <w:r w:rsidRPr="001F5981">
        <w:br/>
        <w:t>on</w:t>
      </w:r>
      <w:r w:rsidR="00FD5699" w:rsidRPr="001F5981">
        <w:t xml:space="preserve"> </w:t>
      </w:r>
      <w:r w:rsidRPr="001F5981">
        <w:t>the</w:t>
      </w:r>
      <w:r w:rsidR="00FD5699" w:rsidRPr="001F5981">
        <w:t xml:space="preserve"> </w:t>
      </w:r>
      <w:r w:rsidRPr="001F5981">
        <w:t>Elimination</w:t>
      </w:r>
      <w:r w:rsidR="00FD5699" w:rsidRPr="001F5981">
        <w:t xml:space="preserve"> </w:t>
      </w:r>
      <w:r w:rsidRPr="001F5981">
        <w:t>of</w:t>
      </w:r>
      <w:r w:rsidR="00FD5699" w:rsidRPr="001F5981">
        <w:t xml:space="preserve"> </w:t>
      </w:r>
      <w:r w:rsidRPr="001F5981">
        <w:br/>
        <w:t>Racial</w:t>
      </w:r>
      <w:r w:rsidR="00FD5699" w:rsidRPr="001F5981">
        <w:t xml:space="preserve"> </w:t>
      </w:r>
      <w:r w:rsidRPr="001F5981">
        <w:t>Discrimination</w:t>
      </w:r>
    </w:p>
    <w:p w:rsidR="00726922" w:rsidRPr="00CB21CA" w:rsidRDefault="00726922" w:rsidP="00726922">
      <w:pPr>
        <w:ind w:left="1134"/>
        <w:rPr>
          <w:b/>
          <w:sz w:val="36"/>
          <w:szCs w:val="36"/>
        </w:rPr>
      </w:pPr>
      <w:r w:rsidRPr="00CB21CA">
        <w:rPr>
          <w:b/>
          <w:sz w:val="36"/>
          <w:szCs w:val="36"/>
        </w:rPr>
        <w:t>Ninety-</w:t>
      </w:r>
      <w:r>
        <w:rPr>
          <w:b/>
          <w:sz w:val="36"/>
          <w:szCs w:val="36"/>
        </w:rPr>
        <w:t xml:space="preserve">sixth </w:t>
      </w:r>
      <w:r w:rsidRPr="00CB21CA">
        <w:rPr>
          <w:b/>
          <w:sz w:val="36"/>
          <w:szCs w:val="36"/>
        </w:rPr>
        <w:t>session</w:t>
      </w:r>
    </w:p>
    <w:p w:rsidR="00726922" w:rsidRPr="00CB21CA" w:rsidRDefault="00726922" w:rsidP="00726922">
      <w:pPr>
        <w:spacing w:after="120"/>
        <w:ind w:left="1134"/>
        <w:rPr>
          <w:b/>
          <w:sz w:val="36"/>
          <w:szCs w:val="36"/>
        </w:rPr>
      </w:pPr>
      <w:r w:rsidRPr="00CB21CA">
        <w:rPr>
          <w:b/>
          <w:sz w:val="36"/>
          <w:szCs w:val="36"/>
        </w:rPr>
        <w:t>(</w:t>
      </w:r>
      <w:r>
        <w:rPr>
          <w:b/>
          <w:sz w:val="36"/>
          <w:szCs w:val="36"/>
        </w:rPr>
        <w:t xml:space="preserve">6–30 </w:t>
      </w:r>
      <w:r w:rsidRPr="00CB21CA">
        <w:rPr>
          <w:b/>
          <w:sz w:val="36"/>
          <w:szCs w:val="36"/>
        </w:rPr>
        <w:t>August 201</w:t>
      </w:r>
      <w:r>
        <w:rPr>
          <w:b/>
          <w:sz w:val="36"/>
          <w:szCs w:val="36"/>
        </w:rPr>
        <w:t>8</w:t>
      </w:r>
      <w:r w:rsidRPr="00CB21CA">
        <w:rPr>
          <w:b/>
          <w:sz w:val="36"/>
          <w:szCs w:val="36"/>
        </w:rPr>
        <w:t>)</w:t>
      </w:r>
    </w:p>
    <w:p w:rsidR="00726922" w:rsidRPr="00CB21CA" w:rsidRDefault="00726922" w:rsidP="00726922">
      <w:pPr>
        <w:ind w:left="1134"/>
        <w:rPr>
          <w:b/>
          <w:sz w:val="36"/>
          <w:szCs w:val="36"/>
        </w:rPr>
      </w:pPr>
      <w:r w:rsidRPr="00CB21CA">
        <w:rPr>
          <w:b/>
          <w:sz w:val="36"/>
          <w:szCs w:val="36"/>
        </w:rPr>
        <w:t>Ninety-</w:t>
      </w:r>
      <w:r>
        <w:rPr>
          <w:b/>
          <w:sz w:val="36"/>
          <w:szCs w:val="36"/>
        </w:rPr>
        <w:t>seven</w:t>
      </w:r>
      <w:r w:rsidRPr="00CB21CA">
        <w:rPr>
          <w:b/>
          <w:sz w:val="36"/>
          <w:szCs w:val="36"/>
        </w:rPr>
        <w:t>th session</w:t>
      </w:r>
    </w:p>
    <w:p w:rsidR="00726922" w:rsidRPr="00CB21CA" w:rsidRDefault="00726922" w:rsidP="00726922">
      <w:pPr>
        <w:spacing w:after="120"/>
        <w:ind w:left="1134"/>
        <w:rPr>
          <w:b/>
          <w:sz w:val="36"/>
          <w:szCs w:val="36"/>
        </w:rPr>
      </w:pPr>
      <w:r w:rsidRPr="00CB21CA">
        <w:rPr>
          <w:b/>
          <w:sz w:val="36"/>
          <w:szCs w:val="36"/>
        </w:rPr>
        <w:t>(2</w:t>
      </w:r>
      <w:r>
        <w:rPr>
          <w:b/>
          <w:sz w:val="36"/>
          <w:szCs w:val="36"/>
        </w:rPr>
        <w:t>6</w:t>
      </w:r>
      <w:r w:rsidRPr="00CB21CA">
        <w:rPr>
          <w:b/>
          <w:sz w:val="36"/>
          <w:szCs w:val="36"/>
        </w:rPr>
        <w:t xml:space="preserve"> November</w:t>
      </w:r>
      <w:r>
        <w:rPr>
          <w:b/>
          <w:sz w:val="36"/>
          <w:szCs w:val="36"/>
        </w:rPr>
        <w:t>–14</w:t>
      </w:r>
      <w:r w:rsidRPr="00CB21CA">
        <w:rPr>
          <w:b/>
          <w:sz w:val="36"/>
          <w:szCs w:val="36"/>
        </w:rPr>
        <w:t xml:space="preserve"> December 201</w:t>
      </w:r>
      <w:r>
        <w:rPr>
          <w:b/>
          <w:sz w:val="36"/>
          <w:szCs w:val="36"/>
        </w:rPr>
        <w:t>8</w:t>
      </w:r>
      <w:r w:rsidRPr="00CB21CA">
        <w:rPr>
          <w:b/>
          <w:sz w:val="36"/>
          <w:szCs w:val="36"/>
        </w:rPr>
        <w:t>)</w:t>
      </w:r>
    </w:p>
    <w:p w:rsidR="00726922" w:rsidRPr="00CB21CA" w:rsidRDefault="00726922" w:rsidP="00726922">
      <w:pPr>
        <w:ind w:left="1134"/>
        <w:rPr>
          <w:b/>
          <w:sz w:val="36"/>
          <w:szCs w:val="36"/>
        </w:rPr>
      </w:pPr>
      <w:r w:rsidRPr="00CB21CA">
        <w:rPr>
          <w:b/>
          <w:sz w:val="36"/>
          <w:szCs w:val="36"/>
        </w:rPr>
        <w:t>Ninety-</w:t>
      </w:r>
      <w:r>
        <w:rPr>
          <w:b/>
          <w:sz w:val="36"/>
          <w:szCs w:val="36"/>
        </w:rPr>
        <w:t xml:space="preserve">eighth </w:t>
      </w:r>
      <w:r w:rsidRPr="00CB21CA">
        <w:rPr>
          <w:b/>
          <w:sz w:val="36"/>
          <w:szCs w:val="36"/>
        </w:rPr>
        <w:t>session</w:t>
      </w:r>
    </w:p>
    <w:p w:rsidR="00726922" w:rsidRPr="00CB21CA" w:rsidRDefault="00726922" w:rsidP="00726922">
      <w:pPr>
        <w:spacing w:after="1440"/>
        <w:ind w:left="1134"/>
        <w:rPr>
          <w:b/>
          <w:sz w:val="36"/>
          <w:szCs w:val="36"/>
        </w:rPr>
      </w:pPr>
      <w:r w:rsidRPr="00CB21CA">
        <w:rPr>
          <w:b/>
          <w:sz w:val="36"/>
          <w:szCs w:val="36"/>
        </w:rPr>
        <w:t>(23 April</w:t>
      </w:r>
      <w:r>
        <w:rPr>
          <w:b/>
          <w:sz w:val="36"/>
          <w:szCs w:val="36"/>
        </w:rPr>
        <w:t>–</w:t>
      </w:r>
      <w:r w:rsidRPr="00CB21CA">
        <w:rPr>
          <w:b/>
          <w:sz w:val="36"/>
          <w:szCs w:val="36"/>
        </w:rPr>
        <w:t>1</w:t>
      </w:r>
      <w:r>
        <w:rPr>
          <w:b/>
          <w:sz w:val="36"/>
          <w:szCs w:val="36"/>
        </w:rPr>
        <w:t>0</w:t>
      </w:r>
      <w:r w:rsidRPr="00CB21CA">
        <w:rPr>
          <w:b/>
          <w:sz w:val="36"/>
          <w:szCs w:val="36"/>
        </w:rPr>
        <w:t xml:space="preserve"> May 201</w:t>
      </w:r>
      <w:r>
        <w:rPr>
          <w:b/>
          <w:sz w:val="36"/>
          <w:szCs w:val="36"/>
        </w:rPr>
        <w:t>9</w:t>
      </w:r>
      <w:r w:rsidRPr="00CB21CA">
        <w:rPr>
          <w:b/>
          <w:sz w:val="36"/>
          <w:szCs w:val="36"/>
        </w:rPr>
        <w:t>)</w:t>
      </w:r>
    </w:p>
    <w:p w:rsidR="006A0A47" w:rsidRPr="001F5981" w:rsidRDefault="006A0A47" w:rsidP="003B6836">
      <w:pPr>
        <w:pStyle w:val="SMG"/>
        <w:spacing w:after="0"/>
      </w:pPr>
      <w:r w:rsidRPr="001F5981">
        <w:t>General</w:t>
      </w:r>
      <w:r w:rsidR="00FD5699" w:rsidRPr="001F5981">
        <w:t xml:space="preserve"> </w:t>
      </w:r>
      <w:r w:rsidRPr="001F5981">
        <w:t>Assembly</w:t>
      </w:r>
    </w:p>
    <w:p w:rsidR="006A0A47" w:rsidRPr="001F5981" w:rsidRDefault="006A0A47" w:rsidP="003B6836">
      <w:pPr>
        <w:ind w:left="1134"/>
        <w:rPr>
          <w:b/>
          <w:sz w:val="28"/>
          <w:szCs w:val="28"/>
        </w:rPr>
      </w:pPr>
      <w:r w:rsidRPr="001F5981">
        <w:rPr>
          <w:b/>
          <w:sz w:val="28"/>
          <w:szCs w:val="28"/>
        </w:rPr>
        <w:t>Official</w:t>
      </w:r>
      <w:r w:rsidR="00FD5699" w:rsidRPr="001F5981">
        <w:rPr>
          <w:b/>
          <w:sz w:val="28"/>
          <w:szCs w:val="28"/>
        </w:rPr>
        <w:t xml:space="preserve"> </w:t>
      </w:r>
      <w:r w:rsidRPr="001F5981">
        <w:rPr>
          <w:b/>
          <w:sz w:val="28"/>
          <w:szCs w:val="28"/>
        </w:rPr>
        <w:t>Records</w:t>
      </w:r>
    </w:p>
    <w:p w:rsidR="006A0A47" w:rsidRPr="001F5981" w:rsidRDefault="006A0A47" w:rsidP="00726922">
      <w:pPr>
        <w:ind w:left="1134"/>
        <w:rPr>
          <w:b/>
          <w:sz w:val="28"/>
          <w:szCs w:val="28"/>
        </w:rPr>
      </w:pPr>
      <w:r w:rsidRPr="001F5981">
        <w:rPr>
          <w:b/>
          <w:sz w:val="28"/>
          <w:szCs w:val="28"/>
        </w:rPr>
        <w:t>Seventy-</w:t>
      </w:r>
      <w:r w:rsidR="00726922">
        <w:rPr>
          <w:b/>
          <w:sz w:val="28"/>
          <w:szCs w:val="28"/>
        </w:rPr>
        <w:t>fourth</w:t>
      </w:r>
      <w:r w:rsidR="00FD5699" w:rsidRPr="001F5981">
        <w:rPr>
          <w:b/>
          <w:sz w:val="28"/>
          <w:szCs w:val="28"/>
        </w:rPr>
        <w:t xml:space="preserve"> </w:t>
      </w:r>
      <w:r w:rsidRPr="001F5981">
        <w:rPr>
          <w:b/>
          <w:sz w:val="28"/>
          <w:szCs w:val="28"/>
        </w:rPr>
        <w:t>Session</w:t>
      </w:r>
    </w:p>
    <w:p w:rsidR="006A0A47" w:rsidRPr="001F5981" w:rsidRDefault="006A0A47" w:rsidP="00367A37">
      <w:pPr>
        <w:pStyle w:val="SMG"/>
        <w:spacing w:before="0" w:after="0" w:line="240" w:lineRule="auto"/>
        <w:rPr>
          <w:sz w:val="28"/>
          <w:szCs w:val="28"/>
        </w:rPr>
      </w:pPr>
      <w:r w:rsidRPr="001F5981">
        <w:rPr>
          <w:sz w:val="28"/>
          <w:szCs w:val="28"/>
        </w:rPr>
        <w:t>Supplement</w:t>
      </w:r>
      <w:r w:rsidR="00FD5699" w:rsidRPr="001F5981">
        <w:rPr>
          <w:sz w:val="28"/>
          <w:szCs w:val="28"/>
        </w:rPr>
        <w:t xml:space="preserve"> </w:t>
      </w:r>
      <w:r w:rsidRPr="001F5981">
        <w:rPr>
          <w:sz w:val="28"/>
          <w:szCs w:val="28"/>
        </w:rPr>
        <w:t>No.</w:t>
      </w:r>
      <w:r w:rsidR="00FD5699" w:rsidRPr="001F5981">
        <w:rPr>
          <w:sz w:val="28"/>
          <w:szCs w:val="28"/>
        </w:rPr>
        <w:t xml:space="preserve"> </w:t>
      </w:r>
      <w:r w:rsidRPr="001F5981">
        <w:rPr>
          <w:sz w:val="28"/>
          <w:szCs w:val="28"/>
        </w:rPr>
        <w:t>18</w:t>
      </w:r>
    </w:p>
    <w:p w:rsidR="0041552B" w:rsidRPr="001F5981" w:rsidRDefault="0041552B">
      <w:pPr>
        <w:spacing w:after="120"/>
        <w:ind w:left="1134" w:right="1134"/>
        <w:rPr>
          <w:b/>
          <w:sz w:val="36"/>
          <w:szCs w:val="36"/>
        </w:rPr>
      </w:pPr>
    </w:p>
    <w:p w:rsidR="0041552B" w:rsidRPr="001F5981" w:rsidRDefault="0041552B">
      <w:pPr>
        <w:sectPr w:rsidR="0041552B" w:rsidRPr="001F5981" w:rsidSect="00EB3B63">
          <w:headerReference w:type="first" r:id="rId9"/>
          <w:footerReference w:type="first" r:id="rId10"/>
          <w:endnotePr>
            <w:numFmt w:val="decimal"/>
          </w:endnotePr>
          <w:type w:val="continuous"/>
          <w:pgSz w:w="11909" w:h="16834" w:code="9"/>
          <w:pgMar w:top="1418" w:right="1134" w:bottom="1134" w:left="1134" w:header="851" w:footer="567" w:gutter="0"/>
          <w:cols w:space="720"/>
          <w:titlePg/>
        </w:sectPr>
      </w:pPr>
    </w:p>
    <w:p w:rsidR="005F4037" w:rsidRPr="00A50896" w:rsidRDefault="00133C6F" w:rsidP="003B7920">
      <w:pPr>
        <w:spacing w:after="360"/>
        <w:jc w:val="right"/>
        <w:rPr>
          <w:rStyle w:val="Hyperlink"/>
          <w:b/>
        </w:rPr>
      </w:pPr>
      <w:r>
        <w:rPr>
          <w:b/>
        </w:rPr>
        <w:lastRenderedPageBreak/>
        <w:fldChar w:fldCharType="begin"/>
      </w:r>
      <w:r>
        <w:rPr>
          <w:b/>
        </w:rPr>
        <w:instrText xml:space="preserve"> HYPERLINK "http://undocs.org/en/A/74/18</w:instrText>
      </w:r>
      <w:r>
        <w:rPr>
          <w:b/>
        </w:rPr>
        <w:cr/>
        <w:instrText xml:space="preserve">" </w:instrText>
      </w:r>
      <w:r>
        <w:rPr>
          <w:b/>
        </w:rPr>
        <w:fldChar w:fldCharType="separate"/>
      </w:r>
      <w:r w:rsidR="005F4037" w:rsidRPr="00A50896">
        <w:rPr>
          <w:rStyle w:val="Hyperlink"/>
          <w:b/>
        </w:rPr>
        <w:t>A/7</w:t>
      </w:r>
      <w:r w:rsidR="00726922" w:rsidRPr="00A50896">
        <w:rPr>
          <w:rStyle w:val="Hyperlink"/>
          <w:b/>
        </w:rPr>
        <w:t>4</w:t>
      </w:r>
      <w:r w:rsidR="005F4037" w:rsidRPr="00A50896">
        <w:rPr>
          <w:rStyle w:val="Hyperlink"/>
          <w:b/>
        </w:rPr>
        <w:t>/</w:t>
      </w:r>
      <w:r w:rsidR="009B47E5" w:rsidRPr="00A50896">
        <w:rPr>
          <w:rStyle w:val="Hyperlink"/>
          <w:b/>
        </w:rPr>
        <w:t>18</w:t>
      </w:r>
    </w:p>
    <w:p w:rsidR="0041552B" w:rsidRPr="001F5981" w:rsidRDefault="00133C6F">
      <w:pPr>
        <w:spacing w:before="1440"/>
        <w:rPr>
          <w:b/>
          <w:sz w:val="24"/>
          <w:szCs w:val="24"/>
        </w:rPr>
      </w:pPr>
      <w:r>
        <w:rPr>
          <w:b/>
        </w:rPr>
        <w:fldChar w:fldCharType="end"/>
      </w:r>
      <w:r w:rsidR="0041552B" w:rsidRPr="001F5981">
        <w:rPr>
          <w:b/>
          <w:sz w:val="24"/>
          <w:szCs w:val="24"/>
        </w:rPr>
        <w:t>General</w:t>
      </w:r>
      <w:r w:rsidR="00FD5699" w:rsidRPr="001F5981">
        <w:rPr>
          <w:b/>
          <w:sz w:val="24"/>
          <w:szCs w:val="24"/>
        </w:rPr>
        <w:t xml:space="preserve"> </w:t>
      </w:r>
      <w:r w:rsidR="0041552B" w:rsidRPr="001F5981">
        <w:rPr>
          <w:b/>
          <w:sz w:val="24"/>
          <w:szCs w:val="24"/>
        </w:rPr>
        <w:t>Assembly</w:t>
      </w:r>
    </w:p>
    <w:p w:rsidR="0041552B" w:rsidRPr="001F5981" w:rsidRDefault="0041552B">
      <w:pPr>
        <w:rPr>
          <w:sz w:val="24"/>
          <w:szCs w:val="24"/>
        </w:rPr>
      </w:pPr>
      <w:r w:rsidRPr="001F5981">
        <w:rPr>
          <w:sz w:val="24"/>
          <w:szCs w:val="24"/>
        </w:rPr>
        <w:t>Official</w:t>
      </w:r>
      <w:r w:rsidR="00FD5699" w:rsidRPr="001F5981">
        <w:rPr>
          <w:sz w:val="24"/>
          <w:szCs w:val="24"/>
        </w:rPr>
        <w:t xml:space="preserve"> </w:t>
      </w:r>
      <w:r w:rsidRPr="001F5981">
        <w:rPr>
          <w:sz w:val="24"/>
          <w:szCs w:val="24"/>
        </w:rPr>
        <w:t>Records</w:t>
      </w:r>
    </w:p>
    <w:p w:rsidR="0041552B" w:rsidRPr="001F5981" w:rsidRDefault="004769EF" w:rsidP="00726922">
      <w:pPr>
        <w:rPr>
          <w:sz w:val="24"/>
          <w:szCs w:val="24"/>
        </w:rPr>
      </w:pPr>
      <w:r w:rsidRPr="001F5981">
        <w:rPr>
          <w:sz w:val="24"/>
          <w:szCs w:val="24"/>
        </w:rPr>
        <w:t>Seventy-</w:t>
      </w:r>
      <w:r w:rsidR="00726922">
        <w:rPr>
          <w:sz w:val="24"/>
          <w:szCs w:val="24"/>
        </w:rPr>
        <w:t>fourth</w:t>
      </w:r>
      <w:r w:rsidR="00FD5699" w:rsidRPr="001F5981">
        <w:rPr>
          <w:sz w:val="24"/>
          <w:szCs w:val="24"/>
        </w:rPr>
        <w:t xml:space="preserve"> </w:t>
      </w:r>
      <w:r w:rsidR="00880A69" w:rsidRPr="001F5981">
        <w:rPr>
          <w:sz w:val="24"/>
          <w:szCs w:val="24"/>
        </w:rPr>
        <w:t>Session</w:t>
      </w:r>
    </w:p>
    <w:p w:rsidR="0041552B" w:rsidRPr="001F5981" w:rsidRDefault="0041552B" w:rsidP="00A66574">
      <w:pPr>
        <w:spacing w:after="1080"/>
        <w:rPr>
          <w:b/>
          <w:sz w:val="24"/>
          <w:szCs w:val="24"/>
        </w:rPr>
      </w:pPr>
      <w:r w:rsidRPr="001F5981">
        <w:rPr>
          <w:sz w:val="24"/>
          <w:szCs w:val="24"/>
        </w:rPr>
        <w:t>Supplement</w:t>
      </w:r>
      <w:r w:rsidR="00FD5699" w:rsidRPr="001F5981">
        <w:rPr>
          <w:sz w:val="24"/>
          <w:szCs w:val="24"/>
        </w:rPr>
        <w:t xml:space="preserve"> </w:t>
      </w:r>
      <w:r w:rsidRPr="001F5981">
        <w:rPr>
          <w:sz w:val="24"/>
          <w:szCs w:val="24"/>
        </w:rPr>
        <w:t>No.</w:t>
      </w:r>
      <w:r w:rsidR="00FD5699" w:rsidRPr="001F5981">
        <w:rPr>
          <w:sz w:val="24"/>
          <w:szCs w:val="24"/>
        </w:rPr>
        <w:t xml:space="preserve"> </w:t>
      </w:r>
      <w:r w:rsidR="009B47E5" w:rsidRPr="001F5981">
        <w:rPr>
          <w:sz w:val="24"/>
          <w:szCs w:val="24"/>
        </w:rPr>
        <w:t>18</w:t>
      </w:r>
      <w:r w:rsidR="00FD5699" w:rsidRPr="001F5981">
        <w:rPr>
          <w:sz w:val="24"/>
          <w:szCs w:val="24"/>
        </w:rPr>
        <w:t xml:space="preserve"> </w:t>
      </w:r>
    </w:p>
    <w:p w:rsidR="009B47E5" w:rsidRPr="001F5981" w:rsidRDefault="009B47E5" w:rsidP="009B47E5">
      <w:pPr>
        <w:pStyle w:val="SMG"/>
        <w:spacing w:before="0" w:after="840"/>
      </w:pPr>
      <w:r w:rsidRPr="001F5981">
        <w:t>Report</w:t>
      </w:r>
      <w:r w:rsidR="00FD5699" w:rsidRPr="001F5981">
        <w:t xml:space="preserve"> </w:t>
      </w:r>
      <w:r w:rsidRPr="001F5981">
        <w:t>of</w:t>
      </w:r>
      <w:r w:rsidR="00FD5699" w:rsidRPr="001F5981">
        <w:t xml:space="preserve"> </w:t>
      </w:r>
      <w:r w:rsidRPr="001F5981">
        <w:t>the</w:t>
      </w:r>
      <w:r w:rsidR="00FD5699" w:rsidRPr="001F5981">
        <w:t xml:space="preserve"> </w:t>
      </w:r>
      <w:r w:rsidRPr="001F5981">
        <w:t>Committee</w:t>
      </w:r>
      <w:r w:rsidR="00FD5699" w:rsidRPr="001F5981">
        <w:t xml:space="preserve"> </w:t>
      </w:r>
      <w:r w:rsidRPr="001F5981">
        <w:t>on</w:t>
      </w:r>
      <w:r w:rsidR="00FD5699" w:rsidRPr="001F5981">
        <w:t xml:space="preserve"> </w:t>
      </w:r>
      <w:r w:rsidRPr="001F5981">
        <w:t>the</w:t>
      </w:r>
      <w:r w:rsidR="00FD5699" w:rsidRPr="001F5981">
        <w:t xml:space="preserve"> </w:t>
      </w:r>
      <w:r w:rsidRPr="001F5981">
        <w:t>Elimination</w:t>
      </w:r>
      <w:r w:rsidR="00FD5699" w:rsidRPr="001F5981">
        <w:t xml:space="preserve"> </w:t>
      </w:r>
      <w:r w:rsidRPr="001F5981">
        <w:t>of</w:t>
      </w:r>
      <w:r w:rsidR="00FD5699" w:rsidRPr="001F5981">
        <w:t xml:space="preserve"> </w:t>
      </w:r>
      <w:r w:rsidRPr="001F5981">
        <w:t>Racial</w:t>
      </w:r>
      <w:r w:rsidR="00FD5699" w:rsidRPr="001F5981">
        <w:t xml:space="preserve"> </w:t>
      </w:r>
      <w:r w:rsidRPr="001F5981">
        <w:t>Discrimination</w:t>
      </w:r>
    </w:p>
    <w:p w:rsidR="00726922" w:rsidRPr="00CB21CA" w:rsidRDefault="00726922" w:rsidP="00726922">
      <w:pPr>
        <w:spacing w:after="120"/>
        <w:ind w:left="1134"/>
        <w:rPr>
          <w:b/>
          <w:sz w:val="28"/>
          <w:szCs w:val="28"/>
        </w:rPr>
      </w:pPr>
      <w:r w:rsidRPr="00CB21CA">
        <w:rPr>
          <w:b/>
          <w:sz w:val="28"/>
          <w:szCs w:val="28"/>
        </w:rPr>
        <w:t>Ninety-</w:t>
      </w:r>
      <w:r>
        <w:rPr>
          <w:b/>
          <w:sz w:val="28"/>
          <w:szCs w:val="28"/>
        </w:rPr>
        <w:t>sixth</w:t>
      </w:r>
      <w:r w:rsidRPr="00CB21CA">
        <w:rPr>
          <w:b/>
          <w:sz w:val="28"/>
          <w:szCs w:val="28"/>
        </w:rPr>
        <w:t xml:space="preserve"> session</w:t>
      </w:r>
      <w:r w:rsidRPr="00CB21CA">
        <w:rPr>
          <w:b/>
          <w:sz w:val="28"/>
          <w:szCs w:val="28"/>
        </w:rPr>
        <w:br/>
        <w:t>(</w:t>
      </w:r>
      <w:r>
        <w:rPr>
          <w:b/>
          <w:sz w:val="28"/>
          <w:szCs w:val="28"/>
        </w:rPr>
        <w:t>6–30</w:t>
      </w:r>
      <w:r w:rsidRPr="00CB21CA">
        <w:rPr>
          <w:b/>
          <w:sz w:val="28"/>
          <w:szCs w:val="28"/>
        </w:rPr>
        <w:t xml:space="preserve"> August 201</w:t>
      </w:r>
      <w:r>
        <w:rPr>
          <w:b/>
          <w:sz w:val="28"/>
          <w:szCs w:val="28"/>
        </w:rPr>
        <w:t>8</w:t>
      </w:r>
      <w:r w:rsidRPr="00CB21CA">
        <w:rPr>
          <w:b/>
          <w:sz w:val="28"/>
          <w:szCs w:val="28"/>
        </w:rPr>
        <w:t>)</w:t>
      </w:r>
    </w:p>
    <w:p w:rsidR="00726922" w:rsidRPr="00CB21CA" w:rsidRDefault="00726922" w:rsidP="00726922">
      <w:pPr>
        <w:spacing w:after="120"/>
        <w:ind w:left="1134"/>
        <w:rPr>
          <w:b/>
          <w:sz w:val="28"/>
          <w:szCs w:val="28"/>
        </w:rPr>
      </w:pPr>
      <w:r w:rsidRPr="00CB21CA">
        <w:rPr>
          <w:b/>
          <w:sz w:val="28"/>
          <w:szCs w:val="28"/>
        </w:rPr>
        <w:t>Ninety-</w:t>
      </w:r>
      <w:r>
        <w:rPr>
          <w:b/>
          <w:sz w:val="28"/>
          <w:szCs w:val="28"/>
        </w:rPr>
        <w:t xml:space="preserve">seventh </w:t>
      </w:r>
      <w:r w:rsidRPr="00CB21CA">
        <w:rPr>
          <w:b/>
          <w:sz w:val="28"/>
          <w:szCs w:val="28"/>
        </w:rPr>
        <w:t>session</w:t>
      </w:r>
      <w:r w:rsidRPr="00CB21CA">
        <w:rPr>
          <w:b/>
          <w:sz w:val="28"/>
          <w:szCs w:val="28"/>
        </w:rPr>
        <w:br/>
        <w:t>(2</w:t>
      </w:r>
      <w:r>
        <w:rPr>
          <w:b/>
          <w:sz w:val="28"/>
          <w:szCs w:val="28"/>
        </w:rPr>
        <w:t>6</w:t>
      </w:r>
      <w:r w:rsidRPr="00CB21CA">
        <w:rPr>
          <w:b/>
          <w:sz w:val="28"/>
          <w:szCs w:val="28"/>
        </w:rPr>
        <w:t xml:space="preserve"> November</w:t>
      </w:r>
      <w:r>
        <w:rPr>
          <w:b/>
          <w:sz w:val="28"/>
          <w:szCs w:val="28"/>
        </w:rPr>
        <w:t>–14</w:t>
      </w:r>
      <w:r w:rsidRPr="00CB21CA">
        <w:rPr>
          <w:b/>
          <w:sz w:val="28"/>
          <w:szCs w:val="28"/>
        </w:rPr>
        <w:t xml:space="preserve"> December 20</w:t>
      </w:r>
      <w:r>
        <w:rPr>
          <w:b/>
          <w:sz w:val="28"/>
          <w:szCs w:val="28"/>
        </w:rPr>
        <w:t>18</w:t>
      </w:r>
      <w:r w:rsidRPr="00CB21CA">
        <w:rPr>
          <w:b/>
          <w:sz w:val="28"/>
          <w:szCs w:val="28"/>
        </w:rPr>
        <w:t>)</w:t>
      </w:r>
    </w:p>
    <w:p w:rsidR="00726922" w:rsidRDefault="00726922" w:rsidP="00726922">
      <w:pPr>
        <w:spacing w:after="120"/>
        <w:ind w:left="1134"/>
        <w:rPr>
          <w:b/>
          <w:sz w:val="28"/>
          <w:szCs w:val="28"/>
        </w:rPr>
      </w:pPr>
      <w:r w:rsidRPr="00CB21CA">
        <w:rPr>
          <w:b/>
          <w:sz w:val="28"/>
          <w:szCs w:val="28"/>
        </w:rPr>
        <w:t>Ninety-</w:t>
      </w:r>
      <w:r>
        <w:rPr>
          <w:b/>
          <w:sz w:val="28"/>
          <w:szCs w:val="28"/>
        </w:rPr>
        <w:t xml:space="preserve">eighth </w:t>
      </w:r>
      <w:r w:rsidRPr="00CB21CA">
        <w:rPr>
          <w:b/>
          <w:sz w:val="28"/>
          <w:szCs w:val="28"/>
        </w:rPr>
        <w:t>session</w:t>
      </w:r>
      <w:r w:rsidRPr="00CB21CA">
        <w:rPr>
          <w:b/>
          <w:sz w:val="28"/>
          <w:szCs w:val="28"/>
        </w:rPr>
        <w:br/>
        <w:t>(23 April</w:t>
      </w:r>
      <w:r>
        <w:rPr>
          <w:b/>
          <w:sz w:val="28"/>
          <w:szCs w:val="28"/>
        </w:rPr>
        <w:t>–</w:t>
      </w:r>
      <w:r w:rsidRPr="00CB21CA">
        <w:rPr>
          <w:b/>
          <w:sz w:val="28"/>
          <w:szCs w:val="28"/>
        </w:rPr>
        <w:t>1</w:t>
      </w:r>
      <w:r>
        <w:rPr>
          <w:b/>
          <w:sz w:val="28"/>
          <w:szCs w:val="28"/>
        </w:rPr>
        <w:t>0</w:t>
      </w:r>
      <w:r w:rsidRPr="00CB21CA">
        <w:rPr>
          <w:b/>
          <w:sz w:val="28"/>
          <w:szCs w:val="28"/>
        </w:rPr>
        <w:t xml:space="preserve"> May 201</w:t>
      </w:r>
      <w:r>
        <w:rPr>
          <w:b/>
          <w:sz w:val="28"/>
          <w:szCs w:val="28"/>
        </w:rPr>
        <w:t>9</w:t>
      </w:r>
      <w:r w:rsidRPr="00CB21CA">
        <w:rPr>
          <w:b/>
          <w:sz w:val="28"/>
          <w:szCs w:val="28"/>
        </w:rPr>
        <w:t>)</w:t>
      </w:r>
    </w:p>
    <w:p w:rsidR="004769EF" w:rsidRPr="001F5981" w:rsidRDefault="004769EF" w:rsidP="003B7920">
      <w:pPr>
        <w:spacing w:after="5400"/>
        <w:ind w:left="1134"/>
        <w:rPr>
          <w:b/>
          <w:sz w:val="28"/>
          <w:szCs w:val="28"/>
        </w:rPr>
      </w:pPr>
    </w:p>
    <w:p w:rsidR="00C62A16" w:rsidRPr="001F5981" w:rsidRDefault="00902131" w:rsidP="0080414C">
      <w:pPr>
        <w:ind w:left="1134"/>
        <w:outlineLvl w:val="0"/>
      </w:pPr>
      <w:r w:rsidRPr="001F5981">
        <w:rPr>
          <w:b/>
          <w:noProof/>
          <w:sz w:val="28"/>
          <w:lang w:val="en-US"/>
        </w:rPr>
        <w:drawing>
          <wp:anchor distT="0" distB="0" distL="114300" distR="114300" simplePos="0" relativeHeight="251646976" behindDoc="0" locked="1" layoutInCell="1" allowOverlap="0" wp14:anchorId="5DEBA85C" wp14:editId="34A6C869">
            <wp:simplePos x="0" y="0"/>
            <wp:positionH relativeFrom="column">
              <wp:posOffset>735965</wp:posOffset>
            </wp:positionH>
            <wp:positionV relativeFrom="paragraph">
              <wp:posOffset>-483235</wp:posOffset>
            </wp:positionV>
            <wp:extent cx="536575" cy="498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52B" w:rsidRPr="001F5981">
        <w:rPr>
          <w:b/>
          <w:sz w:val="28"/>
        </w:rPr>
        <w:t>United</w:t>
      </w:r>
      <w:r w:rsidR="00FD5699" w:rsidRPr="001F5981">
        <w:rPr>
          <w:b/>
          <w:sz w:val="28"/>
        </w:rPr>
        <w:t xml:space="preserve"> </w:t>
      </w:r>
      <w:r w:rsidR="0041552B" w:rsidRPr="001F5981">
        <w:rPr>
          <w:b/>
          <w:sz w:val="28"/>
        </w:rPr>
        <w:t>Nations</w:t>
      </w:r>
      <w:r w:rsidR="00FD5699" w:rsidRPr="001F5981">
        <w:rPr>
          <w:b/>
          <w:sz w:val="28"/>
        </w:rPr>
        <w:t xml:space="preserve"> </w:t>
      </w:r>
      <w:r w:rsidR="0041552B" w:rsidRPr="001F5981">
        <w:rPr>
          <w:b/>
          <w:sz w:val="28"/>
        </w:rPr>
        <w:t>•</w:t>
      </w:r>
      <w:r w:rsidR="00FD5699" w:rsidRPr="001F5981">
        <w:rPr>
          <w:b/>
          <w:sz w:val="28"/>
        </w:rPr>
        <w:t xml:space="preserve"> </w:t>
      </w:r>
      <w:r w:rsidR="0041552B" w:rsidRPr="001F5981">
        <w:rPr>
          <w:b/>
          <w:sz w:val="28"/>
        </w:rPr>
        <w:t>New</w:t>
      </w:r>
      <w:r w:rsidR="00FD5699" w:rsidRPr="001F5981">
        <w:rPr>
          <w:b/>
          <w:sz w:val="28"/>
        </w:rPr>
        <w:t xml:space="preserve"> </w:t>
      </w:r>
      <w:r w:rsidR="0041552B" w:rsidRPr="001F5981">
        <w:rPr>
          <w:b/>
          <w:sz w:val="28"/>
        </w:rPr>
        <w:t>York,</w:t>
      </w:r>
      <w:r w:rsidR="00FD5699" w:rsidRPr="001F5981">
        <w:rPr>
          <w:b/>
          <w:sz w:val="28"/>
        </w:rPr>
        <w:t xml:space="preserve"> </w:t>
      </w:r>
      <w:r w:rsidR="0041552B" w:rsidRPr="001F5981">
        <w:rPr>
          <w:b/>
          <w:sz w:val="28"/>
        </w:rPr>
        <w:t>201</w:t>
      </w:r>
      <w:r w:rsidR="00726922">
        <w:rPr>
          <w:b/>
          <w:sz w:val="28"/>
        </w:rPr>
        <w:t>9</w:t>
      </w:r>
      <w:r w:rsidR="0041552B" w:rsidRPr="001F5981">
        <w:br w:type="page"/>
      </w:r>
    </w:p>
    <w:p w:rsidR="00C62A16" w:rsidRPr="001F5981" w:rsidRDefault="00C62A16" w:rsidP="00C62A16">
      <w:pPr>
        <w:spacing w:before="4800" w:after="120"/>
        <w:ind w:left="1134"/>
      </w:pPr>
    </w:p>
    <w:p w:rsidR="0041552B" w:rsidRPr="001F5981" w:rsidRDefault="0041552B" w:rsidP="00C62A16">
      <w:pPr>
        <w:spacing w:before="4800" w:after="120"/>
        <w:ind w:left="1134"/>
        <w:rPr>
          <w:i/>
        </w:rPr>
      </w:pPr>
      <w:r w:rsidRPr="001F5981">
        <w:rPr>
          <w:i/>
        </w:rPr>
        <w:t>Note</w:t>
      </w:r>
    </w:p>
    <w:p w:rsidR="0041552B" w:rsidRPr="001F5981" w:rsidRDefault="000420B5" w:rsidP="006F4FB7">
      <w:pPr>
        <w:pStyle w:val="SingleTxtG"/>
      </w:pPr>
      <w:r w:rsidRPr="001F5981">
        <w:tab/>
      </w:r>
      <w:r w:rsidR="0041552B" w:rsidRPr="001F5981">
        <w:t>Symbols</w:t>
      </w:r>
      <w:r w:rsidR="00FD5699" w:rsidRPr="001F5981">
        <w:t xml:space="preserve"> </w:t>
      </w:r>
      <w:r w:rsidR="0041552B" w:rsidRPr="001F5981">
        <w:t>of</w:t>
      </w:r>
      <w:r w:rsidR="00FD5699" w:rsidRPr="001F5981">
        <w:t xml:space="preserve"> </w:t>
      </w:r>
      <w:r w:rsidR="0041552B" w:rsidRPr="001F5981">
        <w:t>United</w:t>
      </w:r>
      <w:r w:rsidR="00FD5699" w:rsidRPr="001F5981">
        <w:t xml:space="preserve"> </w:t>
      </w:r>
      <w:r w:rsidR="0041552B" w:rsidRPr="001F5981">
        <w:t>Nations</w:t>
      </w:r>
      <w:r w:rsidR="00FD5699" w:rsidRPr="001F5981">
        <w:t xml:space="preserve"> </w:t>
      </w:r>
      <w:r w:rsidR="0041552B" w:rsidRPr="001F5981">
        <w:t>documents</w:t>
      </w:r>
      <w:r w:rsidR="00FD5699" w:rsidRPr="001F5981">
        <w:t xml:space="preserve"> </w:t>
      </w:r>
      <w:r w:rsidR="0041552B" w:rsidRPr="001F5981">
        <w:t>are</w:t>
      </w:r>
      <w:r w:rsidR="00FD5699" w:rsidRPr="001F5981">
        <w:t xml:space="preserve"> </w:t>
      </w:r>
      <w:r w:rsidR="0041552B" w:rsidRPr="001F5981">
        <w:t>composed</w:t>
      </w:r>
      <w:r w:rsidR="00FD5699" w:rsidRPr="001F5981">
        <w:t xml:space="preserve"> </w:t>
      </w:r>
      <w:r w:rsidR="0041552B" w:rsidRPr="001F5981">
        <w:t>of</w:t>
      </w:r>
      <w:r w:rsidR="00FD5699" w:rsidRPr="001F5981">
        <w:t xml:space="preserve"> </w:t>
      </w:r>
      <w:r w:rsidR="0041552B" w:rsidRPr="001F5981">
        <w:t>letters</w:t>
      </w:r>
      <w:r w:rsidR="00FD5699" w:rsidRPr="001F5981">
        <w:t xml:space="preserve"> </w:t>
      </w:r>
      <w:r w:rsidR="0041552B" w:rsidRPr="001F5981">
        <w:t>combined</w:t>
      </w:r>
      <w:r w:rsidR="00FD5699" w:rsidRPr="001F5981">
        <w:t xml:space="preserve"> </w:t>
      </w:r>
      <w:r w:rsidR="0041552B" w:rsidRPr="001F5981">
        <w:t>with</w:t>
      </w:r>
      <w:r w:rsidR="00FD5699" w:rsidRPr="001F5981">
        <w:t xml:space="preserve"> </w:t>
      </w:r>
      <w:r w:rsidR="0041552B" w:rsidRPr="001F5981">
        <w:t>figures.</w:t>
      </w:r>
      <w:r w:rsidR="00FD5699" w:rsidRPr="001F5981">
        <w:t xml:space="preserve"> </w:t>
      </w:r>
      <w:r w:rsidR="0041552B" w:rsidRPr="001F5981">
        <w:t>Mention</w:t>
      </w:r>
      <w:r w:rsidR="00FD5699" w:rsidRPr="001F5981">
        <w:t xml:space="preserve"> </w:t>
      </w:r>
      <w:r w:rsidR="0041552B" w:rsidRPr="001F5981">
        <w:t>of</w:t>
      </w:r>
      <w:r w:rsidR="00FD5699" w:rsidRPr="001F5981">
        <w:t xml:space="preserve"> </w:t>
      </w:r>
      <w:r w:rsidR="0041552B" w:rsidRPr="001F5981">
        <w:t>such</w:t>
      </w:r>
      <w:r w:rsidR="00FD5699" w:rsidRPr="001F5981">
        <w:t xml:space="preserve"> </w:t>
      </w:r>
      <w:r w:rsidR="0041552B" w:rsidRPr="001F5981">
        <w:t>a</w:t>
      </w:r>
      <w:r w:rsidR="00FD5699" w:rsidRPr="001F5981">
        <w:t xml:space="preserve"> </w:t>
      </w:r>
      <w:r w:rsidR="0041552B" w:rsidRPr="001F5981">
        <w:t>symbol</w:t>
      </w:r>
      <w:r w:rsidR="00FD5699" w:rsidRPr="001F5981">
        <w:t xml:space="preserve"> </w:t>
      </w:r>
      <w:r w:rsidR="0041552B" w:rsidRPr="001F5981">
        <w:t>indicates</w:t>
      </w:r>
      <w:r w:rsidR="00FD5699" w:rsidRPr="001F5981">
        <w:t xml:space="preserve"> </w:t>
      </w:r>
      <w:r w:rsidR="0041552B" w:rsidRPr="001F5981">
        <w:t>a</w:t>
      </w:r>
      <w:r w:rsidR="00FD5699" w:rsidRPr="001F5981">
        <w:t xml:space="preserve"> </w:t>
      </w:r>
      <w:r w:rsidR="0041552B" w:rsidRPr="001F5981">
        <w:t>reference</w:t>
      </w:r>
      <w:r w:rsidR="00FD5699" w:rsidRPr="001F5981">
        <w:t xml:space="preserve"> </w:t>
      </w:r>
      <w:r w:rsidR="0041552B" w:rsidRPr="001F5981">
        <w:t>to</w:t>
      </w:r>
      <w:r w:rsidR="00FD5699" w:rsidRPr="001F5981">
        <w:t xml:space="preserve"> </w:t>
      </w:r>
      <w:r w:rsidR="0041552B" w:rsidRPr="001F5981">
        <w:t>a</w:t>
      </w:r>
      <w:r w:rsidR="00FD5699" w:rsidRPr="001F5981">
        <w:t xml:space="preserve"> </w:t>
      </w:r>
      <w:r w:rsidR="0041552B" w:rsidRPr="001F5981">
        <w:t>United</w:t>
      </w:r>
      <w:r w:rsidR="00FD5699" w:rsidRPr="001F5981">
        <w:t xml:space="preserve"> </w:t>
      </w:r>
      <w:r w:rsidR="0041552B" w:rsidRPr="001F5981">
        <w:t>Nations</w:t>
      </w:r>
      <w:r w:rsidR="00FD5699" w:rsidRPr="001F5981">
        <w:t xml:space="preserve"> </w:t>
      </w:r>
      <w:r w:rsidR="0041552B" w:rsidRPr="001F5981">
        <w:t>document.</w:t>
      </w:r>
    </w:p>
    <w:p w:rsidR="0041552B" w:rsidRPr="001F5981" w:rsidRDefault="0041552B"/>
    <w:p w:rsidR="0041552B" w:rsidRPr="001F5981" w:rsidRDefault="0041552B">
      <w:pPr>
        <w:spacing w:after="120"/>
        <w:sectPr w:rsidR="0041552B" w:rsidRPr="001F5981" w:rsidSect="00EB3B63">
          <w:headerReference w:type="even" r:id="rId12"/>
          <w:headerReference w:type="default" r:id="rId13"/>
          <w:footerReference w:type="even" r:id="rId14"/>
          <w:footerReference w:type="default" r:id="rId15"/>
          <w:endnotePr>
            <w:numFmt w:val="decimal"/>
          </w:endnotePr>
          <w:type w:val="oddPage"/>
          <w:pgSz w:w="11909" w:h="16834" w:code="9"/>
          <w:pgMar w:top="1418" w:right="1134" w:bottom="1134" w:left="1134" w:header="851" w:footer="567" w:gutter="0"/>
          <w:cols w:space="720"/>
        </w:sectPr>
      </w:pPr>
    </w:p>
    <w:p w:rsidR="00B34574" w:rsidRPr="001F5981" w:rsidRDefault="00F60170" w:rsidP="00F60170">
      <w:pPr>
        <w:suppressAutoHyphens/>
        <w:spacing w:after="120" w:line="240" w:lineRule="atLeast"/>
        <w:rPr>
          <w:sz w:val="28"/>
        </w:rPr>
      </w:pPr>
      <w:r w:rsidRPr="001F5981">
        <w:rPr>
          <w:sz w:val="28"/>
        </w:rPr>
        <w:lastRenderedPageBreak/>
        <w:t>Contents</w:t>
      </w:r>
    </w:p>
    <w:p w:rsidR="00F60170" w:rsidRPr="001F5981" w:rsidRDefault="00F60170" w:rsidP="00F60170">
      <w:pPr>
        <w:tabs>
          <w:tab w:val="right" w:pos="9638"/>
        </w:tabs>
        <w:suppressAutoHyphens/>
        <w:spacing w:after="120" w:line="240" w:lineRule="atLeast"/>
        <w:ind w:left="283"/>
        <w:rPr>
          <w:sz w:val="18"/>
        </w:rPr>
      </w:pPr>
      <w:r w:rsidRPr="001F5981">
        <w:rPr>
          <w:i/>
          <w:sz w:val="18"/>
        </w:rPr>
        <w:tab/>
        <w:t>Page</w:t>
      </w:r>
    </w:p>
    <w:p w:rsidR="00F60170" w:rsidRPr="001F5981" w:rsidRDefault="008362AB" w:rsidP="00F60170">
      <w:pPr>
        <w:tabs>
          <w:tab w:val="right" w:pos="850"/>
          <w:tab w:val="left" w:pos="1134"/>
          <w:tab w:val="left" w:pos="1559"/>
          <w:tab w:val="left" w:pos="1984"/>
          <w:tab w:val="left" w:leader="dot" w:pos="8787"/>
          <w:tab w:val="right" w:pos="9638"/>
        </w:tabs>
        <w:suppressAutoHyphens/>
        <w:spacing w:after="120" w:line="240" w:lineRule="atLeast"/>
      </w:pPr>
      <w:r w:rsidRPr="001F5981">
        <w:tab/>
      </w:r>
      <w:r w:rsidRPr="001F5981">
        <w:tab/>
        <w:t>Letter of transmittal</w:t>
      </w:r>
      <w:r w:rsidRPr="001F5981">
        <w:tab/>
      </w:r>
      <w:r w:rsidRPr="001F5981">
        <w:tab/>
        <w:t>1</w:t>
      </w:r>
    </w:p>
    <w:p w:rsidR="00E6014D" w:rsidRPr="0051002A" w:rsidRDefault="00E6014D" w:rsidP="00E6014D">
      <w:pPr>
        <w:tabs>
          <w:tab w:val="right" w:pos="850"/>
          <w:tab w:val="left" w:pos="1134"/>
          <w:tab w:val="left" w:pos="1559"/>
          <w:tab w:val="left" w:pos="1984"/>
          <w:tab w:val="left" w:leader="dot" w:pos="8787"/>
          <w:tab w:val="right" w:pos="9638"/>
        </w:tabs>
        <w:spacing w:after="120"/>
        <w:rPr>
          <w:i/>
          <w:iCs/>
        </w:rPr>
      </w:pPr>
      <w:r>
        <w:rPr>
          <w:i/>
          <w:iCs/>
        </w:rPr>
        <w:t>Chapter</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t>I.</w:t>
      </w:r>
      <w:r w:rsidRPr="00CB21CA">
        <w:tab/>
        <w:t>Organizational and related matters</w:t>
      </w:r>
      <w:r w:rsidRPr="00CB21CA">
        <w:tab/>
      </w:r>
      <w:r w:rsidRPr="00CB21CA">
        <w:tab/>
        <w:t>3</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r>
      <w:r w:rsidRPr="00CB21CA">
        <w:tab/>
        <w:t>A.</w:t>
      </w:r>
      <w:r w:rsidRPr="00CB21CA">
        <w:tab/>
        <w:t xml:space="preserve">States parties to the International Convention on the Elimination of All Forms </w:t>
      </w:r>
      <w:r w:rsidRPr="00CB21CA">
        <w:br/>
      </w:r>
      <w:r w:rsidRPr="00CB21CA">
        <w:tab/>
      </w:r>
      <w:r w:rsidRPr="00CB21CA">
        <w:tab/>
      </w:r>
      <w:r w:rsidRPr="00CB21CA">
        <w:tab/>
        <w:t>of Racial Discrimination</w:t>
      </w:r>
      <w:r w:rsidRPr="00CB21CA">
        <w:tab/>
      </w:r>
      <w:r w:rsidRPr="00CB21CA">
        <w:tab/>
        <w:t>3</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r>
      <w:r w:rsidRPr="00CB21CA">
        <w:tab/>
        <w:t>B.</w:t>
      </w:r>
      <w:r w:rsidRPr="00CB21CA">
        <w:tab/>
        <w:t>Sessions and agendas</w:t>
      </w:r>
      <w:r w:rsidRPr="00CB21CA">
        <w:tab/>
      </w:r>
      <w:r w:rsidRPr="00CB21CA">
        <w:tab/>
        <w:t>3</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r>
      <w:r w:rsidRPr="00CB21CA">
        <w:tab/>
        <w:t>C.</w:t>
      </w:r>
      <w:r w:rsidRPr="00CB21CA">
        <w:tab/>
        <w:t>Membership</w:t>
      </w:r>
      <w:r w:rsidRPr="00CB21CA">
        <w:tab/>
      </w:r>
      <w:r w:rsidRPr="00CB21CA">
        <w:tab/>
        <w:t>3</w:t>
      </w:r>
    </w:p>
    <w:p w:rsidR="00E6014D" w:rsidRPr="00CB21CA" w:rsidRDefault="00E6014D" w:rsidP="00BC37EC">
      <w:pPr>
        <w:tabs>
          <w:tab w:val="right" w:pos="850"/>
          <w:tab w:val="left" w:pos="1134"/>
          <w:tab w:val="left" w:pos="1559"/>
          <w:tab w:val="left" w:pos="1984"/>
          <w:tab w:val="left" w:leader="dot" w:pos="8787"/>
          <w:tab w:val="right" w:pos="9638"/>
        </w:tabs>
        <w:spacing w:after="120"/>
      </w:pPr>
      <w:r w:rsidRPr="00CB21CA">
        <w:tab/>
      </w:r>
      <w:r w:rsidRPr="00CB21CA">
        <w:tab/>
        <w:t>D.</w:t>
      </w:r>
      <w:r w:rsidRPr="00CB21CA">
        <w:tab/>
        <w:t xml:space="preserve">Officers of the </w:t>
      </w:r>
      <w:r>
        <w:t>Committee</w:t>
      </w:r>
      <w:r>
        <w:tab/>
      </w:r>
      <w:r>
        <w:tab/>
      </w:r>
      <w:r w:rsidR="00BC37EC">
        <w:t>4</w:t>
      </w:r>
    </w:p>
    <w:p w:rsidR="00E6014D" w:rsidRDefault="00E6014D" w:rsidP="00BC37EC">
      <w:pPr>
        <w:tabs>
          <w:tab w:val="right" w:pos="850"/>
          <w:tab w:val="left" w:pos="1134"/>
          <w:tab w:val="left" w:pos="1559"/>
          <w:tab w:val="left" w:pos="1984"/>
          <w:tab w:val="left" w:leader="dot" w:pos="8787"/>
          <w:tab w:val="right" w:pos="9638"/>
        </w:tabs>
        <w:spacing w:after="120"/>
      </w:pPr>
      <w:r w:rsidRPr="00CB21CA">
        <w:tab/>
      </w:r>
      <w:r w:rsidRPr="00CB21CA">
        <w:tab/>
        <w:t>E.</w:t>
      </w:r>
      <w:r w:rsidRPr="00CB21CA">
        <w:tab/>
        <w:t xml:space="preserve">Cooperation with the International Labour Organization, the Office of the </w:t>
      </w:r>
      <w:r w:rsidRPr="00CB21CA">
        <w:br/>
      </w:r>
      <w:r w:rsidRPr="00CB21CA">
        <w:tab/>
      </w:r>
      <w:r w:rsidRPr="00CB21CA">
        <w:tab/>
      </w:r>
      <w:r w:rsidRPr="00CB21CA">
        <w:tab/>
        <w:t xml:space="preserve">United Nations High Commissioner for Refugees, the United Nations </w:t>
      </w:r>
      <w:r w:rsidRPr="00CB21CA">
        <w:br/>
      </w:r>
      <w:r w:rsidRPr="00CB21CA">
        <w:tab/>
      </w:r>
      <w:r w:rsidRPr="00CB21CA">
        <w:tab/>
      </w:r>
      <w:r w:rsidRPr="00CB21CA">
        <w:tab/>
        <w:t xml:space="preserve">Educational, Scientific and Cultural Organization, the special </w:t>
      </w:r>
      <w:r w:rsidRPr="00CB21CA">
        <w:br/>
      </w:r>
      <w:r w:rsidRPr="00CB21CA">
        <w:tab/>
      </w:r>
      <w:r w:rsidRPr="00CB21CA">
        <w:tab/>
      </w:r>
      <w:r w:rsidRPr="00CB21CA">
        <w:tab/>
        <w:t xml:space="preserve">procedures of the Human Rights Council and the regional </w:t>
      </w:r>
      <w:r w:rsidRPr="00CB21CA">
        <w:br/>
      </w:r>
      <w:r w:rsidRPr="00CB21CA">
        <w:tab/>
      </w:r>
      <w:r w:rsidRPr="00CB21CA">
        <w:tab/>
      </w:r>
      <w:r w:rsidRPr="00CB21CA">
        <w:tab/>
        <w:t>human rights mechanisms</w:t>
      </w:r>
      <w:r w:rsidRPr="00CB21CA">
        <w:tab/>
      </w:r>
      <w:r w:rsidRPr="00CB21CA">
        <w:tab/>
      </w:r>
      <w:r w:rsidR="00BC37EC">
        <w:t>4</w:t>
      </w:r>
    </w:p>
    <w:p w:rsidR="00E6014D" w:rsidRPr="00CB21CA" w:rsidRDefault="00E6014D" w:rsidP="00BC37EC">
      <w:pPr>
        <w:tabs>
          <w:tab w:val="right" w:pos="850"/>
          <w:tab w:val="left" w:pos="1134"/>
          <w:tab w:val="left" w:pos="1559"/>
          <w:tab w:val="left" w:pos="1984"/>
          <w:tab w:val="left" w:leader="dot" w:pos="8787"/>
          <w:tab w:val="right" w:pos="9638"/>
        </w:tabs>
        <w:spacing w:after="120"/>
      </w:pPr>
      <w:r>
        <w:tab/>
      </w:r>
      <w:r>
        <w:tab/>
        <w:t>F.</w:t>
      </w:r>
      <w:r>
        <w:tab/>
        <w:t>Other matters</w:t>
      </w:r>
      <w:r>
        <w:tab/>
      </w:r>
      <w:r>
        <w:tab/>
      </w:r>
      <w:r w:rsidR="00BC37EC">
        <w:t>5</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r>
      <w:r w:rsidRPr="00CB21CA">
        <w:tab/>
      </w:r>
      <w:r>
        <w:t>G</w:t>
      </w:r>
      <w:r w:rsidRPr="00CB21CA">
        <w:t>.</w:t>
      </w:r>
      <w:r w:rsidRPr="00CB21CA">
        <w:tab/>
        <w:t>Adoption of the report</w:t>
      </w:r>
      <w:r w:rsidRPr="00CB21CA">
        <w:tab/>
      </w:r>
      <w:r w:rsidRPr="00CB21CA">
        <w:tab/>
        <w:t>5</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t>II.</w:t>
      </w:r>
      <w:r w:rsidRPr="00CB21CA">
        <w:tab/>
        <w:t>Prevention of racial discrimination, including early warning and urgent action procedures</w:t>
      </w:r>
      <w:r w:rsidRPr="00CB21CA">
        <w:tab/>
      </w:r>
      <w:r w:rsidRPr="00CB21CA">
        <w:tab/>
        <w:t>6</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r>
      <w:r w:rsidRPr="00CB21CA">
        <w:tab/>
        <w:t>Consideration of situations under the early warning and urgent action procedures</w:t>
      </w:r>
      <w:r w:rsidRPr="00CB21CA">
        <w:tab/>
      </w:r>
      <w:r w:rsidRPr="00CB21CA">
        <w:tab/>
      </w:r>
      <w:r>
        <w:t>6</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t>III.</w:t>
      </w:r>
      <w:r w:rsidRPr="00CB21CA">
        <w:tab/>
        <w:t xml:space="preserve">Consideration of reports, comments and information submitted by States parties </w:t>
      </w:r>
      <w:r w:rsidRPr="00CB21CA">
        <w:br/>
      </w:r>
      <w:r w:rsidRPr="00CB21CA">
        <w:tab/>
      </w:r>
      <w:r w:rsidRPr="00CB21CA">
        <w:tab/>
        <w:t xml:space="preserve">under article 9 of the </w:t>
      </w:r>
      <w:r>
        <w:t>Convention</w:t>
      </w:r>
      <w:r>
        <w:tab/>
      </w:r>
      <w:r>
        <w:tab/>
        <w:t>10</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t>IV.</w:t>
      </w:r>
      <w:r w:rsidRPr="00CB21CA">
        <w:tab/>
        <w:t>Follow-up to the consideration of reports submitted by States parties under</w:t>
      </w:r>
      <w:r w:rsidRPr="00CB21CA">
        <w:br/>
      </w:r>
      <w:r w:rsidRPr="00CB21CA">
        <w:tab/>
      </w:r>
      <w:r w:rsidRPr="00CB21CA">
        <w:tab/>
        <w:t>article 9 of the Convention</w:t>
      </w:r>
      <w:r w:rsidRPr="00CB21CA">
        <w:tab/>
      </w:r>
      <w:r w:rsidRPr="00CB21CA">
        <w:tab/>
      </w:r>
      <w:r>
        <w:t>11</w:t>
      </w:r>
    </w:p>
    <w:p w:rsidR="00E6014D" w:rsidRDefault="00E6014D" w:rsidP="00E6014D">
      <w:pPr>
        <w:tabs>
          <w:tab w:val="right" w:pos="850"/>
          <w:tab w:val="left" w:pos="1134"/>
          <w:tab w:val="left" w:pos="1559"/>
          <w:tab w:val="left" w:pos="1984"/>
          <w:tab w:val="left" w:leader="dot" w:pos="8787"/>
          <w:tab w:val="right" w:pos="9638"/>
        </w:tabs>
        <w:spacing w:after="120"/>
      </w:pPr>
      <w:r w:rsidRPr="00CB21CA">
        <w:tab/>
        <w:t>V.</w:t>
      </w:r>
      <w:r w:rsidRPr="00CB21CA">
        <w:tab/>
      </w:r>
      <w:r>
        <w:t>Consideration of communications received under article 11 of the Convention</w:t>
      </w:r>
      <w:r>
        <w:tab/>
      </w:r>
      <w:r>
        <w:tab/>
        <w:t>12</w:t>
      </w:r>
    </w:p>
    <w:p w:rsidR="00E6014D" w:rsidRDefault="00E6014D" w:rsidP="00030B1A">
      <w:pPr>
        <w:tabs>
          <w:tab w:val="left" w:pos="1134"/>
          <w:tab w:val="left" w:pos="1559"/>
          <w:tab w:val="left" w:leader="dot" w:pos="8787"/>
          <w:tab w:val="right" w:pos="9638"/>
        </w:tabs>
        <w:spacing w:after="120"/>
        <w:ind w:left="1134" w:hanging="567"/>
      </w:pPr>
      <w:r>
        <w:t>VI.</w:t>
      </w:r>
      <w:r>
        <w:tab/>
        <w:t>Reprisals</w:t>
      </w:r>
      <w:r>
        <w:tab/>
      </w:r>
      <w:r>
        <w:tab/>
        <w:t>14</w:t>
      </w:r>
    </w:p>
    <w:p w:rsidR="00E6014D" w:rsidRPr="00CB21CA" w:rsidRDefault="00E6014D" w:rsidP="00E6014D">
      <w:pPr>
        <w:tabs>
          <w:tab w:val="right" w:pos="850"/>
          <w:tab w:val="left" w:pos="1134"/>
          <w:tab w:val="left" w:pos="1559"/>
          <w:tab w:val="left" w:pos="1984"/>
          <w:tab w:val="left" w:leader="dot" w:pos="8787"/>
          <w:tab w:val="right" w:pos="9638"/>
        </w:tabs>
        <w:spacing w:after="120"/>
      </w:pPr>
      <w:r>
        <w:tab/>
        <w:t>VII.</w:t>
      </w:r>
      <w:r>
        <w:tab/>
      </w:r>
      <w:r w:rsidRPr="00CB21CA">
        <w:t xml:space="preserve">States parties </w:t>
      </w:r>
      <w:r>
        <w:t>whose</w:t>
      </w:r>
      <w:r w:rsidRPr="00CB21CA">
        <w:t xml:space="preserve"> reports are seriously overdue</w:t>
      </w:r>
      <w:r w:rsidRPr="00CB21CA">
        <w:tab/>
      </w:r>
      <w:r w:rsidRPr="00CB21CA">
        <w:tab/>
        <w:t>1</w:t>
      </w:r>
      <w:r>
        <w:t>5</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r>
      <w:r w:rsidRPr="00CB21CA">
        <w:tab/>
        <w:t>A.</w:t>
      </w:r>
      <w:r w:rsidRPr="00CB21CA">
        <w:tab/>
        <w:t>Reports overdue by at least 10 years</w:t>
      </w:r>
      <w:r w:rsidRPr="00CB21CA">
        <w:tab/>
      </w:r>
      <w:r w:rsidRPr="00CB21CA">
        <w:tab/>
        <w:t>1</w:t>
      </w:r>
      <w:r>
        <w:t>5</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r>
      <w:r w:rsidRPr="00CB21CA">
        <w:tab/>
        <w:t>B.</w:t>
      </w:r>
      <w:r w:rsidRPr="00CB21CA">
        <w:tab/>
        <w:t>Reports overdue by at least five years</w:t>
      </w:r>
      <w:r w:rsidRPr="00CB21CA">
        <w:tab/>
      </w:r>
      <w:r w:rsidRPr="00CB21CA">
        <w:tab/>
        <w:t>1</w:t>
      </w:r>
      <w:r>
        <w:t>6</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r>
      <w:r w:rsidRPr="00CB21CA">
        <w:tab/>
        <w:t>C.</w:t>
      </w:r>
      <w:r w:rsidRPr="00CB21CA">
        <w:tab/>
        <w:t>Action taken by the Committee to ensure submission of reports by States parties</w:t>
      </w:r>
      <w:r w:rsidRPr="00CB21CA">
        <w:tab/>
      </w:r>
      <w:r w:rsidRPr="00CB21CA">
        <w:tab/>
        <w:t>1</w:t>
      </w:r>
      <w:r>
        <w:t>7</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t>V</w:t>
      </w:r>
      <w:r>
        <w:t>II</w:t>
      </w:r>
      <w:r w:rsidRPr="00CB21CA">
        <w:t>I.</w:t>
      </w:r>
      <w:r w:rsidRPr="00CB21CA">
        <w:tab/>
        <w:t>Consideration of communications under article 14 of the Convention</w:t>
      </w:r>
      <w:r w:rsidRPr="00CB21CA">
        <w:tab/>
      </w:r>
      <w:r w:rsidRPr="00CB21CA">
        <w:tab/>
        <w:t>1</w:t>
      </w:r>
      <w:r>
        <w:t>8</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r>
      <w:r>
        <w:t>IX</w:t>
      </w:r>
      <w:r w:rsidRPr="00CB21CA">
        <w:t>.</w:t>
      </w:r>
      <w:r w:rsidRPr="00CB21CA">
        <w:tab/>
        <w:t>Follow-up to individual communications</w:t>
      </w:r>
      <w:r w:rsidRPr="00CB21CA">
        <w:tab/>
      </w:r>
      <w:r w:rsidRPr="00CB21CA">
        <w:tab/>
        <w:t>1</w:t>
      </w:r>
      <w:r>
        <w:t>9</w:t>
      </w:r>
    </w:p>
    <w:p w:rsidR="00E6014D" w:rsidRPr="00CB21CA" w:rsidRDefault="00E6014D" w:rsidP="00E6014D">
      <w:pPr>
        <w:tabs>
          <w:tab w:val="right" w:pos="850"/>
          <w:tab w:val="left" w:pos="1134"/>
          <w:tab w:val="left" w:pos="1559"/>
          <w:tab w:val="left" w:pos="1984"/>
          <w:tab w:val="left" w:leader="dot" w:pos="8787"/>
          <w:tab w:val="right" w:pos="9638"/>
        </w:tabs>
        <w:spacing w:after="120"/>
      </w:pPr>
      <w:r w:rsidRPr="00CB21CA">
        <w:tab/>
        <w:t>X.</w:t>
      </w:r>
      <w:r w:rsidRPr="00CB21CA">
        <w:tab/>
        <w:t xml:space="preserve">Follow-up to the World Conference against Racism, Racial Discrimination, </w:t>
      </w:r>
      <w:r w:rsidRPr="00CB21CA">
        <w:br/>
      </w:r>
      <w:r w:rsidRPr="00CB21CA">
        <w:tab/>
      </w:r>
      <w:r w:rsidRPr="00CB21CA">
        <w:tab/>
        <w:t>Xenophobia and Related Intolerance and the Durban Review Conference</w:t>
      </w:r>
      <w:r w:rsidRPr="00CB21CA">
        <w:tab/>
      </w:r>
      <w:r w:rsidRPr="00CB21CA">
        <w:tab/>
        <w:t>2</w:t>
      </w:r>
      <w:r>
        <w:t>2</w:t>
      </w:r>
    </w:p>
    <w:p w:rsidR="00E6014D" w:rsidRDefault="00E6014D" w:rsidP="00E6014D">
      <w:pPr>
        <w:tabs>
          <w:tab w:val="right" w:pos="850"/>
          <w:tab w:val="left" w:pos="1134"/>
          <w:tab w:val="left" w:pos="1559"/>
          <w:tab w:val="left" w:pos="1984"/>
          <w:tab w:val="left" w:leader="dot" w:pos="8787"/>
          <w:tab w:val="right" w:pos="9638"/>
        </w:tabs>
        <w:spacing w:after="120"/>
      </w:pPr>
      <w:r w:rsidRPr="00CB21CA">
        <w:tab/>
        <w:t>X</w:t>
      </w:r>
      <w:r>
        <w:t>I</w:t>
      </w:r>
      <w:r w:rsidRPr="00CB21CA">
        <w:t>.</w:t>
      </w:r>
      <w:r w:rsidRPr="00CB21CA">
        <w:tab/>
      </w:r>
      <w:r>
        <w:t>Preparation of a general recommendation on preventing and combating racial profiling</w:t>
      </w:r>
      <w:r>
        <w:tab/>
      </w:r>
      <w:r>
        <w:tab/>
        <w:t>23</w:t>
      </w:r>
    </w:p>
    <w:p w:rsidR="00E6014D" w:rsidRDefault="00E6014D" w:rsidP="00E6014D">
      <w:pPr>
        <w:tabs>
          <w:tab w:val="right" w:pos="850"/>
          <w:tab w:val="left" w:pos="1134"/>
          <w:tab w:val="left" w:pos="1559"/>
          <w:tab w:val="left" w:pos="1984"/>
          <w:tab w:val="left" w:leader="dot" w:pos="8787"/>
          <w:tab w:val="right" w:pos="9638"/>
        </w:tabs>
        <w:spacing w:after="120"/>
      </w:pPr>
      <w:r>
        <w:tab/>
        <w:t>XII.</w:t>
      </w:r>
      <w:r>
        <w:tab/>
        <w:t>Sixth informal meeting with States parties</w:t>
      </w:r>
      <w:r>
        <w:tab/>
      </w:r>
      <w:r>
        <w:tab/>
        <w:t>24</w:t>
      </w:r>
    </w:p>
    <w:p w:rsidR="00E6014D" w:rsidRDefault="00E6014D" w:rsidP="00E6014D">
      <w:pPr>
        <w:tabs>
          <w:tab w:val="right" w:pos="850"/>
          <w:tab w:val="left" w:pos="1134"/>
          <w:tab w:val="left" w:pos="1559"/>
          <w:tab w:val="left" w:pos="1984"/>
          <w:tab w:val="left" w:leader="dot" w:pos="8787"/>
          <w:tab w:val="right" w:pos="9638"/>
        </w:tabs>
        <w:spacing w:after="120"/>
      </w:pPr>
      <w:r>
        <w:tab/>
        <w:t>XIII.</w:t>
      </w:r>
      <w:r>
        <w:tab/>
        <w:t>Discussions on the treaty body strengthening process</w:t>
      </w:r>
      <w:r>
        <w:tab/>
      </w:r>
      <w:r>
        <w:tab/>
        <w:t>25</w:t>
      </w:r>
    </w:p>
    <w:p w:rsidR="00E6014D" w:rsidRDefault="00E6014D" w:rsidP="00E6014D">
      <w:pPr>
        <w:pStyle w:val="H1G"/>
        <w:rPr>
          <w:b w:val="0"/>
          <w:sz w:val="20"/>
        </w:rPr>
      </w:pPr>
      <w:r>
        <w:tab/>
      </w:r>
      <w:bookmarkStart w:id="0" w:name="_Toc17361287"/>
      <w:r w:rsidRPr="00BB7003">
        <w:rPr>
          <w:b w:val="0"/>
          <w:sz w:val="20"/>
        </w:rPr>
        <w:t>Annexes</w:t>
      </w:r>
      <w:bookmarkEnd w:id="0"/>
    </w:p>
    <w:p w:rsidR="00E6014D" w:rsidRDefault="00E6014D" w:rsidP="00E6014D">
      <w:pPr>
        <w:tabs>
          <w:tab w:val="right" w:pos="850"/>
          <w:tab w:val="left" w:pos="1134"/>
          <w:tab w:val="left" w:pos="1559"/>
          <w:tab w:val="left" w:pos="1984"/>
          <w:tab w:val="left" w:leader="dot" w:pos="8787"/>
          <w:tab w:val="right" w:pos="9638"/>
        </w:tabs>
        <w:spacing w:after="120"/>
        <w:ind w:left="1134" w:hanging="1134"/>
      </w:pPr>
      <w:r>
        <w:t>Annex I</w:t>
      </w:r>
      <w:r>
        <w:tab/>
      </w:r>
      <w:r>
        <w:tab/>
      </w:r>
      <w:r w:rsidRPr="00CB21CA">
        <w:t>Follow-up information provided in relation to cases in which the Committee</w:t>
      </w:r>
      <w:r>
        <w:br/>
      </w:r>
      <w:r w:rsidRPr="00CB21CA">
        <w:t>adopted recommendations</w:t>
      </w:r>
      <w:r>
        <w:tab/>
      </w:r>
      <w:r>
        <w:tab/>
        <w:t>26</w:t>
      </w:r>
    </w:p>
    <w:p w:rsidR="00E6014D" w:rsidRDefault="00E6014D" w:rsidP="00E6014D">
      <w:pPr>
        <w:tabs>
          <w:tab w:val="right" w:pos="850"/>
          <w:tab w:val="left" w:pos="1134"/>
          <w:tab w:val="left" w:pos="1559"/>
          <w:tab w:val="left" w:pos="1984"/>
          <w:tab w:val="left" w:leader="dot" w:pos="8787"/>
          <w:tab w:val="right" w:pos="9638"/>
        </w:tabs>
        <w:spacing w:after="120"/>
        <w:ind w:left="1134" w:hanging="1134"/>
      </w:pPr>
      <w:r>
        <w:t>Annex II</w:t>
      </w:r>
      <w:r>
        <w:tab/>
      </w:r>
      <w:r>
        <w:tab/>
        <w:t xml:space="preserve">Rules of procedure specific to the hearings held pursuant to article 11 of the International </w:t>
      </w:r>
      <w:r w:rsidR="00FE5CCE">
        <w:br/>
      </w:r>
      <w:r>
        <w:t>Convention on t</w:t>
      </w:r>
      <w:r w:rsidRPr="006D1A17">
        <w:t xml:space="preserve">he Elimination </w:t>
      </w:r>
      <w:r>
        <w:t>of All Forms o</w:t>
      </w:r>
      <w:r w:rsidRPr="006D1A17">
        <w:t>f Racial Discrimination</w:t>
      </w:r>
      <w:r>
        <w:tab/>
      </w:r>
      <w:r>
        <w:tab/>
        <w:t>29</w:t>
      </w:r>
    </w:p>
    <w:p w:rsidR="002A1DAC" w:rsidRDefault="002A1DAC" w:rsidP="00E6014D">
      <w:pPr>
        <w:tabs>
          <w:tab w:val="right" w:pos="850"/>
          <w:tab w:val="left" w:pos="1134"/>
          <w:tab w:val="left" w:pos="1559"/>
          <w:tab w:val="left" w:pos="1984"/>
          <w:tab w:val="left" w:leader="dot" w:pos="8787"/>
          <w:tab w:val="right" w:pos="9638"/>
        </w:tabs>
        <w:spacing w:after="120"/>
        <w:ind w:left="1134" w:hanging="1134"/>
      </w:pPr>
    </w:p>
    <w:p w:rsidR="002A1DAC" w:rsidRDefault="002A1DAC" w:rsidP="00E6014D">
      <w:pPr>
        <w:tabs>
          <w:tab w:val="right" w:pos="850"/>
          <w:tab w:val="left" w:pos="1134"/>
          <w:tab w:val="left" w:pos="1559"/>
          <w:tab w:val="left" w:pos="1984"/>
          <w:tab w:val="left" w:leader="dot" w:pos="8787"/>
          <w:tab w:val="right" w:pos="9638"/>
        </w:tabs>
        <w:spacing w:after="120"/>
        <w:ind w:left="1134" w:hanging="1134"/>
        <w:sectPr w:rsidR="002A1DAC" w:rsidSect="002A1DAC">
          <w:headerReference w:type="even" r:id="rId16"/>
          <w:headerReference w:type="default" r:id="rId17"/>
          <w:footerReference w:type="even" r:id="rId18"/>
          <w:footerReference w:type="default" r:id="rId19"/>
          <w:endnotePr>
            <w:numFmt w:val="decimal"/>
          </w:endnotePr>
          <w:pgSz w:w="11909" w:h="16834" w:code="9"/>
          <w:pgMar w:top="1418" w:right="1134" w:bottom="1134" w:left="1134" w:header="851" w:footer="567" w:gutter="0"/>
          <w:pgNumType w:fmt="lowerRoman" w:start="3"/>
          <w:cols w:space="720"/>
          <w:noEndnote/>
          <w:docGrid w:linePitch="278"/>
        </w:sectPr>
      </w:pPr>
    </w:p>
    <w:p w:rsidR="00861DF8" w:rsidRPr="001F5981" w:rsidRDefault="0075361F" w:rsidP="00392018">
      <w:pPr>
        <w:pStyle w:val="HChG"/>
      </w:pPr>
      <w:r w:rsidRPr="001F5981">
        <w:lastRenderedPageBreak/>
        <w:tab/>
      </w:r>
      <w:r w:rsidR="00861DF8" w:rsidRPr="001F5981">
        <w:tab/>
      </w:r>
      <w:bookmarkStart w:id="1" w:name="_Toc428794275"/>
      <w:bookmarkStart w:id="2" w:name="_Toc17361288"/>
      <w:r w:rsidR="00861DF8" w:rsidRPr="001F5981">
        <w:t>Letter</w:t>
      </w:r>
      <w:r w:rsidR="00FD5699" w:rsidRPr="001F5981">
        <w:t xml:space="preserve"> </w:t>
      </w:r>
      <w:r w:rsidR="00861DF8" w:rsidRPr="001F5981">
        <w:t>of</w:t>
      </w:r>
      <w:r w:rsidR="00FD5699" w:rsidRPr="001F5981">
        <w:t xml:space="preserve"> </w:t>
      </w:r>
      <w:r w:rsidR="00861DF8" w:rsidRPr="001F5981">
        <w:t>transmittal</w:t>
      </w:r>
      <w:bookmarkEnd w:id="1"/>
      <w:bookmarkEnd w:id="2"/>
    </w:p>
    <w:p w:rsidR="005D4E76" w:rsidRDefault="005D4E76" w:rsidP="005D4E76">
      <w:pPr>
        <w:pStyle w:val="SingleTxtG"/>
        <w:jc w:val="right"/>
      </w:pPr>
      <w:r>
        <w:t>5 August 2019</w:t>
      </w:r>
    </w:p>
    <w:p w:rsidR="005D4E76" w:rsidRPr="00CB21CA" w:rsidRDefault="005D4E76" w:rsidP="005D4E76">
      <w:pPr>
        <w:pStyle w:val="SingleTxtG"/>
      </w:pPr>
      <w:r w:rsidRPr="00CB21CA">
        <w:t>Sir,</w:t>
      </w:r>
    </w:p>
    <w:p w:rsidR="005D4E76" w:rsidRPr="00CB21CA" w:rsidRDefault="005D4E76" w:rsidP="005D4E76">
      <w:pPr>
        <w:pStyle w:val="SingleTxtG"/>
      </w:pPr>
      <w:r w:rsidRPr="00CB21CA">
        <w:tab/>
        <w:t>It is with pleasure that I transmit the annual report of the Committee on the Elimination of Racial Discrimination.</w:t>
      </w:r>
    </w:p>
    <w:p w:rsidR="005D4E76" w:rsidRPr="00CB21CA" w:rsidRDefault="005D4E76" w:rsidP="005D4E76">
      <w:pPr>
        <w:pStyle w:val="SingleTxtG"/>
      </w:pPr>
      <w:r w:rsidRPr="00CB21CA">
        <w:tab/>
        <w:t>The report contains information on the ninety-</w:t>
      </w:r>
      <w:r>
        <w:t>sixth</w:t>
      </w:r>
      <w:r w:rsidRPr="00CB21CA">
        <w:t>, ninety-</w:t>
      </w:r>
      <w:r>
        <w:t>seventh</w:t>
      </w:r>
      <w:r w:rsidRPr="00CB21CA">
        <w:t xml:space="preserve"> and ninety-</w:t>
      </w:r>
      <w:r>
        <w:t>eighth</w:t>
      </w:r>
      <w:r w:rsidRPr="00CB21CA">
        <w:t xml:space="preserve"> sessions of the Committee, held from </w:t>
      </w:r>
      <w:r>
        <w:t>6</w:t>
      </w:r>
      <w:r w:rsidRPr="00CB21CA">
        <w:t xml:space="preserve"> to </w:t>
      </w:r>
      <w:r>
        <w:t>30</w:t>
      </w:r>
      <w:r w:rsidRPr="00CB21CA">
        <w:t xml:space="preserve"> August 201</w:t>
      </w:r>
      <w:r>
        <w:t>8</w:t>
      </w:r>
      <w:r w:rsidRPr="00CB21CA">
        <w:t>, 2</w:t>
      </w:r>
      <w:r>
        <w:t>6</w:t>
      </w:r>
      <w:r w:rsidRPr="00CB21CA">
        <w:t xml:space="preserve"> November to </w:t>
      </w:r>
      <w:r>
        <w:t>14</w:t>
      </w:r>
      <w:r w:rsidRPr="00CB21CA">
        <w:t xml:space="preserve"> December 201</w:t>
      </w:r>
      <w:r>
        <w:t>8</w:t>
      </w:r>
      <w:r w:rsidRPr="00CB21CA">
        <w:t xml:space="preserve"> and 23 April to 1</w:t>
      </w:r>
      <w:r>
        <w:t>0</w:t>
      </w:r>
      <w:r w:rsidRPr="00CB21CA">
        <w:t xml:space="preserve"> May 201</w:t>
      </w:r>
      <w:r>
        <w:t>9</w:t>
      </w:r>
      <w:r w:rsidRPr="00CB21CA">
        <w:t xml:space="preserve"> respectively.</w:t>
      </w:r>
    </w:p>
    <w:p w:rsidR="005D4E76" w:rsidRPr="00CB21CA" w:rsidRDefault="005D4E76" w:rsidP="005D4E76">
      <w:pPr>
        <w:pStyle w:val="SingleTxtG"/>
      </w:pPr>
      <w:r w:rsidRPr="00CB21CA">
        <w:tab/>
        <w:t>The International Convention on the Elimination of All Forms of Racial Discrimination, which has now been ratified by 1</w:t>
      </w:r>
      <w:r>
        <w:t>81</w:t>
      </w:r>
      <w:r w:rsidRPr="00CB21CA">
        <w:t xml:space="preserve"> States, constitutes the normative basis upon which international efforts to eliminate racial discrimination should be built.</w:t>
      </w:r>
    </w:p>
    <w:p w:rsidR="005D4E76" w:rsidRPr="00CB21CA" w:rsidRDefault="005D4E76" w:rsidP="005D4E76">
      <w:pPr>
        <w:pStyle w:val="SingleTxtG"/>
      </w:pPr>
      <w:r w:rsidRPr="00CB21CA">
        <w:tab/>
        <w:t>During its ninety-</w:t>
      </w:r>
      <w:r>
        <w:t>sixth</w:t>
      </w:r>
      <w:r w:rsidRPr="00CB21CA">
        <w:t>, ninety-</w:t>
      </w:r>
      <w:r>
        <w:t>seventh</w:t>
      </w:r>
      <w:r w:rsidRPr="00CB21CA">
        <w:t xml:space="preserve"> and ninety-</w:t>
      </w:r>
      <w:r>
        <w:t>eighth</w:t>
      </w:r>
      <w:r w:rsidRPr="00CB21CA">
        <w:t xml:space="preserve"> sessions, the Committee continued to deal with a significant workload in terms of the examination of States parties’ reports (see chap</w:t>
      </w:r>
      <w:r>
        <w:t>.</w:t>
      </w:r>
      <w:r w:rsidRPr="00CB21CA">
        <w:t xml:space="preserve"> III)</w:t>
      </w:r>
      <w:r>
        <w:t xml:space="preserve"> and of communications under articles 11 and 14 (see chaps. V and VIII). </w:t>
      </w:r>
    </w:p>
    <w:p w:rsidR="005D4E76" w:rsidRPr="003067A8" w:rsidRDefault="005D4E76" w:rsidP="005D4E76">
      <w:pPr>
        <w:pStyle w:val="SingleTxtG"/>
      </w:pPr>
      <w:r w:rsidRPr="008A45A3">
        <w:tab/>
      </w:r>
      <w:r>
        <w:t>The Committee</w:t>
      </w:r>
      <w:r w:rsidRPr="008A45A3">
        <w:t xml:space="preserve"> examined the situations of </w:t>
      </w:r>
      <w:r w:rsidRPr="00857E51">
        <w:t>several</w:t>
      </w:r>
      <w:r w:rsidRPr="008A45A3">
        <w:t xml:space="preserve"> </w:t>
      </w:r>
      <w:r w:rsidRPr="00817E24">
        <w:t>States parties</w:t>
      </w:r>
      <w:r w:rsidRPr="00A465B7">
        <w:t xml:space="preserve"> under its early warning and urgent</w:t>
      </w:r>
      <w:r w:rsidRPr="00060EB0">
        <w:t xml:space="preserve"> action procedures (see chap</w:t>
      </w:r>
      <w:r>
        <w:t>.</w:t>
      </w:r>
      <w:r w:rsidRPr="00060EB0">
        <w:t xml:space="preserve"> II). </w:t>
      </w:r>
      <w:r>
        <w:t>Furthermore,</w:t>
      </w:r>
      <w:r w:rsidRPr="00060EB0">
        <w:t xml:space="preserve"> </w:t>
      </w:r>
      <w:r>
        <w:t>t</w:t>
      </w:r>
      <w:r w:rsidRPr="00060EB0">
        <w:t xml:space="preserve">he Committee examined information submitted by </w:t>
      </w:r>
      <w:r w:rsidRPr="00857E51">
        <w:t>several</w:t>
      </w:r>
      <w:r w:rsidRPr="00060EB0">
        <w:t xml:space="preserve"> States parties under its procedure for follow-up to the consideration of reports (see chap</w:t>
      </w:r>
      <w:r>
        <w:t>.</w:t>
      </w:r>
      <w:r w:rsidRPr="00060EB0">
        <w:t xml:space="preserve"> IV). </w:t>
      </w:r>
      <w:r>
        <w:t>It also undertook other activities, including holding a meeting with States parties at the ninety-seventh session and launching the process of preparing a general recommendation on preventing and combating racial profiling at the ninety-seventh and ninety-eighth sessions. The Committee continued its work to follow up on General Assembly resolution 68/268 on strengthening and enhancing the effective functioning of the human rights treaty body system. The Chair, on behalf of t</w:t>
      </w:r>
      <w:r w:rsidRPr="008A45A3">
        <w:t>he Committee</w:t>
      </w:r>
      <w:r>
        <w:t xml:space="preserve">, was invited by the President of the General Assembly to address the commemorative plenary meeting of the General Assembly to mark </w:t>
      </w:r>
      <w:r w:rsidRPr="008A45A3">
        <w:t>the International Day for the Elimination of Racial Discrimination</w:t>
      </w:r>
      <w:r>
        <w:t>,</w:t>
      </w:r>
      <w:r w:rsidRPr="008A45A3">
        <w:t xml:space="preserve"> </w:t>
      </w:r>
      <w:r>
        <w:t xml:space="preserve">which was </w:t>
      </w:r>
      <w:r>
        <w:rPr>
          <w:lang w:val="en-US"/>
        </w:rPr>
        <w:t>held in New York on 25 March 2019</w:t>
      </w:r>
      <w:r w:rsidRPr="008A45A3">
        <w:t xml:space="preserve"> </w:t>
      </w:r>
      <w:r>
        <w:t xml:space="preserve">and focused </w:t>
      </w:r>
      <w:r w:rsidRPr="008A45A3">
        <w:t xml:space="preserve">on </w:t>
      </w:r>
      <w:r>
        <w:rPr>
          <w:lang w:val="en-US"/>
        </w:rPr>
        <w:t xml:space="preserve">mitigation and countering of rising nationalist populism and extreme supremacist ideologies. </w:t>
      </w:r>
    </w:p>
    <w:p w:rsidR="005D4E76" w:rsidRPr="00CB21CA" w:rsidRDefault="005D4E76" w:rsidP="005D4E76">
      <w:pPr>
        <w:pStyle w:val="SingleTxtG"/>
      </w:pPr>
      <w:r w:rsidRPr="00686C82">
        <w:tab/>
        <w:t xml:space="preserve">The </w:t>
      </w:r>
      <w:r w:rsidRPr="005F233D">
        <w:t xml:space="preserve">Committee </w:t>
      </w:r>
      <w:r w:rsidRPr="00CB21CA">
        <w:t>remains committed to a continuous process of improvement of its working methods, with the aim of maximizing its effectiveness and adopting innovative approaches to combating contemporary forms of racial discrimination. The evolving practice and interpretation of the Convention by the Committee is reflected in its general recommendations, opinions on individual communications, decisions and concluding observations.</w:t>
      </w:r>
    </w:p>
    <w:p w:rsidR="005D4E76" w:rsidRPr="003067A8" w:rsidRDefault="005D4E76" w:rsidP="005D4E76">
      <w:pPr>
        <w:pStyle w:val="SingleTxtG"/>
      </w:pPr>
      <w:r w:rsidRPr="00CB21CA">
        <w:tab/>
      </w:r>
      <w:r w:rsidRPr="0044040E">
        <w:t>It</w:t>
      </w:r>
      <w:r w:rsidRPr="00601A41">
        <w:t xml:space="preserve"> is clear that while progress has been made to address racial discrimination, major and multifaceted challenges remain in the struggle towards its elimination, including </w:t>
      </w:r>
      <w:r w:rsidRPr="00E327E0">
        <w:t>the continuation of racist hate speech</w:t>
      </w:r>
      <w:r>
        <w:t>,</w:t>
      </w:r>
      <w:r w:rsidRPr="00E327E0">
        <w:t xml:space="preserve"> the resurgence of nationalist populism </w:t>
      </w:r>
      <w:r>
        <w:t>and</w:t>
      </w:r>
      <w:r w:rsidRPr="00E327E0">
        <w:t xml:space="preserve"> organizations that promote ideologies of racial superiority</w:t>
      </w:r>
      <w:r>
        <w:t>,</w:t>
      </w:r>
      <w:r w:rsidRPr="00E327E0">
        <w:t xml:space="preserve"> and </w:t>
      </w:r>
      <w:r>
        <w:t xml:space="preserve">the </w:t>
      </w:r>
      <w:r w:rsidRPr="00E327E0">
        <w:t>difficulties</w:t>
      </w:r>
      <w:r>
        <w:t xml:space="preserve"> that</w:t>
      </w:r>
      <w:r w:rsidRPr="00E327E0">
        <w:t xml:space="preserve"> States parties face </w:t>
      </w:r>
      <w:r>
        <w:t>in</w:t>
      </w:r>
      <w:r w:rsidRPr="00E327E0">
        <w:t xml:space="preserve"> counter</w:t>
      </w:r>
      <w:r>
        <w:t>ing</w:t>
      </w:r>
      <w:r w:rsidRPr="00E327E0">
        <w:t xml:space="preserve"> these phenomena</w:t>
      </w:r>
      <w:r>
        <w:t xml:space="preserve">. </w:t>
      </w:r>
      <w:r w:rsidRPr="00601A41">
        <w:t>I have no doubt that the dedication and professionalism of the members of the Committee, as well as the pluralistic and multidisciplinary nature of their contributions, will ensure that the work of the Committee will continue to contribute significantly to the implementation of both the Convention and the follow-up to the World Conference against Racism, Racial Discrimination, Xenophobia and Related Intolerance in the years ahead.</w:t>
      </w:r>
    </w:p>
    <w:p w:rsidR="0055315D" w:rsidRPr="001F5981" w:rsidRDefault="0055315D" w:rsidP="0055315D">
      <w:pPr>
        <w:pStyle w:val="SingleTxtG"/>
        <w:keepNext/>
        <w:keepLines/>
      </w:pPr>
      <w:r w:rsidRPr="001F5981">
        <w:lastRenderedPageBreak/>
        <w:tab/>
        <w:t>Please accept, Sir, the assurances of my highest consideration.</w:t>
      </w:r>
    </w:p>
    <w:p w:rsidR="0055315D" w:rsidRPr="001F5981" w:rsidRDefault="0055315D" w:rsidP="0055315D">
      <w:pPr>
        <w:pStyle w:val="SingleTxtG"/>
        <w:keepNext/>
        <w:keepLines/>
        <w:jc w:val="right"/>
      </w:pPr>
      <w:r w:rsidRPr="001F5981">
        <w:t>(</w:t>
      </w:r>
      <w:r w:rsidRPr="001F5981">
        <w:rPr>
          <w:i/>
        </w:rPr>
        <w:t>Signed</w:t>
      </w:r>
      <w:r w:rsidRPr="001F5981">
        <w:t xml:space="preserve">) Nourredine </w:t>
      </w:r>
      <w:r w:rsidRPr="001F5981">
        <w:rPr>
          <w:b/>
          <w:bCs/>
        </w:rPr>
        <w:t>Amir</w:t>
      </w:r>
      <w:r w:rsidRPr="001F5981">
        <w:br/>
        <w:t>Chair</w:t>
      </w:r>
      <w:r w:rsidRPr="001F5981">
        <w:br/>
        <w:t>Committee on the Elimination</w:t>
      </w:r>
      <w:r w:rsidRPr="001F5981">
        <w:br/>
        <w:t>of Racial Discrimination</w:t>
      </w:r>
    </w:p>
    <w:p w:rsidR="0055315D" w:rsidRPr="001F5981" w:rsidRDefault="0055315D" w:rsidP="0055315D">
      <w:pPr>
        <w:pStyle w:val="SingleTxtG"/>
        <w:keepNext/>
        <w:keepLines/>
        <w:spacing w:before="2040"/>
        <w:jc w:val="left"/>
      </w:pPr>
      <w:r w:rsidRPr="001F5981">
        <w:t>His Excellency Mr. António Guterres</w:t>
      </w:r>
      <w:r w:rsidRPr="001F5981">
        <w:br/>
        <w:t>Secretary-General of the United Nations</w:t>
      </w:r>
      <w:r w:rsidRPr="001F5981">
        <w:br/>
        <w:t>New York</w:t>
      </w:r>
    </w:p>
    <w:p w:rsidR="00AD13EC" w:rsidRPr="001F5981" w:rsidRDefault="00AD13EC" w:rsidP="00AD13EC">
      <w:r w:rsidRPr="001F5981">
        <w:br w:type="page"/>
      </w:r>
    </w:p>
    <w:p w:rsidR="00861DF8" w:rsidRDefault="00861DF8" w:rsidP="001B417D">
      <w:pPr>
        <w:pStyle w:val="HChG"/>
      </w:pPr>
      <w:r w:rsidRPr="001F5981">
        <w:lastRenderedPageBreak/>
        <w:tab/>
      </w:r>
      <w:bookmarkStart w:id="3" w:name="_Toc428794276"/>
      <w:bookmarkStart w:id="4" w:name="_Toc17361289"/>
      <w:r w:rsidRPr="001F5981">
        <w:t>I.</w:t>
      </w:r>
      <w:r w:rsidRPr="001F5981">
        <w:tab/>
        <w:t>Organizational</w:t>
      </w:r>
      <w:r w:rsidR="00FD5699" w:rsidRPr="001F5981">
        <w:t xml:space="preserve"> </w:t>
      </w:r>
      <w:r w:rsidRPr="001F5981">
        <w:t>and</w:t>
      </w:r>
      <w:r w:rsidR="00FD5699" w:rsidRPr="001F5981">
        <w:t xml:space="preserve"> </w:t>
      </w:r>
      <w:r w:rsidRPr="001F5981">
        <w:t>related</w:t>
      </w:r>
      <w:r w:rsidR="00FD5699" w:rsidRPr="001F5981">
        <w:t xml:space="preserve"> </w:t>
      </w:r>
      <w:r w:rsidRPr="001F5981">
        <w:t>matters</w:t>
      </w:r>
      <w:bookmarkEnd w:id="3"/>
      <w:bookmarkEnd w:id="4"/>
    </w:p>
    <w:p w:rsidR="00485180" w:rsidRPr="00CB21CA" w:rsidRDefault="00485180" w:rsidP="00485180">
      <w:pPr>
        <w:pStyle w:val="H1G"/>
      </w:pPr>
      <w:r w:rsidRPr="00CB21CA">
        <w:tab/>
      </w:r>
      <w:bookmarkStart w:id="5" w:name="_Toc428794277"/>
      <w:bookmarkStart w:id="6" w:name="_Toc17361290"/>
      <w:r w:rsidRPr="00CB21CA">
        <w:t>A.</w:t>
      </w:r>
      <w:r w:rsidRPr="00CB21CA">
        <w:tab/>
        <w:t xml:space="preserve">States parties to the International Convention on the Elimination </w:t>
      </w:r>
      <w:r w:rsidRPr="00CB21CA">
        <w:br/>
        <w:t>of All Forms of Racial Discrimination</w:t>
      </w:r>
      <w:bookmarkEnd w:id="5"/>
      <w:bookmarkEnd w:id="6"/>
    </w:p>
    <w:p w:rsidR="00485180" w:rsidRDefault="00485180" w:rsidP="00485180">
      <w:pPr>
        <w:pStyle w:val="SingleTxtG"/>
      </w:pPr>
      <w:r>
        <w:t>1.</w:t>
      </w:r>
      <w:r>
        <w:tab/>
      </w:r>
      <w:r w:rsidRPr="00CB21CA">
        <w:t>As at</w:t>
      </w:r>
      <w:r>
        <w:t xml:space="preserve"> 10 May</w:t>
      </w:r>
      <w:r w:rsidRPr="00CB21CA">
        <w:t xml:space="preserve"> </w:t>
      </w:r>
      <w:r>
        <w:t xml:space="preserve">2019, by </w:t>
      </w:r>
      <w:r w:rsidRPr="00CB21CA">
        <w:t>the closing date of the ninety-</w:t>
      </w:r>
      <w:r>
        <w:t xml:space="preserve">eighth </w:t>
      </w:r>
      <w:r w:rsidRPr="00CB21CA">
        <w:t>session of the Committee on the Elimination of Racial Discrimination, there were 1</w:t>
      </w:r>
      <w:r>
        <w:t>81</w:t>
      </w:r>
      <w:r w:rsidRPr="00CB21CA">
        <w:t xml:space="preserve"> States parties to the International Convention on the Elimination of All Forms of Racial Discrimination, which was adopted by the General Assembly in resolution </w:t>
      </w:r>
      <w:r w:rsidRPr="00030B1B">
        <w:t>2106</w:t>
      </w:r>
      <w:r>
        <w:t xml:space="preserve"> </w:t>
      </w:r>
      <w:r w:rsidRPr="00030B1B">
        <w:t>A (XX) of 21 December 1965 and opened for signature and ratification in New York on 7 March 1966. The Convention entered into force on 4 January 1969 in accordance with the provisions of its article</w:t>
      </w:r>
      <w:r>
        <w:t> </w:t>
      </w:r>
      <w:r w:rsidRPr="00030B1B">
        <w:t>19.</w:t>
      </w:r>
      <w:r>
        <w:t xml:space="preserve"> During the period under review, Dominica and the Marshall Islands acceded to the Convention. </w:t>
      </w:r>
    </w:p>
    <w:p w:rsidR="00485180" w:rsidRDefault="00485180" w:rsidP="00485180">
      <w:pPr>
        <w:pStyle w:val="SingleTxtG"/>
      </w:pPr>
      <w:r>
        <w:t>2.</w:t>
      </w:r>
      <w:r>
        <w:tab/>
      </w:r>
      <w:r w:rsidRPr="00030B1B">
        <w:t>By the closing date of the ninety-</w:t>
      </w:r>
      <w:r>
        <w:t>eighth</w:t>
      </w:r>
      <w:r w:rsidRPr="00030B1B">
        <w:t xml:space="preserve"> session, 58 of the 1</w:t>
      </w:r>
      <w:r>
        <w:t>81</w:t>
      </w:r>
      <w:r w:rsidRPr="00030B1B">
        <w:t xml:space="preserve"> parties to the Convention had made </w:t>
      </w:r>
      <w:r>
        <w:t>a</w:t>
      </w:r>
      <w:r w:rsidRPr="00030B1B">
        <w:t xml:space="preserve"> declaration </w:t>
      </w:r>
      <w:r>
        <w:t xml:space="preserve">under </w:t>
      </w:r>
      <w:r w:rsidRPr="00030B1B">
        <w:t>article 14 (1) of the Convention</w:t>
      </w:r>
      <w:r>
        <w:t>,</w:t>
      </w:r>
      <w:r w:rsidRPr="00030B1B">
        <w:t xml:space="preserve"> recognizing the competence of the Committee to receive and consider communications from individuals or groups of individuals who claim to be victims of a violation by the State party concerned of any of the rights set forth in the Convention. </w:t>
      </w:r>
      <w:r>
        <w:t>The Committee’s competence to exercise the functions provided for in a</w:t>
      </w:r>
      <w:r w:rsidRPr="00030B1B">
        <w:t xml:space="preserve">rticle 14 </w:t>
      </w:r>
      <w:r>
        <w:t>took effect</w:t>
      </w:r>
      <w:r w:rsidRPr="00030B1B">
        <w:t xml:space="preserve"> on 3 December 1982, following the deposit with the Secretary-General of the tenth </w:t>
      </w:r>
      <w:r>
        <w:t xml:space="preserve">such </w:t>
      </w:r>
      <w:r w:rsidRPr="00030B1B">
        <w:t>declaration</w:t>
      </w:r>
      <w:r>
        <w:t xml:space="preserve">. </w:t>
      </w:r>
    </w:p>
    <w:p w:rsidR="00485180" w:rsidRDefault="00485180" w:rsidP="00485180">
      <w:pPr>
        <w:pStyle w:val="SingleTxtG"/>
      </w:pPr>
      <w:r>
        <w:t>3.</w:t>
      </w:r>
      <w:r>
        <w:tab/>
        <w:t xml:space="preserve">Forty-nine States parties have accepted </w:t>
      </w:r>
      <w:r w:rsidRPr="00030B1B">
        <w:t xml:space="preserve">the </w:t>
      </w:r>
      <w:r>
        <w:t>amendment</w:t>
      </w:r>
      <w:r w:rsidRPr="00030B1B">
        <w:t xml:space="preserve"> to </w:t>
      </w:r>
      <w:r>
        <w:t xml:space="preserve">article 8 (6) of </w:t>
      </w:r>
      <w:r w:rsidRPr="00030B1B">
        <w:t>the Convention</w:t>
      </w:r>
      <w:r>
        <w:t>,</w:t>
      </w:r>
      <w:r w:rsidRPr="00030B1B">
        <w:t xml:space="preserve"> adopted </w:t>
      </w:r>
      <w:r>
        <w:t xml:space="preserve">on 15 January 1992 </w:t>
      </w:r>
      <w:r w:rsidRPr="00030B1B">
        <w:t xml:space="preserve">at the fourteenth meeting of States parties </w:t>
      </w:r>
      <w:r>
        <w:t xml:space="preserve">and endorsed by the General Assembly in its resolution 47/111 of 16 December 1992, relating to the funding of the Committee’s activities. </w:t>
      </w:r>
    </w:p>
    <w:p w:rsidR="00485180" w:rsidRDefault="00485180" w:rsidP="00AC1CCB">
      <w:pPr>
        <w:pStyle w:val="SingleTxtG"/>
      </w:pPr>
      <w:r>
        <w:t>4.</w:t>
      </w:r>
      <w:r>
        <w:tab/>
        <w:t>Li</w:t>
      </w:r>
      <w:r w:rsidRPr="00030B1B">
        <w:t xml:space="preserve">sts of </w:t>
      </w:r>
      <w:r>
        <w:t>the</w:t>
      </w:r>
      <w:r w:rsidRPr="00030B1B">
        <w:t xml:space="preserve"> </w:t>
      </w:r>
      <w:r>
        <w:t xml:space="preserve">States </w:t>
      </w:r>
      <w:r w:rsidRPr="00030B1B">
        <w:t xml:space="preserve">parties that have made the declaration under article 14 and </w:t>
      </w:r>
      <w:r>
        <w:t xml:space="preserve">of those </w:t>
      </w:r>
      <w:r w:rsidRPr="00030B1B">
        <w:t>that have accepted the amendment to</w:t>
      </w:r>
      <w:r>
        <w:t xml:space="preserve"> article 8 (6) of</w:t>
      </w:r>
      <w:r w:rsidRPr="00030B1B">
        <w:t xml:space="preserve"> </w:t>
      </w:r>
      <w:r>
        <w:t xml:space="preserve">the Convention </w:t>
      </w:r>
      <w:r w:rsidRPr="00030B1B">
        <w:t xml:space="preserve">can be found on the website of the United Nations Treaty Collection (see </w:t>
      </w:r>
      <w:hyperlink r:id="rId20" w:history="1">
        <w:r w:rsidR="00AC1CCB" w:rsidRPr="00A50896">
          <w:rPr>
            <w:rStyle w:val="Hyperlink"/>
          </w:rPr>
          <w:t>https://treaties.un.org/pages/ Treaties.aspx?id=4&amp;subid=A&amp;lang=en</w:t>
        </w:r>
      </w:hyperlink>
      <w:r w:rsidRPr="00030B1B">
        <w:t>).</w:t>
      </w:r>
      <w:bookmarkStart w:id="7" w:name="_Toc428794278"/>
    </w:p>
    <w:p w:rsidR="00485180" w:rsidRPr="00CB21CA" w:rsidRDefault="00485180" w:rsidP="00485180">
      <w:pPr>
        <w:pStyle w:val="H1G"/>
      </w:pPr>
      <w:r>
        <w:tab/>
      </w:r>
      <w:bookmarkStart w:id="8" w:name="_Toc17361291"/>
      <w:r w:rsidRPr="00CB21CA">
        <w:t>B.</w:t>
      </w:r>
      <w:r w:rsidRPr="00CB21CA">
        <w:tab/>
        <w:t>Sessions and agendas</w:t>
      </w:r>
      <w:bookmarkEnd w:id="7"/>
      <w:bookmarkEnd w:id="8"/>
    </w:p>
    <w:p w:rsidR="00485180" w:rsidRPr="00CB21CA" w:rsidRDefault="00485180" w:rsidP="00485180">
      <w:pPr>
        <w:pStyle w:val="SingleTxtG"/>
      </w:pPr>
      <w:r w:rsidRPr="00CB21CA">
        <w:t>5.</w:t>
      </w:r>
      <w:r w:rsidRPr="00CB21CA">
        <w:tab/>
        <w:t>The Committee held three sessions during the period under review. The ninety-</w:t>
      </w:r>
      <w:r>
        <w:t>sixth</w:t>
      </w:r>
      <w:r w:rsidRPr="00CB21CA">
        <w:t xml:space="preserve"> session (2</w:t>
      </w:r>
      <w:r>
        <w:t>645</w:t>
      </w:r>
      <w:r w:rsidRPr="00CB21CA">
        <w:t>th</w:t>
      </w:r>
      <w:r>
        <w:t>–</w:t>
      </w:r>
      <w:r w:rsidRPr="00CB21CA">
        <w:t>2</w:t>
      </w:r>
      <w:r>
        <w:t>679</w:t>
      </w:r>
      <w:r w:rsidRPr="00CB21CA">
        <w:t>th</w:t>
      </w:r>
      <w:r>
        <w:t xml:space="preserve"> meetings</w:t>
      </w:r>
      <w:r w:rsidRPr="00CB21CA">
        <w:t>), the ninety-</w:t>
      </w:r>
      <w:r>
        <w:t>seventh session</w:t>
      </w:r>
      <w:r w:rsidRPr="00CB21CA">
        <w:t xml:space="preserve"> (2</w:t>
      </w:r>
      <w:r>
        <w:t>680</w:t>
      </w:r>
      <w:r w:rsidRPr="00CB21CA">
        <w:t>th</w:t>
      </w:r>
      <w:r>
        <w:t>–</w:t>
      </w:r>
      <w:r w:rsidRPr="00CB21CA">
        <w:t>2</w:t>
      </w:r>
      <w:r>
        <w:t>709</w:t>
      </w:r>
      <w:r w:rsidRPr="00CB21CA">
        <w:t>th</w:t>
      </w:r>
      <w:r>
        <w:t xml:space="preserve"> meetings</w:t>
      </w:r>
      <w:r w:rsidRPr="00CB21CA">
        <w:t>) and the ninety-</w:t>
      </w:r>
      <w:r>
        <w:t>eighth session</w:t>
      </w:r>
      <w:r w:rsidRPr="00CB21CA">
        <w:t xml:space="preserve"> (2</w:t>
      </w:r>
      <w:r>
        <w:t>710</w:t>
      </w:r>
      <w:r w:rsidRPr="00CB21CA">
        <w:t>th–2</w:t>
      </w:r>
      <w:r>
        <w:t>737</w:t>
      </w:r>
      <w:r w:rsidRPr="00CB21CA">
        <w:t>th</w:t>
      </w:r>
      <w:r>
        <w:t xml:space="preserve"> meetings</w:t>
      </w:r>
      <w:r w:rsidRPr="00CB21CA">
        <w:t xml:space="preserve">) were held at the United Nations Office at Geneva from </w:t>
      </w:r>
      <w:r>
        <w:t xml:space="preserve">6 to 30 August 2018, </w:t>
      </w:r>
      <w:r w:rsidRPr="00CB21CA">
        <w:t>2</w:t>
      </w:r>
      <w:r>
        <w:t>6</w:t>
      </w:r>
      <w:r w:rsidRPr="00CB21CA">
        <w:t xml:space="preserve"> November to </w:t>
      </w:r>
      <w:r>
        <w:t>14</w:t>
      </w:r>
      <w:r w:rsidRPr="00CB21CA">
        <w:t xml:space="preserve"> December 201</w:t>
      </w:r>
      <w:r>
        <w:t>8</w:t>
      </w:r>
      <w:r w:rsidRPr="00CB21CA">
        <w:t xml:space="preserve"> and 23 April to 1</w:t>
      </w:r>
      <w:r>
        <w:t>0</w:t>
      </w:r>
      <w:r w:rsidRPr="00CB21CA">
        <w:t xml:space="preserve"> May 201</w:t>
      </w:r>
      <w:r>
        <w:t>9</w:t>
      </w:r>
      <w:r w:rsidRPr="00CB21CA">
        <w:t xml:space="preserve"> respectively.</w:t>
      </w:r>
    </w:p>
    <w:p w:rsidR="00485180" w:rsidRPr="005F233D" w:rsidRDefault="00485180" w:rsidP="00485180">
      <w:pPr>
        <w:pStyle w:val="SingleTxtG"/>
      </w:pPr>
      <w:r w:rsidRPr="005F233D">
        <w:t>6.</w:t>
      </w:r>
      <w:r w:rsidRPr="005F233D">
        <w:tab/>
      </w:r>
      <w:r w:rsidRPr="00CB21CA">
        <w:t>The provisional agendas of</w:t>
      </w:r>
      <w:r>
        <w:t xml:space="preserve"> the ninety-sixth and ninety-eighth </w:t>
      </w:r>
      <w:r w:rsidRPr="00CB21CA">
        <w:t xml:space="preserve">sessions were adopted by the Committee without revision (see </w:t>
      </w:r>
      <w:hyperlink r:id="rId21" w:history="1">
        <w:r w:rsidRPr="00A50896">
          <w:rPr>
            <w:rStyle w:val="Hyperlink"/>
          </w:rPr>
          <w:t>CERD/C/96/1</w:t>
        </w:r>
      </w:hyperlink>
      <w:r>
        <w:t xml:space="preserve"> and </w:t>
      </w:r>
      <w:hyperlink r:id="rId22" w:history="1">
        <w:r w:rsidRPr="00A50896">
          <w:rPr>
            <w:rStyle w:val="Hyperlink"/>
          </w:rPr>
          <w:t>CERD/C/98/1</w:t>
        </w:r>
      </w:hyperlink>
      <w:r w:rsidRPr="003067A8">
        <w:t xml:space="preserve">). </w:t>
      </w:r>
      <w:r>
        <w:t>A r</w:t>
      </w:r>
      <w:r w:rsidRPr="00686C82">
        <w:t xml:space="preserve">evision of the agenda of the </w:t>
      </w:r>
      <w:r>
        <w:t xml:space="preserve">ninety-seventh </w:t>
      </w:r>
      <w:r w:rsidRPr="003067A8">
        <w:t>session (</w:t>
      </w:r>
      <w:hyperlink r:id="rId23" w:history="1">
        <w:r w:rsidRPr="00A50896">
          <w:rPr>
            <w:rStyle w:val="Hyperlink"/>
          </w:rPr>
          <w:t>CERD/C/97/1</w:t>
        </w:r>
      </w:hyperlink>
      <w:r w:rsidRPr="003067A8">
        <w:t xml:space="preserve">) </w:t>
      </w:r>
      <w:r w:rsidRPr="00686C82">
        <w:t>was announced at the opening of the session.</w:t>
      </w:r>
    </w:p>
    <w:p w:rsidR="00485180" w:rsidRPr="00CB21CA" w:rsidRDefault="00485180" w:rsidP="00485180">
      <w:pPr>
        <w:pStyle w:val="H1G"/>
      </w:pPr>
      <w:r w:rsidRPr="00CB21CA">
        <w:tab/>
      </w:r>
      <w:bookmarkStart w:id="9" w:name="_Toc428794279"/>
      <w:bookmarkStart w:id="10" w:name="_Toc17361292"/>
      <w:r w:rsidRPr="00CB21CA">
        <w:t>C.</w:t>
      </w:r>
      <w:r w:rsidRPr="00CB21CA">
        <w:tab/>
        <w:t>Membership</w:t>
      </w:r>
      <w:bookmarkEnd w:id="9"/>
      <w:bookmarkEnd w:id="10"/>
    </w:p>
    <w:p w:rsidR="00485180" w:rsidRPr="00CB21CA" w:rsidRDefault="00DE4A2F" w:rsidP="00B74C70">
      <w:pPr>
        <w:pStyle w:val="SingleTxtG"/>
        <w:spacing w:after="240"/>
      </w:pPr>
      <w:r>
        <w:t>7.</w:t>
      </w:r>
      <w:r>
        <w:tab/>
      </w:r>
      <w:r w:rsidR="00485180" w:rsidRPr="00CB21CA">
        <w:t xml:space="preserve">The list of members of the Committee </w:t>
      </w:r>
      <w:r w:rsidR="00485180">
        <w:t>during the ninety-sixth and ninety-seventh sessions was as follows</w:t>
      </w:r>
      <w:r w:rsidR="00485180" w:rsidRPr="00CB21CA">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19"/>
        <w:gridCol w:w="2268"/>
        <w:gridCol w:w="1983"/>
      </w:tblGrid>
      <w:tr w:rsidR="00485180" w:rsidRPr="00BB40A7" w:rsidTr="00CB37E9">
        <w:trPr>
          <w:cantSplit/>
          <w:trHeight w:val="240"/>
          <w:tblHeader/>
        </w:trPr>
        <w:tc>
          <w:tcPr>
            <w:tcW w:w="3119" w:type="dxa"/>
            <w:tcBorders>
              <w:top w:val="single" w:sz="4" w:space="0" w:color="auto"/>
              <w:bottom w:val="single" w:sz="12" w:space="0" w:color="auto"/>
            </w:tcBorders>
            <w:shd w:val="clear" w:color="auto" w:fill="auto"/>
            <w:vAlign w:val="bottom"/>
          </w:tcPr>
          <w:p w:rsidR="00485180" w:rsidRPr="00BB40A7" w:rsidRDefault="00485180" w:rsidP="00CB37E9">
            <w:pPr>
              <w:pStyle w:val="SingleTxtG"/>
              <w:spacing w:before="80" w:after="80" w:line="200" w:lineRule="exact"/>
              <w:ind w:left="0" w:right="113"/>
              <w:jc w:val="left"/>
              <w:rPr>
                <w:i/>
                <w:sz w:val="16"/>
              </w:rPr>
            </w:pPr>
            <w:r w:rsidRPr="00BB40A7">
              <w:rPr>
                <w:i/>
                <w:sz w:val="16"/>
              </w:rPr>
              <w:t>Name of member</w:t>
            </w:r>
          </w:p>
        </w:tc>
        <w:tc>
          <w:tcPr>
            <w:tcW w:w="2268" w:type="dxa"/>
            <w:tcBorders>
              <w:top w:val="single" w:sz="4" w:space="0" w:color="auto"/>
              <w:bottom w:val="single" w:sz="12" w:space="0" w:color="auto"/>
            </w:tcBorders>
            <w:shd w:val="clear" w:color="auto" w:fill="auto"/>
            <w:vAlign w:val="bottom"/>
          </w:tcPr>
          <w:p w:rsidR="00485180" w:rsidRPr="00BB40A7" w:rsidRDefault="00485180" w:rsidP="00CB37E9">
            <w:pPr>
              <w:pStyle w:val="SingleTxtG"/>
              <w:spacing w:before="80" w:after="80" w:line="200" w:lineRule="exact"/>
              <w:ind w:left="0" w:right="113"/>
              <w:jc w:val="left"/>
              <w:rPr>
                <w:i/>
                <w:sz w:val="16"/>
              </w:rPr>
            </w:pPr>
            <w:r w:rsidRPr="00BB40A7">
              <w:rPr>
                <w:i/>
                <w:sz w:val="16"/>
              </w:rPr>
              <w:t>Nationality</w:t>
            </w:r>
          </w:p>
        </w:tc>
        <w:tc>
          <w:tcPr>
            <w:tcW w:w="1983" w:type="dxa"/>
            <w:tcBorders>
              <w:top w:val="single" w:sz="4" w:space="0" w:color="auto"/>
              <w:bottom w:val="single" w:sz="12" w:space="0" w:color="auto"/>
            </w:tcBorders>
            <w:shd w:val="clear" w:color="auto" w:fill="auto"/>
            <w:vAlign w:val="bottom"/>
          </w:tcPr>
          <w:p w:rsidR="00485180" w:rsidRPr="00BB40A7" w:rsidRDefault="00485180" w:rsidP="00CB37E9">
            <w:pPr>
              <w:pStyle w:val="SingleTxtG"/>
              <w:spacing w:before="80" w:after="80" w:line="200" w:lineRule="exact"/>
              <w:ind w:left="0" w:right="113"/>
              <w:jc w:val="left"/>
              <w:rPr>
                <w:i/>
                <w:sz w:val="16"/>
              </w:rPr>
            </w:pPr>
            <w:r w:rsidRPr="00BB40A7">
              <w:rPr>
                <w:i/>
                <w:sz w:val="16"/>
              </w:rPr>
              <w:t>Term expires on 19 January</w:t>
            </w:r>
          </w:p>
        </w:tc>
      </w:tr>
      <w:tr w:rsidR="00485180" w:rsidRPr="00BB40A7" w:rsidTr="00CB37E9">
        <w:trPr>
          <w:cantSplit/>
          <w:trHeight w:hRule="exact" w:val="57"/>
          <w:tblHeader/>
        </w:trPr>
        <w:tc>
          <w:tcPr>
            <w:tcW w:w="3119" w:type="dxa"/>
            <w:tcBorders>
              <w:top w:val="single" w:sz="12" w:space="0" w:color="auto"/>
            </w:tcBorders>
            <w:shd w:val="clear" w:color="auto" w:fill="auto"/>
          </w:tcPr>
          <w:p w:rsidR="00485180" w:rsidRPr="00BB40A7" w:rsidRDefault="00485180" w:rsidP="00CB37E9">
            <w:pPr>
              <w:pStyle w:val="SingleTxtG"/>
              <w:spacing w:before="40" w:line="220" w:lineRule="exact"/>
              <w:ind w:left="0" w:right="113"/>
              <w:jc w:val="left"/>
            </w:pPr>
          </w:p>
        </w:tc>
        <w:tc>
          <w:tcPr>
            <w:tcW w:w="2268" w:type="dxa"/>
            <w:tcBorders>
              <w:top w:val="single" w:sz="12" w:space="0" w:color="auto"/>
            </w:tcBorders>
            <w:shd w:val="clear" w:color="auto" w:fill="auto"/>
          </w:tcPr>
          <w:p w:rsidR="00485180" w:rsidRPr="00BB40A7" w:rsidRDefault="00485180" w:rsidP="00CB37E9">
            <w:pPr>
              <w:pStyle w:val="SingleTxtG"/>
              <w:spacing w:before="40" w:line="220" w:lineRule="exact"/>
              <w:ind w:left="0" w:right="113"/>
              <w:jc w:val="left"/>
            </w:pPr>
          </w:p>
        </w:tc>
        <w:tc>
          <w:tcPr>
            <w:tcW w:w="1983" w:type="dxa"/>
            <w:tcBorders>
              <w:top w:val="single" w:sz="12" w:space="0" w:color="auto"/>
            </w:tcBorders>
            <w:shd w:val="clear" w:color="auto" w:fill="auto"/>
          </w:tcPr>
          <w:p w:rsidR="00485180" w:rsidRPr="00BB40A7" w:rsidRDefault="00485180" w:rsidP="00CB37E9">
            <w:pPr>
              <w:pStyle w:val="SingleTxtG"/>
              <w:spacing w:before="40" w:line="220" w:lineRule="exact"/>
              <w:ind w:left="0" w:right="113"/>
              <w:jc w:val="left"/>
            </w:pPr>
          </w:p>
        </w:tc>
      </w:tr>
      <w:tr w:rsidR="00485180" w:rsidRPr="00BB40A7" w:rsidTr="00CB37E9">
        <w:trPr>
          <w:cantSplit/>
          <w:trHeight w:val="240"/>
        </w:trPr>
        <w:tc>
          <w:tcPr>
            <w:tcW w:w="3119" w:type="dxa"/>
            <w:shd w:val="clear" w:color="auto" w:fill="auto"/>
          </w:tcPr>
          <w:p w:rsidR="00485180" w:rsidRPr="00803672" w:rsidRDefault="00485180" w:rsidP="00CB37E9">
            <w:pPr>
              <w:pStyle w:val="SingleTxtG"/>
              <w:spacing w:before="40" w:line="220" w:lineRule="exact"/>
              <w:ind w:left="0" w:right="113"/>
              <w:jc w:val="left"/>
              <w:rPr>
                <w:lang w:val="fr-FR"/>
              </w:rPr>
            </w:pPr>
            <w:r w:rsidRPr="00703602">
              <w:rPr>
                <w:lang w:val="fr-FR"/>
              </w:rPr>
              <w:t xml:space="preserve">Silvio José </w:t>
            </w:r>
            <w:r w:rsidRPr="00601A41">
              <w:rPr>
                <w:b/>
                <w:lang w:val="fr-FR"/>
              </w:rPr>
              <w:t xml:space="preserve">Albuquerque </w:t>
            </w:r>
            <w:r>
              <w:rPr>
                <w:b/>
                <w:lang w:val="fr-FR"/>
              </w:rPr>
              <w:t>e</w:t>
            </w:r>
            <w:r w:rsidRPr="00601A41">
              <w:rPr>
                <w:b/>
                <w:lang w:val="fr-FR"/>
              </w:rPr>
              <w:t xml:space="preserve"> Silva</w:t>
            </w:r>
          </w:p>
          <w:p w:rsidR="00485180" w:rsidRPr="00803672" w:rsidRDefault="00485180" w:rsidP="00CB37E9">
            <w:pPr>
              <w:pStyle w:val="SingleTxtG"/>
              <w:spacing w:before="40" w:line="220" w:lineRule="exact"/>
              <w:ind w:left="0" w:right="113"/>
              <w:jc w:val="left"/>
              <w:rPr>
                <w:lang w:val="fr-FR"/>
              </w:rPr>
            </w:pPr>
            <w:r w:rsidRPr="00803672">
              <w:rPr>
                <w:lang w:val="fr-FR"/>
              </w:rPr>
              <w:t>Noure</w:t>
            </w:r>
            <w:r>
              <w:rPr>
                <w:lang w:val="fr-FR"/>
              </w:rPr>
              <w:t>d</w:t>
            </w:r>
            <w:r w:rsidRPr="00803672">
              <w:rPr>
                <w:lang w:val="fr-FR"/>
              </w:rPr>
              <w:t xml:space="preserve">dine </w:t>
            </w:r>
            <w:r w:rsidRPr="00803672">
              <w:rPr>
                <w:b/>
                <w:lang w:val="fr-FR"/>
              </w:rPr>
              <w:t>Amir</w:t>
            </w:r>
          </w:p>
        </w:tc>
        <w:tc>
          <w:tcPr>
            <w:tcW w:w="2268" w:type="dxa"/>
            <w:shd w:val="clear" w:color="auto" w:fill="auto"/>
          </w:tcPr>
          <w:p w:rsidR="00485180" w:rsidRDefault="00485180" w:rsidP="00CB37E9">
            <w:pPr>
              <w:pStyle w:val="SingleTxtG"/>
              <w:spacing w:before="40" w:line="220" w:lineRule="exact"/>
              <w:ind w:left="0" w:right="113"/>
              <w:jc w:val="left"/>
            </w:pPr>
            <w:r>
              <w:t>Brazil</w:t>
            </w:r>
          </w:p>
          <w:p w:rsidR="00485180" w:rsidRPr="00BB40A7" w:rsidRDefault="00485180" w:rsidP="00CB37E9">
            <w:pPr>
              <w:pStyle w:val="SingleTxtG"/>
              <w:spacing w:before="40" w:line="220" w:lineRule="exact"/>
              <w:ind w:left="0" w:right="113"/>
              <w:jc w:val="left"/>
            </w:pPr>
            <w:r w:rsidRPr="00BB40A7">
              <w:t>Algeria</w:t>
            </w:r>
          </w:p>
        </w:tc>
        <w:tc>
          <w:tcPr>
            <w:tcW w:w="1983" w:type="dxa"/>
            <w:shd w:val="clear" w:color="auto" w:fill="auto"/>
          </w:tcPr>
          <w:p w:rsidR="00485180" w:rsidRDefault="00485180" w:rsidP="00CB37E9">
            <w:pPr>
              <w:pStyle w:val="SingleTxtG"/>
              <w:spacing w:before="40" w:line="220" w:lineRule="exact"/>
              <w:ind w:left="0" w:right="113"/>
              <w:jc w:val="left"/>
            </w:pPr>
            <w:r>
              <w:t>2022</w:t>
            </w:r>
          </w:p>
          <w:p w:rsidR="00485180" w:rsidRPr="00BB40A7" w:rsidRDefault="00485180" w:rsidP="00CB37E9">
            <w:pPr>
              <w:pStyle w:val="SingleTxtG"/>
              <w:spacing w:before="40" w:line="220" w:lineRule="exact"/>
              <w:ind w:left="0" w:right="113"/>
              <w:jc w:val="left"/>
            </w:pPr>
            <w:r w:rsidRPr="00BB40A7">
              <w:t>20</w:t>
            </w:r>
            <w:r>
              <w:t>22</w:t>
            </w:r>
          </w:p>
        </w:tc>
      </w:tr>
      <w:tr w:rsidR="00485180" w:rsidRPr="00BB40A7" w:rsidTr="00CB37E9">
        <w:trPr>
          <w:cantSplit/>
          <w:trHeight w:val="240"/>
        </w:trPr>
        <w:tc>
          <w:tcPr>
            <w:tcW w:w="3119" w:type="dxa"/>
            <w:shd w:val="clear" w:color="auto" w:fill="auto"/>
          </w:tcPr>
          <w:p w:rsidR="00485180" w:rsidRPr="00BB40A7" w:rsidRDefault="00485180" w:rsidP="00CB37E9">
            <w:pPr>
              <w:pStyle w:val="SingleTxtG"/>
              <w:spacing w:before="40" w:line="220" w:lineRule="exact"/>
              <w:ind w:left="0" w:right="113"/>
              <w:jc w:val="left"/>
            </w:pPr>
            <w:r w:rsidRPr="00BB40A7">
              <w:t xml:space="preserve">Alexei S. </w:t>
            </w:r>
            <w:r w:rsidRPr="00BB40A7">
              <w:rPr>
                <w:b/>
              </w:rPr>
              <w:t>Avtonomov</w:t>
            </w:r>
          </w:p>
        </w:tc>
        <w:tc>
          <w:tcPr>
            <w:tcW w:w="2268" w:type="dxa"/>
            <w:shd w:val="clear" w:color="auto" w:fill="auto"/>
          </w:tcPr>
          <w:p w:rsidR="00485180" w:rsidRPr="00BB40A7" w:rsidRDefault="00485180" w:rsidP="00CB37E9">
            <w:pPr>
              <w:pStyle w:val="SingleTxtG"/>
              <w:spacing w:before="40" w:line="220" w:lineRule="exact"/>
              <w:ind w:left="0" w:right="113"/>
              <w:jc w:val="left"/>
            </w:pPr>
            <w:r w:rsidRPr="00BB40A7">
              <w:t>Russian Federation</w:t>
            </w:r>
          </w:p>
        </w:tc>
        <w:tc>
          <w:tcPr>
            <w:tcW w:w="1983" w:type="dxa"/>
            <w:shd w:val="clear" w:color="auto" w:fill="auto"/>
          </w:tcPr>
          <w:p w:rsidR="00485180" w:rsidRPr="00BB40A7" w:rsidRDefault="00485180" w:rsidP="00CB37E9">
            <w:pPr>
              <w:pStyle w:val="SingleTxtG"/>
              <w:spacing w:before="40" w:line="220" w:lineRule="exact"/>
              <w:ind w:left="0" w:right="113"/>
              <w:jc w:val="left"/>
            </w:pPr>
            <w:r w:rsidRPr="00BB40A7">
              <w:t>2020</w:t>
            </w:r>
          </w:p>
        </w:tc>
      </w:tr>
      <w:tr w:rsidR="00485180" w:rsidRPr="00BB40A7" w:rsidTr="003047FB">
        <w:trPr>
          <w:cantSplit/>
          <w:trHeight w:val="240"/>
        </w:trPr>
        <w:tc>
          <w:tcPr>
            <w:tcW w:w="3119" w:type="dxa"/>
            <w:tcBorders>
              <w:bottom w:val="nil"/>
            </w:tcBorders>
            <w:shd w:val="clear" w:color="auto" w:fill="auto"/>
          </w:tcPr>
          <w:p w:rsidR="00485180" w:rsidRPr="00BB40A7" w:rsidRDefault="00485180" w:rsidP="00CB37E9">
            <w:pPr>
              <w:pStyle w:val="SingleTxtG"/>
              <w:spacing w:before="40" w:line="220" w:lineRule="exact"/>
              <w:ind w:left="0" w:right="113"/>
              <w:jc w:val="left"/>
            </w:pPr>
            <w:r w:rsidRPr="00BB40A7">
              <w:t xml:space="preserve">Marc </w:t>
            </w:r>
            <w:r w:rsidRPr="00BB40A7">
              <w:rPr>
                <w:b/>
              </w:rPr>
              <w:t>Bossuyt</w:t>
            </w:r>
          </w:p>
        </w:tc>
        <w:tc>
          <w:tcPr>
            <w:tcW w:w="2268" w:type="dxa"/>
            <w:tcBorders>
              <w:bottom w:val="nil"/>
            </w:tcBorders>
            <w:shd w:val="clear" w:color="auto" w:fill="auto"/>
          </w:tcPr>
          <w:p w:rsidR="00485180" w:rsidRPr="00BB40A7" w:rsidRDefault="00485180" w:rsidP="00CB37E9">
            <w:pPr>
              <w:pStyle w:val="SingleTxtG"/>
              <w:spacing w:before="40" w:line="220" w:lineRule="exact"/>
              <w:ind w:left="0" w:right="113"/>
              <w:jc w:val="left"/>
            </w:pPr>
            <w:r w:rsidRPr="00BB40A7">
              <w:t>Belgium</w:t>
            </w:r>
          </w:p>
        </w:tc>
        <w:tc>
          <w:tcPr>
            <w:tcW w:w="1983" w:type="dxa"/>
            <w:tcBorders>
              <w:bottom w:val="nil"/>
            </w:tcBorders>
            <w:shd w:val="clear" w:color="auto" w:fill="auto"/>
          </w:tcPr>
          <w:p w:rsidR="00485180" w:rsidRPr="00BB40A7" w:rsidRDefault="00485180" w:rsidP="00CB37E9">
            <w:pPr>
              <w:pStyle w:val="SingleTxtG"/>
              <w:spacing w:before="40" w:line="220" w:lineRule="exact"/>
              <w:ind w:left="0" w:right="113"/>
              <w:jc w:val="left"/>
            </w:pPr>
            <w:r w:rsidRPr="00BB40A7">
              <w:t>20</w:t>
            </w:r>
            <w:r>
              <w:t>22</w:t>
            </w:r>
          </w:p>
        </w:tc>
      </w:tr>
      <w:tr w:rsidR="00485180" w:rsidRPr="00BB40A7" w:rsidTr="003047FB">
        <w:trPr>
          <w:cantSplit/>
          <w:trHeight w:val="240"/>
        </w:trPr>
        <w:tc>
          <w:tcPr>
            <w:tcW w:w="3119" w:type="dxa"/>
            <w:tcBorders>
              <w:top w:val="nil"/>
              <w:bottom w:val="nil"/>
            </w:tcBorders>
            <w:shd w:val="clear" w:color="auto" w:fill="auto"/>
          </w:tcPr>
          <w:p w:rsidR="00485180" w:rsidRPr="00BB40A7" w:rsidRDefault="00485180" w:rsidP="00CB37E9">
            <w:pPr>
              <w:pStyle w:val="SingleTxtG"/>
              <w:spacing w:before="40" w:line="220" w:lineRule="exact"/>
              <w:ind w:left="0" w:right="113"/>
              <w:jc w:val="left"/>
            </w:pPr>
            <w:r w:rsidRPr="00BB40A7">
              <w:lastRenderedPageBreak/>
              <w:t xml:space="preserve">José Francisco </w:t>
            </w:r>
            <w:r w:rsidRPr="00BB40A7">
              <w:rPr>
                <w:b/>
              </w:rPr>
              <w:t>Calí Tzay</w:t>
            </w:r>
          </w:p>
        </w:tc>
        <w:tc>
          <w:tcPr>
            <w:tcW w:w="2268" w:type="dxa"/>
            <w:tcBorders>
              <w:top w:val="nil"/>
              <w:bottom w:val="nil"/>
            </w:tcBorders>
            <w:shd w:val="clear" w:color="auto" w:fill="auto"/>
          </w:tcPr>
          <w:p w:rsidR="00485180" w:rsidRPr="00BB40A7" w:rsidRDefault="00485180" w:rsidP="00CB37E9">
            <w:pPr>
              <w:pStyle w:val="SingleTxtG"/>
              <w:spacing w:before="40" w:line="220" w:lineRule="exact"/>
              <w:ind w:left="0" w:right="113"/>
              <w:jc w:val="left"/>
            </w:pPr>
            <w:r w:rsidRPr="00BB40A7">
              <w:t>Guatemala</w:t>
            </w:r>
          </w:p>
        </w:tc>
        <w:tc>
          <w:tcPr>
            <w:tcW w:w="1983" w:type="dxa"/>
            <w:tcBorders>
              <w:top w:val="nil"/>
              <w:bottom w:val="nil"/>
            </w:tcBorders>
            <w:shd w:val="clear" w:color="auto" w:fill="auto"/>
          </w:tcPr>
          <w:p w:rsidR="00485180" w:rsidRPr="00BB40A7" w:rsidRDefault="00485180" w:rsidP="00CB37E9">
            <w:pPr>
              <w:pStyle w:val="SingleTxtG"/>
              <w:spacing w:before="40" w:line="220" w:lineRule="exact"/>
              <w:ind w:left="0" w:right="113"/>
              <w:jc w:val="left"/>
            </w:pPr>
            <w:r w:rsidRPr="00BB40A7">
              <w:t>2020</w:t>
            </w:r>
          </w:p>
        </w:tc>
      </w:tr>
      <w:tr w:rsidR="00485180" w:rsidRPr="00BB40A7" w:rsidTr="003047FB">
        <w:trPr>
          <w:cantSplit/>
          <w:trHeight w:val="240"/>
        </w:trPr>
        <w:tc>
          <w:tcPr>
            <w:tcW w:w="3119" w:type="dxa"/>
            <w:tcBorders>
              <w:top w:val="nil"/>
            </w:tcBorders>
            <w:shd w:val="clear" w:color="auto" w:fill="auto"/>
          </w:tcPr>
          <w:p w:rsidR="00485180" w:rsidRPr="00BB40A7" w:rsidRDefault="00485180" w:rsidP="00CB37E9">
            <w:pPr>
              <w:pStyle w:val="SingleTxtG"/>
              <w:spacing w:before="40" w:line="220" w:lineRule="exact"/>
              <w:ind w:left="0" w:right="113"/>
              <w:jc w:val="left"/>
            </w:pPr>
            <w:r w:rsidRPr="00CB21CA">
              <w:t xml:space="preserve">Chinsung </w:t>
            </w:r>
            <w:r w:rsidRPr="00601A41">
              <w:rPr>
                <w:b/>
              </w:rPr>
              <w:t>Chung</w:t>
            </w:r>
            <w:r>
              <w:t xml:space="preserve"> </w:t>
            </w:r>
          </w:p>
        </w:tc>
        <w:tc>
          <w:tcPr>
            <w:tcW w:w="2268" w:type="dxa"/>
            <w:tcBorders>
              <w:top w:val="nil"/>
            </w:tcBorders>
            <w:shd w:val="clear" w:color="auto" w:fill="auto"/>
          </w:tcPr>
          <w:p w:rsidR="00485180" w:rsidRPr="00BB40A7" w:rsidRDefault="00485180" w:rsidP="00CB37E9">
            <w:pPr>
              <w:pStyle w:val="SingleTxtG"/>
              <w:spacing w:before="40" w:line="220" w:lineRule="exact"/>
              <w:ind w:left="0" w:right="113"/>
              <w:jc w:val="left"/>
            </w:pPr>
            <w:r w:rsidRPr="005F233D">
              <w:t>Republic of Korea</w:t>
            </w:r>
            <w:r>
              <w:t xml:space="preserve"> </w:t>
            </w:r>
          </w:p>
        </w:tc>
        <w:tc>
          <w:tcPr>
            <w:tcW w:w="1983" w:type="dxa"/>
            <w:tcBorders>
              <w:top w:val="nil"/>
            </w:tcBorders>
            <w:shd w:val="clear" w:color="auto" w:fill="auto"/>
          </w:tcPr>
          <w:p w:rsidR="00485180" w:rsidRPr="00BB40A7" w:rsidRDefault="00485180" w:rsidP="00CB37E9">
            <w:pPr>
              <w:pStyle w:val="SingleTxtG"/>
              <w:spacing w:before="40" w:line="220" w:lineRule="exact"/>
              <w:ind w:left="0" w:right="113"/>
              <w:jc w:val="left"/>
            </w:pPr>
            <w:r>
              <w:t xml:space="preserve">2022 </w:t>
            </w:r>
          </w:p>
        </w:tc>
      </w:tr>
      <w:tr w:rsidR="00485180" w:rsidRPr="00BB40A7" w:rsidTr="00CB37E9">
        <w:trPr>
          <w:cantSplit/>
          <w:trHeight w:val="240"/>
        </w:trPr>
        <w:tc>
          <w:tcPr>
            <w:tcW w:w="3119" w:type="dxa"/>
            <w:tcBorders>
              <w:bottom w:val="nil"/>
            </w:tcBorders>
            <w:shd w:val="clear" w:color="auto" w:fill="auto"/>
          </w:tcPr>
          <w:p w:rsidR="00485180" w:rsidRPr="00BB40A7" w:rsidRDefault="00485180" w:rsidP="00CB37E9">
            <w:pPr>
              <w:pStyle w:val="SingleTxtG"/>
              <w:spacing w:before="40" w:line="220" w:lineRule="exact"/>
              <w:ind w:left="0" w:right="113"/>
              <w:jc w:val="left"/>
            </w:pPr>
            <w:r w:rsidRPr="00BB40A7">
              <w:t xml:space="preserve">Fatimata-Binta Victoire </w:t>
            </w:r>
            <w:r w:rsidRPr="00BB40A7">
              <w:rPr>
                <w:b/>
              </w:rPr>
              <w:t>Dah</w:t>
            </w:r>
          </w:p>
        </w:tc>
        <w:tc>
          <w:tcPr>
            <w:tcW w:w="2268" w:type="dxa"/>
            <w:tcBorders>
              <w:bottom w:val="nil"/>
            </w:tcBorders>
            <w:shd w:val="clear" w:color="auto" w:fill="auto"/>
          </w:tcPr>
          <w:p w:rsidR="00485180" w:rsidRPr="00BB40A7" w:rsidRDefault="00485180" w:rsidP="00CB37E9">
            <w:pPr>
              <w:pStyle w:val="SingleTxtG"/>
              <w:spacing w:before="40" w:line="220" w:lineRule="exact"/>
              <w:ind w:left="0" w:right="113"/>
              <w:jc w:val="left"/>
            </w:pPr>
            <w:r w:rsidRPr="00BB40A7">
              <w:t>Burkina Faso</w:t>
            </w:r>
          </w:p>
        </w:tc>
        <w:tc>
          <w:tcPr>
            <w:tcW w:w="1983" w:type="dxa"/>
            <w:tcBorders>
              <w:bottom w:val="nil"/>
            </w:tcBorders>
            <w:shd w:val="clear" w:color="auto" w:fill="auto"/>
          </w:tcPr>
          <w:p w:rsidR="00485180" w:rsidRPr="00BB40A7" w:rsidRDefault="00485180" w:rsidP="00CB37E9">
            <w:pPr>
              <w:pStyle w:val="SingleTxtG"/>
              <w:spacing w:before="40" w:line="220" w:lineRule="exact"/>
              <w:ind w:left="0" w:right="113"/>
              <w:jc w:val="left"/>
            </w:pPr>
            <w:r w:rsidRPr="00BB40A7">
              <w:t>2020</w:t>
            </w:r>
          </w:p>
        </w:tc>
      </w:tr>
      <w:tr w:rsidR="00485180" w:rsidRPr="00BB40A7" w:rsidTr="00CB37E9">
        <w:trPr>
          <w:cantSplit/>
          <w:trHeight w:val="240"/>
        </w:trPr>
        <w:tc>
          <w:tcPr>
            <w:tcW w:w="3119" w:type="dxa"/>
            <w:tcBorders>
              <w:top w:val="nil"/>
              <w:bottom w:val="nil"/>
            </w:tcBorders>
            <w:shd w:val="clear" w:color="auto" w:fill="auto"/>
          </w:tcPr>
          <w:p w:rsidR="00485180" w:rsidRPr="00BB40A7" w:rsidRDefault="00485180" w:rsidP="00CB37E9">
            <w:pPr>
              <w:pStyle w:val="SingleTxtG"/>
              <w:spacing w:before="40" w:line="220" w:lineRule="exact"/>
              <w:ind w:left="0" w:right="113"/>
              <w:jc w:val="left"/>
            </w:pPr>
            <w:r w:rsidRPr="00CB21CA">
              <w:t>Bakari Sidiki</w:t>
            </w:r>
            <w:r w:rsidRPr="00CB21CA" w:rsidDel="00A37F52">
              <w:t xml:space="preserve"> </w:t>
            </w:r>
            <w:r w:rsidRPr="00601A41">
              <w:rPr>
                <w:b/>
              </w:rPr>
              <w:t>Diaby</w:t>
            </w:r>
            <w:r>
              <w:t xml:space="preserve"> </w:t>
            </w:r>
          </w:p>
        </w:tc>
        <w:tc>
          <w:tcPr>
            <w:tcW w:w="2268" w:type="dxa"/>
            <w:tcBorders>
              <w:top w:val="nil"/>
              <w:bottom w:val="nil"/>
            </w:tcBorders>
            <w:shd w:val="clear" w:color="auto" w:fill="auto"/>
          </w:tcPr>
          <w:p w:rsidR="00485180" w:rsidRPr="00BB40A7" w:rsidRDefault="00485180" w:rsidP="00CB37E9">
            <w:pPr>
              <w:pStyle w:val="SingleTxtG"/>
              <w:spacing w:before="40" w:line="220" w:lineRule="exact"/>
              <w:ind w:left="0" w:right="113"/>
              <w:jc w:val="left"/>
            </w:pPr>
            <w:r>
              <w:t xml:space="preserve">Côte d’Ivoire </w:t>
            </w:r>
          </w:p>
        </w:tc>
        <w:tc>
          <w:tcPr>
            <w:tcW w:w="1983" w:type="dxa"/>
            <w:tcBorders>
              <w:top w:val="nil"/>
              <w:bottom w:val="nil"/>
            </w:tcBorders>
            <w:shd w:val="clear" w:color="auto" w:fill="auto"/>
          </w:tcPr>
          <w:p w:rsidR="00485180" w:rsidRPr="00BB40A7" w:rsidRDefault="00485180" w:rsidP="00CB37E9">
            <w:pPr>
              <w:pStyle w:val="SingleTxtG"/>
              <w:spacing w:before="40" w:line="220" w:lineRule="exact"/>
              <w:ind w:left="0" w:right="113"/>
              <w:jc w:val="left"/>
            </w:pPr>
            <w:r>
              <w:t xml:space="preserve">2022 </w:t>
            </w:r>
          </w:p>
        </w:tc>
      </w:tr>
      <w:tr w:rsidR="00485180" w:rsidRPr="00BB40A7" w:rsidTr="00CB37E9">
        <w:trPr>
          <w:cantSplit/>
          <w:trHeight w:val="240"/>
        </w:trPr>
        <w:tc>
          <w:tcPr>
            <w:tcW w:w="3119" w:type="dxa"/>
            <w:tcBorders>
              <w:top w:val="nil"/>
            </w:tcBorders>
            <w:shd w:val="clear" w:color="auto" w:fill="auto"/>
          </w:tcPr>
          <w:p w:rsidR="00485180" w:rsidRPr="00BB40A7" w:rsidRDefault="00485180" w:rsidP="00CB37E9">
            <w:pPr>
              <w:pStyle w:val="SingleTxtG"/>
              <w:spacing w:before="40" w:line="220" w:lineRule="exact"/>
              <w:ind w:left="0" w:right="113"/>
              <w:jc w:val="left"/>
            </w:pPr>
            <w:r w:rsidRPr="00CB21CA">
              <w:t xml:space="preserve">Rita </w:t>
            </w:r>
            <w:r w:rsidRPr="00601A41">
              <w:rPr>
                <w:b/>
              </w:rPr>
              <w:t>Izsák-Ndiaye</w:t>
            </w:r>
            <w:r>
              <w:t xml:space="preserve"> </w:t>
            </w:r>
          </w:p>
        </w:tc>
        <w:tc>
          <w:tcPr>
            <w:tcW w:w="2268" w:type="dxa"/>
            <w:tcBorders>
              <w:top w:val="nil"/>
            </w:tcBorders>
            <w:shd w:val="clear" w:color="auto" w:fill="auto"/>
          </w:tcPr>
          <w:p w:rsidR="00485180" w:rsidRPr="00BB40A7" w:rsidRDefault="00485180" w:rsidP="00CB37E9">
            <w:pPr>
              <w:pStyle w:val="SingleTxtG"/>
              <w:spacing w:before="40" w:line="220" w:lineRule="exact"/>
              <w:ind w:left="0" w:right="113"/>
              <w:jc w:val="left"/>
            </w:pPr>
            <w:r>
              <w:t xml:space="preserve">Hungary </w:t>
            </w:r>
          </w:p>
        </w:tc>
        <w:tc>
          <w:tcPr>
            <w:tcW w:w="1983" w:type="dxa"/>
            <w:tcBorders>
              <w:top w:val="nil"/>
            </w:tcBorders>
            <w:shd w:val="clear" w:color="auto" w:fill="auto"/>
          </w:tcPr>
          <w:p w:rsidR="00485180" w:rsidRPr="00BB40A7" w:rsidRDefault="00485180" w:rsidP="00CB37E9">
            <w:pPr>
              <w:pStyle w:val="SingleTxtG"/>
              <w:spacing w:before="40" w:line="220" w:lineRule="exact"/>
              <w:ind w:left="0" w:right="113"/>
              <w:jc w:val="left"/>
            </w:pPr>
            <w:r>
              <w:t xml:space="preserve">2022 </w:t>
            </w:r>
          </w:p>
        </w:tc>
      </w:tr>
      <w:tr w:rsidR="00485180" w:rsidRPr="00BB40A7" w:rsidTr="00CB37E9">
        <w:trPr>
          <w:cantSplit/>
          <w:trHeight w:val="240"/>
        </w:trPr>
        <w:tc>
          <w:tcPr>
            <w:tcW w:w="3119" w:type="dxa"/>
            <w:shd w:val="clear" w:color="auto" w:fill="auto"/>
          </w:tcPr>
          <w:p w:rsidR="00485180" w:rsidRPr="00BB40A7" w:rsidRDefault="00485180" w:rsidP="00CB37E9">
            <w:pPr>
              <w:pStyle w:val="SingleTxtG"/>
              <w:spacing w:before="40" w:line="220" w:lineRule="exact"/>
              <w:ind w:left="0" w:right="113"/>
              <w:jc w:val="left"/>
            </w:pPr>
            <w:r w:rsidRPr="00CB21CA">
              <w:t xml:space="preserve">Keiko </w:t>
            </w:r>
            <w:r w:rsidRPr="00601A41">
              <w:rPr>
                <w:b/>
              </w:rPr>
              <w:t>Ko</w:t>
            </w:r>
            <w:r>
              <w:t xml:space="preserve"> </w:t>
            </w:r>
          </w:p>
        </w:tc>
        <w:tc>
          <w:tcPr>
            <w:tcW w:w="2268" w:type="dxa"/>
            <w:shd w:val="clear" w:color="auto" w:fill="auto"/>
          </w:tcPr>
          <w:p w:rsidR="00485180" w:rsidRPr="00BB40A7" w:rsidRDefault="00485180" w:rsidP="00CB37E9">
            <w:pPr>
              <w:pStyle w:val="SingleTxtG"/>
              <w:spacing w:before="40" w:line="220" w:lineRule="exact"/>
              <w:ind w:left="0" w:right="113"/>
              <w:jc w:val="left"/>
            </w:pPr>
            <w:r>
              <w:t xml:space="preserve">Japan </w:t>
            </w:r>
          </w:p>
        </w:tc>
        <w:tc>
          <w:tcPr>
            <w:tcW w:w="1983" w:type="dxa"/>
            <w:shd w:val="clear" w:color="auto" w:fill="auto"/>
          </w:tcPr>
          <w:p w:rsidR="00485180" w:rsidRPr="00BB40A7" w:rsidRDefault="00485180" w:rsidP="00CB37E9">
            <w:pPr>
              <w:pStyle w:val="SingleTxtG"/>
              <w:spacing w:before="40" w:line="220" w:lineRule="exact"/>
              <w:ind w:left="0" w:right="113"/>
              <w:jc w:val="left"/>
            </w:pPr>
            <w:r>
              <w:t xml:space="preserve">2022 </w:t>
            </w:r>
          </w:p>
        </w:tc>
      </w:tr>
      <w:tr w:rsidR="00485180" w:rsidRPr="00BB40A7" w:rsidTr="00CB37E9">
        <w:trPr>
          <w:cantSplit/>
          <w:trHeight w:val="240"/>
        </w:trPr>
        <w:tc>
          <w:tcPr>
            <w:tcW w:w="3119" w:type="dxa"/>
            <w:tcBorders>
              <w:bottom w:val="nil"/>
            </w:tcBorders>
            <w:shd w:val="clear" w:color="auto" w:fill="auto"/>
          </w:tcPr>
          <w:p w:rsidR="00485180" w:rsidRPr="00BB40A7" w:rsidRDefault="00485180" w:rsidP="00CB37E9">
            <w:pPr>
              <w:pStyle w:val="SingleTxtG"/>
              <w:spacing w:before="40" w:line="220" w:lineRule="exact"/>
              <w:ind w:left="0" w:right="113"/>
              <w:jc w:val="left"/>
            </w:pPr>
            <w:r w:rsidRPr="00BB40A7">
              <w:t xml:space="preserve">Gun </w:t>
            </w:r>
            <w:r w:rsidRPr="00BB40A7">
              <w:rPr>
                <w:b/>
              </w:rPr>
              <w:t>Kut</w:t>
            </w:r>
          </w:p>
        </w:tc>
        <w:tc>
          <w:tcPr>
            <w:tcW w:w="2268" w:type="dxa"/>
            <w:tcBorders>
              <w:bottom w:val="nil"/>
            </w:tcBorders>
            <w:shd w:val="clear" w:color="auto" w:fill="auto"/>
          </w:tcPr>
          <w:p w:rsidR="00485180" w:rsidRPr="00BB40A7" w:rsidRDefault="00485180" w:rsidP="00CB37E9">
            <w:pPr>
              <w:pStyle w:val="SingleTxtG"/>
              <w:spacing w:before="40" w:line="220" w:lineRule="exact"/>
              <w:ind w:left="0" w:right="113"/>
              <w:jc w:val="left"/>
            </w:pPr>
            <w:r w:rsidRPr="00BB40A7">
              <w:t>Turkey</w:t>
            </w:r>
          </w:p>
        </w:tc>
        <w:tc>
          <w:tcPr>
            <w:tcW w:w="1983" w:type="dxa"/>
            <w:tcBorders>
              <w:bottom w:val="nil"/>
            </w:tcBorders>
            <w:shd w:val="clear" w:color="auto" w:fill="auto"/>
          </w:tcPr>
          <w:p w:rsidR="00485180" w:rsidRPr="00BB40A7" w:rsidRDefault="00485180" w:rsidP="00CB37E9">
            <w:pPr>
              <w:pStyle w:val="SingleTxtG"/>
              <w:spacing w:before="40" w:line="220" w:lineRule="exact"/>
              <w:ind w:left="0" w:right="113"/>
              <w:jc w:val="left"/>
            </w:pPr>
            <w:r w:rsidRPr="00BB40A7">
              <w:t>20</w:t>
            </w:r>
            <w:r>
              <w:t>22</w:t>
            </w:r>
          </w:p>
        </w:tc>
      </w:tr>
      <w:tr w:rsidR="00485180" w:rsidRPr="00BB40A7" w:rsidDel="00785636" w:rsidTr="00CB37E9">
        <w:trPr>
          <w:cantSplit/>
          <w:trHeight w:val="240"/>
        </w:trPr>
        <w:tc>
          <w:tcPr>
            <w:tcW w:w="3119" w:type="dxa"/>
            <w:tcBorders>
              <w:top w:val="nil"/>
              <w:bottom w:val="nil"/>
            </w:tcBorders>
            <w:shd w:val="clear" w:color="auto" w:fill="auto"/>
          </w:tcPr>
          <w:p w:rsidR="00485180" w:rsidRPr="00BB40A7" w:rsidDel="00785636" w:rsidRDefault="00485180" w:rsidP="00CB37E9">
            <w:pPr>
              <w:pStyle w:val="SingleTxtG"/>
              <w:spacing w:before="40" w:line="220" w:lineRule="exact"/>
              <w:ind w:left="0" w:right="113"/>
              <w:jc w:val="left"/>
            </w:pPr>
            <w:r w:rsidRPr="00CB21CA">
              <w:t xml:space="preserve">Yanduan </w:t>
            </w:r>
            <w:r w:rsidRPr="00CB21CA">
              <w:rPr>
                <w:b/>
              </w:rPr>
              <w:t>Li</w:t>
            </w:r>
            <w:r>
              <w:t xml:space="preserve"> </w:t>
            </w:r>
          </w:p>
        </w:tc>
        <w:tc>
          <w:tcPr>
            <w:tcW w:w="2268" w:type="dxa"/>
            <w:tcBorders>
              <w:top w:val="nil"/>
              <w:bottom w:val="nil"/>
            </w:tcBorders>
            <w:shd w:val="clear" w:color="auto" w:fill="auto"/>
          </w:tcPr>
          <w:p w:rsidR="00485180" w:rsidRPr="00BB40A7" w:rsidDel="00785636" w:rsidRDefault="00485180" w:rsidP="00CB37E9">
            <w:pPr>
              <w:pStyle w:val="SingleTxtG"/>
              <w:spacing w:before="40" w:line="220" w:lineRule="exact"/>
              <w:ind w:left="0" w:right="113"/>
              <w:jc w:val="left"/>
            </w:pPr>
            <w:r>
              <w:t xml:space="preserve">China </w:t>
            </w:r>
          </w:p>
        </w:tc>
        <w:tc>
          <w:tcPr>
            <w:tcW w:w="1983" w:type="dxa"/>
            <w:tcBorders>
              <w:top w:val="nil"/>
              <w:bottom w:val="nil"/>
            </w:tcBorders>
            <w:shd w:val="clear" w:color="auto" w:fill="auto"/>
          </w:tcPr>
          <w:p w:rsidR="00485180" w:rsidRPr="00BB40A7" w:rsidDel="00785636" w:rsidRDefault="00485180" w:rsidP="00CB37E9">
            <w:pPr>
              <w:pStyle w:val="SingleTxtG"/>
              <w:spacing w:before="40" w:line="220" w:lineRule="exact"/>
              <w:ind w:left="0" w:right="113"/>
              <w:jc w:val="left"/>
            </w:pPr>
            <w:r>
              <w:t xml:space="preserve">2020 </w:t>
            </w:r>
          </w:p>
        </w:tc>
      </w:tr>
      <w:tr w:rsidR="00485180" w:rsidRPr="00BB40A7" w:rsidTr="00CB37E9">
        <w:trPr>
          <w:cantSplit/>
          <w:trHeight w:val="240"/>
        </w:trPr>
        <w:tc>
          <w:tcPr>
            <w:tcW w:w="3119" w:type="dxa"/>
            <w:tcBorders>
              <w:top w:val="nil"/>
            </w:tcBorders>
            <w:shd w:val="clear" w:color="auto" w:fill="auto"/>
          </w:tcPr>
          <w:p w:rsidR="00485180" w:rsidRPr="00BB40A7" w:rsidRDefault="00485180" w:rsidP="00CB37E9">
            <w:pPr>
              <w:pStyle w:val="SingleTxtG"/>
              <w:spacing w:before="40" w:line="220" w:lineRule="exact"/>
              <w:ind w:left="0" w:right="113"/>
              <w:jc w:val="left"/>
            </w:pPr>
            <w:r w:rsidRPr="00BB40A7">
              <w:t xml:space="preserve">Nicolás </w:t>
            </w:r>
            <w:r w:rsidRPr="00BB40A7">
              <w:rPr>
                <w:b/>
              </w:rPr>
              <w:t>Marugán</w:t>
            </w:r>
          </w:p>
        </w:tc>
        <w:tc>
          <w:tcPr>
            <w:tcW w:w="2268" w:type="dxa"/>
            <w:tcBorders>
              <w:top w:val="nil"/>
            </w:tcBorders>
            <w:shd w:val="clear" w:color="auto" w:fill="auto"/>
          </w:tcPr>
          <w:p w:rsidR="00485180" w:rsidRPr="00BB40A7" w:rsidRDefault="00485180" w:rsidP="00CB37E9">
            <w:pPr>
              <w:pStyle w:val="SingleTxtG"/>
              <w:spacing w:before="40" w:line="220" w:lineRule="exact"/>
              <w:ind w:left="0" w:right="113"/>
              <w:jc w:val="left"/>
            </w:pPr>
            <w:r w:rsidRPr="00BB40A7">
              <w:t>Spain</w:t>
            </w:r>
          </w:p>
        </w:tc>
        <w:tc>
          <w:tcPr>
            <w:tcW w:w="1983" w:type="dxa"/>
            <w:tcBorders>
              <w:top w:val="nil"/>
            </w:tcBorders>
            <w:shd w:val="clear" w:color="auto" w:fill="auto"/>
          </w:tcPr>
          <w:p w:rsidR="00485180" w:rsidRPr="00BB40A7" w:rsidRDefault="00485180" w:rsidP="00CB37E9">
            <w:pPr>
              <w:pStyle w:val="SingleTxtG"/>
              <w:spacing w:before="40" w:line="220" w:lineRule="exact"/>
              <w:ind w:left="0" w:right="113"/>
              <w:jc w:val="left"/>
            </w:pPr>
            <w:r w:rsidRPr="00BB40A7">
              <w:t>2020</w:t>
            </w:r>
          </w:p>
        </w:tc>
      </w:tr>
      <w:tr w:rsidR="00485180" w:rsidRPr="00BB40A7" w:rsidTr="00CB37E9">
        <w:trPr>
          <w:cantSplit/>
          <w:trHeight w:val="240"/>
        </w:trPr>
        <w:tc>
          <w:tcPr>
            <w:tcW w:w="3119" w:type="dxa"/>
            <w:shd w:val="clear" w:color="auto" w:fill="auto"/>
          </w:tcPr>
          <w:p w:rsidR="00485180" w:rsidRPr="00BB40A7" w:rsidRDefault="00485180" w:rsidP="00CB37E9">
            <w:pPr>
              <w:pStyle w:val="SingleTxtG"/>
              <w:spacing w:before="40" w:line="220" w:lineRule="exact"/>
              <w:ind w:left="0" w:right="113"/>
              <w:jc w:val="left"/>
            </w:pPr>
            <w:r w:rsidRPr="00BB40A7">
              <w:t xml:space="preserve">Gay </w:t>
            </w:r>
            <w:r w:rsidRPr="00BB40A7">
              <w:rPr>
                <w:b/>
              </w:rPr>
              <w:t>McDougall</w:t>
            </w:r>
          </w:p>
        </w:tc>
        <w:tc>
          <w:tcPr>
            <w:tcW w:w="2268" w:type="dxa"/>
            <w:shd w:val="clear" w:color="auto" w:fill="auto"/>
          </w:tcPr>
          <w:p w:rsidR="00485180" w:rsidRPr="00BB40A7" w:rsidRDefault="00485180" w:rsidP="00CB37E9">
            <w:pPr>
              <w:pStyle w:val="SingleTxtG"/>
              <w:spacing w:before="40" w:line="220" w:lineRule="exact"/>
              <w:ind w:left="0" w:right="113"/>
              <w:jc w:val="left"/>
            </w:pPr>
            <w:r w:rsidRPr="00BB40A7">
              <w:t>United States of America</w:t>
            </w:r>
          </w:p>
        </w:tc>
        <w:tc>
          <w:tcPr>
            <w:tcW w:w="1983" w:type="dxa"/>
            <w:shd w:val="clear" w:color="auto" w:fill="auto"/>
          </w:tcPr>
          <w:p w:rsidR="00485180" w:rsidRPr="00BB40A7" w:rsidRDefault="00485180" w:rsidP="00CB37E9">
            <w:pPr>
              <w:pStyle w:val="SingleTxtG"/>
              <w:spacing w:before="40" w:line="220" w:lineRule="exact"/>
              <w:ind w:left="0" w:right="113"/>
              <w:jc w:val="left"/>
            </w:pPr>
            <w:r w:rsidRPr="00BB40A7">
              <w:t>2020</w:t>
            </w:r>
          </w:p>
        </w:tc>
      </w:tr>
      <w:tr w:rsidR="00485180" w:rsidRPr="00BB40A7" w:rsidTr="00CB37E9">
        <w:trPr>
          <w:cantSplit/>
          <w:trHeight w:val="240"/>
        </w:trPr>
        <w:tc>
          <w:tcPr>
            <w:tcW w:w="3119" w:type="dxa"/>
            <w:shd w:val="clear" w:color="auto" w:fill="auto"/>
          </w:tcPr>
          <w:p w:rsidR="00485180" w:rsidRPr="00BB40A7" w:rsidRDefault="00485180" w:rsidP="00CB37E9">
            <w:pPr>
              <w:pStyle w:val="SingleTxtG"/>
              <w:spacing w:before="40" w:line="220" w:lineRule="exact"/>
              <w:ind w:left="0" w:right="113"/>
              <w:jc w:val="left"/>
            </w:pPr>
            <w:r w:rsidRPr="00BB40A7">
              <w:t>Yemhelh</w:t>
            </w:r>
            <w:r>
              <w:t>e</w:t>
            </w:r>
            <w:r w:rsidRPr="00BB40A7">
              <w:t xml:space="preserve"> Mint </w:t>
            </w:r>
            <w:r w:rsidRPr="00BB40A7">
              <w:rPr>
                <w:b/>
              </w:rPr>
              <w:t>Mohamed</w:t>
            </w:r>
          </w:p>
        </w:tc>
        <w:tc>
          <w:tcPr>
            <w:tcW w:w="2268" w:type="dxa"/>
            <w:shd w:val="clear" w:color="auto" w:fill="auto"/>
          </w:tcPr>
          <w:p w:rsidR="00485180" w:rsidRPr="00BB40A7" w:rsidRDefault="00485180" w:rsidP="00CB37E9">
            <w:pPr>
              <w:pStyle w:val="SingleTxtG"/>
              <w:spacing w:before="40" w:line="220" w:lineRule="exact"/>
              <w:ind w:left="0" w:right="113"/>
              <w:jc w:val="left"/>
            </w:pPr>
            <w:r w:rsidRPr="00BB40A7">
              <w:t>Mauritania</w:t>
            </w:r>
          </w:p>
        </w:tc>
        <w:tc>
          <w:tcPr>
            <w:tcW w:w="1983" w:type="dxa"/>
            <w:shd w:val="clear" w:color="auto" w:fill="auto"/>
          </w:tcPr>
          <w:p w:rsidR="00485180" w:rsidRPr="00BB40A7" w:rsidRDefault="00485180" w:rsidP="00CB37E9">
            <w:pPr>
              <w:pStyle w:val="SingleTxtG"/>
              <w:spacing w:before="40" w:line="220" w:lineRule="exact"/>
              <w:ind w:left="0" w:right="113"/>
              <w:jc w:val="left"/>
            </w:pPr>
            <w:r w:rsidRPr="00BB40A7">
              <w:t>2020</w:t>
            </w:r>
          </w:p>
        </w:tc>
      </w:tr>
      <w:tr w:rsidR="00485180" w:rsidRPr="00BB40A7" w:rsidTr="00CB37E9">
        <w:trPr>
          <w:cantSplit/>
          <w:trHeight w:val="240"/>
        </w:trPr>
        <w:tc>
          <w:tcPr>
            <w:tcW w:w="3119" w:type="dxa"/>
            <w:shd w:val="clear" w:color="auto" w:fill="auto"/>
          </w:tcPr>
          <w:p w:rsidR="00485180" w:rsidRPr="00BB40A7" w:rsidRDefault="00485180" w:rsidP="00CB37E9">
            <w:pPr>
              <w:pStyle w:val="SingleTxtG"/>
              <w:spacing w:before="40" w:line="220" w:lineRule="exact"/>
              <w:ind w:left="0" w:right="113"/>
              <w:jc w:val="left"/>
            </w:pPr>
            <w:r w:rsidRPr="00BB40A7">
              <w:t xml:space="preserve">Pastor Elias </w:t>
            </w:r>
            <w:r w:rsidRPr="00BB40A7">
              <w:rPr>
                <w:b/>
              </w:rPr>
              <w:t>Murillo Martínez</w:t>
            </w:r>
          </w:p>
        </w:tc>
        <w:tc>
          <w:tcPr>
            <w:tcW w:w="2268" w:type="dxa"/>
            <w:shd w:val="clear" w:color="auto" w:fill="auto"/>
          </w:tcPr>
          <w:p w:rsidR="00485180" w:rsidRPr="00BB40A7" w:rsidRDefault="00485180" w:rsidP="00CB37E9">
            <w:pPr>
              <w:pStyle w:val="SingleTxtG"/>
              <w:spacing w:before="40" w:line="220" w:lineRule="exact"/>
              <w:ind w:left="0" w:right="113"/>
              <w:jc w:val="left"/>
            </w:pPr>
            <w:r w:rsidRPr="00BB40A7">
              <w:t>Colombia</w:t>
            </w:r>
          </w:p>
        </w:tc>
        <w:tc>
          <w:tcPr>
            <w:tcW w:w="1983" w:type="dxa"/>
            <w:shd w:val="clear" w:color="auto" w:fill="auto"/>
          </w:tcPr>
          <w:p w:rsidR="00485180" w:rsidRPr="00BB40A7" w:rsidRDefault="00485180" w:rsidP="00CB37E9">
            <w:pPr>
              <w:pStyle w:val="SingleTxtG"/>
              <w:spacing w:before="40" w:line="220" w:lineRule="exact"/>
              <w:ind w:left="0" w:right="113"/>
              <w:jc w:val="left"/>
            </w:pPr>
            <w:r w:rsidRPr="00BB40A7">
              <w:t>2020</w:t>
            </w:r>
          </w:p>
        </w:tc>
      </w:tr>
      <w:tr w:rsidR="00485180" w:rsidRPr="00BB40A7" w:rsidDel="00785636" w:rsidTr="00CB37E9">
        <w:trPr>
          <w:cantSplit/>
          <w:trHeight w:val="240"/>
        </w:trPr>
        <w:tc>
          <w:tcPr>
            <w:tcW w:w="3119" w:type="dxa"/>
            <w:shd w:val="clear" w:color="auto" w:fill="auto"/>
          </w:tcPr>
          <w:p w:rsidR="00485180" w:rsidRPr="00BB40A7" w:rsidDel="00785636" w:rsidRDefault="00485180" w:rsidP="00CB37E9">
            <w:pPr>
              <w:pStyle w:val="SingleTxtG"/>
              <w:spacing w:before="40" w:line="220" w:lineRule="exact"/>
              <w:ind w:left="0" w:right="113"/>
              <w:jc w:val="left"/>
            </w:pPr>
            <w:r w:rsidRPr="00BB40A7">
              <w:t>Verene</w:t>
            </w:r>
            <w:r>
              <w:t xml:space="preserve"> Albertha</w:t>
            </w:r>
            <w:r w:rsidRPr="00BB40A7">
              <w:t xml:space="preserve"> </w:t>
            </w:r>
            <w:r w:rsidRPr="00BB40A7">
              <w:rPr>
                <w:b/>
              </w:rPr>
              <w:t>Shepherd</w:t>
            </w:r>
          </w:p>
        </w:tc>
        <w:tc>
          <w:tcPr>
            <w:tcW w:w="2268" w:type="dxa"/>
            <w:shd w:val="clear" w:color="auto" w:fill="auto"/>
          </w:tcPr>
          <w:p w:rsidR="00485180" w:rsidRPr="00BB40A7" w:rsidDel="00785636" w:rsidRDefault="00485180" w:rsidP="00CB37E9">
            <w:pPr>
              <w:pStyle w:val="SingleTxtG"/>
              <w:spacing w:before="40" w:line="220" w:lineRule="exact"/>
              <w:ind w:left="0" w:right="113"/>
              <w:jc w:val="left"/>
            </w:pPr>
            <w:r w:rsidRPr="00BB40A7">
              <w:t>Jamaica</w:t>
            </w:r>
          </w:p>
        </w:tc>
        <w:tc>
          <w:tcPr>
            <w:tcW w:w="1983" w:type="dxa"/>
            <w:shd w:val="clear" w:color="auto" w:fill="auto"/>
          </w:tcPr>
          <w:p w:rsidR="00485180" w:rsidRPr="00BB40A7" w:rsidDel="00785636" w:rsidRDefault="00485180" w:rsidP="00CB37E9">
            <w:pPr>
              <w:pStyle w:val="SingleTxtG"/>
              <w:spacing w:before="40" w:line="220" w:lineRule="exact"/>
              <w:ind w:left="0" w:right="113"/>
              <w:jc w:val="left"/>
            </w:pPr>
            <w:r w:rsidRPr="00BB40A7">
              <w:t>2020</w:t>
            </w:r>
          </w:p>
        </w:tc>
      </w:tr>
      <w:tr w:rsidR="00485180" w:rsidRPr="00BB40A7" w:rsidTr="00CB37E9">
        <w:trPr>
          <w:cantSplit/>
          <w:trHeight w:val="240"/>
        </w:trPr>
        <w:tc>
          <w:tcPr>
            <w:tcW w:w="3119" w:type="dxa"/>
            <w:shd w:val="clear" w:color="auto" w:fill="auto"/>
          </w:tcPr>
          <w:p w:rsidR="00485180" w:rsidRPr="00BB40A7" w:rsidRDefault="00485180" w:rsidP="00CB37E9">
            <w:pPr>
              <w:pStyle w:val="SingleTxtG"/>
              <w:spacing w:before="40" w:line="220" w:lineRule="exact"/>
              <w:ind w:left="0" w:right="113"/>
              <w:jc w:val="left"/>
            </w:pPr>
            <w:r w:rsidRPr="00BB40A7">
              <w:t xml:space="preserve">Yeung Kam John </w:t>
            </w:r>
            <w:r w:rsidRPr="00BB40A7">
              <w:rPr>
                <w:b/>
              </w:rPr>
              <w:t>Yeung Sik Yuen</w:t>
            </w:r>
          </w:p>
        </w:tc>
        <w:tc>
          <w:tcPr>
            <w:tcW w:w="2268" w:type="dxa"/>
            <w:shd w:val="clear" w:color="auto" w:fill="auto"/>
          </w:tcPr>
          <w:p w:rsidR="00485180" w:rsidRPr="00BB40A7" w:rsidRDefault="00485180" w:rsidP="00CB37E9">
            <w:pPr>
              <w:pStyle w:val="SingleTxtG"/>
              <w:spacing w:before="40" w:line="220" w:lineRule="exact"/>
              <w:ind w:left="0" w:right="113"/>
              <w:jc w:val="left"/>
            </w:pPr>
            <w:r w:rsidRPr="00BB40A7">
              <w:t>Mauritius</w:t>
            </w:r>
          </w:p>
        </w:tc>
        <w:tc>
          <w:tcPr>
            <w:tcW w:w="1983" w:type="dxa"/>
            <w:shd w:val="clear" w:color="auto" w:fill="auto"/>
          </w:tcPr>
          <w:p w:rsidR="00485180" w:rsidRPr="00BB40A7" w:rsidRDefault="00485180" w:rsidP="00CB37E9">
            <w:pPr>
              <w:pStyle w:val="SingleTxtG"/>
              <w:spacing w:before="40" w:line="220" w:lineRule="exact"/>
              <w:ind w:left="0" w:right="113"/>
              <w:jc w:val="left"/>
            </w:pPr>
            <w:r w:rsidRPr="00BB40A7">
              <w:t>20</w:t>
            </w:r>
            <w:r>
              <w:t>22</w:t>
            </w:r>
          </w:p>
        </w:tc>
      </w:tr>
    </w:tbl>
    <w:p w:rsidR="00485180" w:rsidRDefault="00DE4A2F" w:rsidP="00CB37E9">
      <w:pPr>
        <w:pStyle w:val="SingleTxtG"/>
        <w:spacing w:before="240"/>
      </w:pPr>
      <w:r>
        <w:t>8</w:t>
      </w:r>
      <w:r w:rsidR="00485180">
        <w:t>.</w:t>
      </w:r>
      <w:r w:rsidR="00485180">
        <w:tab/>
        <w:t xml:space="preserve">In a letter dated 3 February 2019, Mr. Marugán informed the Committee of his decision to resign as a member of the Committee. In a letter dated 8 April 2019, the Government of Spain appointed María Teresa Verdugo Moreno to serve the remainder of Mr. Marugán’s term of office, expiring on 19 January 2020. Ms. Verdugo Moreno made her solemn declaration at the ninety-eighth session of the Committee. </w:t>
      </w:r>
    </w:p>
    <w:p w:rsidR="00485180" w:rsidRPr="00CB21CA" w:rsidRDefault="00485180" w:rsidP="00485180">
      <w:pPr>
        <w:pStyle w:val="H1G"/>
      </w:pPr>
      <w:r w:rsidRPr="00CB21CA">
        <w:tab/>
      </w:r>
      <w:bookmarkStart w:id="11" w:name="_Toc428794280"/>
      <w:bookmarkStart w:id="12" w:name="_Toc17361293"/>
      <w:r w:rsidRPr="00CB21CA">
        <w:t>D.</w:t>
      </w:r>
      <w:r w:rsidRPr="00CB21CA">
        <w:tab/>
        <w:t>Officers of the Committee</w:t>
      </w:r>
      <w:bookmarkEnd w:id="11"/>
      <w:bookmarkEnd w:id="12"/>
    </w:p>
    <w:p w:rsidR="00485180" w:rsidRDefault="00DE4A2F" w:rsidP="00485180">
      <w:pPr>
        <w:pStyle w:val="SingleTxtG"/>
      </w:pPr>
      <w:r>
        <w:t>9</w:t>
      </w:r>
      <w:r w:rsidR="00485180">
        <w:t>.</w:t>
      </w:r>
      <w:r w:rsidR="00485180">
        <w:tab/>
        <w:t>During the period under review, the Bureau of the Committee comprised the following Committee members, who were elected to serve a two-year term (2018–2020):</w:t>
      </w:r>
    </w:p>
    <w:p w:rsidR="00485180" w:rsidRDefault="00485180" w:rsidP="00E3551E">
      <w:pPr>
        <w:pStyle w:val="SingleTxtG"/>
        <w:tabs>
          <w:tab w:val="left" w:pos="3402"/>
        </w:tabs>
        <w:ind w:firstLine="567"/>
      </w:pPr>
      <w:r w:rsidRPr="00423C4A">
        <w:rPr>
          <w:i/>
        </w:rPr>
        <w:t xml:space="preserve">Chair: </w:t>
      </w:r>
      <w:r w:rsidR="00E3551E">
        <w:rPr>
          <w:i/>
        </w:rPr>
        <w:tab/>
      </w:r>
      <w:r>
        <w:t>Noureddine Amir</w:t>
      </w:r>
    </w:p>
    <w:p w:rsidR="00485180" w:rsidRPr="00E3551E" w:rsidRDefault="00485180" w:rsidP="00E3551E">
      <w:pPr>
        <w:pStyle w:val="SingleTxtG"/>
        <w:tabs>
          <w:tab w:val="left" w:pos="3402"/>
        </w:tabs>
        <w:spacing w:after="0"/>
        <w:ind w:firstLine="567"/>
      </w:pPr>
      <w:r w:rsidRPr="00034A4D">
        <w:rPr>
          <w:i/>
          <w:iCs/>
        </w:rPr>
        <w:t>Vice Chairs:</w:t>
      </w:r>
      <w:r w:rsidRPr="00E3551E">
        <w:t xml:space="preserve"> </w:t>
      </w:r>
      <w:r w:rsidRPr="00E3551E">
        <w:tab/>
      </w:r>
      <w:r w:rsidRPr="00E3551E">
        <w:tab/>
        <w:t>Gay McDougall</w:t>
      </w:r>
    </w:p>
    <w:p w:rsidR="00485180" w:rsidRPr="00E3551E" w:rsidRDefault="00E3551E" w:rsidP="00E3551E">
      <w:pPr>
        <w:pStyle w:val="SingleTxtG"/>
        <w:tabs>
          <w:tab w:val="left" w:pos="3402"/>
        </w:tabs>
        <w:spacing w:after="0"/>
        <w:ind w:firstLine="567"/>
      </w:pPr>
      <w:r>
        <w:tab/>
      </w:r>
      <w:r w:rsidR="00485180" w:rsidRPr="00E3551E">
        <w:t>Yanduan Li</w:t>
      </w:r>
    </w:p>
    <w:p w:rsidR="00485180" w:rsidRPr="00E3551E" w:rsidRDefault="00E3551E" w:rsidP="00E3551E">
      <w:pPr>
        <w:pStyle w:val="SingleTxtG"/>
        <w:tabs>
          <w:tab w:val="left" w:pos="3402"/>
        </w:tabs>
        <w:ind w:firstLine="567"/>
      </w:pPr>
      <w:r>
        <w:tab/>
      </w:r>
      <w:r w:rsidR="00485180" w:rsidRPr="00E3551E">
        <w:t>Pastor Elias Murillo Martínez</w:t>
      </w:r>
    </w:p>
    <w:p w:rsidR="00485180" w:rsidRPr="00490FA7" w:rsidRDefault="00485180" w:rsidP="00E3551E">
      <w:pPr>
        <w:pStyle w:val="SingleTxtG"/>
        <w:tabs>
          <w:tab w:val="left" w:pos="3402"/>
        </w:tabs>
        <w:ind w:firstLine="567"/>
      </w:pPr>
      <w:r w:rsidRPr="00034A4D">
        <w:rPr>
          <w:i/>
          <w:iCs/>
        </w:rPr>
        <w:t>Rapporteur:</w:t>
      </w:r>
      <w:r w:rsidRPr="00490FA7">
        <w:tab/>
      </w:r>
      <w:r w:rsidRPr="00490FA7">
        <w:tab/>
      </w:r>
      <w:r w:rsidRPr="00AD6A09">
        <w:t>Rita Izsák</w:t>
      </w:r>
      <w:r>
        <w:t>-</w:t>
      </w:r>
      <w:r w:rsidRPr="00AD6A09">
        <w:t>Ndiaye</w:t>
      </w:r>
    </w:p>
    <w:p w:rsidR="00485180" w:rsidRPr="00CB21CA" w:rsidRDefault="00485180" w:rsidP="00485180">
      <w:pPr>
        <w:pStyle w:val="H1G"/>
      </w:pPr>
      <w:r w:rsidRPr="00AD6A09">
        <w:tab/>
      </w:r>
      <w:bookmarkStart w:id="13" w:name="_Toc428794281"/>
      <w:bookmarkStart w:id="14" w:name="_Toc17361294"/>
      <w:r w:rsidRPr="00686C82">
        <w:t>E.</w:t>
      </w:r>
      <w:r w:rsidRPr="00686C82">
        <w:tab/>
        <w:t xml:space="preserve">Cooperation </w:t>
      </w:r>
      <w:r w:rsidRPr="005F233D">
        <w:t xml:space="preserve">with </w:t>
      </w:r>
      <w:r w:rsidRPr="00CB21CA">
        <w:t xml:space="preserve">the International Labour Organization, the Office of the United Nations High Commissioner for Refugees, the United Nations Educational, Scientific and Cultural Organization, </w:t>
      </w:r>
      <w:r w:rsidRPr="00CB21CA">
        <w:br/>
        <w:t xml:space="preserve">the special procedures of the Human Rights Council and </w:t>
      </w:r>
      <w:r w:rsidRPr="00CB21CA">
        <w:br/>
      </w:r>
      <w:r>
        <w:t>the</w:t>
      </w:r>
      <w:r w:rsidRPr="00CB21CA">
        <w:t xml:space="preserve"> regional human rights mechanisms</w:t>
      </w:r>
      <w:bookmarkEnd w:id="13"/>
      <w:bookmarkEnd w:id="14"/>
    </w:p>
    <w:p w:rsidR="00485180" w:rsidRPr="00CB21CA" w:rsidRDefault="00DE4A2F" w:rsidP="00133C6F">
      <w:pPr>
        <w:pStyle w:val="SingleTxtG"/>
      </w:pPr>
      <w:r>
        <w:t>10</w:t>
      </w:r>
      <w:r w:rsidR="00485180" w:rsidRPr="00CB21CA">
        <w:t>.</w:t>
      </w:r>
      <w:r w:rsidR="00485180" w:rsidRPr="00CB21CA">
        <w:tab/>
        <w:t>In accordance with Committee decision 2 (VI) of 21 August 1972 concerning cooperation with the International Labour Organization (ILO) and the United Nations Educational, Scientific and Cultural Organization,</w:t>
      </w:r>
      <w:r w:rsidR="00485180" w:rsidRPr="003067A8">
        <w:rPr>
          <w:rStyle w:val="FootnoteReference"/>
        </w:rPr>
        <w:footnoteReference w:id="2"/>
      </w:r>
      <w:r w:rsidR="00485180" w:rsidRPr="003067A8">
        <w:t xml:space="preserve"> both </w:t>
      </w:r>
      <w:r w:rsidR="00485180" w:rsidRPr="00686C82">
        <w:t xml:space="preserve">organizations </w:t>
      </w:r>
      <w:r w:rsidR="00485180" w:rsidRPr="005F233D">
        <w:t xml:space="preserve">were </w:t>
      </w:r>
      <w:r w:rsidR="00485180" w:rsidRPr="00CB21CA">
        <w:t>invited to attend the sessions of the Committee</w:t>
      </w:r>
      <w:r w:rsidR="00485180">
        <w:rPr>
          <w:rStyle w:val="FootnoteReference"/>
        </w:rPr>
        <w:t xml:space="preserve"> </w:t>
      </w:r>
      <w:r w:rsidR="00485180" w:rsidRPr="00CB21CA">
        <w:t xml:space="preserve">. Consistent with the Committee’s recent practice, the </w:t>
      </w:r>
      <w:r w:rsidR="00485180" w:rsidRPr="00CB21CA">
        <w:lastRenderedPageBreak/>
        <w:t xml:space="preserve">Office of the United Nations High Commissioner for Refugees </w:t>
      </w:r>
      <w:r w:rsidR="00485180">
        <w:t>and the United Nations Children’s Fund</w:t>
      </w:r>
      <w:r w:rsidR="00133C6F">
        <w:t xml:space="preserve"> </w:t>
      </w:r>
      <w:r w:rsidR="00485180" w:rsidRPr="00CB21CA">
        <w:t>w</w:t>
      </w:r>
      <w:r w:rsidR="00485180">
        <w:t>ere</w:t>
      </w:r>
      <w:r w:rsidR="00485180" w:rsidRPr="00CB21CA">
        <w:t xml:space="preserve"> also invited to attend.</w:t>
      </w:r>
    </w:p>
    <w:p w:rsidR="00485180" w:rsidRPr="00CB21CA" w:rsidRDefault="00485180" w:rsidP="00DE4A2F">
      <w:pPr>
        <w:pStyle w:val="SingleTxtG"/>
      </w:pPr>
      <w:r w:rsidRPr="00CB21CA">
        <w:t>1</w:t>
      </w:r>
      <w:r w:rsidR="00DE4A2F">
        <w:t>1</w:t>
      </w:r>
      <w:r w:rsidRPr="00CB21CA">
        <w:t>.</w:t>
      </w:r>
      <w:r w:rsidRPr="00CB21CA">
        <w:tab/>
      </w:r>
      <w:r>
        <w:t>During the Committee’s ninety-eighth session, r</w:t>
      </w:r>
      <w:r w:rsidRPr="00CB21CA">
        <w:t xml:space="preserve">eports of the ILO Committee of Experts on the Application of Conventions and Recommendations submitted to the International Labour Conference </w:t>
      </w:r>
      <w:r>
        <w:t xml:space="preserve">and relating to States parties under review </w:t>
      </w:r>
      <w:r w:rsidRPr="00CB21CA">
        <w:t>were made available to the members of the Committee, in accordance with arrangements for cooperation between the two committees. The Committee took note with appreciation of the reports of the Committee of Experts</w:t>
      </w:r>
      <w:r>
        <w:t xml:space="preserve">. </w:t>
      </w:r>
    </w:p>
    <w:p w:rsidR="00485180" w:rsidRPr="00CB21CA" w:rsidRDefault="00485180" w:rsidP="00485180">
      <w:pPr>
        <w:pStyle w:val="H1G"/>
        <w:ind w:hanging="708"/>
      </w:pPr>
      <w:bookmarkStart w:id="15" w:name="_Toc428794282"/>
      <w:r w:rsidRPr="00CB21CA">
        <w:tab/>
      </w:r>
      <w:bookmarkStart w:id="16" w:name="_Toc17361295"/>
      <w:r w:rsidRPr="00CB21CA">
        <w:t>F.</w:t>
      </w:r>
      <w:r w:rsidRPr="00CB21CA">
        <w:tab/>
        <w:t xml:space="preserve">Other </w:t>
      </w:r>
      <w:r>
        <w:t>matters</w:t>
      </w:r>
      <w:bookmarkEnd w:id="15"/>
      <w:bookmarkEnd w:id="16"/>
    </w:p>
    <w:p w:rsidR="00485180" w:rsidRDefault="00485180" w:rsidP="00DE4A2F">
      <w:pPr>
        <w:pStyle w:val="SingleTxtG"/>
      </w:pPr>
      <w:r>
        <w:t>1</w:t>
      </w:r>
      <w:r w:rsidR="00DE4A2F">
        <w:t>2</w:t>
      </w:r>
      <w:r>
        <w:t>.</w:t>
      </w:r>
      <w:r>
        <w:tab/>
        <w:t xml:space="preserve">During its ninety-seventh session, the Committee met with the </w:t>
      </w:r>
      <w:r w:rsidRPr="00A465B7">
        <w:t xml:space="preserve">Working Group </w:t>
      </w:r>
      <w:r>
        <w:t xml:space="preserve">of Experts </w:t>
      </w:r>
      <w:r w:rsidRPr="00A465B7">
        <w:t>on People of African Descent</w:t>
      </w:r>
      <w:r>
        <w:t xml:space="preserve"> to exchange views and information on issues of common interest. </w:t>
      </w:r>
    </w:p>
    <w:p w:rsidR="00485180" w:rsidRDefault="00485180" w:rsidP="00DE4A2F">
      <w:pPr>
        <w:pStyle w:val="SingleTxtG"/>
      </w:pPr>
      <w:r>
        <w:t>1</w:t>
      </w:r>
      <w:r w:rsidR="00DE4A2F">
        <w:t>3</w:t>
      </w:r>
      <w:r>
        <w:t>.</w:t>
      </w:r>
      <w:r>
        <w:tab/>
        <w:t xml:space="preserve">During its ninety-eighth session, the Committee met with the Group of Independent Eminent Experts on the Implementation of the Durban Declaration and Programme of Action to exchange views on matters of common interest. </w:t>
      </w:r>
    </w:p>
    <w:p w:rsidR="00485180" w:rsidRDefault="00485180" w:rsidP="00DE4A2F">
      <w:pPr>
        <w:pStyle w:val="SingleTxtG"/>
      </w:pPr>
      <w:r>
        <w:t>1</w:t>
      </w:r>
      <w:r w:rsidR="00DE4A2F">
        <w:t>4</w:t>
      </w:r>
      <w:r>
        <w:t>.</w:t>
      </w:r>
      <w:r>
        <w:tab/>
      </w:r>
      <w:r w:rsidRPr="00CB21CA">
        <w:t xml:space="preserve">The United Nations High Commissioner for Human Rights addressed the Committee on </w:t>
      </w:r>
      <w:r>
        <w:t>7 May 2019,</w:t>
      </w:r>
      <w:r w:rsidRPr="00CB21CA">
        <w:t xml:space="preserve"> during its ninety-</w:t>
      </w:r>
      <w:r>
        <w:t xml:space="preserve">eighth </w:t>
      </w:r>
      <w:r w:rsidRPr="00CB21CA">
        <w:t>session.</w:t>
      </w:r>
      <w:r w:rsidR="00133C6F">
        <w:t xml:space="preserve">  </w:t>
      </w:r>
    </w:p>
    <w:p w:rsidR="00485180" w:rsidRPr="00CB21CA" w:rsidRDefault="00485180" w:rsidP="00485180">
      <w:pPr>
        <w:pStyle w:val="H1G"/>
      </w:pPr>
      <w:r w:rsidRPr="00CB21CA">
        <w:tab/>
      </w:r>
      <w:bookmarkStart w:id="17" w:name="_Toc428794283"/>
      <w:bookmarkStart w:id="18" w:name="_Toc17361296"/>
      <w:r w:rsidRPr="00CB21CA">
        <w:t>G.</w:t>
      </w:r>
      <w:r w:rsidRPr="00CB21CA">
        <w:tab/>
        <w:t>Adoption of the report</w:t>
      </w:r>
      <w:bookmarkEnd w:id="17"/>
      <w:bookmarkEnd w:id="18"/>
    </w:p>
    <w:p w:rsidR="00485180" w:rsidRDefault="00485180" w:rsidP="00DE4A2F">
      <w:pPr>
        <w:pStyle w:val="SingleTxtG"/>
      </w:pPr>
      <w:r>
        <w:t>1</w:t>
      </w:r>
      <w:r w:rsidR="00DE4A2F">
        <w:t>5</w:t>
      </w:r>
      <w:r>
        <w:t>.</w:t>
      </w:r>
      <w:r>
        <w:tab/>
      </w:r>
      <w:r w:rsidRPr="00CB21CA">
        <w:t xml:space="preserve">At its </w:t>
      </w:r>
      <w:r>
        <w:t>2738</w:t>
      </w:r>
      <w:r w:rsidRPr="00CB21CA">
        <w:t>th meeting</w:t>
      </w:r>
      <w:r>
        <w:t xml:space="preserve"> (</w:t>
      </w:r>
      <w:r w:rsidRPr="00CB21CA">
        <w:t>ninety-</w:t>
      </w:r>
      <w:r>
        <w:t xml:space="preserve">ninth </w:t>
      </w:r>
      <w:r w:rsidRPr="00CB21CA">
        <w:t>session</w:t>
      </w:r>
      <w:r>
        <w:t>)</w:t>
      </w:r>
      <w:r w:rsidRPr="00CB21CA">
        <w:t>, the Committee adopted its annual report to the General Assembly.</w:t>
      </w:r>
    </w:p>
    <w:p w:rsidR="00485180" w:rsidRDefault="00485180" w:rsidP="00485180">
      <w:r>
        <w:br w:type="page"/>
      </w:r>
    </w:p>
    <w:p w:rsidR="00485180" w:rsidRPr="00CB21CA" w:rsidRDefault="00485180" w:rsidP="00485180">
      <w:pPr>
        <w:pStyle w:val="HChG"/>
      </w:pPr>
      <w:r w:rsidRPr="00CB21CA">
        <w:lastRenderedPageBreak/>
        <w:tab/>
      </w:r>
      <w:bookmarkStart w:id="19" w:name="_Toc428794284"/>
      <w:bookmarkStart w:id="20" w:name="_Toc17361297"/>
      <w:r w:rsidRPr="00CB21CA">
        <w:t>II.</w:t>
      </w:r>
      <w:r w:rsidRPr="00CB21CA">
        <w:tab/>
      </w:r>
      <w:bookmarkEnd w:id="19"/>
      <w:r w:rsidRPr="00CB21CA">
        <w:t>Prevention of racial discrimination, including early warning and urgent action procedures</w:t>
      </w:r>
      <w:bookmarkEnd w:id="20"/>
    </w:p>
    <w:p w:rsidR="00485180" w:rsidRPr="003067A8" w:rsidRDefault="00485180" w:rsidP="00DE4A2F">
      <w:pPr>
        <w:pStyle w:val="SingleTxtG"/>
      </w:pPr>
      <w:r w:rsidRPr="003067A8">
        <w:t>1</w:t>
      </w:r>
      <w:r w:rsidR="00DE4A2F">
        <w:t>6</w:t>
      </w:r>
      <w:r w:rsidRPr="003067A8">
        <w:t>.</w:t>
      </w:r>
      <w:r w:rsidRPr="003067A8">
        <w:tab/>
      </w:r>
      <w:r w:rsidRPr="00CB21CA">
        <w:t xml:space="preserve">The Committee’s work under its early warning and urgent action procedures </w:t>
      </w:r>
      <w:r>
        <w:t>is aimed</w:t>
      </w:r>
      <w:r w:rsidRPr="00CB21CA">
        <w:t xml:space="preserve"> at preventing and responding to serious violations of the Convention. </w:t>
      </w:r>
      <w:r>
        <w:t>This work is based on</w:t>
      </w:r>
      <w:r w:rsidRPr="00CB21CA">
        <w:t xml:space="preserve"> guidelines adopted by the Committee at its seventy-first session</w:t>
      </w:r>
      <w:r>
        <w:t>,</w:t>
      </w:r>
      <w:r w:rsidRPr="00CB21CA">
        <w:t xml:space="preserve"> in August 2007.</w:t>
      </w:r>
      <w:r w:rsidRPr="003067A8">
        <w:rPr>
          <w:rStyle w:val="FootnoteReference"/>
        </w:rPr>
        <w:footnoteReference w:id="3"/>
      </w:r>
    </w:p>
    <w:p w:rsidR="00485180" w:rsidRPr="00CB21CA" w:rsidRDefault="00485180" w:rsidP="00DE4A2F">
      <w:pPr>
        <w:pStyle w:val="SingleTxtG"/>
      </w:pPr>
      <w:r w:rsidRPr="00CB21CA">
        <w:t>1</w:t>
      </w:r>
      <w:r w:rsidR="00DE4A2F">
        <w:t>7</w:t>
      </w:r>
      <w:r w:rsidRPr="00CB21CA">
        <w:t>.</w:t>
      </w:r>
      <w:r w:rsidRPr="00CB21CA">
        <w:tab/>
      </w:r>
      <w:r w:rsidRPr="005F233D">
        <w:t>The</w:t>
      </w:r>
      <w:r w:rsidRPr="00CB21CA">
        <w:t xml:space="preserve"> Committee’s working group on early warning and urgent action</w:t>
      </w:r>
      <w:r>
        <w:t xml:space="preserve"> was</w:t>
      </w:r>
      <w:r w:rsidRPr="00CB21CA">
        <w:t xml:space="preserve"> established at the sixty-fifth session of the Committee</w:t>
      </w:r>
      <w:r>
        <w:t>,</w:t>
      </w:r>
      <w:r w:rsidRPr="00CB21CA">
        <w:t xml:space="preserve"> in August 2004</w:t>
      </w:r>
      <w:r>
        <w:t xml:space="preserve">. Following the resignation of Mr. Marugán from the Committee, on 3 February 2019, the composition of the working group as of the ninety-eighth session is as follows: </w:t>
      </w:r>
    </w:p>
    <w:p w:rsidR="00485180" w:rsidRPr="00CB21CA" w:rsidRDefault="00A517BF" w:rsidP="00A517BF">
      <w:pPr>
        <w:pStyle w:val="SingleTxtG"/>
        <w:tabs>
          <w:tab w:val="left" w:pos="1701"/>
          <w:tab w:val="left" w:pos="3402"/>
        </w:tabs>
        <w:jc w:val="left"/>
      </w:pPr>
      <w:r>
        <w:rPr>
          <w:i/>
          <w:iCs/>
        </w:rPr>
        <w:tab/>
      </w:r>
      <w:r w:rsidR="00485180" w:rsidRPr="00F75A57">
        <w:rPr>
          <w:i/>
          <w:iCs/>
        </w:rPr>
        <w:t>Coordinator</w:t>
      </w:r>
      <w:r w:rsidR="00485180" w:rsidRPr="00CB21CA">
        <w:t>:</w:t>
      </w:r>
      <w:r w:rsidR="00485180" w:rsidRPr="00CB21CA">
        <w:tab/>
      </w:r>
      <w:r w:rsidR="00485180" w:rsidRPr="00CB21CA">
        <w:tab/>
        <w:t xml:space="preserve">José Francisco Calí Tzay </w:t>
      </w:r>
    </w:p>
    <w:p w:rsidR="00485180" w:rsidRPr="00A517BF" w:rsidRDefault="00485180" w:rsidP="00A517BF">
      <w:pPr>
        <w:pStyle w:val="SingleTxtG"/>
        <w:tabs>
          <w:tab w:val="left" w:pos="1701"/>
          <w:tab w:val="left" w:pos="3402"/>
        </w:tabs>
        <w:spacing w:after="0"/>
        <w:jc w:val="left"/>
      </w:pPr>
      <w:r w:rsidRPr="00CB21CA">
        <w:tab/>
      </w:r>
      <w:r w:rsidRPr="00F75A57">
        <w:rPr>
          <w:i/>
          <w:iCs/>
        </w:rPr>
        <w:t>Members</w:t>
      </w:r>
      <w:r w:rsidRPr="00CB21CA">
        <w:t>:</w:t>
      </w:r>
      <w:r w:rsidRPr="00CB21CA">
        <w:tab/>
      </w:r>
      <w:r w:rsidRPr="00A517BF">
        <w:tab/>
        <w:t>Alexei S. Avtonomov</w:t>
      </w:r>
    </w:p>
    <w:p w:rsidR="00485180" w:rsidRPr="00A517BF" w:rsidRDefault="00A517BF" w:rsidP="00A517BF">
      <w:pPr>
        <w:pStyle w:val="SingleTxtG"/>
        <w:tabs>
          <w:tab w:val="left" w:pos="3402"/>
        </w:tabs>
        <w:spacing w:after="0"/>
        <w:jc w:val="left"/>
      </w:pPr>
      <w:r>
        <w:tab/>
      </w:r>
      <w:r w:rsidR="00485180" w:rsidRPr="00A517BF">
        <w:t xml:space="preserve">Chinsung Chung </w:t>
      </w:r>
    </w:p>
    <w:p w:rsidR="00485180" w:rsidRPr="00A517BF" w:rsidRDefault="00A517BF" w:rsidP="00A517BF">
      <w:pPr>
        <w:pStyle w:val="SingleTxtG"/>
        <w:tabs>
          <w:tab w:val="left" w:pos="3402"/>
        </w:tabs>
        <w:spacing w:after="0"/>
        <w:jc w:val="left"/>
      </w:pPr>
      <w:r>
        <w:tab/>
      </w:r>
      <w:r w:rsidR="00485180" w:rsidRPr="00A517BF">
        <w:t>Bakari Sidiki Diaby</w:t>
      </w:r>
    </w:p>
    <w:p w:rsidR="00485180" w:rsidRPr="00A517BF" w:rsidRDefault="00A517BF" w:rsidP="00A517BF">
      <w:pPr>
        <w:pStyle w:val="SingleTxtG"/>
        <w:tabs>
          <w:tab w:val="left" w:pos="3402"/>
        </w:tabs>
        <w:spacing w:after="0"/>
        <w:jc w:val="left"/>
      </w:pPr>
      <w:r>
        <w:tab/>
      </w:r>
      <w:r w:rsidR="00485180" w:rsidRPr="00A517BF">
        <w:t>Yanduan Li</w:t>
      </w:r>
    </w:p>
    <w:p w:rsidR="00485180" w:rsidRPr="00A517BF" w:rsidRDefault="00A517BF" w:rsidP="00A517BF">
      <w:pPr>
        <w:pStyle w:val="SingleTxtG"/>
        <w:tabs>
          <w:tab w:val="left" w:pos="3402"/>
        </w:tabs>
        <w:spacing w:after="0"/>
        <w:jc w:val="left"/>
      </w:pPr>
      <w:r>
        <w:tab/>
      </w:r>
      <w:r w:rsidR="00485180" w:rsidRPr="00A517BF">
        <w:t>Gay McDougall</w:t>
      </w:r>
    </w:p>
    <w:p w:rsidR="00485180" w:rsidRPr="00686C82" w:rsidRDefault="00485180" w:rsidP="00485180">
      <w:pPr>
        <w:pStyle w:val="H1G"/>
      </w:pPr>
      <w:r w:rsidRPr="00CB21CA">
        <w:tab/>
      </w:r>
      <w:r w:rsidRPr="003067A8">
        <w:tab/>
      </w:r>
      <w:bookmarkStart w:id="21" w:name="_Toc17361298"/>
      <w:r w:rsidRPr="003067A8">
        <w:t xml:space="preserve">Consideration of situations under the early warning and urgent action </w:t>
      </w:r>
      <w:r w:rsidRPr="00686C82">
        <w:t>procedures</w:t>
      </w:r>
      <w:bookmarkEnd w:id="21"/>
    </w:p>
    <w:p w:rsidR="00485180" w:rsidRDefault="00485180" w:rsidP="00DE4A2F">
      <w:pPr>
        <w:pStyle w:val="SingleTxtG"/>
      </w:pPr>
      <w:r>
        <w:t>1</w:t>
      </w:r>
      <w:r w:rsidR="00DE4A2F">
        <w:t>8</w:t>
      </w:r>
      <w:r>
        <w:t>.</w:t>
      </w:r>
      <w:r>
        <w:tab/>
        <w:t xml:space="preserve">During the reporting period, </w:t>
      </w:r>
      <w:r w:rsidRPr="003067A8">
        <w:t xml:space="preserve">the Committee considered a number of situations under </w:t>
      </w:r>
      <w:r w:rsidRPr="00686C82">
        <w:t>its early warning and urgent action procedures, as described below.</w:t>
      </w:r>
    </w:p>
    <w:p w:rsidR="00485180" w:rsidRDefault="00485180" w:rsidP="00DE4A2F">
      <w:pPr>
        <w:pStyle w:val="SingleTxtG"/>
      </w:pPr>
      <w:r>
        <w:t>1</w:t>
      </w:r>
      <w:r w:rsidR="00DE4A2F">
        <w:t>9</w:t>
      </w:r>
      <w:r>
        <w:t>.</w:t>
      </w:r>
      <w:r>
        <w:tab/>
        <w:t>In the light of a reply received from the Government of India, dated 16 July 2018, to the Committee’s previous letter, dated 17 May 2018,</w:t>
      </w:r>
      <w:r w:rsidRPr="00D145D0">
        <w:t xml:space="preserve"> concerning </w:t>
      </w:r>
      <w:r>
        <w:t>alleged attacks against</w:t>
      </w:r>
      <w:r w:rsidRPr="00D145D0">
        <w:t xml:space="preserve"> students of Kashmiri origin and of African origin</w:t>
      </w:r>
      <w:r>
        <w:t xml:space="preserve">, the Committee, in a letter dated 30 August 2018, noted the information provided by the State party and requested further information on measures taken to investigate </w:t>
      </w:r>
      <w:r w:rsidRPr="00B255D7">
        <w:t>such acts</w:t>
      </w:r>
      <w:r>
        <w:t>, prosecute and sanction those responsible and provide victims with reparation.</w:t>
      </w:r>
      <w:r w:rsidR="00133C6F">
        <w:t xml:space="preserve"> </w:t>
      </w:r>
    </w:p>
    <w:p w:rsidR="00485180" w:rsidRDefault="00DE4A2F" w:rsidP="00485180">
      <w:pPr>
        <w:pStyle w:val="SingleTxtG"/>
      </w:pPr>
      <w:r>
        <w:t>20</w:t>
      </w:r>
      <w:r w:rsidR="00485180">
        <w:t>.</w:t>
      </w:r>
      <w:r w:rsidR="00485180">
        <w:tab/>
        <w:t>On 30 August 2018, the Committee sent a letter to the Government of the Philippines noting the information provided by the State party in its letter, dated 6 August 2018, in which it had responded to the Committee’s decision 1 (95) of 8 May 2018.</w:t>
      </w:r>
      <w:r w:rsidR="00485180">
        <w:rPr>
          <w:rStyle w:val="FootnoteReference"/>
        </w:rPr>
        <w:footnoteReference w:id="4"/>
      </w:r>
      <w:r w:rsidR="00485180">
        <w:t xml:space="preserve"> That decision related to a court petition filed by the Philippines State Prosecutor, which contained a list of hundreds of individuals accused of being affiliated with alleged terrorist organizations, many of whom were indigenous leaders, human rights defenders and United Nations independent experts. In its letter, the Committee reiterated the concerns raised in its decision, and expressed regret at the absence of information on investigations, prosecutions and convictions in relation to the killings of human rights defenders. </w:t>
      </w:r>
    </w:p>
    <w:p w:rsidR="00485180" w:rsidRDefault="00485180" w:rsidP="00DE4A2F">
      <w:pPr>
        <w:pStyle w:val="SingleTxtG"/>
      </w:pPr>
      <w:r>
        <w:t>2</w:t>
      </w:r>
      <w:r w:rsidR="00DE4A2F">
        <w:t>1</w:t>
      </w:r>
      <w:r>
        <w:t>.</w:t>
      </w:r>
      <w:r>
        <w:tab/>
        <w:t>On 30 August 2018, the Committee sent a letter to the Government of Ukraine concerning its new law on education, adopted in September 2017, which allegedly discriminated against some minorities. The Committee requested information on the discriminatory effects of the law, and on steps taken to preserve the linguistic rights of all minorities in the education system on an equal footing.</w:t>
      </w:r>
    </w:p>
    <w:p w:rsidR="00485180" w:rsidRPr="00803672" w:rsidRDefault="00485180" w:rsidP="00DE4A2F">
      <w:pPr>
        <w:pStyle w:val="SingleTxtG"/>
      </w:pPr>
      <w:r w:rsidRPr="00803672">
        <w:t>2</w:t>
      </w:r>
      <w:r w:rsidR="00DE4A2F">
        <w:t>2</w:t>
      </w:r>
      <w:r w:rsidRPr="00803672">
        <w:t>.</w:t>
      </w:r>
      <w:r w:rsidRPr="00803672">
        <w:tab/>
      </w:r>
      <w:r w:rsidRPr="00BB40A7">
        <w:t xml:space="preserve">On </w:t>
      </w:r>
      <w:r>
        <w:t>30 August</w:t>
      </w:r>
      <w:r w:rsidRPr="00BB40A7">
        <w:t xml:space="preserve"> </w:t>
      </w:r>
      <w:r>
        <w:t>2018</w:t>
      </w:r>
      <w:r w:rsidRPr="00BB40A7">
        <w:t xml:space="preserve">, the Committee sent a letter to the Government of </w:t>
      </w:r>
      <w:r>
        <w:t>the United States of America expressing its concern about the zero-tolerance policy on migration adopted in April 2018, which had a discriminatory effect on migrants and asylum seekers, especially those of indigenous origin, who had crossed the south-west border without documents. Among other issues, the Committee was concerned that</w:t>
      </w:r>
      <w:r w:rsidRPr="00A354E5">
        <w:rPr>
          <w:rFonts w:eastAsia="Calibri"/>
          <w:color w:val="000000"/>
          <w:sz w:val="24"/>
          <w:szCs w:val="24"/>
          <w:lang w:val="en-US"/>
        </w:rPr>
        <w:t xml:space="preserve"> </w:t>
      </w:r>
      <w:r w:rsidRPr="00803672">
        <w:rPr>
          <w:rFonts w:eastAsia="Calibri"/>
          <w:color w:val="000000"/>
          <w:lang w:val="en-US"/>
        </w:rPr>
        <w:t>the implementation of the zero</w:t>
      </w:r>
      <w:r>
        <w:rPr>
          <w:rFonts w:eastAsia="Calibri"/>
          <w:color w:val="000000"/>
          <w:lang w:val="en-US"/>
        </w:rPr>
        <w:t>-</w:t>
      </w:r>
      <w:r w:rsidRPr="00803672">
        <w:rPr>
          <w:rFonts w:eastAsia="Calibri"/>
          <w:color w:val="000000"/>
          <w:lang w:val="en-US"/>
        </w:rPr>
        <w:t>tolerance policy ha</w:t>
      </w:r>
      <w:r>
        <w:rPr>
          <w:rFonts w:eastAsia="Calibri"/>
          <w:color w:val="000000"/>
          <w:lang w:val="en-US"/>
        </w:rPr>
        <w:t>d</w:t>
      </w:r>
      <w:r w:rsidRPr="00803672">
        <w:rPr>
          <w:rFonts w:eastAsia="Calibri"/>
          <w:color w:val="000000"/>
          <w:lang w:val="en-US"/>
        </w:rPr>
        <w:t xml:space="preserve"> resulted </w:t>
      </w:r>
      <w:r>
        <w:rPr>
          <w:rFonts w:eastAsia="Calibri"/>
          <w:color w:val="000000"/>
          <w:lang w:val="en-US"/>
        </w:rPr>
        <w:t xml:space="preserve">in situations that were not in conformity with the Convention and other relevant human rights standards. It requested information on steps </w:t>
      </w:r>
      <w:r>
        <w:rPr>
          <w:rFonts w:eastAsia="Calibri"/>
          <w:color w:val="000000"/>
          <w:lang w:val="en-US"/>
        </w:rPr>
        <w:lastRenderedPageBreak/>
        <w:t xml:space="preserve">taken </w:t>
      </w:r>
      <w:r w:rsidRPr="00803672">
        <w:rPr>
          <w:lang w:val="en-US"/>
        </w:rPr>
        <w:t xml:space="preserve">to </w:t>
      </w:r>
      <w:r>
        <w:rPr>
          <w:lang w:val="en-US"/>
        </w:rPr>
        <w:t xml:space="preserve">ensure that all relevant </w:t>
      </w:r>
      <w:r w:rsidRPr="00803672">
        <w:rPr>
          <w:lang w:val="en-US"/>
        </w:rPr>
        <w:t xml:space="preserve">minimum human rights standards </w:t>
      </w:r>
      <w:r>
        <w:rPr>
          <w:lang w:val="en-US"/>
        </w:rPr>
        <w:t>were respected and that p</w:t>
      </w:r>
      <w:r w:rsidRPr="00803672">
        <w:rPr>
          <w:lang w:val="en-US"/>
        </w:rPr>
        <w:t xml:space="preserve">rocedural guarantees </w:t>
      </w:r>
      <w:r>
        <w:rPr>
          <w:lang w:val="en-US"/>
        </w:rPr>
        <w:t xml:space="preserve">were </w:t>
      </w:r>
      <w:r w:rsidRPr="00803672">
        <w:rPr>
          <w:lang w:val="en-US"/>
        </w:rPr>
        <w:t>offered to</w:t>
      </w:r>
      <w:r>
        <w:rPr>
          <w:lang w:val="en-US"/>
        </w:rPr>
        <w:t xml:space="preserve"> all migrants and asylum seekers.</w:t>
      </w:r>
      <w:r w:rsidR="00133C6F">
        <w:rPr>
          <w:lang w:val="en-US"/>
        </w:rPr>
        <w:t xml:space="preserve"> </w:t>
      </w:r>
    </w:p>
    <w:p w:rsidR="00485180" w:rsidRDefault="00485180" w:rsidP="00DE4A2F">
      <w:pPr>
        <w:pStyle w:val="SingleTxtG"/>
      </w:pPr>
      <w:r>
        <w:t>2</w:t>
      </w:r>
      <w:r w:rsidR="00DE4A2F">
        <w:t>3</w:t>
      </w:r>
      <w:r>
        <w:t>.</w:t>
      </w:r>
      <w:r>
        <w:tab/>
        <w:t>On 14 December 2018, the Committee sent a letter to the Government of Australia</w:t>
      </w:r>
      <w:r w:rsidR="00133C6F">
        <w:t xml:space="preserve"> </w:t>
      </w:r>
      <w:r>
        <w:t>expressing its concern about allegations of a failure to consult and obtain the free, prior and informed consent of all members of the native title claimant groups of the Wangan and Jagalingou people regarding the Carmichael coal mine and rail project on their ancestral lands</w:t>
      </w:r>
      <w:r w:rsidRPr="00290200">
        <w:t xml:space="preserve"> </w:t>
      </w:r>
      <w:r>
        <w:t>in Queensland.</w:t>
      </w:r>
      <w:r w:rsidR="00133C6F">
        <w:t xml:space="preserve"> </w:t>
      </w:r>
      <w:r>
        <w:t>The Committee requested information on steps taken to ensure the right to consultation and to the requirement of free, prior and informed consent in accordance with the indigenous peoples’ own decision-making mechanisms, and to consider suspending the</w:t>
      </w:r>
      <w:r w:rsidR="00133C6F">
        <w:t xml:space="preserve"> </w:t>
      </w:r>
      <w:r>
        <w:t xml:space="preserve">project until their consent had been obtained. </w:t>
      </w:r>
    </w:p>
    <w:p w:rsidR="00485180" w:rsidRDefault="00485180" w:rsidP="00DE4A2F">
      <w:pPr>
        <w:pStyle w:val="SingleTxtG"/>
      </w:pPr>
      <w:r>
        <w:t>2</w:t>
      </w:r>
      <w:r w:rsidR="00DE4A2F">
        <w:t>4</w:t>
      </w:r>
      <w:r>
        <w:t>.</w:t>
      </w:r>
      <w:r>
        <w:tab/>
        <w:t>On 14 December 2018, the Committee sent a letter to the Government of Canada raising its concern about allegations that the reform of the Department of Indian Affairs and Northern Development and the development of a “recognition and implementation of indigenous rights framework” had been carried out without consultation and without the free, prior and informed consent of indigenous peoples. The Committee requested</w:t>
      </w:r>
      <w:r w:rsidR="00133C6F">
        <w:t xml:space="preserve"> </w:t>
      </w:r>
      <w:r>
        <w:t xml:space="preserve">information on steps taken to ensure respect for the right to consultation and to the requirement of free, prior and informed consent regarding the adoption of any new policy or institutional framework on indigenous peoples’ rights in accordance with their own decision-making processes. </w:t>
      </w:r>
    </w:p>
    <w:p w:rsidR="00485180" w:rsidRDefault="00485180" w:rsidP="00DE4A2F">
      <w:pPr>
        <w:pStyle w:val="SingleTxtG"/>
      </w:pPr>
      <w:r>
        <w:t>2</w:t>
      </w:r>
      <w:r w:rsidR="00DE4A2F">
        <w:t>5</w:t>
      </w:r>
      <w:r>
        <w:t>.</w:t>
      </w:r>
      <w:r>
        <w:tab/>
        <w:t>On 14 December 2018, the Committee sent a letter to the Government of Canada</w:t>
      </w:r>
      <w:r w:rsidR="00133C6F">
        <w:t xml:space="preserve"> </w:t>
      </w:r>
      <w:r>
        <w:t>expressing</w:t>
      </w:r>
      <w:r w:rsidR="00133C6F">
        <w:t xml:space="preserve"> </w:t>
      </w:r>
      <w:r>
        <w:t>its concern about the alleged lack of measures to ensure the consultation and the free, prior and informed consent of the indigenous peoples of the Province of British Columbia affected by the construction of the Site C dam, which would permanently affect their land rights. The Committee requested</w:t>
      </w:r>
      <w:r w:rsidR="00133C6F">
        <w:t xml:space="preserve"> </w:t>
      </w:r>
      <w:r>
        <w:t xml:space="preserve">information on steps taken to suspend the Site C dam project until free, prior and informed consent had been obtained from the indigenous peoples. </w:t>
      </w:r>
    </w:p>
    <w:p w:rsidR="00485180" w:rsidRDefault="00485180" w:rsidP="00DE4A2F">
      <w:pPr>
        <w:pStyle w:val="SingleTxtG"/>
      </w:pPr>
      <w:r>
        <w:t>2</w:t>
      </w:r>
      <w:r w:rsidR="00DE4A2F">
        <w:t>6</w:t>
      </w:r>
      <w:r>
        <w:t>.</w:t>
      </w:r>
      <w:r>
        <w:tab/>
        <w:t>On 14 December 2018, the Committee sent a letter to the Government of Canada concerning the impact of the Trans Mountain Pipeline expansion project on the Secwepemc indigenous people’s land, in British Columbia.</w:t>
      </w:r>
      <w:r w:rsidR="00133C6F">
        <w:t xml:space="preserve"> </w:t>
      </w:r>
      <w:r>
        <w:t>The Committee noted that the State party had initiated renewed and open-ended consultations on the extension of that project, whose</w:t>
      </w:r>
      <w:r w:rsidR="00133C6F">
        <w:t xml:space="preserve"> </w:t>
      </w:r>
      <w:r>
        <w:t>realization</w:t>
      </w:r>
      <w:r w:rsidR="00133C6F">
        <w:t xml:space="preserve"> </w:t>
      </w:r>
      <w:r>
        <w:t xml:space="preserve">without free, prior and informed consent would permanently affect the land rights of the Secwepemc indigenous people. It requested information on steps taken to ensure respect for the Secwepemc people’s right to consultation and to the requirement of free, prior and informed consent in relation to that project. </w:t>
      </w:r>
    </w:p>
    <w:p w:rsidR="00485180" w:rsidRDefault="00485180" w:rsidP="00DE4A2F">
      <w:pPr>
        <w:pStyle w:val="SingleTxtG"/>
      </w:pPr>
      <w:r>
        <w:t>2</w:t>
      </w:r>
      <w:r w:rsidR="00DE4A2F">
        <w:t>7</w:t>
      </w:r>
      <w:r>
        <w:t>.</w:t>
      </w:r>
      <w:r>
        <w:tab/>
        <w:t>On 14 December 2018, the Committee sent a letter to the Government of France raising concern that the Montagne d’Or mining project was being carried out without</w:t>
      </w:r>
      <w:r w:rsidR="00133C6F">
        <w:t xml:space="preserve"> </w:t>
      </w:r>
      <w:r>
        <w:t>consultation and without the free, prior and informed consent of the indigenous peoples of</w:t>
      </w:r>
      <w:r w:rsidR="00133C6F">
        <w:t xml:space="preserve"> </w:t>
      </w:r>
      <w:r>
        <w:t xml:space="preserve">French Guiana, despite the project’s adverse impact on indigenous peoples’ control and use of their lands. The Committee requested information on measures taken to ensure the right to consultation and to the requirement of free, prior and informed consent, and to consider suspending the project until free, prior and informed consent had been obtained from all the indigenous peoples affected. </w:t>
      </w:r>
    </w:p>
    <w:p w:rsidR="00485180" w:rsidRDefault="00485180" w:rsidP="00DE4A2F">
      <w:pPr>
        <w:pStyle w:val="SingleTxtG"/>
      </w:pPr>
      <w:r>
        <w:t>2</w:t>
      </w:r>
      <w:r w:rsidR="00DE4A2F">
        <w:t>8</w:t>
      </w:r>
      <w:r>
        <w:t>.</w:t>
      </w:r>
      <w:r>
        <w:tab/>
        <w:t>On 14 December 2018, the Committee sent a letter to the Government of Guyana raising its concern about allegations that the draft environmental and social impact assessment on the Marudi Mountain mining project had been carried out without the full participation of the Wapichan indigenous people. The Committee requested information on steps taken to repeal the draft environmental and social impact assessment, to conduct an environmental and social impact assessment with the full participation of all indigenous peoples affected by the mining project, and to suspend it until their free, prior and informed consent had been obtained.</w:t>
      </w:r>
      <w:r w:rsidR="00133C6F">
        <w:t xml:space="preserve"> </w:t>
      </w:r>
    </w:p>
    <w:p w:rsidR="00485180" w:rsidRDefault="00485180" w:rsidP="00DE4A2F">
      <w:pPr>
        <w:pStyle w:val="SingleTxtG"/>
      </w:pPr>
      <w:r>
        <w:t>2</w:t>
      </w:r>
      <w:r w:rsidR="00DE4A2F">
        <w:t>9</w:t>
      </w:r>
      <w:r>
        <w:t>.</w:t>
      </w:r>
      <w:r>
        <w:tab/>
        <w:t>On 14 December 2018, the Committee sent a letter to the Government of India expressing concern about allegations that the Rohingya had been a target of hate speech and violence in India and</w:t>
      </w:r>
      <w:r w:rsidR="00133C6F">
        <w:t xml:space="preserve"> </w:t>
      </w:r>
      <w:r>
        <w:t xml:space="preserve">might have to return to Myanmar, where they faced discrimination, persecution and hatred and had suffered gross human rights violations. The Committee requested information on steps taken to ensure sufficient capacity to replace detention </w:t>
      </w:r>
      <w:r>
        <w:lastRenderedPageBreak/>
        <w:t xml:space="preserve">camps with reception facilities, to provide adequate shelters, basic services and humanitarian assistance, and to fully comply with the obligation of non-refoulement. </w:t>
      </w:r>
    </w:p>
    <w:p w:rsidR="00485180" w:rsidRDefault="004E4E46" w:rsidP="00485180">
      <w:pPr>
        <w:pStyle w:val="SingleTxtG"/>
      </w:pPr>
      <w:r>
        <w:t>30</w:t>
      </w:r>
      <w:r w:rsidR="00485180">
        <w:t>.</w:t>
      </w:r>
      <w:r w:rsidR="00485180">
        <w:tab/>
        <w:t>On 14 December 2018, the Committee sent a letter to the Government of Papua New Guinea expressing its concern about allegations of the Government’s continued authorization of the use of special agricultural business leases by foreign companies to occupy and use indigenous lands, including for the purposes of logging and large-scale plantation, despite their reportedly adverse impact on</w:t>
      </w:r>
      <w:r w:rsidR="00133C6F">
        <w:t xml:space="preserve"> </w:t>
      </w:r>
      <w:r w:rsidR="00485180">
        <w:t>the traditional subsistence lifestyle of indigenous peoples and on the environment. The Committee requested</w:t>
      </w:r>
      <w:r w:rsidR="00133C6F">
        <w:t xml:space="preserve"> </w:t>
      </w:r>
      <w:r w:rsidR="00485180">
        <w:t>information on steps taken to implement</w:t>
      </w:r>
      <w:r w:rsidR="00133C6F">
        <w:t xml:space="preserve"> </w:t>
      </w:r>
      <w:r w:rsidR="00485180">
        <w:t xml:space="preserve">its recommendations contained in its previous letters. </w:t>
      </w:r>
    </w:p>
    <w:p w:rsidR="00485180" w:rsidRDefault="00485180" w:rsidP="004E4E46">
      <w:pPr>
        <w:pStyle w:val="SingleTxtG"/>
      </w:pPr>
      <w:r>
        <w:t>3</w:t>
      </w:r>
      <w:r w:rsidR="004E4E46">
        <w:t>1</w:t>
      </w:r>
      <w:r>
        <w:t>.</w:t>
      </w:r>
      <w:r>
        <w:tab/>
      </w:r>
      <w:r w:rsidRPr="00AD3EA2">
        <w:t xml:space="preserve">On 10 May 2019, the Committee sent a letter to the Government of Brazil </w:t>
      </w:r>
      <w:r>
        <w:t>expressing its concern about the adverse effects of</w:t>
      </w:r>
      <w:r w:rsidRPr="00AD3EA2">
        <w:t xml:space="preserve"> the construction of highways and railroads in the State of Mato Grosso</w:t>
      </w:r>
      <w:r>
        <w:t xml:space="preserve"> </w:t>
      </w:r>
      <w:r w:rsidRPr="00AD3EA2">
        <w:t>on the Xavante and other indigenous peoples’ rights</w:t>
      </w:r>
      <w:r>
        <w:t xml:space="preserve">. </w:t>
      </w:r>
      <w:r w:rsidRPr="00AD3EA2">
        <w:t xml:space="preserve">It also raised </w:t>
      </w:r>
      <w:r>
        <w:t xml:space="preserve">its </w:t>
      </w:r>
      <w:r w:rsidRPr="00AD3EA2">
        <w:t xml:space="preserve">concern </w:t>
      </w:r>
      <w:r>
        <w:t>about</w:t>
      </w:r>
      <w:r w:rsidRPr="00AD3EA2">
        <w:t xml:space="preserve"> allegations of a lack of consultation and failure to seek to obtain </w:t>
      </w:r>
      <w:r>
        <w:t xml:space="preserve">the </w:t>
      </w:r>
      <w:r w:rsidRPr="00AD3EA2">
        <w:t>free, prior and informed consent of th</w:t>
      </w:r>
      <w:r>
        <w:t>e affected indigenous</w:t>
      </w:r>
      <w:r w:rsidRPr="00AD3EA2">
        <w:t xml:space="preserve"> people</w:t>
      </w:r>
      <w:r>
        <w:t>s. In particular, t</w:t>
      </w:r>
      <w:r w:rsidRPr="00AD3EA2">
        <w:t xml:space="preserve">he Committee requested information on steps taken to suspend the construction of the highways and </w:t>
      </w:r>
      <w:r>
        <w:t xml:space="preserve">similar </w:t>
      </w:r>
      <w:r w:rsidRPr="00AD3EA2">
        <w:t xml:space="preserve">projects on or near the traditional lands and territories until </w:t>
      </w:r>
      <w:r>
        <w:t xml:space="preserve">such </w:t>
      </w:r>
      <w:r w:rsidRPr="00AD3EA2">
        <w:t xml:space="preserve">free, prior and informed consent </w:t>
      </w:r>
      <w:r>
        <w:t>had been</w:t>
      </w:r>
      <w:r w:rsidRPr="00AD3EA2">
        <w:t xml:space="preserve"> obtained</w:t>
      </w:r>
      <w:r>
        <w:t>.</w:t>
      </w:r>
      <w:r w:rsidR="00133C6F">
        <w:t xml:space="preserve">  </w:t>
      </w:r>
    </w:p>
    <w:p w:rsidR="00485180" w:rsidRDefault="00485180" w:rsidP="004E4E46">
      <w:pPr>
        <w:pStyle w:val="SingleTxtG"/>
      </w:pPr>
      <w:r>
        <w:t>3</w:t>
      </w:r>
      <w:r w:rsidR="004E4E46">
        <w:t>2</w:t>
      </w:r>
      <w:r>
        <w:t>.</w:t>
      </w:r>
      <w:r>
        <w:tab/>
        <w:t xml:space="preserve">On 10 May 2019, the Committee sent a letter to the Government of Cameroon noting that the State party had granted a special derogation to the company Palm Resources Cameroon for a long-term lease of forest land on the Bagyeli ancestral lands without consultation and without the free, prior and informed consent of the communities concerned. The Committee expressed concern about discriminatory provisions in the legislation of 1974 on land rights. It requested information on steps taken to ensure the right of those communities to consultation and to the requirement of free, prior and informed consent, and to consider providing them with immediate and comprehensive compensation and reparation and reviewing the 1974 legislation to ensure the recognition, protection and titling of indigenous peoples over their traditional lands. </w:t>
      </w:r>
    </w:p>
    <w:p w:rsidR="00485180" w:rsidRDefault="00485180" w:rsidP="004E4E46">
      <w:pPr>
        <w:pStyle w:val="SingleTxtG"/>
      </w:pPr>
      <w:r>
        <w:t>3</w:t>
      </w:r>
      <w:r w:rsidR="004E4E46">
        <w:t>3</w:t>
      </w:r>
      <w:r>
        <w:t>.</w:t>
      </w:r>
      <w:r>
        <w:tab/>
      </w:r>
      <w:r w:rsidRPr="00686C82">
        <w:t xml:space="preserve">In the light of </w:t>
      </w:r>
      <w:r>
        <w:t xml:space="preserve">a </w:t>
      </w:r>
      <w:r w:rsidRPr="00686C82">
        <w:t>repl</w:t>
      </w:r>
      <w:r>
        <w:t>y</w:t>
      </w:r>
      <w:r w:rsidRPr="00686C82">
        <w:t xml:space="preserve"> received from the Government of </w:t>
      </w:r>
      <w:r>
        <w:t>Canada</w:t>
      </w:r>
      <w:r w:rsidRPr="00686C82">
        <w:t xml:space="preserve">, dated </w:t>
      </w:r>
      <w:r>
        <w:t>17 April 2019,</w:t>
      </w:r>
      <w:r w:rsidRPr="00686C82">
        <w:t xml:space="preserve"> to the Committee’s previous letter</w:t>
      </w:r>
      <w:r>
        <w:t>, dated</w:t>
      </w:r>
      <w:r w:rsidRPr="00FB721A">
        <w:t xml:space="preserve"> 1</w:t>
      </w:r>
      <w:r>
        <w:t>4</w:t>
      </w:r>
      <w:r w:rsidRPr="00FB721A">
        <w:t xml:space="preserve"> December 201</w:t>
      </w:r>
      <w:r>
        <w:t>8</w:t>
      </w:r>
      <w:r w:rsidRPr="00FB721A">
        <w:t>, the Committee</w:t>
      </w:r>
      <w:r>
        <w:t xml:space="preserve">, in a letter dated 10 May 2019, welcomed the information provided by </w:t>
      </w:r>
      <w:r w:rsidRPr="00FB721A">
        <w:t xml:space="preserve">the State party </w:t>
      </w:r>
      <w:r>
        <w:t>and expressed concern about allegations that the consultation process of the third phase of the Trans Mountain Pipeline expansion project had not been agreed by the Secwepemc indigenous people and had not included all the communities concerned. In particular, the Committee urged the State party to ensure that no decisions concerning that project were taken without the free, prior and informed consent of the Secwepemc indigenous people.</w:t>
      </w:r>
    </w:p>
    <w:p w:rsidR="00485180" w:rsidRDefault="00485180" w:rsidP="004E4E46">
      <w:pPr>
        <w:pStyle w:val="SingleTxtG"/>
      </w:pPr>
      <w:r>
        <w:t>3</w:t>
      </w:r>
      <w:r w:rsidR="004E4E46">
        <w:t>4</w:t>
      </w:r>
      <w:r>
        <w:t>.</w:t>
      </w:r>
      <w:r>
        <w:tab/>
      </w:r>
      <w:r w:rsidRPr="00686C82">
        <w:t xml:space="preserve">In the light of </w:t>
      </w:r>
      <w:r>
        <w:t xml:space="preserve">a </w:t>
      </w:r>
      <w:r w:rsidRPr="00686C82">
        <w:t>repl</w:t>
      </w:r>
      <w:r>
        <w:t>y</w:t>
      </w:r>
      <w:r w:rsidRPr="00686C82">
        <w:t xml:space="preserve"> received from the Government of </w:t>
      </w:r>
      <w:r>
        <w:t>Canada</w:t>
      </w:r>
      <w:r w:rsidRPr="00686C82">
        <w:t xml:space="preserve">, dated </w:t>
      </w:r>
      <w:r>
        <w:t xml:space="preserve">3 April 2019, </w:t>
      </w:r>
      <w:r w:rsidRPr="00686C82">
        <w:t>to the Committee’s previous letter</w:t>
      </w:r>
      <w:r>
        <w:t>, dated</w:t>
      </w:r>
      <w:r w:rsidRPr="00FB721A">
        <w:t xml:space="preserve"> 1</w:t>
      </w:r>
      <w:r>
        <w:t>4</w:t>
      </w:r>
      <w:r w:rsidRPr="00FB721A">
        <w:t xml:space="preserve"> December 201</w:t>
      </w:r>
      <w:r>
        <w:t>8</w:t>
      </w:r>
      <w:r w:rsidRPr="00FB721A">
        <w:t>, the Committee</w:t>
      </w:r>
      <w:r>
        <w:t xml:space="preserve">, in a letter dated 10 May 2019, welcomed the information provided by the State party and reiterated its concern </w:t>
      </w:r>
      <w:r w:rsidRPr="00803672">
        <w:t>about the limited information</w:t>
      </w:r>
      <w:r>
        <w:t xml:space="preserve"> provided</w:t>
      </w:r>
      <w:r w:rsidRPr="00803672">
        <w:t xml:space="preserve"> </w:t>
      </w:r>
      <w:r>
        <w:t xml:space="preserve">with </w:t>
      </w:r>
      <w:r w:rsidRPr="00803672">
        <w:t>regard</w:t>
      </w:r>
      <w:r>
        <w:t xml:space="preserve"> to</w:t>
      </w:r>
      <w:r w:rsidRPr="00803672">
        <w:t xml:space="preserve"> measures taken to</w:t>
      </w:r>
      <w:r w:rsidR="00133C6F">
        <w:t xml:space="preserve"> </w:t>
      </w:r>
      <w:r w:rsidRPr="00803672">
        <w:t xml:space="preserve">obtain free, prior and informed consent on the </w:t>
      </w:r>
      <w:r>
        <w:t>i</w:t>
      </w:r>
      <w:r w:rsidRPr="00803672">
        <w:t xml:space="preserve">ndigenous </w:t>
      </w:r>
      <w:r>
        <w:t>r</w:t>
      </w:r>
      <w:r w:rsidRPr="00803672">
        <w:t xml:space="preserve">ights </w:t>
      </w:r>
      <w:r>
        <w:t>f</w:t>
      </w:r>
      <w:r w:rsidRPr="00803672">
        <w:t xml:space="preserve">ramework </w:t>
      </w:r>
      <w:r>
        <w:t>and</w:t>
      </w:r>
      <w:r w:rsidRPr="00803672">
        <w:t xml:space="preserve"> on the new rights-based policy to be launched in June 2019</w:t>
      </w:r>
      <w:r>
        <w:t xml:space="preserve">. </w:t>
      </w:r>
      <w:r w:rsidRPr="00C9793D">
        <w:t xml:space="preserve">The Committee </w:t>
      </w:r>
      <w:r w:rsidRPr="00803672">
        <w:t>urge</w:t>
      </w:r>
      <w:r>
        <w:t>d</w:t>
      </w:r>
      <w:r w:rsidRPr="00803672">
        <w:t xml:space="preserve"> the State party to ensure that no decisions about the </w:t>
      </w:r>
      <w:r>
        <w:t>i</w:t>
      </w:r>
      <w:r w:rsidRPr="00803672">
        <w:t xml:space="preserve">ndigenous </w:t>
      </w:r>
      <w:r>
        <w:t>r</w:t>
      </w:r>
      <w:r w:rsidRPr="00803672">
        <w:t xml:space="preserve">ights </w:t>
      </w:r>
      <w:r>
        <w:t>f</w:t>
      </w:r>
      <w:r w:rsidRPr="00803672">
        <w:t xml:space="preserve">ramework </w:t>
      </w:r>
      <w:r>
        <w:t>or</w:t>
      </w:r>
      <w:r w:rsidRPr="00803672">
        <w:t xml:space="preserve"> other </w:t>
      </w:r>
      <w:r>
        <w:t xml:space="preserve">such </w:t>
      </w:r>
      <w:r w:rsidRPr="00803672">
        <w:t xml:space="preserve">legislation </w:t>
      </w:r>
      <w:r>
        <w:t>were</w:t>
      </w:r>
      <w:r w:rsidRPr="00803672">
        <w:t xml:space="preserve"> taken without consultation and </w:t>
      </w:r>
      <w:r>
        <w:t xml:space="preserve">without </w:t>
      </w:r>
      <w:r w:rsidRPr="00803672">
        <w:t>the free, prior and informed consent of indigenous peoples.</w:t>
      </w:r>
    </w:p>
    <w:p w:rsidR="00485180" w:rsidRDefault="00485180" w:rsidP="004E4E46">
      <w:pPr>
        <w:pStyle w:val="SingleTxtG"/>
      </w:pPr>
      <w:r>
        <w:t>3</w:t>
      </w:r>
      <w:r w:rsidR="004E4E46">
        <w:t>5</w:t>
      </w:r>
      <w:r>
        <w:t>.</w:t>
      </w:r>
      <w:r>
        <w:tab/>
        <w:t>On 10 May 2019, the Committee sent a letter to the Government of Chile expressing its concern about allegations of the desecration of the sacred site of Chinay, located in Villarrica</w:t>
      </w:r>
      <w:r w:rsidRPr="00962922">
        <w:t xml:space="preserve"> </w:t>
      </w:r>
      <w:r>
        <w:t>National Park, and about similar acts of desecration of indigenous peoples’ sacred sites that had reportedly occurred in the territory of the State party. The Committee recalled its recommendations to the State party in paragraphs 11 and 13 of its previous concluding observations (</w:t>
      </w:r>
      <w:hyperlink r:id="rId24" w:history="1">
        <w:r w:rsidRPr="00A50896">
          <w:rPr>
            <w:rStyle w:val="Hyperlink"/>
          </w:rPr>
          <w:t>CERD/C/CHL/CO/19-21</w:t>
        </w:r>
      </w:hyperlink>
      <w:r>
        <w:t>), in 2013.</w:t>
      </w:r>
    </w:p>
    <w:p w:rsidR="00485180" w:rsidRDefault="00485180" w:rsidP="004E4E46">
      <w:pPr>
        <w:pStyle w:val="SingleTxtG"/>
      </w:pPr>
      <w:r>
        <w:t>3</w:t>
      </w:r>
      <w:r w:rsidR="004E4E46">
        <w:t>6</w:t>
      </w:r>
      <w:r>
        <w:t>.</w:t>
      </w:r>
      <w:r>
        <w:tab/>
      </w:r>
      <w:r w:rsidRPr="00106C43">
        <w:t xml:space="preserve">On 10 May 2019, the Committee sent a letter to the Government of India expressing concern that the </w:t>
      </w:r>
      <w:r>
        <w:t>d</w:t>
      </w:r>
      <w:r w:rsidRPr="00106C43">
        <w:t xml:space="preserve">raft </w:t>
      </w:r>
      <w:r>
        <w:t>n</w:t>
      </w:r>
      <w:r w:rsidRPr="00106C43">
        <w:t xml:space="preserve">ational </w:t>
      </w:r>
      <w:r>
        <w:t>f</w:t>
      </w:r>
      <w:r w:rsidRPr="00106C43">
        <w:t xml:space="preserve">orest </w:t>
      </w:r>
      <w:r>
        <w:t>p</w:t>
      </w:r>
      <w:r w:rsidRPr="00106C43">
        <w:t xml:space="preserve">olicy submitted </w:t>
      </w:r>
      <w:r>
        <w:t>for</w:t>
      </w:r>
      <w:r w:rsidRPr="00106C43">
        <w:t xml:space="preserve"> public consultation in M</w:t>
      </w:r>
      <w:r>
        <w:t>arch 2018 would have a negative impact</w:t>
      </w:r>
      <w:r w:rsidRPr="00106C43">
        <w:t xml:space="preserve"> </w:t>
      </w:r>
      <w:r>
        <w:t xml:space="preserve">on </w:t>
      </w:r>
      <w:r w:rsidRPr="00106C43">
        <w:t xml:space="preserve">the right of indigenous peoples </w:t>
      </w:r>
      <w:r>
        <w:t>over</w:t>
      </w:r>
      <w:r w:rsidRPr="00106C43">
        <w:t xml:space="preserve"> their traditional lands and </w:t>
      </w:r>
      <w:r>
        <w:t xml:space="preserve">their right </w:t>
      </w:r>
      <w:r w:rsidRPr="00106C43">
        <w:t>to effectively exercis</w:t>
      </w:r>
      <w:r>
        <w:t>e</w:t>
      </w:r>
      <w:r w:rsidRPr="00106C43">
        <w:t xml:space="preserve"> control over community forest resources, notably by undermining their governing structure (</w:t>
      </w:r>
      <w:r w:rsidRPr="00F75A57">
        <w:rPr>
          <w:i/>
          <w:iCs/>
        </w:rPr>
        <w:t>gram sabhas</w:t>
      </w:r>
      <w:r w:rsidRPr="00106C43">
        <w:t>)</w:t>
      </w:r>
      <w:r>
        <w:t>. The Committee requested information on steps taken to annul the d</w:t>
      </w:r>
      <w:r w:rsidRPr="00106C43">
        <w:t xml:space="preserve">raft </w:t>
      </w:r>
      <w:r>
        <w:t>n</w:t>
      </w:r>
      <w:r w:rsidRPr="00106C43">
        <w:t xml:space="preserve">ational </w:t>
      </w:r>
      <w:r>
        <w:t>f</w:t>
      </w:r>
      <w:r w:rsidRPr="00106C43">
        <w:t xml:space="preserve">orest </w:t>
      </w:r>
      <w:r>
        <w:t>p</w:t>
      </w:r>
      <w:r w:rsidRPr="00106C43">
        <w:t>olicy</w:t>
      </w:r>
      <w:r>
        <w:t xml:space="preserve">, to ensure the rights of </w:t>
      </w:r>
      <w:r>
        <w:lastRenderedPageBreak/>
        <w:t xml:space="preserve">indigenous peoples over their lands and territories, and to refrain from adopting any legislation and policies that undermined indigenous peoples’ rights. </w:t>
      </w:r>
    </w:p>
    <w:p w:rsidR="00485180" w:rsidRDefault="00485180" w:rsidP="004E4E46">
      <w:pPr>
        <w:pStyle w:val="SingleTxtG"/>
      </w:pPr>
      <w:r>
        <w:t>3</w:t>
      </w:r>
      <w:r w:rsidR="004E4E46">
        <w:t>7</w:t>
      </w:r>
      <w:r>
        <w:t>.</w:t>
      </w:r>
      <w:r>
        <w:tab/>
        <w:t xml:space="preserve">On 10 May 2019, the Committee sent a letter to the Government of Latvia expressing its concern that the new regulation No. 716 on preschool education, of 21 November 2018, might discriminate against ethnic minorities. The Committee </w:t>
      </w:r>
      <w:r w:rsidRPr="00803672">
        <w:t xml:space="preserve">recommended </w:t>
      </w:r>
      <w:r>
        <w:t>the State party to</w:t>
      </w:r>
      <w:r w:rsidRPr="00803672">
        <w:t xml:space="preserve"> take measures to ensure that its language policy and laws </w:t>
      </w:r>
      <w:r>
        <w:t>did</w:t>
      </w:r>
      <w:r w:rsidRPr="00803672">
        <w:t xml:space="preserve"> not create direct or indirect discrimination or restrict the rights of ethnic minorities to access</w:t>
      </w:r>
      <w:r>
        <w:t xml:space="preserve"> to</w:t>
      </w:r>
      <w:r w:rsidRPr="00803672">
        <w:t xml:space="preserve"> education, employment and basic service</w:t>
      </w:r>
      <w:r>
        <w:t xml:space="preserve">s. It also recommended the State party to give further </w:t>
      </w:r>
      <w:r w:rsidRPr="00803672">
        <w:t>cons</w:t>
      </w:r>
      <w:r w:rsidRPr="00D368D7">
        <w:t>ider</w:t>
      </w:r>
      <w:r>
        <w:t>ation to</w:t>
      </w:r>
      <w:r w:rsidRPr="00D368D7">
        <w:t xml:space="preserve"> amending</w:t>
      </w:r>
      <w:r>
        <w:t xml:space="preserve"> </w:t>
      </w:r>
      <w:r w:rsidRPr="00803672">
        <w:t>the Education</w:t>
      </w:r>
      <w:r>
        <w:t xml:space="preserve"> Law, and requested information</w:t>
      </w:r>
      <w:r w:rsidRPr="00803672">
        <w:t xml:space="preserve"> </w:t>
      </w:r>
      <w:r>
        <w:t xml:space="preserve">on steps taken to ensure that the new regulation No. 716 on preschool education was in conformity with the Convention. </w:t>
      </w:r>
    </w:p>
    <w:p w:rsidR="00485180" w:rsidRDefault="00485180" w:rsidP="004E4E46">
      <w:pPr>
        <w:pStyle w:val="SingleTxtG"/>
      </w:pPr>
      <w:r>
        <w:t>3</w:t>
      </w:r>
      <w:r w:rsidR="004E4E46">
        <w:t>8</w:t>
      </w:r>
      <w:r>
        <w:t>.</w:t>
      </w:r>
      <w:r>
        <w:tab/>
        <w:t xml:space="preserve"> On 10 May 2019, the Committee sent a letter to the Government of the United States raising its concern that </w:t>
      </w:r>
      <w:r w:rsidRPr="00803672">
        <w:t xml:space="preserve">the </w:t>
      </w:r>
      <w:r>
        <w:t xml:space="preserve">planned </w:t>
      </w:r>
      <w:r w:rsidRPr="00803672">
        <w:t xml:space="preserve">construction of </w:t>
      </w:r>
      <w:r>
        <w:t>a</w:t>
      </w:r>
      <w:r w:rsidRPr="00803672">
        <w:t xml:space="preserve"> </w:t>
      </w:r>
      <w:r>
        <w:t>30-m</w:t>
      </w:r>
      <w:r w:rsidRPr="00803672">
        <w:t>et</w:t>
      </w:r>
      <w:r>
        <w:t>r</w:t>
      </w:r>
      <w:r w:rsidRPr="00803672">
        <w:t xml:space="preserve">e </w:t>
      </w:r>
      <w:r>
        <w:t>t</w:t>
      </w:r>
      <w:r w:rsidRPr="00803672">
        <w:t xml:space="preserve">elescope on Mauna Kea in the State of Hawaii </w:t>
      </w:r>
      <w:r>
        <w:t>might affect</w:t>
      </w:r>
      <w:r w:rsidRPr="00803672">
        <w:t xml:space="preserve"> the rights of indigenous peoples</w:t>
      </w:r>
      <w:r>
        <w:t xml:space="preserve"> over their ancestral lands. It also expressed concern about allegations of a lack of adequate consultation and failure to seek the free, prior and informed consent of indigenous peoples. The Committee requested information on the steps taken to </w:t>
      </w:r>
      <w:r w:rsidRPr="00803672">
        <w:t xml:space="preserve">ensure </w:t>
      </w:r>
      <w:r>
        <w:t xml:space="preserve">respect for </w:t>
      </w:r>
      <w:r w:rsidRPr="00803672">
        <w:t xml:space="preserve">the right to consultation and </w:t>
      </w:r>
      <w:r>
        <w:t xml:space="preserve">to the requirement of </w:t>
      </w:r>
      <w:r w:rsidRPr="00803672">
        <w:t xml:space="preserve">free, prior and informed consent </w:t>
      </w:r>
      <w:r>
        <w:t>of</w:t>
      </w:r>
      <w:r w:rsidRPr="00803672">
        <w:t xml:space="preserve"> </w:t>
      </w:r>
      <w:r>
        <w:t>n</w:t>
      </w:r>
      <w:r w:rsidRPr="00803672">
        <w:t>ative Hawaiian</w:t>
      </w:r>
      <w:r>
        <w:t>s</w:t>
      </w:r>
      <w:r w:rsidRPr="00803672">
        <w:t xml:space="preserve"> affected by </w:t>
      </w:r>
      <w:r>
        <w:t xml:space="preserve">such </w:t>
      </w:r>
      <w:r w:rsidRPr="00803672">
        <w:t xml:space="preserve">projects on or near their </w:t>
      </w:r>
      <w:r w:rsidRPr="00741688">
        <w:t>ancestral lands and territories</w:t>
      </w:r>
      <w:r>
        <w:t>,</w:t>
      </w:r>
      <w:r w:rsidRPr="00741688">
        <w:t xml:space="preserve"> </w:t>
      </w:r>
      <w:r>
        <w:t xml:space="preserve">and to </w:t>
      </w:r>
      <w:r w:rsidRPr="00803672">
        <w:t>consider suspen</w:t>
      </w:r>
      <w:r>
        <w:t>ding</w:t>
      </w:r>
      <w:r w:rsidRPr="00803672">
        <w:t xml:space="preserve"> the </w:t>
      </w:r>
      <w:r>
        <w:t>30-m</w:t>
      </w:r>
      <w:r w:rsidRPr="00803672">
        <w:t>et</w:t>
      </w:r>
      <w:r>
        <w:t>r</w:t>
      </w:r>
      <w:r w:rsidRPr="00803672">
        <w:t xml:space="preserve">e </w:t>
      </w:r>
      <w:r>
        <w:t>t</w:t>
      </w:r>
      <w:r w:rsidRPr="00803672">
        <w:t xml:space="preserve">elescope project until </w:t>
      </w:r>
      <w:r>
        <w:t xml:space="preserve">their </w:t>
      </w:r>
      <w:r w:rsidRPr="00803672">
        <w:t xml:space="preserve">free, prior and informed consent </w:t>
      </w:r>
      <w:r>
        <w:t>had been</w:t>
      </w:r>
      <w:r w:rsidRPr="00803672">
        <w:t xml:space="preserve"> obtained</w:t>
      </w:r>
      <w:r>
        <w:t>.</w:t>
      </w:r>
      <w:r w:rsidR="00133C6F">
        <w:t xml:space="preserve"> </w:t>
      </w:r>
      <w:r w:rsidRPr="00803672">
        <w:t xml:space="preserve"> </w:t>
      </w:r>
    </w:p>
    <w:p w:rsidR="00485180" w:rsidRDefault="00485180" w:rsidP="004E4E46">
      <w:pPr>
        <w:pStyle w:val="SingleTxtG"/>
      </w:pPr>
      <w:r>
        <w:t>3</w:t>
      </w:r>
      <w:r w:rsidR="004E4E46">
        <w:t>9</w:t>
      </w:r>
      <w:r>
        <w:t>.</w:t>
      </w:r>
      <w:r>
        <w:tab/>
      </w:r>
      <w:r w:rsidRPr="00433479">
        <w:t xml:space="preserve">On 10 May 2019, the Committee sent a letter to the Government of the United States </w:t>
      </w:r>
      <w:r w:rsidRPr="00803672">
        <w:t xml:space="preserve">regarding the desecration of the Pu’uone </w:t>
      </w:r>
      <w:r>
        <w:t>s</w:t>
      </w:r>
      <w:r w:rsidRPr="00803672">
        <w:t xml:space="preserve">and </w:t>
      </w:r>
      <w:r>
        <w:t>d</w:t>
      </w:r>
      <w:r w:rsidRPr="00803672">
        <w:t xml:space="preserve">unes </w:t>
      </w:r>
      <w:r>
        <w:t>c</w:t>
      </w:r>
      <w:r w:rsidRPr="00803672">
        <w:t>omplex</w:t>
      </w:r>
      <w:r>
        <w:t xml:space="preserve">, </w:t>
      </w:r>
      <w:r w:rsidRPr="00803672">
        <w:t>a burial site of the Kanaka Maoli indigenous people in Central Maui in the State of Hawaii</w:t>
      </w:r>
      <w:r>
        <w:t>, which had reportedly</w:t>
      </w:r>
      <w:r>
        <w:rPr>
          <w:sz w:val="23"/>
          <w:szCs w:val="23"/>
        </w:rPr>
        <w:t xml:space="preserve"> </w:t>
      </w:r>
      <w:r w:rsidRPr="000A10C2">
        <w:t xml:space="preserve">been used </w:t>
      </w:r>
      <w:r w:rsidRPr="00803672">
        <w:t>for extractive activities</w:t>
      </w:r>
      <w:r>
        <w:t xml:space="preserve"> over a period of years</w:t>
      </w:r>
      <w:r w:rsidRPr="00803672">
        <w:t xml:space="preserve"> without the free, prior and informed consent of Kanaka Maoli</w:t>
      </w:r>
      <w:r>
        <w:t xml:space="preserve"> and resulted i</w:t>
      </w:r>
      <w:r w:rsidRPr="00803672">
        <w:t>n the remov</w:t>
      </w:r>
      <w:r>
        <w:t>al</w:t>
      </w:r>
      <w:r w:rsidRPr="00803672">
        <w:t xml:space="preserve"> of innumerable </w:t>
      </w:r>
      <w:r>
        <w:t>graves</w:t>
      </w:r>
      <w:r w:rsidRPr="00433479">
        <w:t xml:space="preserve"> in the area</w:t>
      </w:r>
      <w:r>
        <w:t xml:space="preserve">. The Committee expressed concern that </w:t>
      </w:r>
      <w:r w:rsidRPr="00803672">
        <w:t xml:space="preserve">the legal framework </w:t>
      </w:r>
      <w:r>
        <w:t xml:space="preserve">established </w:t>
      </w:r>
      <w:r w:rsidRPr="00803672">
        <w:t xml:space="preserve">more complicated requirements for </w:t>
      </w:r>
      <w:r>
        <w:t>n</w:t>
      </w:r>
      <w:r w:rsidRPr="00803672">
        <w:t xml:space="preserve">ative Hawaiians than </w:t>
      </w:r>
      <w:r>
        <w:t xml:space="preserve">for </w:t>
      </w:r>
      <w:r w:rsidRPr="00803672">
        <w:t>the rest of the population to claim cultural descend</w:t>
      </w:r>
      <w:r>
        <w:t>a</w:t>
      </w:r>
      <w:r w:rsidRPr="00803672">
        <w:t xml:space="preserve">ncy </w:t>
      </w:r>
      <w:r>
        <w:t xml:space="preserve">with respect </w:t>
      </w:r>
      <w:r w:rsidRPr="00803672">
        <w:t xml:space="preserve">to a </w:t>
      </w:r>
      <w:r>
        <w:t xml:space="preserve">burial site. The Committee requested information on steps taken to ensure respect for </w:t>
      </w:r>
      <w:r w:rsidRPr="00803672">
        <w:t xml:space="preserve">the right to consultation and </w:t>
      </w:r>
      <w:r>
        <w:t xml:space="preserve">to the requirement of </w:t>
      </w:r>
      <w:r w:rsidRPr="00803672">
        <w:t xml:space="preserve">free, prior and informed consent to Kanaka Maoli indigenous people regarding current and future projects on their traditional lands </w:t>
      </w:r>
      <w:r>
        <w:t xml:space="preserve">and to </w:t>
      </w:r>
      <w:r w:rsidRPr="00803672">
        <w:t>review the existing legislation regarding burial</w:t>
      </w:r>
      <w:r>
        <w:t xml:space="preserve"> sites. </w:t>
      </w:r>
    </w:p>
    <w:p w:rsidR="00485180" w:rsidRDefault="00485180" w:rsidP="00485180">
      <w:r>
        <w:br w:type="page"/>
      </w:r>
    </w:p>
    <w:p w:rsidR="00485180" w:rsidRPr="00CB21CA" w:rsidRDefault="00485180" w:rsidP="00485180">
      <w:pPr>
        <w:pStyle w:val="HChG"/>
      </w:pPr>
      <w:r w:rsidRPr="00CB21CA">
        <w:lastRenderedPageBreak/>
        <w:tab/>
      </w:r>
      <w:bookmarkStart w:id="22" w:name="_Toc428794287"/>
      <w:bookmarkStart w:id="23" w:name="_Toc17361299"/>
      <w:r w:rsidRPr="00CB21CA">
        <w:t>III.</w:t>
      </w:r>
      <w:r w:rsidRPr="00CB21CA">
        <w:tab/>
        <w:t>Consideration of reports, comments and information submitted by States parties under article 9 of the Convention</w:t>
      </w:r>
      <w:bookmarkEnd w:id="22"/>
      <w:bookmarkEnd w:id="23"/>
    </w:p>
    <w:p w:rsidR="00485180" w:rsidRDefault="004E4E46" w:rsidP="00485180">
      <w:pPr>
        <w:pStyle w:val="SingleTxtG"/>
        <w:rPr>
          <w:bCs/>
        </w:rPr>
      </w:pPr>
      <w:r>
        <w:rPr>
          <w:bCs/>
        </w:rPr>
        <w:t>40</w:t>
      </w:r>
      <w:r w:rsidR="00485180">
        <w:rPr>
          <w:bCs/>
        </w:rPr>
        <w:t>.</w:t>
      </w:r>
      <w:r w:rsidR="00485180">
        <w:rPr>
          <w:bCs/>
        </w:rPr>
        <w:tab/>
      </w:r>
      <w:r w:rsidR="00485180">
        <w:t xml:space="preserve">At </w:t>
      </w:r>
      <w:r w:rsidR="00485180" w:rsidRPr="00CB21CA">
        <w:t>its ninety-</w:t>
      </w:r>
      <w:r w:rsidR="00485180">
        <w:t>sixth</w:t>
      </w:r>
      <w:r w:rsidR="00485180" w:rsidRPr="00CB21CA">
        <w:t xml:space="preserve"> session, the Committee adopted concluding observations on </w:t>
      </w:r>
      <w:r w:rsidR="00485180">
        <w:t>seven</w:t>
      </w:r>
      <w:r w:rsidR="00485180" w:rsidRPr="00CB21CA">
        <w:t xml:space="preserve"> States parties: </w:t>
      </w:r>
      <w:r w:rsidR="00485180">
        <w:rPr>
          <w:bCs/>
        </w:rPr>
        <w:t xml:space="preserve">Bosnia and Herzegovina </w:t>
      </w:r>
      <w:r w:rsidR="00485180" w:rsidRPr="00686C82">
        <w:t>(</w:t>
      </w:r>
      <w:hyperlink r:id="rId25" w:history="1">
        <w:r w:rsidR="00485180" w:rsidRPr="00A50896">
          <w:rPr>
            <w:rStyle w:val="Hyperlink"/>
          </w:rPr>
          <w:t>CERD/C/BIH/CO/12-13</w:t>
        </w:r>
      </w:hyperlink>
      <w:r w:rsidR="00485180" w:rsidRPr="00686C82">
        <w:t xml:space="preserve">), </w:t>
      </w:r>
      <w:r w:rsidR="00485180">
        <w:t xml:space="preserve">China (including Hong Kong, China, and Macao, China) </w:t>
      </w:r>
      <w:r w:rsidR="00485180" w:rsidRPr="00686C82">
        <w:t>(</w:t>
      </w:r>
      <w:hyperlink r:id="rId26" w:history="1">
        <w:r w:rsidR="00485180" w:rsidRPr="00A50896">
          <w:rPr>
            <w:rStyle w:val="Hyperlink"/>
          </w:rPr>
          <w:t>CERD/C/CHN/CO/14-17</w:t>
        </w:r>
      </w:hyperlink>
      <w:r w:rsidR="00485180" w:rsidRPr="005F233D">
        <w:t xml:space="preserve">), </w:t>
      </w:r>
      <w:r w:rsidR="00485180">
        <w:t>Cuba</w:t>
      </w:r>
      <w:r w:rsidR="00485180" w:rsidRPr="005F233D">
        <w:t xml:space="preserve"> (</w:t>
      </w:r>
      <w:hyperlink r:id="rId27" w:history="1">
        <w:r w:rsidR="00485180" w:rsidRPr="00A50896">
          <w:rPr>
            <w:rStyle w:val="Hyperlink"/>
          </w:rPr>
          <w:t>CERD/C/CUB/CO/19-21</w:t>
        </w:r>
      </w:hyperlink>
      <w:r w:rsidR="00485180" w:rsidRPr="005F233D">
        <w:t>),</w:t>
      </w:r>
      <w:r w:rsidR="00485180">
        <w:t xml:space="preserve"> Japan</w:t>
      </w:r>
      <w:r w:rsidR="00485180" w:rsidRPr="005F233D">
        <w:t xml:space="preserve"> (</w:t>
      </w:r>
      <w:hyperlink r:id="rId28" w:history="1">
        <w:r w:rsidR="00485180" w:rsidRPr="00A50896">
          <w:rPr>
            <w:rStyle w:val="Hyperlink"/>
          </w:rPr>
          <w:t>CERD/C/JPN/CO/10-11</w:t>
        </w:r>
      </w:hyperlink>
      <w:r w:rsidR="00485180" w:rsidRPr="005F233D">
        <w:t xml:space="preserve">), </w:t>
      </w:r>
      <w:r w:rsidR="00485180">
        <w:t xml:space="preserve">Latvia </w:t>
      </w:r>
      <w:r w:rsidR="00485180" w:rsidRPr="00CB21CA">
        <w:t>(</w:t>
      </w:r>
      <w:hyperlink r:id="rId29" w:history="1">
        <w:r w:rsidR="00485180" w:rsidRPr="00A50896">
          <w:rPr>
            <w:rStyle w:val="Hyperlink"/>
            <w:bCs/>
          </w:rPr>
          <w:t>CERD/C/LVA/CO/6-12</w:t>
        </w:r>
      </w:hyperlink>
      <w:r w:rsidR="00485180" w:rsidRPr="00490FA7">
        <w:rPr>
          <w:bCs/>
        </w:rPr>
        <w:t xml:space="preserve">), </w:t>
      </w:r>
      <w:r w:rsidR="00485180">
        <w:rPr>
          <w:bCs/>
        </w:rPr>
        <w:t xml:space="preserve">Mauritius </w:t>
      </w:r>
      <w:r w:rsidR="00485180" w:rsidRPr="00490FA7">
        <w:rPr>
          <w:bCs/>
        </w:rPr>
        <w:t>(</w:t>
      </w:r>
      <w:bookmarkStart w:id="24" w:name="_Hlk17128982"/>
      <w:r w:rsidR="00133C6F" w:rsidRPr="00A50896">
        <w:rPr>
          <w:bCs/>
        </w:rPr>
        <w:fldChar w:fldCharType="begin"/>
      </w:r>
      <w:r w:rsidR="00133C6F" w:rsidRPr="00A50896">
        <w:rPr>
          <w:bCs/>
        </w:rPr>
        <w:instrText xml:space="preserve"> HYPERLINK "http://undocs.org/en/CERD/C/MUS/CO/20-23" </w:instrText>
      </w:r>
      <w:r w:rsidR="00133C6F" w:rsidRPr="00A50896">
        <w:rPr>
          <w:bCs/>
        </w:rPr>
        <w:fldChar w:fldCharType="separate"/>
      </w:r>
      <w:r w:rsidR="00485180" w:rsidRPr="00A50896">
        <w:rPr>
          <w:rStyle w:val="Hyperlink"/>
          <w:bCs/>
        </w:rPr>
        <w:t>CERD/C/MUS/CO/20-23</w:t>
      </w:r>
      <w:r w:rsidR="00133C6F" w:rsidRPr="00A50896">
        <w:rPr>
          <w:bCs/>
        </w:rPr>
        <w:fldChar w:fldCharType="end"/>
      </w:r>
      <w:r w:rsidR="00485180">
        <w:rPr>
          <w:bCs/>
        </w:rPr>
        <w:t xml:space="preserve"> and Corr.1</w:t>
      </w:r>
      <w:bookmarkEnd w:id="24"/>
      <w:r w:rsidR="00485180" w:rsidRPr="00490FA7">
        <w:rPr>
          <w:bCs/>
        </w:rPr>
        <w:t xml:space="preserve">) </w:t>
      </w:r>
      <w:r w:rsidR="00485180">
        <w:rPr>
          <w:bCs/>
        </w:rPr>
        <w:t xml:space="preserve">and Montenegro </w:t>
      </w:r>
      <w:r w:rsidR="00485180" w:rsidRPr="00490FA7">
        <w:rPr>
          <w:bCs/>
        </w:rPr>
        <w:t>(</w:t>
      </w:r>
      <w:hyperlink r:id="rId30" w:history="1">
        <w:r w:rsidR="00485180" w:rsidRPr="00A50896">
          <w:rPr>
            <w:rStyle w:val="Hyperlink"/>
            <w:bCs/>
          </w:rPr>
          <w:t>CERD/C/MNE/CO/4-6</w:t>
        </w:r>
      </w:hyperlink>
      <w:r w:rsidR="00485180" w:rsidRPr="00490FA7">
        <w:rPr>
          <w:bCs/>
        </w:rPr>
        <w:t>)</w:t>
      </w:r>
      <w:r w:rsidR="00485180">
        <w:rPr>
          <w:bCs/>
        </w:rPr>
        <w:t xml:space="preserve">. </w:t>
      </w:r>
    </w:p>
    <w:p w:rsidR="00485180" w:rsidRDefault="00485180" w:rsidP="004E4E46">
      <w:pPr>
        <w:pStyle w:val="SingleTxtG"/>
        <w:rPr>
          <w:bCs/>
        </w:rPr>
      </w:pPr>
      <w:r w:rsidRPr="0026579E">
        <w:t>4</w:t>
      </w:r>
      <w:r w:rsidR="004E4E46">
        <w:t>1</w:t>
      </w:r>
      <w:r w:rsidRPr="0026579E">
        <w:t>.</w:t>
      </w:r>
      <w:r w:rsidRPr="0026579E">
        <w:tab/>
      </w:r>
      <w:r w:rsidRPr="00490FA7">
        <w:rPr>
          <w:bCs/>
        </w:rPr>
        <w:t>At</w:t>
      </w:r>
      <w:r>
        <w:rPr>
          <w:bCs/>
        </w:rPr>
        <w:t xml:space="preserve"> </w:t>
      </w:r>
      <w:r w:rsidRPr="00490FA7">
        <w:rPr>
          <w:bCs/>
        </w:rPr>
        <w:t>its ninety-</w:t>
      </w:r>
      <w:r>
        <w:rPr>
          <w:bCs/>
        </w:rPr>
        <w:t>seventh</w:t>
      </w:r>
      <w:r w:rsidRPr="00490FA7">
        <w:rPr>
          <w:bCs/>
        </w:rPr>
        <w:t xml:space="preserve"> session, the Committee adopted concluding observations on six States parties: Al</w:t>
      </w:r>
      <w:r>
        <w:rPr>
          <w:bCs/>
        </w:rPr>
        <w:t>bania</w:t>
      </w:r>
      <w:r w:rsidRPr="00490FA7">
        <w:rPr>
          <w:bCs/>
        </w:rPr>
        <w:t xml:space="preserve"> (</w:t>
      </w:r>
      <w:hyperlink r:id="rId31" w:history="1">
        <w:r w:rsidRPr="00A50896">
          <w:rPr>
            <w:rStyle w:val="Hyperlink"/>
            <w:bCs/>
          </w:rPr>
          <w:t>CERD/C/ALB/CO/9-12</w:t>
        </w:r>
      </w:hyperlink>
      <w:r w:rsidRPr="00490FA7">
        <w:rPr>
          <w:bCs/>
        </w:rPr>
        <w:t xml:space="preserve">), </w:t>
      </w:r>
      <w:r>
        <w:rPr>
          <w:bCs/>
        </w:rPr>
        <w:t xml:space="preserve">Honduras </w:t>
      </w:r>
      <w:r w:rsidRPr="00490FA7">
        <w:rPr>
          <w:bCs/>
        </w:rPr>
        <w:t>(</w:t>
      </w:r>
      <w:hyperlink r:id="rId32" w:history="1">
        <w:r w:rsidRPr="00133C6F">
          <w:rPr>
            <w:rStyle w:val="Hyperlink"/>
            <w:bCs/>
          </w:rPr>
          <w:t>CERD/C/HND/CO/6-8</w:t>
        </w:r>
      </w:hyperlink>
      <w:r w:rsidRPr="00490FA7">
        <w:rPr>
          <w:bCs/>
        </w:rPr>
        <w:t xml:space="preserve">), </w:t>
      </w:r>
      <w:r>
        <w:rPr>
          <w:bCs/>
        </w:rPr>
        <w:t xml:space="preserve">Iraq </w:t>
      </w:r>
      <w:r w:rsidRPr="00490FA7">
        <w:rPr>
          <w:bCs/>
        </w:rPr>
        <w:t>(</w:t>
      </w:r>
      <w:hyperlink r:id="rId33" w:history="1">
        <w:r w:rsidRPr="00133C6F">
          <w:rPr>
            <w:rStyle w:val="Hyperlink"/>
            <w:bCs/>
          </w:rPr>
          <w:t>CERD/C/IRQ/CO/22-25</w:t>
        </w:r>
      </w:hyperlink>
      <w:r w:rsidRPr="00490FA7">
        <w:rPr>
          <w:bCs/>
        </w:rPr>
        <w:t xml:space="preserve">), </w:t>
      </w:r>
      <w:r>
        <w:rPr>
          <w:bCs/>
        </w:rPr>
        <w:t>Norway</w:t>
      </w:r>
      <w:r w:rsidRPr="00490FA7">
        <w:rPr>
          <w:bCs/>
        </w:rPr>
        <w:t xml:space="preserve"> (</w:t>
      </w:r>
      <w:hyperlink r:id="rId34" w:history="1">
        <w:r w:rsidRPr="00133C6F">
          <w:rPr>
            <w:rStyle w:val="Hyperlink"/>
            <w:bCs/>
          </w:rPr>
          <w:t>CERD/C/NOR/CO/23-24</w:t>
        </w:r>
      </w:hyperlink>
      <w:r w:rsidRPr="00490FA7">
        <w:rPr>
          <w:bCs/>
        </w:rPr>
        <w:t xml:space="preserve">), </w:t>
      </w:r>
      <w:r>
        <w:rPr>
          <w:bCs/>
        </w:rPr>
        <w:t>Qatar</w:t>
      </w:r>
      <w:r w:rsidRPr="00490FA7">
        <w:rPr>
          <w:bCs/>
        </w:rPr>
        <w:t xml:space="preserve"> (</w:t>
      </w:r>
      <w:hyperlink r:id="rId35" w:history="1">
        <w:r w:rsidR="00B05BCF">
          <w:rPr>
            <w:rStyle w:val="Hyperlink"/>
            <w:bCs/>
          </w:rPr>
          <w:t>CERD/C/QAT/ CO/17-21</w:t>
        </w:r>
      </w:hyperlink>
      <w:r w:rsidRPr="00490FA7">
        <w:rPr>
          <w:bCs/>
        </w:rPr>
        <w:t>) and</w:t>
      </w:r>
      <w:r>
        <w:rPr>
          <w:bCs/>
        </w:rPr>
        <w:t xml:space="preserve"> Republic of Korea</w:t>
      </w:r>
      <w:r w:rsidRPr="00490FA7">
        <w:rPr>
          <w:bCs/>
        </w:rPr>
        <w:t xml:space="preserve"> (</w:t>
      </w:r>
      <w:hyperlink r:id="rId36" w:history="1">
        <w:r w:rsidRPr="00133C6F">
          <w:rPr>
            <w:rStyle w:val="Hyperlink"/>
            <w:bCs/>
          </w:rPr>
          <w:t>CERD/C/KOR/CO/17-19</w:t>
        </w:r>
      </w:hyperlink>
      <w:r w:rsidRPr="00490FA7">
        <w:rPr>
          <w:bCs/>
        </w:rPr>
        <w:t xml:space="preserve">). </w:t>
      </w:r>
    </w:p>
    <w:p w:rsidR="00485180" w:rsidRDefault="00485180" w:rsidP="004E4E46">
      <w:pPr>
        <w:pStyle w:val="SingleTxtG"/>
        <w:rPr>
          <w:bCs/>
        </w:rPr>
      </w:pPr>
      <w:r>
        <w:rPr>
          <w:bCs/>
        </w:rPr>
        <w:t>4</w:t>
      </w:r>
      <w:r w:rsidR="004E4E46">
        <w:rPr>
          <w:bCs/>
        </w:rPr>
        <w:t>2</w:t>
      </w:r>
      <w:r>
        <w:rPr>
          <w:bCs/>
        </w:rPr>
        <w:t>.</w:t>
      </w:r>
      <w:r>
        <w:rPr>
          <w:bCs/>
        </w:rPr>
        <w:tab/>
      </w:r>
      <w:r w:rsidRPr="00490FA7">
        <w:rPr>
          <w:bCs/>
        </w:rPr>
        <w:t>At its ninety-</w:t>
      </w:r>
      <w:r>
        <w:rPr>
          <w:bCs/>
        </w:rPr>
        <w:t xml:space="preserve">eighth </w:t>
      </w:r>
      <w:r w:rsidRPr="00490FA7">
        <w:rPr>
          <w:bCs/>
        </w:rPr>
        <w:t xml:space="preserve">session, the Committee adopted concluding observations on </w:t>
      </w:r>
      <w:r>
        <w:rPr>
          <w:bCs/>
        </w:rPr>
        <w:t xml:space="preserve">five </w:t>
      </w:r>
      <w:r w:rsidRPr="00490FA7">
        <w:rPr>
          <w:bCs/>
        </w:rPr>
        <w:t xml:space="preserve">States parties: </w:t>
      </w:r>
      <w:r>
        <w:rPr>
          <w:bCs/>
        </w:rPr>
        <w:t>Andorra</w:t>
      </w:r>
      <w:r w:rsidRPr="00490FA7">
        <w:rPr>
          <w:bCs/>
        </w:rPr>
        <w:t xml:space="preserve"> (</w:t>
      </w:r>
      <w:hyperlink r:id="rId37" w:history="1">
        <w:r w:rsidRPr="00133C6F">
          <w:rPr>
            <w:rStyle w:val="Hyperlink"/>
            <w:bCs/>
          </w:rPr>
          <w:t>CERD/C/AND/CO/1-6</w:t>
        </w:r>
      </w:hyperlink>
      <w:r w:rsidRPr="00490FA7">
        <w:rPr>
          <w:bCs/>
        </w:rPr>
        <w:t>)</w:t>
      </w:r>
      <w:r>
        <w:rPr>
          <w:bCs/>
        </w:rPr>
        <w:t>,</w:t>
      </w:r>
      <w:r w:rsidRPr="00490FA7">
        <w:rPr>
          <w:bCs/>
        </w:rPr>
        <w:t xml:space="preserve"> </w:t>
      </w:r>
      <w:r>
        <w:rPr>
          <w:bCs/>
        </w:rPr>
        <w:t>Guatemala</w:t>
      </w:r>
      <w:r w:rsidRPr="00490FA7">
        <w:rPr>
          <w:bCs/>
        </w:rPr>
        <w:t xml:space="preserve"> (</w:t>
      </w:r>
      <w:hyperlink r:id="rId38" w:history="1">
        <w:r w:rsidRPr="00133C6F">
          <w:rPr>
            <w:rStyle w:val="Hyperlink"/>
            <w:bCs/>
          </w:rPr>
          <w:t>CERD/C/GTM/CO/16-17</w:t>
        </w:r>
      </w:hyperlink>
      <w:r w:rsidRPr="00490FA7">
        <w:rPr>
          <w:bCs/>
        </w:rPr>
        <w:t xml:space="preserve">), </w:t>
      </w:r>
      <w:r>
        <w:rPr>
          <w:bCs/>
        </w:rPr>
        <w:t>Hungary</w:t>
      </w:r>
      <w:r w:rsidRPr="00490FA7">
        <w:rPr>
          <w:bCs/>
        </w:rPr>
        <w:t xml:space="preserve"> (</w:t>
      </w:r>
      <w:hyperlink r:id="rId39" w:history="1">
        <w:r w:rsidRPr="00133C6F">
          <w:rPr>
            <w:rStyle w:val="Hyperlink"/>
            <w:bCs/>
          </w:rPr>
          <w:t>CERD/C/HUN/CO/18-25</w:t>
        </w:r>
      </w:hyperlink>
      <w:r w:rsidRPr="00490FA7">
        <w:rPr>
          <w:bCs/>
        </w:rPr>
        <w:t xml:space="preserve">), </w:t>
      </w:r>
      <w:r>
        <w:rPr>
          <w:bCs/>
        </w:rPr>
        <w:t>Lithuania</w:t>
      </w:r>
      <w:r w:rsidRPr="00490FA7">
        <w:rPr>
          <w:bCs/>
        </w:rPr>
        <w:t xml:space="preserve"> (</w:t>
      </w:r>
      <w:hyperlink r:id="rId40" w:history="1">
        <w:r w:rsidRPr="00133C6F">
          <w:rPr>
            <w:rStyle w:val="Hyperlink"/>
            <w:bCs/>
          </w:rPr>
          <w:t>CERD/C/LTU/CO/9-10</w:t>
        </w:r>
      </w:hyperlink>
      <w:r w:rsidRPr="00490FA7">
        <w:rPr>
          <w:bCs/>
        </w:rPr>
        <w:t xml:space="preserve">) </w:t>
      </w:r>
      <w:r>
        <w:rPr>
          <w:bCs/>
        </w:rPr>
        <w:t xml:space="preserve">and Zambia </w:t>
      </w:r>
      <w:r w:rsidRPr="00490FA7">
        <w:rPr>
          <w:bCs/>
        </w:rPr>
        <w:t>(</w:t>
      </w:r>
      <w:hyperlink r:id="rId41" w:history="1">
        <w:r w:rsidRPr="00133C6F">
          <w:rPr>
            <w:rStyle w:val="Hyperlink"/>
            <w:bCs/>
          </w:rPr>
          <w:t>CERD/C/ZMB/CO/17-19</w:t>
        </w:r>
      </w:hyperlink>
      <w:r>
        <w:rPr>
          <w:bCs/>
        </w:rPr>
        <w:t xml:space="preserve">). </w:t>
      </w:r>
    </w:p>
    <w:p w:rsidR="00485180" w:rsidRPr="00F75A57" w:rsidRDefault="00485180" w:rsidP="004E4E46">
      <w:pPr>
        <w:pStyle w:val="SingleTxtG"/>
      </w:pPr>
      <w:r w:rsidRPr="00F75A57">
        <w:t>4</w:t>
      </w:r>
      <w:r w:rsidR="004E4E46">
        <w:t>3</w:t>
      </w:r>
      <w:r w:rsidRPr="00F75A57">
        <w:t>.</w:t>
      </w:r>
      <w:r w:rsidRPr="00F75A57">
        <w:tab/>
      </w:r>
      <w:r w:rsidRPr="0026579E">
        <w:rPr>
          <w:bCs/>
        </w:rPr>
        <w:t xml:space="preserve">The country </w:t>
      </w:r>
      <w:r>
        <w:rPr>
          <w:bCs/>
        </w:rPr>
        <w:t>r</w:t>
      </w:r>
      <w:r w:rsidRPr="0026579E">
        <w:rPr>
          <w:bCs/>
        </w:rPr>
        <w:t>apporteurs were as follows:</w:t>
      </w:r>
    </w:p>
    <w:p w:rsidR="00485180" w:rsidRPr="00665421" w:rsidRDefault="00485180" w:rsidP="00497936">
      <w:pPr>
        <w:pStyle w:val="SingleTxtG"/>
        <w:tabs>
          <w:tab w:val="left" w:pos="4536"/>
          <w:tab w:val="left" w:pos="6804"/>
        </w:tabs>
        <w:ind w:firstLine="567"/>
        <w:rPr>
          <w:bCs/>
        </w:rPr>
      </w:pPr>
      <w:r w:rsidRPr="00665421">
        <w:rPr>
          <w:bCs/>
        </w:rPr>
        <w:t>Albania</w:t>
      </w:r>
      <w:r>
        <w:rPr>
          <w:bCs/>
        </w:rPr>
        <w:tab/>
      </w:r>
      <w:r w:rsidRPr="00665421">
        <w:rPr>
          <w:bCs/>
        </w:rPr>
        <w:t>Mr. Kut</w:t>
      </w:r>
    </w:p>
    <w:p w:rsidR="00485180" w:rsidRDefault="00485180" w:rsidP="00497936">
      <w:pPr>
        <w:pStyle w:val="SingleTxtG"/>
        <w:tabs>
          <w:tab w:val="left" w:pos="4536"/>
        </w:tabs>
        <w:ind w:firstLine="567"/>
        <w:rPr>
          <w:bCs/>
        </w:rPr>
      </w:pPr>
      <w:r w:rsidRPr="00665421">
        <w:rPr>
          <w:bCs/>
        </w:rPr>
        <w:t>Andorra</w:t>
      </w:r>
      <w:r>
        <w:rPr>
          <w:bCs/>
        </w:rPr>
        <w:tab/>
      </w:r>
      <w:r w:rsidRPr="00665421">
        <w:rPr>
          <w:bCs/>
        </w:rPr>
        <w:t>Mr. Diaby</w:t>
      </w:r>
    </w:p>
    <w:p w:rsidR="00485180" w:rsidRDefault="00485180" w:rsidP="00497936">
      <w:pPr>
        <w:pStyle w:val="SingleTxtG"/>
        <w:tabs>
          <w:tab w:val="left" w:pos="4536"/>
        </w:tabs>
        <w:ind w:firstLine="567"/>
        <w:rPr>
          <w:bCs/>
        </w:rPr>
      </w:pPr>
      <w:r w:rsidRPr="00665421">
        <w:rPr>
          <w:bCs/>
        </w:rPr>
        <w:t>Bosnia and Herzegovina</w:t>
      </w:r>
      <w:r>
        <w:rPr>
          <w:bCs/>
        </w:rPr>
        <w:tab/>
      </w:r>
      <w:r w:rsidRPr="00665421">
        <w:rPr>
          <w:bCs/>
        </w:rPr>
        <w:t>Ms. Shepherd</w:t>
      </w:r>
    </w:p>
    <w:p w:rsidR="00485180" w:rsidRDefault="00485180" w:rsidP="00497936">
      <w:pPr>
        <w:pStyle w:val="SingleTxtG"/>
        <w:tabs>
          <w:tab w:val="left" w:pos="1701"/>
          <w:tab w:val="left" w:pos="4536"/>
        </w:tabs>
        <w:ind w:firstLine="567"/>
        <w:jc w:val="left"/>
      </w:pPr>
      <w:r w:rsidRPr="0026579E">
        <w:t xml:space="preserve">China </w:t>
      </w:r>
      <w:r>
        <w:t xml:space="preserve">(including </w:t>
      </w:r>
      <w:r w:rsidRPr="0026579E">
        <w:t>Hong Kong</w:t>
      </w:r>
      <w:r>
        <w:t>,</w:t>
      </w:r>
      <w:r w:rsidR="00DC59BF">
        <w:tab/>
        <w:t>Mr.</w:t>
      </w:r>
      <w:r w:rsidR="00DC59BF" w:rsidRPr="0026579E">
        <w:t xml:space="preserve"> Marugán</w:t>
      </w:r>
      <w:r w:rsidR="00DC59BF">
        <w:br/>
      </w:r>
      <w:r w:rsidR="00DC59BF">
        <w:tab/>
      </w:r>
      <w:r>
        <w:t>China</w:t>
      </w:r>
      <w:r w:rsidRPr="0026579E">
        <w:t xml:space="preserve">, </w:t>
      </w:r>
      <w:r>
        <w:t>and</w:t>
      </w:r>
      <w:r w:rsidRPr="0026579E">
        <w:t xml:space="preserve"> Macao</w:t>
      </w:r>
      <w:r w:rsidR="00897179">
        <w:t>, China)</w:t>
      </w:r>
    </w:p>
    <w:p w:rsidR="00485180" w:rsidRDefault="00485180" w:rsidP="00497936">
      <w:pPr>
        <w:pStyle w:val="SingleTxtG"/>
        <w:tabs>
          <w:tab w:val="left" w:pos="4536"/>
        </w:tabs>
        <w:ind w:firstLine="567"/>
      </w:pPr>
      <w:r>
        <w:t>Cuba</w:t>
      </w:r>
      <w:r>
        <w:tab/>
        <w:t>Mr.</w:t>
      </w:r>
      <w:r w:rsidRPr="0026579E">
        <w:t xml:space="preserve"> Albuquerque</w:t>
      </w:r>
      <w:r>
        <w:t xml:space="preserve"> e Silva</w:t>
      </w:r>
    </w:p>
    <w:p w:rsidR="00485180" w:rsidRDefault="00485180" w:rsidP="00497936">
      <w:pPr>
        <w:pStyle w:val="SingleTxtG"/>
        <w:tabs>
          <w:tab w:val="left" w:pos="4536"/>
        </w:tabs>
        <w:ind w:firstLine="567"/>
      </w:pPr>
      <w:r>
        <w:t>Guatemala</w:t>
      </w:r>
      <w:r>
        <w:tab/>
        <w:t>Mr</w:t>
      </w:r>
      <w:r w:rsidRPr="0026579E">
        <w:t>. Avtonomov</w:t>
      </w:r>
    </w:p>
    <w:p w:rsidR="00485180" w:rsidRDefault="00485180" w:rsidP="00497936">
      <w:pPr>
        <w:pStyle w:val="SingleTxtG"/>
        <w:tabs>
          <w:tab w:val="left" w:pos="4536"/>
        </w:tabs>
        <w:ind w:firstLine="567"/>
      </w:pPr>
      <w:r>
        <w:t>Hungary</w:t>
      </w:r>
      <w:r>
        <w:tab/>
        <w:t>Ms. Ko</w:t>
      </w:r>
    </w:p>
    <w:p w:rsidR="00485180" w:rsidRDefault="00485180" w:rsidP="00497936">
      <w:pPr>
        <w:pStyle w:val="SingleTxtG"/>
        <w:tabs>
          <w:tab w:val="left" w:pos="4536"/>
        </w:tabs>
        <w:ind w:firstLine="567"/>
        <w:rPr>
          <w:bCs/>
          <w:lang w:val="fr-FR"/>
        </w:rPr>
      </w:pPr>
      <w:r>
        <w:t>Honduras</w:t>
      </w:r>
      <w:r>
        <w:tab/>
      </w:r>
      <w:r>
        <w:rPr>
          <w:bCs/>
          <w:lang w:val="fr-FR"/>
        </w:rPr>
        <w:t>Mr.</w:t>
      </w:r>
      <w:r w:rsidRPr="0026579E">
        <w:rPr>
          <w:bCs/>
          <w:lang w:val="fr-FR"/>
        </w:rPr>
        <w:t xml:space="preserve"> Murillo Mart</w:t>
      </w:r>
      <w:r>
        <w:rPr>
          <w:bCs/>
          <w:lang w:val="fr-FR"/>
        </w:rPr>
        <w:t>í</w:t>
      </w:r>
      <w:r w:rsidRPr="0026579E">
        <w:rPr>
          <w:bCs/>
          <w:lang w:val="fr-FR"/>
        </w:rPr>
        <w:t>nez</w:t>
      </w:r>
    </w:p>
    <w:p w:rsidR="00485180" w:rsidRDefault="00485180" w:rsidP="00497936">
      <w:pPr>
        <w:pStyle w:val="SingleTxtG"/>
        <w:tabs>
          <w:tab w:val="left" w:pos="4536"/>
        </w:tabs>
        <w:ind w:firstLine="567"/>
      </w:pPr>
      <w:r>
        <w:rPr>
          <w:bCs/>
          <w:lang w:val="fr-FR"/>
        </w:rPr>
        <w:t>Iraq</w:t>
      </w:r>
      <w:r>
        <w:rPr>
          <w:bCs/>
          <w:lang w:val="fr-FR"/>
        </w:rPr>
        <w:tab/>
      </w:r>
      <w:r>
        <w:rPr>
          <w:lang w:val="fr-FR"/>
        </w:rPr>
        <w:t>Mr</w:t>
      </w:r>
      <w:r w:rsidRPr="0026579E">
        <w:rPr>
          <w:lang w:val="fr-FR"/>
        </w:rPr>
        <w:t>. Avtonomov</w:t>
      </w:r>
    </w:p>
    <w:p w:rsidR="00485180" w:rsidRDefault="00485180" w:rsidP="00497936">
      <w:pPr>
        <w:pStyle w:val="SingleTxtG"/>
        <w:tabs>
          <w:tab w:val="left" w:pos="4536"/>
        </w:tabs>
        <w:ind w:firstLine="567"/>
      </w:pPr>
      <w:r>
        <w:t>Japan</w:t>
      </w:r>
      <w:r>
        <w:tab/>
        <w:t>Mr.</w:t>
      </w:r>
      <w:r w:rsidRPr="0026579E">
        <w:t xml:space="preserve"> Bossuyt</w:t>
      </w:r>
    </w:p>
    <w:p w:rsidR="00485180" w:rsidRDefault="00485180" w:rsidP="00497936">
      <w:pPr>
        <w:pStyle w:val="SingleTxtG"/>
        <w:tabs>
          <w:tab w:val="left" w:pos="4536"/>
        </w:tabs>
        <w:ind w:firstLine="567"/>
        <w:rPr>
          <w:bCs/>
        </w:rPr>
      </w:pPr>
      <w:r>
        <w:t>Latvia</w:t>
      </w:r>
      <w:r>
        <w:tab/>
      </w:r>
      <w:r>
        <w:rPr>
          <w:bCs/>
        </w:rPr>
        <w:t>Ms.</w:t>
      </w:r>
      <w:r w:rsidRPr="0026579E">
        <w:rPr>
          <w:bCs/>
        </w:rPr>
        <w:t xml:space="preserve"> Li</w:t>
      </w:r>
    </w:p>
    <w:p w:rsidR="00485180" w:rsidRDefault="00485180" w:rsidP="00497936">
      <w:pPr>
        <w:pStyle w:val="SingleTxtG"/>
        <w:tabs>
          <w:tab w:val="left" w:pos="4536"/>
        </w:tabs>
        <w:ind w:firstLine="567"/>
        <w:rPr>
          <w:bCs/>
        </w:rPr>
      </w:pPr>
      <w:r>
        <w:rPr>
          <w:bCs/>
        </w:rPr>
        <w:t>Lithuania</w:t>
      </w:r>
      <w:r>
        <w:rPr>
          <w:bCs/>
        </w:rPr>
        <w:tab/>
        <w:t>Ms. Li</w:t>
      </w:r>
    </w:p>
    <w:p w:rsidR="00485180" w:rsidRDefault="00485180" w:rsidP="00497936">
      <w:pPr>
        <w:pStyle w:val="SingleTxtG"/>
        <w:tabs>
          <w:tab w:val="left" w:pos="4536"/>
        </w:tabs>
        <w:ind w:firstLine="567"/>
      </w:pPr>
      <w:r>
        <w:rPr>
          <w:bCs/>
        </w:rPr>
        <w:t>Mauritius</w:t>
      </w:r>
      <w:r>
        <w:rPr>
          <w:bCs/>
        </w:rPr>
        <w:tab/>
      </w:r>
      <w:r>
        <w:t xml:space="preserve">Ms. </w:t>
      </w:r>
      <w:r w:rsidRPr="0026579E">
        <w:t>Mohamed</w:t>
      </w:r>
    </w:p>
    <w:p w:rsidR="00485180" w:rsidRDefault="00485180" w:rsidP="00497936">
      <w:pPr>
        <w:pStyle w:val="SingleTxtG"/>
        <w:tabs>
          <w:tab w:val="left" w:pos="4536"/>
        </w:tabs>
        <w:ind w:firstLine="567"/>
      </w:pPr>
      <w:r>
        <w:t>Montenegro</w:t>
      </w:r>
      <w:r>
        <w:tab/>
        <w:t>Ms. Chung</w:t>
      </w:r>
    </w:p>
    <w:p w:rsidR="00485180" w:rsidRDefault="00485180" w:rsidP="00497936">
      <w:pPr>
        <w:pStyle w:val="SingleTxtG"/>
        <w:tabs>
          <w:tab w:val="left" w:pos="4536"/>
        </w:tabs>
        <w:ind w:firstLine="567"/>
      </w:pPr>
      <w:r>
        <w:t>Norway</w:t>
      </w:r>
      <w:r>
        <w:tab/>
        <w:t>Ms. Ko</w:t>
      </w:r>
    </w:p>
    <w:p w:rsidR="00485180" w:rsidRDefault="00485180" w:rsidP="00497936">
      <w:pPr>
        <w:pStyle w:val="SingleTxtG"/>
        <w:tabs>
          <w:tab w:val="left" w:pos="4536"/>
        </w:tabs>
        <w:ind w:firstLine="567"/>
      </w:pPr>
      <w:r>
        <w:t>Qatar</w:t>
      </w:r>
      <w:r>
        <w:tab/>
        <w:t>Ms. Dah</w:t>
      </w:r>
    </w:p>
    <w:p w:rsidR="00485180" w:rsidRDefault="00485180" w:rsidP="00497936">
      <w:pPr>
        <w:pStyle w:val="SingleTxtG"/>
        <w:tabs>
          <w:tab w:val="left" w:pos="4536"/>
        </w:tabs>
        <w:ind w:firstLine="567"/>
        <w:rPr>
          <w:bCs/>
        </w:rPr>
      </w:pPr>
      <w:r w:rsidRPr="0026579E">
        <w:rPr>
          <w:bCs/>
        </w:rPr>
        <w:t>Republic of Korea</w:t>
      </w:r>
      <w:r>
        <w:rPr>
          <w:bCs/>
        </w:rPr>
        <w:tab/>
        <w:t>Ms.</w:t>
      </w:r>
      <w:r w:rsidRPr="0026579E">
        <w:rPr>
          <w:bCs/>
        </w:rPr>
        <w:t xml:space="preserve"> McDougall</w:t>
      </w:r>
    </w:p>
    <w:p w:rsidR="00485180" w:rsidRPr="00F75A57" w:rsidRDefault="00485180" w:rsidP="00497936">
      <w:pPr>
        <w:pStyle w:val="SingleTxtG"/>
        <w:tabs>
          <w:tab w:val="left" w:pos="4536"/>
        </w:tabs>
        <w:ind w:firstLine="567"/>
      </w:pPr>
      <w:r>
        <w:rPr>
          <w:bCs/>
        </w:rPr>
        <w:t>Zambia</w:t>
      </w:r>
      <w:r>
        <w:rPr>
          <w:bCs/>
        </w:rPr>
        <w:tab/>
        <w:t>Ms. Shepherd</w:t>
      </w:r>
    </w:p>
    <w:p w:rsidR="00485180" w:rsidRDefault="004E4E46" w:rsidP="00485180">
      <w:pPr>
        <w:pStyle w:val="SingleTxtG"/>
      </w:pPr>
      <w:r>
        <w:t>44</w:t>
      </w:r>
      <w:r w:rsidR="00485180">
        <w:t>.</w:t>
      </w:r>
      <w:r w:rsidR="00485180">
        <w:tab/>
      </w:r>
      <w:r w:rsidR="00485180" w:rsidRPr="00686C82">
        <w:t xml:space="preserve">The </w:t>
      </w:r>
      <w:r w:rsidR="00485180" w:rsidRPr="005F233D">
        <w:t xml:space="preserve">concluding </w:t>
      </w:r>
      <w:r w:rsidR="00485180" w:rsidRPr="00CB21CA">
        <w:t>observations adopted by the Committee at those sessions</w:t>
      </w:r>
      <w:r w:rsidR="00485180">
        <w:t xml:space="preserve"> </w:t>
      </w:r>
      <w:r w:rsidR="00485180" w:rsidRPr="00CB21CA">
        <w:t>are available from the website</w:t>
      </w:r>
      <w:r w:rsidR="00485180">
        <w:t xml:space="preserve"> of the </w:t>
      </w:r>
      <w:r w:rsidR="00485180" w:rsidRPr="007F02D3">
        <w:t>Office of the United Nations High Commissioner for Human Rights</w:t>
      </w:r>
      <w:r w:rsidR="00485180">
        <w:t xml:space="preserve"> (OHCHR)</w:t>
      </w:r>
      <w:r w:rsidR="00485180" w:rsidRPr="00CB21CA">
        <w:t xml:space="preserve"> (</w:t>
      </w:r>
      <w:hyperlink r:id="rId42" w:history="1">
        <w:r w:rsidR="00485180" w:rsidRPr="00A86AC6">
          <w:rPr>
            <w:rStyle w:val="Hyperlink"/>
          </w:rPr>
          <w:t>www.ohchr.org</w:t>
        </w:r>
      </w:hyperlink>
      <w:r w:rsidR="00485180" w:rsidRPr="003067A8">
        <w:t xml:space="preserve">) and </w:t>
      </w:r>
      <w:r w:rsidR="00485180" w:rsidRPr="00686C82">
        <w:t xml:space="preserve">the </w:t>
      </w:r>
      <w:r w:rsidR="00485180" w:rsidRPr="005F233D">
        <w:t xml:space="preserve">Official </w:t>
      </w:r>
      <w:r w:rsidR="00485180" w:rsidRPr="00CB21CA">
        <w:t>Documents System of the United Nations (</w:t>
      </w:r>
      <w:hyperlink r:id="rId43" w:history="1">
        <w:r w:rsidR="00485180" w:rsidRPr="00A86AC6">
          <w:rPr>
            <w:rStyle w:val="Hyperlink"/>
          </w:rPr>
          <w:t>http://documents.un.org</w:t>
        </w:r>
      </w:hyperlink>
      <w:r w:rsidR="00485180" w:rsidRPr="003067A8">
        <w:t xml:space="preserve">) under </w:t>
      </w:r>
      <w:r w:rsidR="00485180" w:rsidRPr="00686C82">
        <w:t xml:space="preserve">the </w:t>
      </w:r>
      <w:r w:rsidR="00485180" w:rsidRPr="005F233D">
        <w:t xml:space="preserve">symbols </w:t>
      </w:r>
      <w:r w:rsidR="00485180" w:rsidRPr="00CB21CA">
        <w:t>indicated above.</w:t>
      </w:r>
      <w:r w:rsidR="00485180">
        <w:t xml:space="preserve"> </w:t>
      </w:r>
    </w:p>
    <w:p w:rsidR="00485180" w:rsidRDefault="00485180" w:rsidP="00485180">
      <w:pPr>
        <w:rPr>
          <w:bCs/>
        </w:rPr>
      </w:pPr>
      <w:r>
        <w:rPr>
          <w:bCs/>
        </w:rPr>
        <w:br w:type="page"/>
      </w:r>
    </w:p>
    <w:p w:rsidR="00485180" w:rsidRPr="001B147A" w:rsidRDefault="00485180" w:rsidP="00FB4B9C">
      <w:pPr>
        <w:pStyle w:val="HChG"/>
      </w:pPr>
      <w:r>
        <w:lastRenderedPageBreak/>
        <w:tab/>
      </w:r>
      <w:bookmarkStart w:id="25" w:name="_Toc428794288"/>
      <w:bookmarkStart w:id="26" w:name="_Toc17361300"/>
      <w:r>
        <w:t>IV.</w:t>
      </w:r>
      <w:r>
        <w:tab/>
      </w:r>
      <w:r w:rsidRPr="001B147A">
        <w:t xml:space="preserve">Follow-up to the consideration of reports submitted by States parties </w:t>
      </w:r>
      <w:r w:rsidRPr="00FB4B9C">
        <w:t>u</w:t>
      </w:r>
      <w:bookmarkStart w:id="27" w:name="_GoBack"/>
      <w:bookmarkEnd w:id="27"/>
      <w:r w:rsidRPr="00FB4B9C">
        <w:t>nder</w:t>
      </w:r>
      <w:r w:rsidRPr="001B147A">
        <w:t xml:space="preserve"> article 9 of the Convention</w:t>
      </w:r>
      <w:bookmarkEnd w:id="25"/>
      <w:bookmarkEnd w:id="26"/>
    </w:p>
    <w:p w:rsidR="00485180" w:rsidRPr="00CB21CA" w:rsidRDefault="004E4E46" w:rsidP="00485180">
      <w:pPr>
        <w:pStyle w:val="SingleTxtG"/>
      </w:pPr>
      <w:r>
        <w:t>45</w:t>
      </w:r>
      <w:r w:rsidR="00485180" w:rsidRPr="00CB21CA">
        <w:t>.</w:t>
      </w:r>
      <w:r w:rsidR="00485180" w:rsidRPr="00CB21CA">
        <w:tab/>
        <w:t xml:space="preserve">During the period under review, Mr. Kut served as </w:t>
      </w:r>
      <w:r w:rsidR="00485180">
        <w:t>coordinator</w:t>
      </w:r>
      <w:r w:rsidR="00485180" w:rsidRPr="00CB21CA">
        <w:t xml:space="preserve"> </w:t>
      </w:r>
      <w:r w:rsidR="00485180">
        <w:t>on</w:t>
      </w:r>
      <w:r w:rsidR="00485180" w:rsidRPr="00CB21CA">
        <w:t xml:space="preserve"> follow-up to the consideration of reports submitted by States parties.</w:t>
      </w:r>
    </w:p>
    <w:p w:rsidR="00485180" w:rsidRPr="00CB21CA" w:rsidRDefault="00485180" w:rsidP="004E4E46">
      <w:pPr>
        <w:pStyle w:val="SingleTxtG"/>
      </w:pPr>
      <w:r w:rsidRPr="00CB21CA">
        <w:t>4</w:t>
      </w:r>
      <w:r w:rsidR="004E4E46">
        <w:t>6</w:t>
      </w:r>
      <w:r w:rsidRPr="00CB21CA">
        <w:t>.</w:t>
      </w:r>
      <w:r w:rsidRPr="00CB21CA">
        <w:tab/>
        <w:t>Terms of reference for the work of the coordinator on follow-up</w:t>
      </w:r>
      <w:r w:rsidRPr="003067A8">
        <w:rPr>
          <w:rStyle w:val="FootnoteReference"/>
        </w:rPr>
        <w:footnoteReference w:id="5"/>
      </w:r>
      <w:r w:rsidRPr="003067A8">
        <w:t xml:space="preserve"> and guidelines</w:t>
      </w:r>
      <w:r w:rsidRPr="00686C82">
        <w:t xml:space="preserve"> on</w:t>
      </w:r>
      <w:r w:rsidRPr="005F233D">
        <w:t xml:space="preserve"> follow-up</w:t>
      </w:r>
      <w:r w:rsidRPr="003067A8">
        <w:rPr>
          <w:rStyle w:val="FootnoteReference"/>
        </w:rPr>
        <w:footnoteReference w:id="6"/>
      </w:r>
      <w:r w:rsidRPr="003067A8">
        <w:t xml:space="preserve"> to be</w:t>
      </w:r>
      <w:r w:rsidRPr="00686C82">
        <w:t xml:space="preserve"> sent</w:t>
      </w:r>
      <w:r w:rsidRPr="005F233D">
        <w:t xml:space="preserve"> to</w:t>
      </w:r>
      <w:r w:rsidRPr="00CB21CA">
        <w:t xml:space="preserve"> each State party together with the concluding observations of the Committee were adopted by the Committee at its sixty-sixth and sixty-eighth sessions respectively.</w:t>
      </w:r>
    </w:p>
    <w:p w:rsidR="00485180" w:rsidRPr="00CB21CA" w:rsidRDefault="00485180" w:rsidP="004E4E46">
      <w:pPr>
        <w:pStyle w:val="SingleTxtG"/>
      </w:pPr>
      <w:r w:rsidRPr="00CB21CA">
        <w:t>4</w:t>
      </w:r>
      <w:r w:rsidR="004E4E46">
        <w:t>7</w:t>
      </w:r>
      <w:r w:rsidRPr="00CB21CA">
        <w:t>.</w:t>
      </w:r>
      <w:r w:rsidRPr="00CB21CA">
        <w:tab/>
      </w:r>
      <w:r>
        <w:t>A</w:t>
      </w:r>
      <w:r w:rsidRPr="00CB21CA">
        <w:t>t the 2</w:t>
      </w:r>
      <w:r>
        <w:t>676</w:t>
      </w:r>
      <w:r w:rsidRPr="00CB21CA">
        <w:t>th meeting (ninety-</w:t>
      </w:r>
      <w:r>
        <w:t>sixth</w:t>
      </w:r>
      <w:r w:rsidRPr="00CB21CA">
        <w:t xml:space="preserve"> session), the 2</w:t>
      </w:r>
      <w:r>
        <w:t>7</w:t>
      </w:r>
      <w:r w:rsidRPr="00CB21CA">
        <w:t>0</w:t>
      </w:r>
      <w:r>
        <w:t>6</w:t>
      </w:r>
      <w:r w:rsidRPr="00F75A57">
        <w:t>th</w:t>
      </w:r>
      <w:r w:rsidRPr="00CB21CA">
        <w:t xml:space="preserve"> meeting </w:t>
      </w:r>
      <w:r>
        <w:t>(</w:t>
      </w:r>
      <w:r w:rsidRPr="00CB21CA">
        <w:t>ninety-</w:t>
      </w:r>
      <w:r>
        <w:t>seventh</w:t>
      </w:r>
      <w:r w:rsidRPr="00CB21CA">
        <w:t xml:space="preserve"> session) and the 2</w:t>
      </w:r>
      <w:r>
        <w:t>7</w:t>
      </w:r>
      <w:r w:rsidRPr="00CB21CA">
        <w:t>36th meeting (ninety-</w:t>
      </w:r>
      <w:r>
        <w:t>eighth</w:t>
      </w:r>
      <w:r w:rsidRPr="00CB21CA">
        <w:t xml:space="preserve"> session), Mr. Kut presented </w:t>
      </w:r>
      <w:r>
        <w:t>a</w:t>
      </w:r>
      <w:r w:rsidRPr="00CB21CA">
        <w:t xml:space="preserve"> report to the Committee on his activities as coordinator.</w:t>
      </w:r>
    </w:p>
    <w:p w:rsidR="00485180" w:rsidRPr="00CB21CA" w:rsidRDefault="00485180" w:rsidP="004E4E46">
      <w:pPr>
        <w:pStyle w:val="SingleTxtG"/>
      </w:pPr>
      <w:r w:rsidRPr="00CB21CA">
        <w:t>4</w:t>
      </w:r>
      <w:r w:rsidR="004E4E46">
        <w:t>8</w:t>
      </w:r>
      <w:r w:rsidRPr="00CB21CA">
        <w:t>.</w:t>
      </w:r>
      <w:r w:rsidRPr="00CB21CA">
        <w:tab/>
        <w:t>At its ninety-</w:t>
      </w:r>
      <w:r>
        <w:t>sixth</w:t>
      </w:r>
      <w:r w:rsidRPr="00CB21CA">
        <w:t>, ninety-</w:t>
      </w:r>
      <w:r>
        <w:t>seventh</w:t>
      </w:r>
      <w:r w:rsidRPr="00CB21CA">
        <w:t xml:space="preserve"> and ninety-</w:t>
      </w:r>
      <w:r>
        <w:t>eighth</w:t>
      </w:r>
      <w:r w:rsidRPr="00CB21CA">
        <w:t xml:space="preserve"> sessions, the Committee considered the follow-up reports of </w:t>
      </w:r>
      <w:r w:rsidRPr="003067A8">
        <w:t>Ar</w:t>
      </w:r>
      <w:r>
        <w:t xml:space="preserve">menia </w:t>
      </w:r>
      <w:r w:rsidRPr="00CB21CA">
        <w:t>(</w:t>
      </w:r>
      <w:hyperlink r:id="rId44" w:history="1">
        <w:r w:rsidRPr="00133C6F">
          <w:rPr>
            <w:rStyle w:val="Hyperlink"/>
          </w:rPr>
          <w:t>CERD/C/ARM/CO/7-11/Add.1</w:t>
        </w:r>
      </w:hyperlink>
      <w:r w:rsidRPr="00CB21CA">
        <w:t>)</w:t>
      </w:r>
      <w:r w:rsidRPr="003067A8">
        <w:t xml:space="preserve">, </w:t>
      </w:r>
      <w:r>
        <w:t xml:space="preserve">Australia </w:t>
      </w:r>
      <w:r w:rsidRPr="00CB21CA">
        <w:t>(</w:t>
      </w:r>
      <w:hyperlink r:id="rId45" w:history="1">
        <w:r w:rsidRPr="00133C6F">
          <w:rPr>
            <w:rStyle w:val="Hyperlink"/>
          </w:rPr>
          <w:t>CERD/C/AUS/CO/18-20/Add.1</w:t>
        </w:r>
      </w:hyperlink>
      <w:r w:rsidRPr="00CB21CA">
        <w:t>)</w:t>
      </w:r>
      <w:r>
        <w:t xml:space="preserve">, Bulgaria </w:t>
      </w:r>
      <w:r w:rsidRPr="00CB21CA">
        <w:t>(</w:t>
      </w:r>
      <w:hyperlink r:id="rId46" w:history="1">
        <w:r w:rsidRPr="00133C6F">
          <w:rPr>
            <w:rStyle w:val="Hyperlink"/>
          </w:rPr>
          <w:t>CERD/C/BGR/CO/20-22/Add.1</w:t>
        </w:r>
      </w:hyperlink>
      <w:r w:rsidRPr="00CB21CA">
        <w:t>)</w:t>
      </w:r>
      <w:r w:rsidRPr="003067A8">
        <w:t>, C</w:t>
      </w:r>
      <w:r>
        <w:t>yprus</w:t>
      </w:r>
      <w:r w:rsidRPr="003067A8">
        <w:t xml:space="preserve"> </w:t>
      </w:r>
      <w:r w:rsidRPr="00CB21CA">
        <w:t>(</w:t>
      </w:r>
      <w:hyperlink r:id="rId47" w:history="1">
        <w:r w:rsidRPr="00133C6F">
          <w:rPr>
            <w:rStyle w:val="Hyperlink"/>
          </w:rPr>
          <w:t>CERD/C/CYP/CO/23-24/Add.1</w:t>
        </w:r>
      </w:hyperlink>
      <w:r w:rsidRPr="00CB21CA">
        <w:t>)</w:t>
      </w:r>
      <w:r w:rsidRPr="00686C82">
        <w:t xml:space="preserve">, </w:t>
      </w:r>
      <w:r>
        <w:t xml:space="preserve">Ecuador </w:t>
      </w:r>
      <w:r w:rsidRPr="00CB21CA">
        <w:t>(</w:t>
      </w:r>
      <w:hyperlink r:id="rId48" w:history="1">
        <w:r w:rsidRPr="00133C6F">
          <w:rPr>
            <w:rStyle w:val="Hyperlink"/>
          </w:rPr>
          <w:t>CERD/C/ECU/CO/23-24/Add.1</w:t>
        </w:r>
      </w:hyperlink>
      <w:r w:rsidRPr="00CB21CA">
        <w:t>)</w:t>
      </w:r>
      <w:r>
        <w:t>, Finland (</w:t>
      </w:r>
      <w:hyperlink r:id="rId49" w:history="1">
        <w:r w:rsidRPr="00133C6F">
          <w:rPr>
            <w:rStyle w:val="Hyperlink"/>
          </w:rPr>
          <w:t>CERD/C/FIN/CO/23/Add.1</w:t>
        </w:r>
      </w:hyperlink>
      <w:r w:rsidRPr="00CB21CA">
        <w:t>)</w:t>
      </w:r>
      <w:r w:rsidRPr="00686C82">
        <w:t xml:space="preserve">, </w:t>
      </w:r>
      <w:r>
        <w:t xml:space="preserve">Kuwait </w:t>
      </w:r>
      <w:r w:rsidRPr="00CB21CA">
        <w:t>(</w:t>
      </w:r>
      <w:hyperlink r:id="rId50" w:history="1">
        <w:r w:rsidRPr="00133C6F">
          <w:rPr>
            <w:rStyle w:val="Hyperlink"/>
          </w:rPr>
          <w:t>CERD/C/KWT/CO/21-24/Add.1</w:t>
        </w:r>
      </w:hyperlink>
      <w:r w:rsidRPr="00CB21CA">
        <w:t>)</w:t>
      </w:r>
      <w:r>
        <w:t xml:space="preserve">, New Zealand </w:t>
      </w:r>
      <w:r w:rsidRPr="00CB21CA">
        <w:t>(</w:t>
      </w:r>
      <w:hyperlink r:id="rId51" w:history="1">
        <w:r w:rsidRPr="00133C6F">
          <w:rPr>
            <w:rStyle w:val="Hyperlink"/>
          </w:rPr>
          <w:t>CERD/C/NZL/CO/21-22/Add.1</w:t>
        </w:r>
      </w:hyperlink>
      <w:r w:rsidRPr="00CB21CA">
        <w:t>)</w:t>
      </w:r>
      <w:r>
        <w:t xml:space="preserve">, Pakistan </w:t>
      </w:r>
      <w:r w:rsidRPr="00CB21CA">
        <w:t>(</w:t>
      </w:r>
      <w:hyperlink r:id="rId52" w:history="1">
        <w:r w:rsidRPr="00133C6F">
          <w:rPr>
            <w:rStyle w:val="Hyperlink"/>
          </w:rPr>
          <w:t>CERD/C/PAK/CO/21-23/Add.1</w:t>
        </w:r>
      </w:hyperlink>
      <w:r w:rsidRPr="00CB21CA">
        <w:t>)</w:t>
      </w:r>
      <w:r>
        <w:t xml:space="preserve">, the Republic of Moldova </w:t>
      </w:r>
      <w:r w:rsidRPr="00CB21CA">
        <w:t>(</w:t>
      </w:r>
      <w:hyperlink r:id="rId53" w:history="1">
        <w:r w:rsidRPr="00133C6F">
          <w:rPr>
            <w:rStyle w:val="Hyperlink"/>
          </w:rPr>
          <w:t>CERD/C/MDA/CO/10-11/Add.1</w:t>
        </w:r>
      </w:hyperlink>
      <w:r w:rsidRPr="00CB21CA">
        <w:t xml:space="preserve">), </w:t>
      </w:r>
      <w:r>
        <w:t xml:space="preserve">Serbia </w:t>
      </w:r>
      <w:r w:rsidRPr="00CB21CA">
        <w:t>(</w:t>
      </w:r>
      <w:hyperlink r:id="rId54" w:history="1">
        <w:r w:rsidRPr="00133C6F">
          <w:rPr>
            <w:rStyle w:val="Hyperlink"/>
          </w:rPr>
          <w:t>CERD/C/SRB/CO/2-5/Add.1</w:t>
        </w:r>
      </w:hyperlink>
      <w:r w:rsidRPr="00CB21CA">
        <w:t>)</w:t>
      </w:r>
      <w:r>
        <w:t>, Tajikistan</w:t>
      </w:r>
      <w:r w:rsidRPr="00CB21CA">
        <w:t xml:space="preserve"> (</w:t>
      </w:r>
      <w:hyperlink r:id="rId55" w:history="1">
        <w:r w:rsidRPr="00133C6F">
          <w:rPr>
            <w:rStyle w:val="Hyperlink"/>
          </w:rPr>
          <w:t>CERD/C/TJK/CO/9-11/Add.1</w:t>
        </w:r>
      </w:hyperlink>
      <w:r w:rsidRPr="00CB21CA">
        <w:t>)</w:t>
      </w:r>
      <w:r>
        <w:t xml:space="preserve"> and Uruguay </w:t>
      </w:r>
      <w:r w:rsidRPr="00CB21CA">
        <w:t>(</w:t>
      </w:r>
      <w:hyperlink r:id="rId56" w:history="1">
        <w:r w:rsidRPr="00133C6F">
          <w:rPr>
            <w:rStyle w:val="Hyperlink"/>
          </w:rPr>
          <w:t>CERD/C/URY/CO/21-23/Add.1</w:t>
        </w:r>
      </w:hyperlink>
      <w:r w:rsidRPr="00CB21CA">
        <w:t>)</w:t>
      </w:r>
      <w:r>
        <w:t>. It</w:t>
      </w:r>
      <w:r w:rsidRPr="005F233D">
        <w:t xml:space="preserve"> </w:t>
      </w:r>
      <w:r w:rsidRPr="00CB21CA">
        <w:t>continued the constructive dialogue with those States parties by transmitting comments and requesting further information.</w:t>
      </w:r>
      <w:r>
        <w:t xml:space="preserve"> </w:t>
      </w:r>
    </w:p>
    <w:p w:rsidR="00485180" w:rsidRPr="00CB21CA" w:rsidRDefault="00485180" w:rsidP="00485180">
      <w:pPr>
        <w:pStyle w:val="SingleTxtG"/>
      </w:pPr>
      <w:r w:rsidRPr="00CB21CA">
        <w:br w:type="page"/>
      </w:r>
    </w:p>
    <w:p w:rsidR="00485180" w:rsidRPr="00A45C88" w:rsidRDefault="00485180" w:rsidP="00485180">
      <w:pPr>
        <w:pStyle w:val="HChG"/>
      </w:pPr>
      <w:bookmarkStart w:id="28" w:name="_Toc428794289"/>
      <w:r>
        <w:lastRenderedPageBreak/>
        <w:tab/>
      </w:r>
      <w:bookmarkStart w:id="29" w:name="_Toc17361301"/>
      <w:r>
        <w:t>V.</w:t>
      </w:r>
      <w:r>
        <w:tab/>
      </w:r>
      <w:r w:rsidRPr="00A45C88">
        <w:t>Consideration of communications received under article 11 of the Convention</w:t>
      </w:r>
      <w:bookmarkEnd w:id="29"/>
    </w:p>
    <w:p w:rsidR="00485180" w:rsidRDefault="004E4E46" w:rsidP="00C035D1">
      <w:pPr>
        <w:pStyle w:val="SingleTxtG"/>
      </w:pPr>
      <w:r>
        <w:t>49</w:t>
      </w:r>
      <w:r w:rsidR="00485180">
        <w:t>.</w:t>
      </w:r>
      <w:r w:rsidR="00485180">
        <w:tab/>
        <w:t>Under article 11 of the Convention, if a State party considers that another State party is not giving effect to the provisions of the Convention, it may bring the matter to the attention of the Committee, by submitting a communication. In 2018, the Committee received the first three such inter-State communications. It was agreed that the Committee’s working group on individual communications would also deal with inter-State communications. The composition of the working group was as follows:</w:t>
      </w:r>
    </w:p>
    <w:p w:rsidR="00485180" w:rsidRDefault="00C035D1" w:rsidP="00C035D1">
      <w:pPr>
        <w:pStyle w:val="SingleTxtG"/>
        <w:tabs>
          <w:tab w:val="left" w:pos="1701"/>
          <w:tab w:val="left" w:pos="3969"/>
        </w:tabs>
      </w:pPr>
      <w:r>
        <w:rPr>
          <w:i/>
          <w:iCs/>
        </w:rPr>
        <w:tab/>
      </w:r>
      <w:r w:rsidR="00485180">
        <w:rPr>
          <w:i/>
          <w:iCs/>
        </w:rPr>
        <w:t>Coordinator</w:t>
      </w:r>
      <w:r w:rsidR="00485180">
        <w:t>:</w:t>
      </w:r>
      <w:r>
        <w:tab/>
      </w:r>
      <w:r w:rsidR="00485180">
        <w:t xml:space="preserve">Marc Bossuyt </w:t>
      </w:r>
    </w:p>
    <w:p w:rsidR="00485180" w:rsidRDefault="00C16F13" w:rsidP="00C16F13">
      <w:pPr>
        <w:pStyle w:val="SingleTxtG"/>
        <w:tabs>
          <w:tab w:val="left" w:pos="1701"/>
          <w:tab w:val="left" w:pos="3969"/>
        </w:tabs>
        <w:spacing w:after="0"/>
      </w:pPr>
      <w:r>
        <w:rPr>
          <w:i/>
          <w:iCs/>
        </w:rPr>
        <w:tab/>
      </w:r>
      <w:r w:rsidR="00485180" w:rsidRPr="00F75A57">
        <w:rPr>
          <w:i/>
          <w:iCs/>
        </w:rPr>
        <w:t>Members</w:t>
      </w:r>
      <w:r w:rsidR="00485180">
        <w:t>:</w:t>
      </w:r>
      <w:r w:rsidR="00133C6F">
        <w:t xml:space="preserve"> </w:t>
      </w:r>
      <w:r w:rsidR="00485180">
        <w:tab/>
        <w:t>Silvio José Albuquerque e Silva</w:t>
      </w:r>
    </w:p>
    <w:p w:rsidR="00C16F13" w:rsidRDefault="00485180" w:rsidP="00C16F13">
      <w:pPr>
        <w:pStyle w:val="SingleTxtG"/>
        <w:tabs>
          <w:tab w:val="left" w:pos="3969"/>
        </w:tabs>
        <w:spacing w:after="0"/>
        <w:ind w:left="1639"/>
      </w:pPr>
      <w:r>
        <w:tab/>
      </w:r>
      <w:r>
        <w:tab/>
        <w:t>Alexei S. Avtonomov</w:t>
      </w:r>
    </w:p>
    <w:p w:rsidR="00485180" w:rsidRDefault="00485180" w:rsidP="00C16F13">
      <w:pPr>
        <w:pStyle w:val="SingleTxtG"/>
        <w:tabs>
          <w:tab w:val="left" w:pos="3969"/>
        </w:tabs>
        <w:spacing w:after="0"/>
        <w:ind w:left="1639"/>
      </w:pPr>
      <w:r>
        <w:tab/>
      </w:r>
      <w:r>
        <w:tab/>
        <w:t>Keiko Ko</w:t>
      </w:r>
    </w:p>
    <w:p w:rsidR="00485180" w:rsidRDefault="00485180" w:rsidP="00C16F13">
      <w:pPr>
        <w:pStyle w:val="SingleTxtG"/>
        <w:tabs>
          <w:tab w:val="left" w:pos="3969"/>
        </w:tabs>
        <w:ind w:left="1636"/>
      </w:pPr>
      <w:r>
        <w:tab/>
        <w:t>Yeung Kam John Yeung Sik Yuen</w:t>
      </w:r>
    </w:p>
    <w:p w:rsidR="00485180" w:rsidRPr="00F75A57" w:rsidRDefault="004E4E46" w:rsidP="00485180">
      <w:pPr>
        <w:pStyle w:val="SingleTxtG"/>
      </w:pPr>
      <w:r>
        <w:t>50</w:t>
      </w:r>
      <w:r w:rsidR="00485180" w:rsidRPr="00F75A57">
        <w:t>.</w:t>
      </w:r>
      <w:r w:rsidR="00485180" w:rsidRPr="00F75A57">
        <w:tab/>
      </w:r>
      <w:r w:rsidR="00485180">
        <w:t>During its ninety-six</w:t>
      </w:r>
      <w:r w:rsidR="00485180" w:rsidRPr="00A45C88">
        <w:t xml:space="preserve">th session, the Committee </w:t>
      </w:r>
      <w:r w:rsidR="00485180">
        <w:t xml:space="preserve">issued an information note </w:t>
      </w:r>
      <w:r w:rsidR="00485180" w:rsidRPr="00A45C88">
        <w:t xml:space="preserve">on </w:t>
      </w:r>
      <w:r w:rsidR="00485180">
        <w:t xml:space="preserve">the </w:t>
      </w:r>
      <w:r w:rsidR="00485180" w:rsidRPr="00A45C88">
        <w:t xml:space="preserve">inter-State communications submitted </w:t>
      </w:r>
      <w:r w:rsidR="00485180">
        <w:t>in 2018, by</w:t>
      </w:r>
      <w:r w:rsidR="00485180" w:rsidRPr="008D347C">
        <w:t xml:space="preserve"> Qatar against Saudi Arabia, </w:t>
      </w:r>
      <w:r w:rsidR="00485180">
        <w:t xml:space="preserve">Qatar against </w:t>
      </w:r>
      <w:r w:rsidR="00485180" w:rsidRPr="002E720B">
        <w:t xml:space="preserve">the United Arab Emirates, and </w:t>
      </w:r>
      <w:r w:rsidR="00485180">
        <w:t xml:space="preserve">the </w:t>
      </w:r>
      <w:r w:rsidR="00485180" w:rsidRPr="002E720B">
        <w:t>State of Palestine against Israel</w:t>
      </w:r>
      <w:r w:rsidR="00485180">
        <w:t xml:space="preserve"> respectively.</w:t>
      </w:r>
      <w:r w:rsidR="00485180">
        <w:rPr>
          <w:rStyle w:val="FootnoteReference"/>
        </w:rPr>
        <w:footnoteReference w:id="7"/>
      </w:r>
      <w:r w:rsidR="00485180" w:rsidRPr="00A45C88">
        <w:t xml:space="preserve"> </w:t>
      </w:r>
      <w:r w:rsidR="00485180">
        <w:t xml:space="preserve">In that note, the Committee recalled that </w:t>
      </w:r>
      <w:r w:rsidR="00485180" w:rsidRPr="007F4DA5">
        <w:rPr>
          <w:lang w:val="en-US"/>
        </w:rPr>
        <w:t xml:space="preserve">in May 2018, it had decided to </w:t>
      </w:r>
      <w:r w:rsidR="00485180">
        <w:rPr>
          <w:lang w:val="en-US"/>
        </w:rPr>
        <w:t xml:space="preserve">request the Secretary-General to </w:t>
      </w:r>
      <w:r w:rsidR="00485180" w:rsidRPr="007F4DA5">
        <w:rPr>
          <w:lang w:val="en-US"/>
        </w:rPr>
        <w:t>transmit the three communications</w:t>
      </w:r>
      <w:r w:rsidR="00485180">
        <w:rPr>
          <w:lang w:val="en-US"/>
        </w:rPr>
        <w:t xml:space="preserve"> to the three States parties concerned</w:t>
      </w:r>
      <w:r w:rsidR="00485180" w:rsidRPr="007F4DA5">
        <w:rPr>
          <w:lang w:val="en-US"/>
        </w:rPr>
        <w:t>, in accordance with article 11</w:t>
      </w:r>
      <w:r w:rsidR="00485180">
        <w:rPr>
          <w:lang w:val="en-US"/>
        </w:rPr>
        <w:t xml:space="preserve"> </w:t>
      </w:r>
      <w:r w:rsidR="00485180" w:rsidRPr="007F4DA5">
        <w:rPr>
          <w:lang w:val="en-US"/>
        </w:rPr>
        <w:t>(1) of the Convention</w:t>
      </w:r>
      <w:r w:rsidR="00485180">
        <w:rPr>
          <w:lang w:val="en-US"/>
        </w:rPr>
        <w:t>.</w:t>
      </w:r>
      <w:r w:rsidR="00485180">
        <w:rPr>
          <w:rStyle w:val="FootnoteReference"/>
          <w:lang w:val="en-US"/>
        </w:rPr>
        <w:footnoteReference w:id="8"/>
      </w:r>
      <w:r w:rsidR="00485180" w:rsidRPr="007F4DA5">
        <w:rPr>
          <w:lang w:val="en-US"/>
        </w:rPr>
        <w:t xml:space="preserve"> </w:t>
      </w:r>
      <w:r w:rsidR="00485180">
        <w:rPr>
          <w:lang w:val="en-US"/>
        </w:rPr>
        <w:t>The Committee indicated that the United Arab Emirates</w:t>
      </w:r>
      <w:r w:rsidR="00485180" w:rsidRPr="007F4DA5">
        <w:rPr>
          <w:lang w:val="en-US"/>
        </w:rPr>
        <w:t xml:space="preserve"> and Israel </w:t>
      </w:r>
      <w:r w:rsidR="00485180">
        <w:rPr>
          <w:lang w:val="en-US"/>
        </w:rPr>
        <w:t xml:space="preserve">had </w:t>
      </w:r>
      <w:r w:rsidR="00485180" w:rsidRPr="007F4DA5">
        <w:rPr>
          <w:lang w:val="en-US"/>
        </w:rPr>
        <w:t>submitted their response</w:t>
      </w:r>
      <w:r w:rsidR="00485180">
        <w:rPr>
          <w:lang w:val="en-US"/>
        </w:rPr>
        <w:t>s</w:t>
      </w:r>
      <w:r w:rsidR="00485180" w:rsidRPr="007F4DA5">
        <w:rPr>
          <w:lang w:val="en-US"/>
        </w:rPr>
        <w:t xml:space="preserve"> to the Committee within the deadline</w:t>
      </w:r>
      <w:r w:rsidR="00485180">
        <w:rPr>
          <w:lang w:val="en-US"/>
        </w:rPr>
        <w:t xml:space="preserve"> of three months</w:t>
      </w:r>
      <w:r w:rsidR="00485180" w:rsidRPr="007F4DA5">
        <w:rPr>
          <w:lang w:val="en-US"/>
        </w:rPr>
        <w:t xml:space="preserve">, and the Committee </w:t>
      </w:r>
      <w:r w:rsidR="00485180">
        <w:rPr>
          <w:lang w:val="en-US"/>
        </w:rPr>
        <w:t>had agreed</w:t>
      </w:r>
      <w:r w:rsidR="00485180" w:rsidRPr="007F4DA5">
        <w:rPr>
          <w:lang w:val="en-US"/>
        </w:rPr>
        <w:t xml:space="preserve"> to transmit them to the applicant States. The Committee </w:t>
      </w:r>
      <w:r w:rsidR="00485180">
        <w:rPr>
          <w:lang w:val="en-US"/>
        </w:rPr>
        <w:t xml:space="preserve">had </w:t>
      </w:r>
      <w:r w:rsidR="00485180" w:rsidRPr="007F4DA5">
        <w:rPr>
          <w:lang w:val="en-US"/>
        </w:rPr>
        <w:t xml:space="preserve">also granted a </w:t>
      </w:r>
      <w:r w:rsidR="00485180" w:rsidRPr="001C66D0">
        <w:rPr>
          <w:lang w:val="en-US"/>
        </w:rPr>
        <w:t xml:space="preserve">request from </w:t>
      </w:r>
      <w:r w:rsidR="00485180">
        <w:rPr>
          <w:lang w:val="en-US"/>
        </w:rPr>
        <w:t>Saudi Arabia</w:t>
      </w:r>
      <w:r w:rsidR="00485180" w:rsidRPr="00A81CDC">
        <w:rPr>
          <w:lang w:val="en-US"/>
        </w:rPr>
        <w:t xml:space="preserve"> for an extension, and </w:t>
      </w:r>
      <w:r w:rsidR="00485180">
        <w:rPr>
          <w:lang w:val="en-US"/>
        </w:rPr>
        <w:t>agreed</w:t>
      </w:r>
      <w:r w:rsidR="00485180" w:rsidRPr="00A81CDC">
        <w:rPr>
          <w:lang w:val="en-US"/>
        </w:rPr>
        <w:t xml:space="preserve"> that</w:t>
      </w:r>
      <w:r w:rsidR="00485180">
        <w:rPr>
          <w:lang w:val="en-US"/>
        </w:rPr>
        <w:t xml:space="preserve"> it would transmit</w:t>
      </w:r>
      <w:r w:rsidR="00485180" w:rsidRPr="00A81CDC">
        <w:rPr>
          <w:lang w:val="en-US"/>
        </w:rPr>
        <w:t xml:space="preserve"> </w:t>
      </w:r>
      <w:r w:rsidR="00485180">
        <w:rPr>
          <w:lang w:val="en-US"/>
        </w:rPr>
        <w:t>any</w:t>
      </w:r>
      <w:r w:rsidR="00485180" w:rsidRPr="00A81CDC">
        <w:rPr>
          <w:lang w:val="en-US"/>
        </w:rPr>
        <w:t xml:space="preserve"> response to Qatar</w:t>
      </w:r>
      <w:r w:rsidR="00485180">
        <w:rPr>
          <w:lang w:val="en-US"/>
        </w:rPr>
        <w:t xml:space="preserve"> upon receipt</w:t>
      </w:r>
      <w:r w:rsidR="00485180" w:rsidRPr="00A81CDC">
        <w:rPr>
          <w:lang w:val="en-US"/>
        </w:rPr>
        <w:t xml:space="preserve">. The Committee </w:t>
      </w:r>
      <w:r w:rsidR="00485180">
        <w:rPr>
          <w:lang w:val="en-US"/>
        </w:rPr>
        <w:t>noted that if any of the States referred the matter again to the Committee before 8 November 2018, it would have to consider the admissibility of the communication. However,</w:t>
      </w:r>
      <w:r w:rsidR="00485180" w:rsidRPr="00A81CDC">
        <w:rPr>
          <w:lang w:val="en-US"/>
        </w:rPr>
        <w:t xml:space="preserve"> </w:t>
      </w:r>
      <w:r w:rsidR="00485180">
        <w:rPr>
          <w:lang w:val="en-US"/>
        </w:rPr>
        <w:t>in view of</w:t>
      </w:r>
      <w:r w:rsidR="00485180" w:rsidRPr="00A81CDC">
        <w:rPr>
          <w:lang w:val="en-US"/>
        </w:rPr>
        <w:t xml:space="preserve"> the </w:t>
      </w:r>
      <w:r w:rsidR="00485180">
        <w:rPr>
          <w:lang w:val="en-US"/>
        </w:rPr>
        <w:t>procedures</w:t>
      </w:r>
      <w:r w:rsidR="00485180" w:rsidRPr="00A81CDC">
        <w:rPr>
          <w:lang w:val="en-US"/>
        </w:rPr>
        <w:t xml:space="preserve"> </w:t>
      </w:r>
      <w:r w:rsidR="00485180">
        <w:rPr>
          <w:lang w:val="en-US"/>
        </w:rPr>
        <w:t>required</w:t>
      </w:r>
      <w:r w:rsidR="00485180" w:rsidRPr="00A81CDC">
        <w:rPr>
          <w:lang w:val="en-US"/>
        </w:rPr>
        <w:t xml:space="preserve"> under articles 11 and 12 of the Convention</w:t>
      </w:r>
      <w:r w:rsidR="00485180">
        <w:rPr>
          <w:lang w:val="en-US"/>
        </w:rPr>
        <w:t>,</w:t>
      </w:r>
      <w:r w:rsidR="00485180" w:rsidRPr="00A81CDC">
        <w:rPr>
          <w:lang w:val="en-US"/>
        </w:rPr>
        <w:t xml:space="preserve"> </w:t>
      </w:r>
      <w:r w:rsidR="00485180">
        <w:rPr>
          <w:lang w:val="en-US"/>
        </w:rPr>
        <w:t>the Committee</w:t>
      </w:r>
      <w:r w:rsidR="00485180" w:rsidRPr="00A81CDC">
        <w:rPr>
          <w:lang w:val="en-US"/>
        </w:rPr>
        <w:t xml:space="preserve"> would not be </w:t>
      </w:r>
      <w:r w:rsidR="00485180">
        <w:rPr>
          <w:lang w:val="en-US"/>
        </w:rPr>
        <w:t>in a position</w:t>
      </w:r>
      <w:r w:rsidR="00485180" w:rsidRPr="00A81CDC">
        <w:rPr>
          <w:lang w:val="en-US"/>
        </w:rPr>
        <w:t xml:space="preserve"> to </w:t>
      </w:r>
      <w:r w:rsidR="00485180">
        <w:rPr>
          <w:lang w:val="en-US"/>
        </w:rPr>
        <w:t>deal with preliminary</w:t>
      </w:r>
      <w:r w:rsidR="00485180" w:rsidRPr="00A81CDC">
        <w:rPr>
          <w:lang w:val="en-US"/>
        </w:rPr>
        <w:t xml:space="preserve"> issues </w:t>
      </w:r>
      <w:r w:rsidR="00485180">
        <w:rPr>
          <w:lang w:val="en-US"/>
        </w:rPr>
        <w:t>such as</w:t>
      </w:r>
      <w:r w:rsidR="00485180" w:rsidRPr="00A81CDC">
        <w:rPr>
          <w:lang w:val="en-US"/>
        </w:rPr>
        <w:t xml:space="preserve"> jurisdiction and admissibility of the communications </w:t>
      </w:r>
      <w:r w:rsidR="00485180">
        <w:rPr>
          <w:lang w:val="en-US"/>
        </w:rPr>
        <w:t>until</w:t>
      </w:r>
      <w:r w:rsidR="00485180" w:rsidRPr="00A81CDC">
        <w:rPr>
          <w:lang w:val="en-US"/>
        </w:rPr>
        <w:t xml:space="preserve"> its </w:t>
      </w:r>
      <w:r w:rsidR="00485180">
        <w:t>ninety-eighth</w:t>
      </w:r>
      <w:r w:rsidR="00485180" w:rsidRPr="007F4DA5">
        <w:rPr>
          <w:lang w:val="en-US"/>
        </w:rPr>
        <w:t xml:space="preserve"> session. </w:t>
      </w:r>
    </w:p>
    <w:p w:rsidR="00485180" w:rsidRDefault="00485180" w:rsidP="004E4E46">
      <w:pPr>
        <w:pStyle w:val="SingleTxtG"/>
        <w:tabs>
          <w:tab w:val="left" w:pos="1276"/>
        </w:tabs>
      </w:pPr>
      <w:r>
        <w:t>5</w:t>
      </w:r>
      <w:r w:rsidR="004E4E46">
        <w:t>1</w:t>
      </w:r>
      <w:r>
        <w:t>.</w:t>
      </w:r>
      <w:r>
        <w:tab/>
      </w:r>
      <w:r w:rsidRPr="007F4DA5">
        <w:rPr>
          <w:lang w:val="en-US"/>
        </w:rPr>
        <w:t xml:space="preserve">On </w:t>
      </w:r>
      <w:r w:rsidRPr="006916F9">
        <w:t xml:space="preserve">29 October 2018, Qatar referred </w:t>
      </w:r>
      <w:r>
        <w:t>both</w:t>
      </w:r>
      <w:r w:rsidRPr="006916F9">
        <w:t xml:space="preserve"> matter</w:t>
      </w:r>
      <w:r>
        <w:t>s</w:t>
      </w:r>
      <w:r w:rsidRPr="006916F9">
        <w:t xml:space="preserve"> again to the Committee, in accordance to article 11</w:t>
      </w:r>
      <w:r>
        <w:t xml:space="preserve"> </w:t>
      </w:r>
      <w:r w:rsidRPr="006916F9">
        <w:t xml:space="preserve">(2) of the Convention, </w:t>
      </w:r>
      <w:r>
        <w:t>and these</w:t>
      </w:r>
      <w:r w:rsidRPr="006916F9">
        <w:t xml:space="preserve"> submission</w:t>
      </w:r>
      <w:r>
        <w:t>s</w:t>
      </w:r>
      <w:r w:rsidRPr="006916F9">
        <w:t xml:space="preserve"> ha</w:t>
      </w:r>
      <w:r>
        <w:t>ve</w:t>
      </w:r>
      <w:r w:rsidRPr="006916F9">
        <w:t xml:space="preserve"> been transmitted</w:t>
      </w:r>
      <w:r>
        <w:t xml:space="preserve"> to Saudi Arabia </w:t>
      </w:r>
      <w:r w:rsidRPr="006916F9">
        <w:t xml:space="preserve">and </w:t>
      </w:r>
      <w:r>
        <w:t>the United Arab Emirates.</w:t>
      </w:r>
      <w:r w:rsidRPr="006916F9">
        <w:t xml:space="preserve"> On 7 November 2018, </w:t>
      </w:r>
      <w:r>
        <w:t xml:space="preserve">the State of </w:t>
      </w:r>
      <w:r w:rsidRPr="006916F9">
        <w:t>Palestine referred the matter again to the Committee</w:t>
      </w:r>
      <w:r>
        <w:t xml:space="preserve">, and this </w:t>
      </w:r>
      <w:r w:rsidRPr="006916F9">
        <w:t>submission has been transmitted to Israel</w:t>
      </w:r>
      <w:r>
        <w:t>.</w:t>
      </w:r>
    </w:p>
    <w:p w:rsidR="00485180" w:rsidRDefault="00485180" w:rsidP="004E4E46">
      <w:pPr>
        <w:pStyle w:val="SingleTxtG"/>
        <w:tabs>
          <w:tab w:val="left" w:pos="1276"/>
        </w:tabs>
      </w:pPr>
      <w:r>
        <w:t>5</w:t>
      </w:r>
      <w:r w:rsidR="004E4E46">
        <w:t>2</w:t>
      </w:r>
      <w:r>
        <w:t>.</w:t>
      </w:r>
      <w:r>
        <w:tab/>
      </w:r>
      <w:r w:rsidRPr="007F4DA5">
        <w:rPr>
          <w:bCs/>
        </w:rPr>
        <w:t>O</w:t>
      </w:r>
      <w:r>
        <w:t>n</w:t>
      </w:r>
      <w:r w:rsidRPr="007F4DA5">
        <w:rPr>
          <w:bCs/>
        </w:rPr>
        <w:t xml:space="preserve"> 14 December 2018 (ninety-seventh session)</w:t>
      </w:r>
      <w:r>
        <w:t>, the Committee agreed</w:t>
      </w:r>
      <w:r w:rsidRPr="00D93161">
        <w:t xml:space="preserve"> to examine all preliminary questions at its </w:t>
      </w:r>
      <w:r>
        <w:t>ninety-eighth session</w:t>
      </w:r>
      <w:r w:rsidRPr="00D93161">
        <w:t xml:space="preserve">, with the participation, without voting rights, of one representative of </w:t>
      </w:r>
      <w:r>
        <w:t xml:space="preserve">each of </w:t>
      </w:r>
      <w:r w:rsidRPr="00D93161">
        <w:t>the States</w:t>
      </w:r>
      <w:r>
        <w:t xml:space="preserve"> parties </w:t>
      </w:r>
      <w:r w:rsidRPr="00D93161">
        <w:t xml:space="preserve">concerned, in </w:t>
      </w:r>
      <w:r>
        <w:t>accordance with</w:t>
      </w:r>
      <w:r w:rsidRPr="00D93161">
        <w:t xml:space="preserve"> article 11</w:t>
      </w:r>
      <w:r>
        <w:t xml:space="preserve"> </w:t>
      </w:r>
      <w:r w:rsidRPr="00D93161">
        <w:t>(5) of the Convention.</w:t>
      </w:r>
      <w:r w:rsidR="00133C6F">
        <w:t xml:space="preserve"> </w:t>
      </w:r>
    </w:p>
    <w:p w:rsidR="00485180" w:rsidRPr="00F72FAF" w:rsidRDefault="00485180" w:rsidP="004E4E46">
      <w:pPr>
        <w:pStyle w:val="SingleTxtG"/>
        <w:tabs>
          <w:tab w:val="left" w:pos="1276"/>
        </w:tabs>
      </w:pPr>
      <w:bookmarkStart w:id="30" w:name="_Hlk17302362"/>
      <w:r w:rsidRPr="00F72FAF">
        <w:t>5</w:t>
      </w:r>
      <w:r w:rsidR="004E4E46">
        <w:t>3</w:t>
      </w:r>
      <w:r w:rsidRPr="00F72FAF">
        <w:t>.</w:t>
      </w:r>
      <w:r w:rsidRPr="00F72FAF">
        <w:tab/>
      </w:r>
      <w:r>
        <w:t>During its ninety-eighth session, the Committee adopted rules of procedure specific to</w:t>
      </w:r>
      <w:r w:rsidRPr="00F72FAF">
        <w:t xml:space="preserve"> </w:t>
      </w:r>
      <w:r>
        <w:t>its</w:t>
      </w:r>
      <w:r w:rsidRPr="00F72FAF">
        <w:t xml:space="preserve"> </w:t>
      </w:r>
      <w:r>
        <w:t>hearings of States as part of its consideration of inter-State communications (see annex II), for inclusion in a future revision of the Committee’s rules of procedure</w:t>
      </w:r>
      <w:bookmarkEnd w:id="30"/>
      <w:r>
        <w:t>. The Committee held hearings with the representatives of Qatar, Saudi Arabia and the United Arab Emirates and the State of Palestine,</w:t>
      </w:r>
      <w:r>
        <w:rPr>
          <w:rStyle w:val="FootnoteReference"/>
        </w:rPr>
        <w:footnoteReference w:id="9"/>
      </w:r>
      <w:r>
        <w:t xml:space="preserve"> during which each State party presented its views regarding the relevant inter-State communications, and replied to the arguments presented by the other party. Immediately after the session, the Committee informed the States parties </w:t>
      </w:r>
      <w:r>
        <w:lastRenderedPageBreak/>
        <w:t xml:space="preserve">concerned that, following the hearings, it had continued its examination of the inter-State communications and concluded that additional research and meeting time would be necessary to address some of the issues raised, in order for it to adopt a decision. It therefore decided to continue the proceedings during its ninety-ninth session. </w:t>
      </w:r>
    </w:p>
    <w:p w:rsidR="00485180" w:rsidRDefault="00485180" w:rsidP="00485180">
      <w:r w:rsidRPr="00A45C88">
        <w:br w:type="page"/>
      </w:r>
    </w:p>
    <w:p w:rsidR="00485180" w:rsidRPr="00084FE6" w:rsidRDefault="00485180" w:rsidP="00485180">
      <w:pPr>
        <w:pStyle w:val="HChG"/>
        <w:ind w:hanging="567"/>
      </w:pPr>
      <w:bookmarkStart w:id="31" w:name="_Toc17361302"/>
      <w:r>
        <w:lastRenderedPageBreak/>
        <w:t>VI.</w:t>
      </w:r>
      <w:r>
        <w:tab/>
      </w:r>
      <w:r w:rsidRPr="00084FE6">
        <w:t>Reprisals</w:t>
      </w:r>
      <w:bookmarkEnd w:id="31"/>
    </w:p>
    <w:p w:rsidR="00485180" w:rsidRPr="00F75A57" w:rsidRDefault="00485180" w:rsidP="002750EF">
      <w:pPr>
        <w:pStyle w:val="SingleTxtG"/>
        <w:tabs>
          <w:tab w:val="left" w:pos="1276"/>
        </w:tabs>
      </w:pPr>
      <w:r w:rsidRPr="00F75A57">
        <w:t>5</w:t>
      </w:r>
      <w:r w:rsidR="002750EF">
        <w:t>4</w:t>
      </w:r>
      <w:r w:rsidRPr="00F75A57">
        <w:t>.</w:t>
      </w:r>
      <w:r w:rsidRPr="00F75A57">
        <w:tab/>
      </w:r>
      <w:r w:rsidRPr="00821FA9">
        <w:t>During its ninety-</w:t>
      </w:r>
      <w:r w:rsidRPr="000967A3">
        <w:t xml:space="preserve">sixth session, the Committee received allegations of reprisals against two human rights defenders who </w:t>
      </w:r>
      <w:r>
        <w:t>had been prepared</w:t>
      </w:r>
      <w:r w:rsidRPr="000967A3">
        <w:t xml:space="preserve"> to cooperate with the Committee in the context of </w:t>
      </w:r>
      <w:r>
        <w:t>its</w:t>
      </w:r>
      <w:r w:rsidRPr="000967A3">
        <w:t xml:space="preserve"> consideration</w:t>
      </w:r>
      <w:r>
        <w:t xml:space="preserve"> in August 2018</w:t>
      </w:r>
      <w:r w:rsidRPr="000967A3">
        <w:t xml:space="preserve"> of the </w:t>
      </w:r>
      <w:r>
        <w:t xml:space="preserve">nineteenth to twenty-first </w:t>
      </w:r>
      <w:r w:rsidRPr="000967A3">
        <w:t xml:space="preserve">periodic reports </w:t>
      </w:r>
      <w:r>
        <w:t>submitted by</w:t>
      </w:r>
      <w:r w:rsidRPr="000967A3">
        <w:t xml:space="preserve"> Cuba </w:t>
      </w:r>
      <w:r>
        <w:t>(</w:t>
      </w:r>
      <w:hyperlink r:id="rId57" w:history="1">
        <w:r w:rsidRPr="00133C6F">
          <w:rPr>
            <w:rStyle w:val="Hyperlink"/>
          </w:rPr>
          <w:t>CERD/C/CUB/19-21</w:t>
        </w:r>
      </w:hyperlink>
      <w:r>
        <w:t>)</w:t>
      </w:r>
      <w:r w:rsidRPr="000967A3">
        <w:t>.</w:t>
      </w:r>
      <w:r>
        <w:t xml:space="preserve"> </w:t>
      </w:r>
      <w:r w:rsidRPr="000967A3">
        <w:t xml:space="preserve">The </w:t>
      </w:r>
      <w:r w:rsidRPr="00F75A57">
        <w:rPr>
          <w:bCs/>
        </w:rPr>
        <w:t>Committee’s</w:t>
      </w:r>
      <w:r w:rsidRPr="000967A3">
        <w:t xml:space="preserve"> </w:t>
      </w:r>
      <w:r>
        <w:t>f</w:t>
      </w:r>
      <w:r w:rsidRPr="000967A3">
        <w:t xml:space="preserve">ocal </w:t>
      </w:r>
      <w:r>
        <w:t>p</w:t>
      </w:r>
      <w:r w:rsidRPr="000967A3">
        <w:t xml:space="preserve">oint on </w:t>
      </w:r>
      <w:r>
        <w:t>r</w:t>
      </w:r>
      <w:r w:rsidRPr="000967A3">
        <w:t>eprisals, Mr. Calí Tzay</w:t>
      </w:r>
      <w:r>
        <w:t>,</w:t>
      </w:r>
      <w:r w:rsidRPr="000967A3">
        <w:t xml:space="preserve"> together with the Chair of the Committee</w:t>
      </w:r>
      <w:r>
        <w:t>,</w:t>
      </w:r>
      <w:r w:rsidRPr="000967A3">
        <w:t xml:space="preserve"> sent a letter to the State </w:t>
      </w:r>
      <w:r>
        <w:t>p</w:t>
      </w:r>
      <w:r w:rsidRPr="000967A3">
        <w:t xml:space="preserve">arty seeking information on the allegations. On 8 October 2018, the Committee received </w:t>
      </w:r>
      <w:r>
        <w:t xml:space="preserve">a </w:t>
      </w:r>
      <w:r w:rsidRPr="000967A3">
        <w:t>repl</w:t>
      </w:r>
      <w:r>
        <w:t>y</w:t>
      </w:r>
      <w:r w:rsidRPr="000967A3">
        <w:t xml:space="preserve"> from the State party, which it will consider at </w:t>
      </w:r>
      <w:r>
        <w:t>its</w:t>
      </w:r>
      <w:r w:rsidRPr="000967A3">
        <w:t xml:space="preserve"> ninety-ninth session. </w:t>
      </w:r>
    </w:p>
    <w:p w:rsidR="00485180" w:rsidRDefault="00485180" w:rsidP="00485180">
      <w:r>
        <w:br w:type="page"/>
      </w:r>
    </w:p>
    <w:p w:rsidR="00485180" w:rsidRPr="00CB21CA" w:rsidRDefault="00165925" w:rsidP="00165925">
      <w:pPr>
        <w:pStyle w:val="HChG"/>
      </w:pPr>
      <w:bookmarkStart w:id="32" w:name="_Toc17361303"/>
      <w:r>
        <w:lastRenderedPageBreak/>
        <w:tab/>
      </w:r>
      <w:r w:rsidR="00485180">
        <w:t>VII.</w:t>
      </w:r>
      <w:r w:rsidR="00485180">
        <w:tab/>
      </w:r>
      <w:r w:rsidR="00485180" w:rsidRPr="00CB21CA">
        <w:t>States parties</w:t>
      </w:r>
      <w:r w:rsidR="00485180">
        <w:t xml:space="preserve"> whose </w:t>
      </w:r>
      <w:r w:rsidR="00485180" w:rsidRPr="00CB21CA">
        <w:t xml:space="preserve">reports are </w:t>
      </w:r>
      <w:r w:rsidR="00485180">
        <w:t xml:space="preserve">seriously </w:t>
      </w:r>
      <w:r w:rsidR="00485180" w:rsidRPr="00CB21CA">
        <w:t>overdue</w:t>
      </w:r>
      <w:bookmarkEnd w:id="32"/>
    </w:p>
    <w:p w:rsidR="00485180" w:rsidRPr="00CB21CA" w:rsidRDefault="00485180" w:rsidP="00485180">
      <w:pPr>
        <w:pStyle w:val="H1G"/>
      </w:pPr>
      <w:r w:rsidRPr="00CB21CA">
        <w:tab/>
      </w:r>
      <w:bookmarkStart w:id="33" w:name="_Toc17361304"/>
      <w:r w:rsidRPr="00CB21CA">
        <w:t>A.</w:t>
      </w:r>
      <w:r w:rsidRPr="00CB21CA">
        <w:tab/>
        <w:t>Reports overdue by</w:t>
      </w:r>
      <w:r>
        <w:t xml:space="preserve"> </w:t>
      </w:r>
      <w:r w:rsidRPr="00CB21CA">
        <w:t>at least 10 years</w:t>
      </w:r>
      <w:bookmarkEnd w:id="33"/>
    </w:p>
    <w:p w:rsidR="00485180" w:rsidRPr="00CB21CA" w:rsidRDefault="002750EF" w:rsidP="00485180">
      <w:pPr>
        <w:pStyle w:val="SingleTxtG"/>
        <w:tabs>
          <w:tab w:val="left" w:pos="1276"/>
        </w:tabs>
      </w:pPr>
      <w:r>
        <w:t>55</w:t>
      </w:r>
      <w:r w:rsidR="00485180" w:rsidRPr="00CB21CA">
        <w:t>.</w:t>
      </w:r>
      <w:r w:rsidR="00485180" w:rsidRPr="00CB21CA">
        <w:tab/>
      </w:r>
      <w:r w:rsidR="00485180">
        <w:t>As at 10 May 2019, t</w:t>
      </w:r>
      <w:r w:rsidR="00485180" w:rsidRPr="00CB21CA">
        <w:t xml:space="preserve">he following States parties </w:t>
      </w:r>
      <w:r w:rsidR="00485180">
        <w:t>were</w:t>
      </w:r>
      <w:r w:rsidR="00485180" w:rsidRPr="00CB21CA">
        <w:t xml:space="preserve"> at least 10 years late in the submission of their reports:</w:t>
      </w:r>
    </w:p>
    <w:p w:rsidR="00485180" w:rsidRPr="00CB21CA" w:rsidRDefault="00485180" w:rsidP="00897846">
      <w:pPr>
        <w:pStyle w:val="SingleTxtG"/>
        <w:tabs>
          <w:tab w:val="left" w:pos="3402"/>
        </w:tabs>
      </w:pPr>
      <w:r w:rsidRPr="00CB21CA">
        <w:t>Sierra Leone</w:t>
      </w:r>
      <w:r w:rsidRPr="00CB21CA">
        <w:tab/>
      </w:r>
      <w:r w:rsidRPr="00CB21CA">
        <w:tab/>
        <w:t>Fourth periodic report overdue since 1976</w:t>
      </w:r>
    </w:p>
    <w:p w:rsidR="00485180" w:rsidRPr="00CB21CA" w:rsidRDefault="00485180" w:rsidP="00897846">
      <w:pPr>
        <w:pStyle w:val="SingleTxtG"/>
        <w:tabs>
          <w:tab w:val="left" w:pos="3402"/>
        </w:tabs>
      </w:pPr>
      <w:r w:rsidRPr="00CB21CA">
        <w:t>Liberia</w:t>
      </w:r>
      <w:r w:rsidRPr="00CB21CA">
        <w:tab/>
      </w:r>
      <w:r w:rsidRPr="00CB21CA">
        <w:tab/>
        <w:t>Initial report overdue since 1977</w:t>
      </w:r>
    </w:p>
    <w:p w:rsidR="00485180" w:rsidRPr="00CB21CA" w:rsidRDefault="00485180" w:rsidP="00897846">
      <w:pPr>
        <w:pStyle w:val="SingleTxtG"/>
        <w:tabs>
          <w:tab w:val="left" w:pos="3402"/>
        </w:tabs>
      </w:pPr>
      <w:r w:rsidRPr="00CB21CA">
        <w:t>Gambia</w:t>
      </w:r>
      <w:r w:rsidRPr="00CB21CA">
        <w:tab/>
      </w:r>
      <w:r w:rsidRPr="00CB21CA">
        <w:tab/>
        <w:t>Second report overdue since 1982</w:t>
      </w:r>
    </w:p>
    <w:p w:rsidR="00485180" w:rsidRPr="00CB21CA" w:rsidRDefault="00485180" w:rsidP="00897846">
      <w:pPr>
        <w:pStyle w:val="SingleTxtG"/>
        <w:tabs>
          <w:tab w:val="left" w:pos="3402"/>
        </w:tabs>
      </w:pPr>
      <w:r w:rsidRPr="00CB21CA">
        <w:t>Somalia</w:t>
      </w:r>
      <w:r w:rsidRPr="00CB21CA">
        <w:tab/>
      </w:r>
      <w:r w:rsidRPr="00CB21CA">
        <w:tab/>
        <w:t>Fifth periodic report overdue since 1984</w:t>
      </w:r>
    </w:p>
    <w:p w:rsidR="00485180" w:rsidRPr="00CB21CA" w:rsidRDefault="00485180" w:rsidP="00897846">
      <w:pPr>
        <w:pStyle w:val="SingleTxtG"/>
        <w:tabs>
          <w:tab w:val="left" w:pos="3402"/>
        </w:tabs>
      </w:pPr>
      <w:r w:rsidRPr="00CB21CA">
        <w:t>Papua New Guinea</w:t>
      </w:r>
      <w:r w:rsidRPr="00CB21CA">
        <w:tab/>
      </w:r>
      <w:r w:rsidRPr="00CB21CA">
        <w:tab/>
        <w:t>Second periodic report overdue since 1985</w:t>
      </w:r>
    </w:p>
    <w:p w:rsidR="00485180" w:rsidRPr="00CB21CA" w:rsidRDefault="00485180" w:rsidP="00897846">
      <w:pPr>
        <w:pStyle w:val="SingleTxtG"/>
        <w:tabs>
          <w:tab w:val="left" w:pos="3402"/>
        </w:tabs>
      </w:pPr>
      <w:r w:rsidRPr="00CB21CA">
        <w:t>Solomon Islands</w:t>
      </w:r>
      <w:r w:rsidRPr="00CB21CA">
        <w:tab/>
      </w:r>
      <w:r w:rsidRPr="00CB21CA">
        <w:tab/>
        <w:t>Second periodic report overdue since 1985</w:t>
      </w:r>
    </w:p>
    <w:p w:rsidR="00485180" w:rsidRPr="00CB21CA" w:rsidRDefault="00485180" w:rsidP="00897846">
      <w:pPr>
        <w:pStyle w:val="SingleTxtG"/>
        <w:tabs>
          <w:tab w:val="left" w:pos="3402"/>
        </w:tabs>
      </w:pPr>
      <w:r w:rsidRPr="00CB21CA">
        <w:t>Central African Republic</w:t>
      </w:r>
      <w:r w:rsidRPr="00CB21CA">
        <w:tab/>
        <w:t>Eighth periodic report overdue since 1986</w:t>
      </w:r>
    </w:p>
    <w:p w:rsidR="00485180" w:rsidRPr="00CB21CA" w:rsidRDefault="00485180" w:rsidP="00897846">
      <w:pPr>
        <w:pStyle w:val="SingleTxtG"/>
        <w:tabs>
          <w:tab w:val="left" w:pos="3402"/>
        </w:tabs>
      </w:pPr>
      <w:r w:rsidRPr="00CB21CA">
        <w:t>Afghanistan</w:t>
      </w:r>
      <w:r w:rsidRPr="00CB21CA">
        <w:tab/>
      </w:r>
      <w:r w:rsidRPr="00CB21CA">
        <w:tab/>
        <w:t>Second periodic report overdue since 1986</w:t>
      </w:r>
    </w:p>
    <w:p w:rsidR="00485180" w:rsidRPr="00CB21CA" w:rsidRDefault="00485180" w:rsidP="00485180">
      <w:pPr>
        <w:pStyle w:val="SingleTxtG"/>
        <w:tabs>
          <w:tab w:val="left" w:pos="3402"/>
        </w:tabs>
      </w:pPr>
      <w:r w:rsidRPr="00CB21CA">
        <w:t>Seychelles</w:t>
      </w:r>
      <w:r w:rsidRPr="00CB21CA">
        <w:tab/>
      </w:r>
      <w:r w:rsidRPr="00CB21CA">
        <w:tab/>
        <w:t>Sixth periodic report overdue since 1989</w:t>
      </w:r>
    </w:p>
    <w:p w:rsidR="00485180" w:rsidRPr="00CB21CA" w:rsidRDefault="00485180" w:rsidP="00485180">
      <w:pPr>
        <w:pStyle w:val="SingleTxtG"/>
        <w:tabs>
          <w:tab w:val="left" w:pos="3402"/>
        </w:tabs>
      </w:pPr>
      <w:r w:rsidRPr="00CB21CA">
        <w:t>Saint Lucia</w:t>
      </w:r>
      <w:r w:rsidRPr="00CB21CA">
        <w:tab/>
        <w:t>Initial report overdue since 1991</w:t>
      </w:r>
    </w:p>
    <w:p w:rsidR="00485180" w:rsidRPr="00CB21CA" w:rsidRDefault="00485180" w:rsidP="00485180">
      <w:pPr>
        <w:pStyle w:val="SingleTxtG"/>
        <w:tabs>
          <w:tab w:val="left" w:pos="3402"/>
        </w:tabs>
      </w:pPr>
      <w:r w:rsidRPr="00CB21CA">
        <w:t>Malawi</w:t>
      </w:r>
      <w:r w:rsidRPr="00CB21CA">
        <w:tab/>
        <w:t>Initial report overdue since 1997</w:t>
      </w:r>
    </w:p>
    <w:p w:rsidR="00485180" w:rsidRPr="00CB21CA" w:rsidRDefault="00485180" w:rsidP="00485180">
      <w:pPr>
        <w:pStyle w:val="SingleTxtG"/>
        <w:tabs>
          <w:tab w:val="left" w:pos="3402"/>
        </w:tabs>
      </w:pPr>
      <w:r w:rsidRPr="009E335D">
        <w:t>Eswatini</w:t>
      </w:r>
      <w:r w:rsidRPr="009E335D">
        <w:tab/>
        <w:t>Fifteenth periodic report overdue since 1998</w:t>
      </w:r>
      <w:r w:rsidRPr="00CB21CA">
        <w:t xml:space="preserve"> </w:t>
      </w:r>
    </w:p>
    <w:p w:rsidR="00485180" w:rsidRPr="00CB21CA" w:rsidRDefault="00485180" w:rsidP="00485180">
      <w:pPr>
        <w:pStyle w:val="SingleTxtG"/>
        <w:tabs>
          <w:tab w:val="left" w:pos="3402"/>
        </w:tabs>
      </w:pPr>
      <w:r w:rsidRPr="00CB21CA">
        <w:t>Burundi</w:t>
      </w:r>
      <w:r w:rsidRPr="00CB21CA">
        <w:tab/>
        <w:t>Eleventh periodic report overdue since 1998</w:t>
      </w:r>
    </w:p>
    <w:p w:rsidR="00485180" w:rsidRPr="00CB21CA" w:rsidRDefault="00485180" w:rsidP="00485180">
      <w:pPr>
        <w:pStyle w:val="SingleTxtG"/>
        <w:tabs>
          <w:tab w:val="left" w:pos="3402"/>
        </w:tabs>
      </w:pPr>
      <w:r w:rsidRPr="00CB21CA">
        <w:t>Gabon</w:t>
      </w:r>
      <w:r w:rsidRPr="00CB21CA">
        <w:tab/>
        <w:t>Tenth periodic report overdue since 1999</w:t>
      </w:r>
    </w:p>
    <w:p w:rsidR="00485180" w:rsidRPr="00CB21CA" w:rsidRDefault="00485180" w:rsidP="00485180">
      <w:pPr>
        <w:pStyle w:val="SingleTxtG"/>
        <w:tabs>
          <w:tab w:val="left" w:pos="3402"/>
        </w:tabs>
      </w:pPr>
      <w:r w:rsidRPr="00CB21CA">
        <w:t>Haiti</w:t>
      </w:r>
      <w:r w:rsidRPr="00CB21CA">
        <w:tab/>
        <w:t>Fourteenth periodic report overdue since 2000</w:t>
      </w:r>
    </w:p>
    <w:p w:rsidR="00485180" w:rsidRPr="00CB21CA" w:rsidRDefault="00485180" w:rsidP="00485180">
      <w:pPr>
        <w:pStyle w:val="SingleTxtG"/>
        <w:tabs>
          <w:tab w:val="left" w:pos="3402"/>
        </w:tabs>
      </w:pPr>
      <w:r w:rsidRPr="00CB21CA">
        <w:t>Guinea</w:t>
      </w:r>
      <w:r w:rsidRPr="00CB21CA">
        <w:tab/>
        <w:t>Twelfth periodic report overdue since 2000</w:t>
      </w:r>
    </w:p>
    <w:p w:rsidR="00485180" w:rsidRPr="00CB21CA" w:rsidRDefault="00485180" w:rsidP="00485180">
      <w:pPr>
        <w:pStyle w:val="SingleTxtG"/>
        <w:tabs>
          <w:tab w:val="left" w:pos="3402"/>
        </w:tabs>
      </w:pPr>
      <w:r w:rsidRPr="00CB21CA">
        <w:t>Syrian Arab Republic</w:t>
      </w:r>
      <w:r w:rsidRPr="00CB21CA">
        <w:tab/>
        <w:t>Sixteenth periodic report overdue since 2000</w:t>
      </w:r>
    </w:p>
    <w:p w:rsidR="00485180" w:rsidRPr="00CB21CA" w:rsidRDefault="00485180" w:rsidP="00485180">
      <w:pPr>
        <w:pStyle w:val="SingleTxtG"/>
        <w:tabs>
          <w:tab w:val="left" w:pos="3402"/>
        </w:tabs>
      </w:pPr>
      <w:r w:rsidRPr="00CB21CA">
        <w:t>Zimbabwe</w:t>
      </w:r>
      <w:r w:rsidRPr="00CB21CA">
        <w:tab/>
        <w:t>Fifth periodic report overdue since 2000</w:t>
      </w:r>
    </w:p>
    <w:p w:rsidR="00485180" w:rsidRPr="00CB21CA" w:rsidRDefault="00485180" w:rsidP="00485180">
      <w:pPr>
        <w:pStyle w:val="SingleTxtG"/>
        <w:tabs>
          <w:tab w:val="left" w:pos="3402"/>
        </w:tabs>
      </w:pPr>
      <w:r w:rsidRPr="00CB21CA">
        <w:t>Lesotho</w:t>
      </w:r>
      <w:r w:rsidRPr="00CB21CA">
        <w:tab/>
        <w:t>Fifteenth periodic report overdue since 2000</w:t>
      </w:r>
    </w:p>
    <w:p w:rsidR="00485180" w:rsidRPr="00CB21CA" w:rsidRDefault="00485180" w:rsidP="00485180">
      <w:pPr>
        <w:pStyle w:val="SingleTxtG"/>
        <w:tabs>
          <w:tab w:val="left" w:pos="3402"/>
        </w:tabs>
      </w:pPr>
      <w:r w:rsidRPr="00CB21CA">
        <w:t>Tonga</w:t>
      </w:r>
      <w:r w:rsidRPr="00CB21CA">
        <w:tab/>
        <w:t>Fifteenth periodic report overdue since 2001</w:t>
      </w:r>
    </w:p>
    <w:p w:rsidR="00485180" w:rsidRPr="00CB21CA" w:rsidRDefault="00485180" w:rsidP="00485180">
      <w:pPr>
        <w:pStyle w:val="SingleTxtG"/>
        <w:tabs>
          <w:tab w:val="left" w:pos="3402"/>
        </w:tabs>
      </w:pPr>
      <w:r w:rsidRPr="00CB21CA">
        <w:t>Bangladesh</w:t>
      </w:r>
      <w:r w:rsidRPr="00CB21CA">
        <w:tab/>
        <w:t>Twelfth periodic report overdue since 2002</w:t>
      </w:r>
    </w:p>
    <w:p w:rsidR="00485180" w:rsidRPr="00CB21CA" w:rsidRDefault="00485180" w:rsidP="00485180">
      <w:pPr>
        <w:pStyle w:val="SingleTxtG"/>
        <w:tabs>
          <w:tab w:val="left" w:pos="3402"/>
        </w:tabs>
      </w:pPr>
      <w:r w:rsidRPr="00CB21CA">
        <w:t>Eritrea</w:t>
      </w:r>
      <w:r w:rsidRPr="00CB21CA">
        <w:tab/>
        <w:t>Initial report overdue since 2002</w:t>
      </w:r>
    </w:p>
    <w:p w:rsidR="00485180" w:rsidRPr="00CB21CA" w:rsidRDefault="00485180" w:rsidP="00485180">
      <w:pPr>
        <w:pStyle w:val="SingleTxtG"/>
        <w:tabs>
          <w:tab w:val="left" w:pos="3402"/>
        </w:tabs>
      </w:pPr>
      <w:r w:rsidRPr="00CB21CA">
        <w:t>Belize</w:t>
      </w:r>
      <w:r w:rsidRPr="00CB21CA">
        <w:tab/>
        <w:t>Initial report overdue since 2002</w:t>
      </w:r>
    </w:p>
    <w:p w:rsidR="00485180" w:rsidRPr="00CB21CA" w:rsidRDefault="00485180" w:rsidP="00485180">
      <w:pPr>
        <w:pStyle w:val="SingleTxtG"/>
        <w:tabs>
          <w:tab w:val="left" w:pos="3402"/>
        </w:tabs>
      </w:pPr>
      <w:r w:rsidRPr="00CB21CA">
        <w:t>Benin</w:t>
      </w:r>
      <w:r w:rsidRPr="00CB21CA">
        <w:tab/>
        <w:t>Initial report overdue since 2002</w:t>
      </w:r>
    </w:p>
    <w:p w:rsidR="00485180" w:rsidRPr="00CB21CA" w:rsidRDefault="00485180" w:rsidP="00485180">
      <w:pPr>
        <w:pStyle w:val="SingleTxtG"/>
        <w:tabs>
          <w:tab w:val="left" w:pos="3402"/>
        </w:tabs>
      </w:pPr>
      <w:r w:rsidRPr="00CB21CA">
        <w:t>Equatorial Guinea</w:t>
      </w:r>
      <w:r w:rsidRPr="00CB21CA">
        <w:tab/>
        <w:t>Initial report overdue since 2003</w:t>
      </w:r>
    </w:p>
    <w:p w:rsidR="00485180" w:rsidRPr="00CB21CA" w:rsidRDefault="00485180" w:rsidP="00485180">
      <w:pPr>
        <w:pStyle w:val="SingleTxtG"/>
        <w:tabs>
          <w:tab w:val="left" w:pos="3402"/>
        </w:tabs>
      </w:pPr>
      <w:r w:rsidRPr="00CB21CA">
        <w:t>San Marino</w:t>
      </w:r>
      <w:r w:rsidRPr="00CB21CA">
        <w:tab/>
        <w:t>Initial report overdue since 2003</w:t>
      </w:r>
    </w:p>
    <w:p w:rsidR="00485180" w:rsidRPr="00CB21CA" w:rsidRDefault="00485180" w:rsidP="00485180">
      <w:pPr>
        <w:pStyle w:val="SingleTxtG"/>
        <w:tabs>
          <w:tab w:val="left" w:pos="3402"/>
        </w:tabs>
      </w:pPr>
      <w:r w:rsidRPr="00CB21CA">
        <w:t>Timor-Leste</w:t>
      </w:r>
      <w:r w:rsidRPr="00CB21CA">
        <w:tab/>
        <w:t>Initial report overdue since 2004</w:t>
      </w:r>
    </w:p>
    <w:p w:rsidR="00485180" w:rsidRPr="00CB21CA" w:rsidRDefault="00485180" w:rsidP="00897846">
      <w:pPr>
        <w:pStyle w:val="SingleTxtG"/>
        <w:tabs>
          <w:tab w:val="left" w:pos="3402"/>
        </w:tabs>
      </w:pPr>
      <w:r w:rsidRPr="00CB21CA">
        <w:t>Trinidad and Tobago</w:t>
      </w:r>
      <w:r w:rsidRPr="00CB21CA">
        <w:tab/>
        <w:t xml:space="preserve">Combined fifteenth and sixteenth periodic reports </w:t>
      </w:r>
      <w:r>
        <w:br/>
      </w:r>
      <w:r>
        <w:tab/>
      </w:r>
      <w:r w:rsidRPr="00CB21CA">
        <w:t>overdue</w:t>
      </w:r>
      <w:r>
        <w:t xml:space="preserve"> </w:t>
      </w:r>
      <w:r w:rsidRPr="00CB21CA">
        <w:t>since 2004</w:t>
      </w:r>
    </w:p>
    <w:p w:rsidR="00485180" w:rsidRPr="00CB21CA" w:rsidRDefault="00485180" w:rsidP="00485180">
      <w:pPr>
        <w:pStyle w:val="SingleTxtG"/>
        <w:tabs>
          <w:tab w:val="left" w:pos="3402"/>
        </w:tabs>
      </w:pPr>
      <w:r w:rsidRPr="00CB21CA">
        <w:t>Comoros</w:t>
      </w:r>
      <w:r w:rsidRPr="00CB21CA">
        <w:tab/>
        <w:t>Initial report overdue since 2005</w:t>
      </w:r>
    </w:p>
    <w:p w:rsidR="00485180" w:rsidRPr="00CB21CA" w:rsidRDefault="00485180" w:rsidP="00897846">
      <w:pPr>
        <w:pStyle w:val="SingleTxtG"/>
        <w:tabs>
          <w:tab w:val="left" w:pos="3402"/>
        </w:tabs>
      </w:pPr>
      <w:r w:rsidRPr="00CB21CA">
        <w:t>Uganda</w:t>
      </w:r>
      <w:r w:rsidRPr="00CB21CA">
        <w:tab/>
        <w:t xml:space="preserve">Combined eleventh to thirteenth periodic reports overdue </w:t>
      </w:r>
      <w:r w:rsidR="00897846">
        <w:br/>
      </w:r>
      <w:r w:rsidR="00897846">
        <w:tab/>
      </w:r>
      <w:r w:rsidRPr="00CB21CA">
        <w:t>since 2005</w:t>
      </w:r>
    </w:p>
    <w:p w:rsidR="00485180" w:rsidRPr="00CB21CA" w:rsidRDefault="00485180" w:rsidP="00485180">
      <w:pPr>
        <w:pStyle w:val="SingleTxtG"/>
        <w:tabs>
          <w:tab w:val="left" w:pos="3402"/>
        </w:tabs>
      </w:pPr>
      <w:r w:rsidRPr="00CB21CA">
        <w:t>Mali</w:t>
      </w:r>
      <w:r w:rsidRPr="00CB21CA">
        <w:tab/>
        <w:t xml:space="preserve">Combined fifteenth and sixteenth periodic reports overdue </w:t>
      </w:r>
      <w:r w:rsidRPr="00CB21CA">
        <w:tab/>
        <w:t>since 2005</w:t>
      </w:r>
    </w:p>
    <w:p w:rsidR="00485180" w:rsidRPr="00CB21CA" w:rsidRDefault="00485180" w:rsidP="00485180">
      <w:pPr>
        <w:pStyle w:val="SingleTxtG"/>
        <w:tabs>
          <w:tab w:val="left" w:pos="3402"/>
        </w:tabs>
      </w:pPr>
      <w:r w:rsidRPr="00CB21CA">
        <w:t>Ghana</w:t>
      </w:r>
      <w:r w:rsidRPr="00CB21CA">
        <w:tab/>
        <w:t xml:space="preserve">Combined eighteenth and nineteenth periodic reports overdue </w:t>
      </w:r>
      <w:r w:rsidRPr="00CB21CA">
        <w:tab/>
        <w:t>since 2006</w:t>
      </w:r>
    </w:p>
    <w:p w:rsidR="00485180" w:rsidRPr="00CB21CA" w:rsidRDefault="00485180" w:rsidP="00485180">
      <w:pPr>
        <w:pStyle w:val="SingleTxtG"/>
        <w:tabs>
          <w:tab w:val="left" w:pos="3402"/>
        </w:tabs>
      </w:pPr>
      <w:r w:rsidRPr="00CB21CA">
        <w:lastRenderedPageBreak/>
        <w:t>Libya</w:t>
      </w:r>
      <w:r w:rsidRPr="00CB21CA">
        <w:tab/>
        <w:t xml:space="preserve">Combined eighteenth and nineteenth periodic reports overdue </w:t>
      </w:r>
      <w:r w:rsidRPr="00CB21CA">
        <w:tab/>
        <w:t>since 2006</w:t>
      </w:r>
    </w:p>
    <w:p w:rsidR="00485180" w:rsidRPr="00CB21CA" w:rsidRDefault="00485180" w:rsidP="00485180">
      <w:pPr>
        <w:pStyle w:val="SingleTxtG"/>
        <w:tabs>
          <w:tab w:val="left" w:pos="3402"/>
        </w:tabs>
      </w:pPr>
      <w:r w:rsidRPr="00CB21CA">
        <w:t>Côte d’Ivoire</w:t>
      </w:r>
      <w:r w:rsidRPr="00CB21CA">
        <w:tab/>
        <w:t xml:space="preserve">Combined fifteenth to seventeenth periodic reports overdue </w:t>
      </w:r>
      <w:r w:rsidRPr="00CB21CA">
        <w:tab/>
        <w:t>since 2006</w:t>
      </w:r>
    </w:p>
    <w:p w:rsidR="00485180" w:rsidRPr="00CB21CA" w:rsidRDefault="00485180" w:rsidP="00485180">
      <w:pPr>
        <w:pStyle w:val="SingleTxtG"/>
        <w:tabs>
          <w:tab w:val="left" w:pos="3402"/>
        </w:tabs>
      </w:pPr>
      <w:r w:rsidRPr="00CB21CA">
        <w:t>Bahamas</w:t>
      </w:r>
      <w:r w:rsidRPr="00CB21CA">
        <w:tab/>
        <w:t xml:space="preserve">Combined fifteenth and sixteenth periodic reports overdue </w:t>
      </w:r>
      <w:r w:rsidRPr="00CB21CA">
        <w:tab/>
        <w:t>since 2006</w:t>
      </w:r>
    </w:p>
    <w:p w:rsidR="00485180" w:rsidRPr="00CB21CA" w:rsidRDefault="00485180" w:rsidP="00485180">
      <w:pPr>
        <w:pStyle w:val="SingleTxtG"/>
        <w:tabs>
          <w:tab w:val="left" w:pos="3402"/>
        </w:tabs>
      </w:pPr>
      <w:r w:rsidRPr="00CB21CA">
        <w:t>Cabo Verde</w:t>
      </w:r>
      <w:r w:rsidRPr="00CB21CA">
        <w:tab/>
        <w:t xml:space="preserve">Combined thirteenth and fourteenth periodic reports overdue </w:t>
      </w:r>
      <w:r w:rsidRPr="00CB21CA">
        <w:tab/>
        <w:t>since 2006</w:t>
      </w:r>
    </w:p>
    <w:p w:rsidR="00485180" w:rsidRPr="00CB21CA" w:rsidRDefault="00485180" w:rsidP="00485180">
      <w:pPr>
        <w:pStyle w:val="SingleTxtG"/>
        <w:tabs>
          <w:tab w:val="left" w:pos="3402"/>
        </w:tabs>
      </w:pPr>
      <w:r w:rsidRPr="00CB21CA">
        <w:t>Saint Vincent and the</w:t>
      </w:r>
      <w:r w:rsidRPr="00CB21CA">
        <w:tab/>
        <w:t xml:space="preserve">Combined eleventh to thirteenth periodic reports overdue Grenadines </w:t>
      </w:r>
      <w:r w:rsidRPr="00CB21CA">
        <w:tab/>
        <w:t>since 2006</w:t>
      </w:r>
    </w:p>
    <w:p w:rsidR="00485180" w:rsidRPr="00CB21CA" w:rsidRDefault="00485180" w:rsidP="00C34A26">
      <w:pPr>
        <w:pStyle w:val="SingleTxtG"/>
        <w:tabs>
          <w:tab w:val="left" w:pos="3402"/>
        </w:tabs>
      </w:pPr>
      <w:r w:rsidRPr="00CB21CA">
        <w:t>Barbados</w:t>
      </w:r>
      <w:r w:rsidRPr="00CB21CA">
        <w:tab/>
      </w:r>
      <w:r w:rsidRPr="00CB21CA">
        <w:tab/>
        <w:t>Combined seventeenth and eighteenth periodic reports overdue</w:t>
      </w:r>
      <w:r>
        <w:br/>
      </w:r>
      <w:r>
        <w:tab/>
      </w:r>
      <w:r w:rsidRPr="00CB21CA">
        <w:tab/>
        <w:t>since 2007</w:t>
      </w:r>
    </w:p>
    <w:p w:rsidR="00485180" w:rsidRPr="00CB21CA" w:rsidRDefault="00485180" w:rsidP="00485180">
      <w:pPr>
        <w:pStyle w:val="SingleTxtG"/>
        <w:tabs>
          <w:tab w:val="left" w:pos="3402"/>
        </w:tabs>
      </w:pPr>
      <w:r w:rsidRPr="00CB21CA">
        <w:t>Saint Kitts and Nevis</w:t>
      </w:r>
      <w:r w:rsidRPr="00CB21CA">
        <w:tab/>
        <w:t>Initial report overdue since 2007</w:t>
      </w:r>
    </w:p>
    <w:p w:rsidR="00485180" w:rsidRPr="00CB21CA" w:rsidRDefault="00485180" w:rsidP="00485180">
      <w:pPr>
        <w:pStyle w:val="SingleTxtG"/>
        <w:tabs>
          <w:tab w:val="left" w:pos="3402"/>
        </w:tabs>
      </w:pPr>
      <w:r w:rsidRPr="00CB21CA">
        <w:t xml:space="preserve">United Republic of </w:t>
      </w:r>
      <w:r w:rsidRPr="00CB21CA">
        <w:tab/>
        <w:t>Combined seventeenth and eighteenth periodic reports</w:t>
      </w:r>
      <w:r w:rsidR="00133C6F">
        <w:t xml:space="preserve"> </w:t>
      </w:r>
      <w:r>
        <w:t>Tanzania</w:t>
      </w:r>
      <w:r w:rsidRPr="00CB21CA">
        <w:tab/>
        <w:t>overdue since 2007</w:t>
      </w:r>
    </w:p>
    <w:p w:rsidR="00485180" w:rsidRPr="00CB21CA" w:rsidRDefault="00485180" w:rsidP="00485180">
      <w:pPr>
        <w:pStyle w:val="SingleTxtG"/>
        <w:tabs>
          <w:tab w:val="left" w:pos="3402"/>
        </w:tabs>
      </w:pPr>
      <w:r w:rsidRPr="00CB21CA">
        <w:t>Guyana</w:t>
      </w:r>
      <w:r w:rsidRPr="00CB21CA">
        <w:tab/>
        <w:t xml:space="preserve">Combined fifteenth and sixteenth periodic reports overdue </w:t>
      </w:r>
      <w:r w:rsidRPr="00CB21CA">
        <w:tab/>
        <w:t>since 2008</w:t>
      </w:r>
    </w:p>
    <w:p w:rsidR="00485180" w:rsidRDefault="00485180" w:rsidP="00485180">
      <w:pPr>
        <w:pStyle w:val="SingleTxtG"/>
        <w:tabs>
          <w:tab w:val="left" w:pos="3402"/>
        </w:tabs>
      </w:pPr>
      <w:r>
        <w:t>Brazil</w:t>
      </w:r>
      <w:r>
        <w:tab/>
      </w:r>
      <w:r w:rsidRPr="00CB21CA">
        <w:t xml:space="preserve">Combined </w:t>
      </w:r>
      <w:r>
        <w:t>eighteenth to twentieth</w:t>
      </w:r>
      <w:r w:rsidRPr="00CB21CA">
        <w:t xml:space="preserve"> periodic reports overdue</w:t>
      </w:r>
      <w:r>
        <w:br/>
      </w:r>
      <w:r>
        <w:tab/>
        <w:t>since 2008</w:t>
      </w:r>
    </w:p>
    <w:p w:rsidR="00485180" w:rsidRDefault="00485180" w:rsidP="00485180">
      <w:pPr>
        <w:pStyle w:val="SingleTxtG"/>
        <w:tabs>
          <w:tab w:val="left" w:pos="3402"/>
        </w:tabs>
      </w:pPr>
      <w:r>
        <w:t>Madagascar</w:t>
      </w:r>
      <w:r>
        <w:tab/>
        <w:t>Combined nineteenth and twentieth periodic reports overdue</w:t>
      </w:r>
      <w:r>
        <w:br/>
      </w:r>
      <w:r>
        <w:tab/>
        <w:t>since 2008</w:t>
      </w:r>
    </w:p>
    <w:p w:rsidR="00485180" w:rsidRDefault="00485180" w:rsidP="00485180">
      <w:pPr>
        <w:pStyle w:val="SingleTxtG"/>
        <w:tabs>
          <w:tab w:val="left" w:pos="3402"/>
        </w:tabs>
      </w:pPr>
      <w:r>
        <w:t>Nigeria</w:t>
      </w:r>
      <w:r>
        <w:tab/>
      </w:r>
      <w:r>
        <w:tab/>
      </w:r>
      <w:r w:rsidRPr="0053661B">
        <w:t>Combined nineteenth and twentieth periodic reports overdue</w:t>
      </w:r>
      <w:r w:rsidRPr="0053661B">
        <w:br/>
      </w:r>
      <w:r w:rsidRPr="0053661B">
        <w:tab/>
        <w:t>since 2008</w:t>
      </w:r>
    </w:p>
    <w:p w:rsidR="00485180" w:rsidRPr="00CB21CA" w:rsidRDefault="00485180" w:rsidP="00C34A26">
      <w:pPr>
        <w:pStyle w:val="H1G"/>
      </w:pPr>
      <w:r>
        <w:tab/>
      </w:r>
      <w:bookmarkStart w:id="34" w:name="_Toc17361305"/>
      <w:r w:rsidRPr="00CB21CA">
        <w:t>B.</w:t>
      </w:r>
      <w:r w:rsidRPr="00CB21CA">
        <w:tab/>
        <w:t>Reports overdue by</w:t>
      </w:r>
      <w:r>
        <w:t xml:space="preserve"> at least </w:t>
      </w:r>
      <w:r w:rsidRPr="00CB21CA">
        <w:t>five years</w:t>
      </w:r>
      <w:bookmarkEnd w:id="34"/>
    </w:p>
    <w:p w:rsidR="00485180" w:rsidRDefault="00485180" w:rsidP="002750EF">
      <w:pPr>
        <w:pStyle w:val="SingleTxtG"/>
        <w:tabs>
          <w:tab w:val="left" w:pos="1276"/>
        </w:tabs>
      </w:pPr>
      <w:r>
        <w:t>5</w:t>
      </w:r>
      <w:r w:rsidR="002750EF">
        <w:t>6</w:t>
      </w:r>
      <w:r>
        <w:t>.</w:t>
      </w:r>
      <w:r>
        <w:tab/>
        <w:t>As at 10 May 2019, t</w:t>
      </w:r>
      <w:r w:rsidRPr="00CB21CA">
        <w:t xml:space="preserve">he following States parties </w:t>
      </w:r>
      <w:r>
        <w:t>were</w:t>
      </w:r>
      <w:r w:rsidRPr="00CB21CA">
        <w:t xml:space="preserve"> at least five years late in the submission of their reports:</w:t>
      </w:r>
    </w:p>
    <w:p w:rsidR="00485180" w:rsidRPr="00CB21CA" w:rsidRDefault="00485180" w:rsidP="00485180">
      <w:pPr>
        <w:pStyle w:val="SingleTxtG"/>
        <w:tabs>
          <w:tab w:val="left" w:pos="3402"/>
        </w:tabs>
      </w:pPr>
      <w:r w:rsidRPr="00CB21CA">
        <w:t>Botswana</w:t>
      </w:r>
      <w:r w:rsidRPr="00CB21CA">
        <w:tab/>
        <w:t xml:space="preserve">Combined seventeenth and eighteenth periodic reports overdue </w:t>
      </w:r>
      <w:r w:rsidRPr="00CB21CA">
        <w:tab/>
        <w:t>since 2009</w:t>
      </w:r>
    </w:p>
    <w:p w:rsidR="00485180" w:rsidRPr="00CB21CA" w:rsidRDefault="00485180" w:rsidP="00485180">
      <w:pPr>
        <w:pStyle w:val="SingleTxtG"/>
        <w:tabs>
          <w:tab w:val="left" w:pos="3402"/>
        </w:tabs>
      </w:pPr>
      <w:r w:rsidRPr="00CB21CA">
        <w:t>Antigua and Barbuda</w:t>
      </w:r>
      <w:r w:rsidRPr="00CB21CA">
        <w:tab/>
        <w:t xml:space="preserve">Combined tenth and eleventh periodic reports overdue since </w:t>
      </w:r>
      <w:r w:rsidRPr="00CB21CA">
        <w:tab/>
        <w:t>2009</w:t>
      </w:r>
    </w:p>
    <w:p w:rsidR="00485180" w:rsidRPr="00CB21CA" w:rsidRDefault="00485180" w:rsidP="00485180">
      <w:pPr>
        <w:pStyle w:val="SingleTxtG"/>
        <w:tabs>
          <w:tab w:val="left" w:pos="3402"/>
        </w:tabs>
      </w:pPr>
      <w:r w:rsidRPr="00CB21CA">
        <w:t>India</w:t>
      </w:r>
      <w:r w:rsidRPr="00CB21CA">
        <w:tab/>
        <w:t xml:space="preserve">Combined twentieth and twenty-first periodic reports overdue </w:t>
      </w:r>
      <w:r w:rsidRPr="00CB21CA">
        <w:tab/>
        <w:t>since 2010</w:t>
      </w:r>
    </w:p>
    <w:p w:rsidR="00485180" w:rsidRPr="00CB21CA" w:rsidRDefault="00485180" w:rsidP="00485180">
      <w:pPr>
        <w:pStyle w:val="SingleTxtG"/>
        <w:tabs>
          <w:tab w:val="left" w:pos="3402"/>
        </w:tabs>
      </w:pPr>
      <w:r w:rsidRPr="00CB21CA">
        <w:t>Indonesia</w:t>
      </w:r>
      <w:r w:rsidRPr="00CB21CA">
        <w:tab/>
        <w:t>Combined fourth to sixth periodic reports overdue since 2010</w:t>
      </w:r>
    </w:p>
    <w:p w:rsidR="00485180" w:rsidRDefault="00485180" w:rsidP="00485180">
      <w:pPr>
        <w:pStyle w:val="SingleTxtG"/>
        <w:tabs>
          <w:tab w:val="left" w:pos="3402"/>
        </w:tabs>
      </w:pPr>
      <w:r w:rsidRPr="00CB21CA">
        <w:t>Mozambique</w:t>
      </w:r>
      <w:r w:rsidRPr="00CB21CA">
        <w:tab/>
        <w:t xml:space="preserve">Combined thirteenth to seventeenth periodic reports overdue </w:t>
      </w:r>
      <w:r w:rsidRPr="00CB21CA">
        <w:tab/>
        <w:t>since 2010</w:t>
      </w:r>
    </w:p>
    <w:p w:rsidR="00485180" w:rsidRPr="00CB21CA" w:rsidRDefault="00485180" w:rsidP="00485180">
      <w:pPr>
        <w:pStyle w:val="SingleTxtG"/>
        <w:tabs>
          <w:tab w:val="left" w:pos="3402"/>
        </w:tabs>
      </w:pPr>
      <w:r w:rsidRPr="00CB21CA">
        <w:t>Democratic Republic</w:t>
      </w:r>
      <w:r w:rsidRPr="00CB21CA">
        <w:tab/>
        <w:t>Combined sixteenth to eighteenth periodic reports overdue</w:t>
      </w:r>
      <w:r w:rsidRPr="00CB21CA">
        <w:br/>
        <w:t>of the Congo</w:t>
      </w:r>
      <w:r w:rsidRPr="00CB21CA">
        <w:tab/>
        <w:t>since 201</w:t>
      </w:r>
      <w:r>
        <w:t>1</w:t>
      </w:r>
    </w:p>
    <w:p w:rsidR="00485180" w:rsidRPr="00CB21CA" w:rsidRDefault="00485180" w:rsidP="00485180">
      <w:pPr>
        <w:pStyle w:val="SingleTxtG"/>
        <w:tabs>
          <w:tab w:val="left" w:pos="3402"/>
        </w:tabs>
      </w:pPr>
      <w:r w:rsidRPr="00CB21CA">
        <w:t>Guinea-Bissau</w:t>
      </w:r>
      <w:r w:rsidRPr="00CB21CA">
        <w:tab/>
        <w:t>Initial report overdue since 2011</w:t>
      </w:r>
    </w:p>
    <w:p w:rsidR="00485180" w:rsidRPr="00CB21CA" w:rsidRDefault="00485180" w:rsidP="00485180">
      <w:pPr>
        <w:pStyle w:val="SingleTxtG"/>
        <w:tabs>
          <w:tab w:val="left" w:pos="3402"/>
        </w:tabs>
      </w:pPr>
      <w:r w:rsidRPr="00CB21CA">
        <w:t>Croatia</w:t>
      </w:r>
      <w:r w:rsidRPr="00CB21CA">
        <w:tab/>
        <w:t>Combined ninth and tenth periodic reports overdue since 2011</w:t>
      </w:r>
    </w:p>
    <w:p w:rsidR="00485180" w:rsidRPr="00CB21CA" w:rsidRDefault="00485180" w:rsidP="00485180">
      <w:pPr>
        <w:pStyle w:val="SingleTxtG"/>
        <w:tabs>
          <w:tab w:val="left" w:pos="3402"/>
        </w:tabs>
      </w:pPr>
      <w:r w:rsidRPr="00CB21CA">
        <w:t>Nicaragua</w:t>
      </w:r>
      <w:r w:rsidRPr="00CB21CA">
        <w:tab/>
        <w:t xml:space="preserve">Combined fifteenth to seventeenth periodic reports overdue </w:t>
      </w:r>
      <w:r w:rsidRPr="00CB21CA">
        <w:tab/>
        <w:t>since 2011</w:t>
      </w:r>
    </w:p>
    <w:p w:rsidR="00485180" w:rsidRPr="00CB21CA" w:rsidRDefault="00485180" w:rsidP="00B62F80">
      <w:pPr>
        <w:pStyle w:val="SingleTxtG"/>
        <w:tabs>
          <w:tab w:val="left" w:pos="3402"/>
        </w:tabs>
      </w:pPr>
      <w:r w:rsidRPr="00CB21CA">
        <w:t>Congo</w:t>
      </w:r>
      <w:r w:rsidRPr="00CB21CA">
        <w:tab/>
        <w:t xml:space="preserve">Combined tenth and eleventh periodic reports overdue </w:t>
      </w:r>
      <w:r w:rsidR="00B62F80">
        <w:br/>
      </w:r>
      <w:r w:rsidR="00B62F80">
        <w:tab/>
      </w:r>
      <w:r w:rsidR="00B62F80">
        <w:tab/>
        <w:t>s</w:t>
      </w:r>
      <w:r w:rsidRPr="00CB21CA">
        <w:t>ince 2012</w:t>
      </w:r>
    </w:p>
    <w:p w:rsidR="00485180" w:rsidRPr="00CB21CA" w:rsidRDefault="00485180" w:rsidP="00485180">
      <w:pPr>
        <w:pStyle w:val="SingleTxtG"/>
        <w:tabs>
          <w:tab w:val="left" w:pos="3402"/>
        </w:tabs>
      </w:pPr>
      <w:r w:rsidRPr="00CB21CA">
        <w:t>Philippines</w:t>
      </w:r>
      <w:r w:rsidRPr="00CB21CA">
        <w:tab/>
        <w:t xml:space="preserve">Combined twenty-first and twenty-second periodic reports </w:t>
      </w:r>
      <w:r w:rsidRPr="00CB21CA">
        <w:tab/>
        <w:t>overdue since 2012</w:t>
      </w:r>
    </w:p>
    <w:p w:rsidR="00485180" w:rsidRPr="00CB21CA" w:rsidRDefault="00485180" w:rsidP="00485180">
      <w:pPr>
        <w:pStyle w:val="SingleTxtG"/>
        <w:tabs>
          <w:tab w:val="left" w:pos="3402"/>
        </w:tabs>
      </w:pPr>
      <w:r w:rsidRPr="00CB21CA">
        <w:lastRenderedPageBreak/>
        <w:t>Tunisia</w:t>
      </w:r>
      <w:r w:rsidRPr="00CB21CA">
        <w:tab/>
        <w:t xml:space="preserve">Combined twentieth to twenty-second periodic reports overdue </w:t>
      </w:r>
      <w:r w:rsidRPr="00CB21CA">
        <w:tab/>
        <w:t>since 2012</w:t>
      </w:r>
    </w:p>
    <w:p w:rsidR="00485180" w:rsidRPr="00CB21CA" w:rsidRDefault="00485180" w:rsidP="00485180">
      <w:pPr>
        <w:pStyle w:val="SingleTxtG"/>
        <w:tabs>
          <w:tab w:val="left" w:pos="3402"/>
        </w:tabs>
      </w:pPr>
      <w:r w:rsidRPr="00CB21CA">
        <w:t>Monaco</w:t>
      </w:r>
      <w:r w:rsidRPr="00CB21CA">
        <w:tab/>
        <w:t>Combined seventh to ninth periodic reports overdue since 2012</w:t>
      </w:r>
    </w:p>
    <w:p w:rsidR="00485180" w:rsidRPr="00CB21CA" w:rsidRDefault="00485180" w:rsidP="00485180">
      <w:pPr>
        <w:pStyle w:val="SingleTxtG"/>
        <w:tabs>
          <w:tab w:val="left" w:pos="3402"/>
        </w:tabs>
      </w:pPr>
      <w:r w:rsidRPr="00CB21CA">
        <w:t>Iran</w:t>
      </w:r>
      <w:r>
        <w:t xml:space="preserve"> (Islamic Republic of)</w:t>
      </w:r>
      <w:r w:rsidRPr="00CB21CA">
        <w:tab/>
        <w:t xml:space="preserve">Combined twentieth to twenty-second periodic reports overdue </w:t>
      </w:r>
      <w:r w:rsidRPr="00CB21CA">
        <w:tab/>
        <w:t>since 2013</w:t>
      </w:r>
    </w:p>
    <w:p w:rsidR="00485180" w:rsidRDefault="00485180" w:rsidP="00485180">
      <w:pPr>
        <w:pStyle w:val="SingleTxtG"/>
        <w:tabs>
          <w:tab w:val="left" w:pos="3402"/>
        </w:tabs>
        <w:ind w:left="3399" w:hanging="2265"/>
      </w:pPr>
      <w:r w:rsidRPr="00CB21CA">
        <w:t>Panama</w:t>
      </w:r>
      <w:r w:rsidRPr="00CB21CA">
        <w:tab/>
        <w:t>Combined twenty-first to twenty</w:t>
      </w:r>
      <w:r>
        <w:t>-third periodic reports overdue</w:t>
      </w:r>
      <w:r>
        <w:br/>
      </w:r>
      <w:r w:rsidRPr="00CB21CA">
        <w:t>since 2013</w:t>
      </w:r>
    </w:p>
    <w:p w:rsidR="00485180" w:rsidRDefault="00485180" w:rsidP="00485180">
      <w:pPr>
        <w:pStyle w:val="SingleTxtG"/>
        <w:tabs>
          <w:tab w:val="left" w:pos="3402"/>
        </w:tabs>
        <w:ind w:left="3399" w:hanging="2265"/>
      </w:pPr>
      <w:r>
        <w:t>Ethiopia</w:t>
      </w:r>
      <w:r>
        <w:tab/>
      </w:r>
      <w:r>
        <w:tab/>
        <w:t xml:space="preserve">Combined </w:t>
      </w:r>
      <w:r w:rsidRPr="00CB21CA">
        <w:t>seventeenth</w:t>
      </w:r>
      <w:r>
        <w:t xml:space="preserve"> to eighteenth periodic reports overdue since 2013</w:t>
      </w:r>
    </w:p>
    <w:p w:rsidR="00485180" w:rsidRDefault="00485180" w:rsidP="00B27CC1">
      <w:pPr>
        <w:pStyle w:val="SingleTxtG"/>
        <w:tabs>
          <w:tab w:val="left" w:pos="3402"/>
        </w:tabs>
        <w:ind w:left="3399" w:hanging="2265"/>
      </w:pPr>
      <w:r>
        <w:t>Yemen</w:t>
      </w:r>
      <w:r>
        <w:tab/>
      </w:r>
      <w:r>
        <w:tab/>
        <w:t>Combined nineteenth to</w:t>
      </w:r>
      <w:r w:rsidRPr="0053661B">
        <w:t xml:space="preserve"> twentieth periodic reports</w:t>
      </w:r>
      <w:r>
        <w:t xml:space="preserve"> overdue since</w:t>
      </w:r>
      <w:r w:rsidR="00B27CC1">
        <w:t xml:space="preserve"> </w:t>
      </w:r>
      <w:r>
        <w:t>2013</w:t>
      </w:r>
    </w:p>
    <w:p w:rsidR="00485180" w:rsidRPr="00CB21CA" w:rsidRDefault="00485180" w:rsidP="00485180">
      <w:pPr>
        <w:pStyle w:val="SingleTxtG"/>
        <w:tabs>
          <w:tab w:val="left" w:pos="3402"/>
        </w:tabs>
        <w:ind w:left="3399" w:hanging="2265"/>
        <w:rPr>
          <w:b/>
        </w:rPr>
      </w:pPr>
      <w:r>
        <w:t>Morocco</w:t>
      </w:r>
      <w:r>
        <w:tab/>
      </w:r>
      <w:r>
        <w:tab/>
        <w:t xml:space="preserve">Combined </w:t>
      </w:r>
      <w:r w:rsidRPr="0053661B">
        <w:t>nineteenth</w:t>
      </w:r>
      <w:r>
        <w:t xml:space="preserve"> to twenty-first periodic reports</w:t>
      </w:r>
      <w:r>
        <w:br/>
        <w:t>overdue since 2014</w:t>
      </w:r>
    </w:p>
    <w:p w:rsidR="00485180" w:rsidRPr="00CB21CA" w:rsidRDefault="00485180" w:rsidP="00485180">
      <w:pPr>
        <w:pStyle w:val="H1G"/>
      </w:pPr>
      <w:r w:rsidRPr="00CB21CA">
        <w:tab/>
      </w:r>
      <w:bookmarkStart w:id="35" w:name="_Toc17361306"/>
      <w:r w:rsidRPr="00CB21CA">
        <w:t>C.</w:t>
      </w:r>
      <w:r w:rsidRPr="00CB21CA">
        <w:tab/>
        <w:t>Action taken by the Committee to ensure submission of reports by States parties</w:t>
      </w:r>
      <w:bookmarkEnd w:id="35"/>
    </w:p>
    <w:p w:rsidR="00485180" w:rsidRPr="00CB21CA" w:rsidRDefault="00485180" w:rsidP="002750EF">
      <w:pPr>
        <w:pStyle w:val="SingleTxtG"/>
        <w:tabs>
          <w:tab w:val="left" w:pos="1276"/>
        </w:tabs>
      </w:pPr>
      <w:r w:rsidRPr="00CB21CA">
        <w:t>5</w:t>
      </w:r>
      <w:r w:rsidR="002750EF">
        <w:t>7</w:t>
      </w:r>
      <w:r w:rsidRPr="00CB21CA">
        <w:t>.</w:t>
      </w:r>
      <w:r w:rsidRPr="00CB21CA">
        <w:tab/>
      </w:r>
      <w:r w:rsidRPr="00490FA7">
        <w:t xml:space="preserve">Following the decision taken at its eighty-fifth session to adopt the simplified reporting procedure, the Committee sent a </w:t>
      </w:r>
      <w:r>
        <w:t>n</w:t>
      </w:r>
      <w:r w:rsidRPr="00490FA7">
        <w:t xml:space="preserve">ote </w:t>
      </w:r>
      <w:r>
        <w:t>v</w:t>
      </w:r>
      <w:r w:rsidRPr="00490FA7">
        <w:t>erbale on 21</w:t>
      </w:r>
      <w:r>
        <w:t> </w:t>
      </w:r>
      <w:r w:rsidRPr="00490FA7">
        <w:t xml:space="preserve">January 2015 to States parties whose periodic reports were overdue by more than 10 years, offering them the option to report under the new procedure. </w:t>
      </w:r>
      <w:r>
        <w:t>In a</w:t>
      </w:r>
      <w:r w:rsidRPr="00490FA7">
        <w:t xml:space="preserve"> </w:t>
      </w:r>
      <w:r>
        <w:t>n</w:t>
      </w:r>
      <w:r w:rsidRPr="00490FA7">
        <w:t xml:space="preserve">ote </w:t>
      </w:r>
      <w:r>
        <w:t>v</w:t>
      </w:r>
      <w:r w:rsidRPr="00490FA7">
        <w:t>erbale dated 30 June 2017, the Committee extended the simplified reporting procedure to all States whose periodic report</w:t>
      </w:r>
      <w:r>
        <w:t>s</w:t>
      </w:r>
      <w:r w:rsidRPr="00490FA7">
        <w:t xml:space="preserve"> were overdue by more than five years.</w:t>
      </w:r>
      <w:r>
        <w:t xml:space="preserve"> The total number of States parties concerned was therefore 65.</w:t>
      </w:r>
      <w:r w:rsidRPr="00490FA7">
        <w:t xml:space="preserve"> </w:t>
      </w:r>
    </w:p>
    <w:p w:rsidR="00485180" w:rsidRPr="00CB21CA" w:rsidRDefault="002750EF" w:rsidP="00485180">
      <w:pPr>
        <w:pStyle w:val="SingleTxtG"/>
        <w:tabs>
          <w:tab w:val="left" w:pos="1276"/>
        </w:tabs>
        <w:rPr>
          <w:color w:val="000000"/>
          <w:lang w:eastAsia="en-GB"/>
        </w:rPr>
      </w:pPr>
      <w:r>
        <w:rPr>
          <w:color w:val="000000"/>
          <w:lang w:eastAsia="en-GB"/>
        </w:rPr>
        <w:t>58</w:t>
      </w:r>
      <w:r w:rsidR="00485180" w:rsidRPr="00CB21CA">
        <w:rPr>
          <w:color w:val="000000"/>
          <w:lang w:eastAsia="en-GB"/>
        </w:rPr>
        <w:t>.</w:t>
      </w:r>
      <w:r w:rsidR="00485180" w:rsidRPr="00CB21CA">
        <w:rPr>
          <w:color w:val="000000"/>
          <w:lang w:eastAsia="en-GB"/>
        </w:rPr>
        <w:tab/>
      </w:r>
      <w:r w:rsidR="00485180" w:rsidRPr="00CB21CA">
        <w:t>At its ninety-</w:t>
      </w:r>
      <w:r w:rsidR="00485180">
        <w:t>seventh</w:t>
      </w:r>
      <w:r w:rsidR="00485180" w:rsidRPr="00CB21CA">
        <w:t xml:space="preserve"> session, the Committee </w:t>
      </w:r>
      <w:r w:rsidR="00485180">
        <w:t xml:space="preserve">discussed how best to support States parties whose reports were overdue in complying with their reporting obligations. Members suggested that the Committee should take a more proactive approach, including by sending biannual reminders to States parties, making further use of the review procedure and the simplified reporting procedure, and seeking bilateral meetings with representatives of the States parties concerned. </w:t>
      </w:r>
    </w:p>
    <w:p w:rsidR="00485180" w:rsidRDefault="00485180" w:rsidP="002750EF">
      <w:pPr>
        <w:pStyle w:val="SingleTxtG"/>
        <w:tabs>
          <w:tab w:val="left" w:pos="1276"/>
        </w:tabs>
      </w:pPr>
      <w:r>
        <w:t>5</w:t>
      </w:r>
      <w:r w:rsidR="002750EF">
        <w:t>9</w:t>
      </w:r>
      <w:r>
        <w:t>.</w:t>
      </w:r>
      <w:r>
        <w:tab/>
      </w:r>
      <w:r w:rsidRPr="00E87D88">
        <w:t>As at 1</w:t>
      </w:r>
      <w:r>
        <w:t>0</w:t>
      </w:r>
      <w:r w:rsidRPr="00E87D88">
        <w:t xml:space="preserve"> May 201</w:t>
      </w:r>
      <w:r>
        <w:t>9</w:t>
      </w:r>
      <w:r w:rsidRPr="00E87D88">
        <w:t xml:space="preserve">, </w:t>
      </w:r>
      <w:r>
        <w:t xml:space="preserve">under the simplified reporting procedure, the Committee had received the </w:t>
      </w:r>
      <w:bookmarkStart w:id="36" w:name="_Hlk16851850"/>
      <w:r>
        <w:t>eighth to fourteenth periodic reports submitted by Bahrain</w:t>
      </w:r>
      <w:bookmarkEnd w:id="36"/>
      <w:r>
        <w:t xml:space="preserve">, overdue since 2007, and the </w:t>
      </w:r>
      <w:r w:rsidRPr="006D5CCB">
        <w:t>eighteenth to twenty-fifth reports submitted by</w:t>
      </w:r>
      <w:r>
        <w:t xml:space="preserve"> Hungary, overdue since 2004.</w:t>
      </w:r>
      <w:r w:rsidRPr="00CB21CA">
        <w:t xml:space="preserve"> </w:t>
      </w:r>
    </w:p>
    <w:p w:rsidR="00485180" w:rsidRDefault="00485180" w:rsidP="00485180">
      <w:r>
        <w:br w:type="page"/>
      </w:r>
    </w:p>
    <w:p w:rsidR="00485180" w:rsidRPr="007F4DA5" w:rsidRDefault="00485180" w:rsidP="00485180">
      <w:pPr>
        <w:pStyle w:val="HChG"/>
      </w:pPr>
      <w:r>
        <w:lastRenderedPageBreak/>
        <w:tab/>
      </w:r>
      <w:bookmarkStart w:id="37" w:name="_Toc17361307"/>
      <w:r w:rsidRPr="007F4DA5">
        <w:t>VI</w:t>
      </w:r>
      <w:r>
        <w:t>II</w:t>
      </w:r>
      <w:r w:rsidRPr="007F4DA5">
        <w:t>.</w:t>
      </w:r>
      <w:r w:rsidRPr="007F4DA5">
        <w:tab/>
        <w:t>Consideration of communications under article 14 of the Convention</w:t>
      </w:r>
      <w:bookmarkEnd w:id="37"/>
    </w:p>
    <w:p w:rsidR="00485180" w:rsidRDefault="002750EF" w:rsidP="00485180">
      <w:pPr>
        <w:pStyle w:val="SingleTxtG"/>
        <w:tabs>
          <w:tab w:val="left" w:pos="1276"/>
        </w:tabs>
      </w:pPr>
      <w:r>
        <w:t>60</w:t>
      </w:r>
      <w:r w:rsidR="00485180">
        <w:t>.</w:t>
      </w:r>
      <w:r w:rsidR="00485180">
        <w:tab/>
      </w:r>
      <w:r w:rsidR="00485180" w:rsidRPr="005747D3">
        <w:t xml:space="preserve">Under article 14 of the Convention, individuals or groups of individuals who claim that any of their rights </w:t>
      </w:r>
      <w:r w:rsidR="00485180">
        <w:t>under</w:t>
      </w:r>
      <w:r w:rsidR="00485180" w:rsidRPr="005747D3">
        <w:t xml:space="preserve"> the Convention</w:t>
      </w:r>
      <w:r w:rsidR="00485180">
        <w:t xml:space="preserve"> have been violated by a State p</w:t>
      </w:r>
      <w:r w:rsidR="00485180" w:rsidRPr="005747D3">
        <w:t xml:space="preserve">arty and who have exhausted all available domestic remedies may submit written communications to the Committee for consideration. </w:t>
      </w:r>
      <w:r w:rsidR="00485180">
        <w:t>A total of 58</w:t>
      </w:r>
      <w:r w:rsidR="00485180" w:rsidRPr="005747D3">
        <w:t xml:space="preserve"> States parties have recognized the competence of the Committee to consider such communications</w:t>
      </w:r>
      <w:r w:rsidR="00485180">
        <w:t>.</w:t>
      </w:r>
      <w:r w:rsidR="00485180">
        <w:rPr>
          <w:rStyle w:val="FootnoteReference"/>
        </w:rPr>
        <w:footnoteReference w:id="10"/>
      </w:r>
    </w:p>
    <w:p w:rsidR="00485180" w:rsidRDefault="00485180" w:rsidP="002750EF">
      <w:pPr>
        <w:pStyle w:val="SingleTxtG"/>
        <w:tabs>
          <w:tab w:val="left" w:pos="1276"/>
        </w:tabs>
      </w:pPr>
      <w:r>
        <w:t>6</w:t>
      </w:r>
      <w:r w:rsidR="002750EF">
        <w:t>1</w:t>
      </w:r>
      <w:r>
        <w:t>.</w:t>
      </w:r>
      <w:r>
        <w:tab/>
      </w:r>
      <w:r w:rsidRPr="005747D3">
        <w:t>Consideration of communications under article 14 of the Convention takes place in closed meetings (rule 88 of the Committee</w:t>
      </w:r>
      <w:r>
        <w:t>’</w:t>
      </w:r>
      <w:r w:rsidRPr="005747D3">
        <w:t>s rules of procedure). All documents pertaining to the work of the Committee under article 14 are confidential.</w:t>
      </w:r>
    </w:p>
    <w:p w:rsidR="00485180" w:rsidRDefault="00485180" w:rsidP="002750EF">
      <w:pPr>
        <w:pStyle w:val="SingleTxtG"/>
        <w:tabs>
          <w:tab w:val="left" w:pos="1276"/>
        </w:tabs>
      </w:pPr>
      <w:r>
        <w:t>6</w:t>
      </w:r>
      <w:r w:rsidR="002750EF">
        <w:t>2</w:t>
      </w:r>
      <w:r>
        <w:t>.</w:t>
      </w:r>
      <w:r>
        <w:tab/>
      </w:r>
      <w:r w:rsidRPr="00FF38CC">
        <w:t>At the time of adoption of the present report the Committee had registered, since 198</w:t>
      </w:r>
      <w:r>
        <w:t>4, 67 complaints concerning 16</w:t>
      </w:r>
      <w:r w:rsidRPr="00FF38CC">
        <w:t xml:space="preserve"> States parties. Of those, 2 complaints were discontinued, 19</w:t>
      </w:r>
      <w:r>
        <w:t> </w:t>
      </w:r>
      <w:r w:rsidRPr="00FF38CC">
        <w:t>wer</w:t>
      </w:r>
      <w:r>
        <w:t>e declared inadmissible and 2 were</w:t>
      </w:r>
      <w:r w:rsidRPr="00FF38CC">
        <w:t xml:space="preserve"> declared admissible. The Committee adopted final decisions on the merits of</w:t>
      </w:r>
      <w:r>
        <w:t xml:space="preserve"> 36</w:t>
      </w:r>
      <w:r w:rsidRPr="00FF38CC">
        <w:t xml:space="preserve"> complaints, </w:t>
      </w:r>
      <w:r>
        <w:t xml:space="preserve">and </w:t>
      </w:r>
      <w:r w:rsidRPr="00FF38CC">
        <w:t>declared and found vi</w:t>
      </w:r>
      <w:r>
        <w:t>olations of the Convention in 20</w:t>
      </w:r>
      <w:r w:rsidRPr="00FF38CC">
        <w:t xml:space="preserve"> of them. </w:t>
      </w:r>
      <w:r>
        <w:t>Ten</w:t>
      </w:r>
      <w:r w:rsidRPr="00FF38CC">
        <w:t xml:space="preserve"> complaints were pending consideration.</w:t>
      </w:r>
    </w:p>
    <w:p w:rsidR="00485180" w:rsidRDefault="00485180" w:rsidP="002750EF">
      <w:pPr>
        <w:pStyle w:val="SingleTxtG"/>
        <w:tabs>
          <w:tab w:val="left" w:pos="1276"/>
        </w:tabs>
      </w:pPr>
      <w:r>
        <w:t>6</w:t>
      </w:r>
      <w:r w:rsidR="002750EF">
        <w:t>3</w:t>
      </w:r>
      <w:r>
        <w:t>.</w:t>
      </w:r>
      <w:r>
        <w:tab/>
        <w:t xml:space="preserve">At its ninety-seventh </w:t>
      </w:r>
      <w:r w:rsidRPr="005747D3">
        <w:t>session, the Committee</w:t>
      </w:r>
      <w:r>
        <w:t xml:space="preserve"> considered communication No. </w:t>
      </w:r>
      <w:r w:rsidRPr="00424681">
        <w:t>58/2016 (</w:t>
      </w:r>
      <w:r w:rsidRPr="00F75A57">
        <w:rPr>
          <w:i/>
          <w:iCs/>
        </w:rPr>
        <w:t>S.A.</w:t>
      </w:r>
      <w:r w:rsidRPr="00A81CDC">
        <w:rPr>
          <w:i/>
          <w:iCs/>
        </w:rPr>
        <w:t xml:space="preserve"> v. Denmark</w:t>
      </w:r>
      <w:r w:rsidRPr="00424681">
        <w:t xml:space="preserve">). The communication </w:t>
      </w:r>
      <w:r>
        <w:t>had been</w:t>
      </w:r>
      <w:r w:rsidRPr="00424681">
        <w:t xml:space="preserve"> submitted by </w:t>
      </w:r>
      <w:r>
        <w:t>S.A.,</w:t>
      </w:r>
      <w:r w:rsidRPr="00424681">
        <w:t xml:space="preserve"> originally from Bosnia</w:t>
      </w:r>
      <w:r>
        <w:t xml:space="preserve"> and </w:t>
      </w:r>
      <w:r w:rsidRPr="00424681">
        <w:t xml:space="preserve">Herzegovina, </w:t>
      </w:r>
      <w:r>
        <w:t xml:space="preserve">who had </w:t>
      </w:r>
      <w:r w:rsidRPr="00424681">
        <w:t>acquired Danish citizenship in 2002 and currently</w:t>
      </w:r>
      <w:r>
        <w:t xml:space="preserve"> resided</w:t>
      </w:r>
      <w:r w:rsidRPr="00424681">
        <w:t xml:space="preserve"> in Denmark</w:t>
      </w:r>
      <w:r>
        <w:t xml:space="preserve">. He </w:t>
      </w:r>
      <w:r w:rsidRPr="005747D3">
        <w:t xml:space="preserve">claimed to be </w:t>
      </w:r>
      <w:r>
        <w:t xml:space="preserve">a </w:t>
      </w:r>
      <w:r w:rsidRPr="005747D3">
        <w:t xml:space="preserve">victim of a violation </w:t>
      </w:r>
      <w:r w:rsidRPr="00A93F13">
        <w:t>by</w:t>
      </w:r>
      <w:r>
        <w:t xml:space="preserve"> Denmark</w:t>
      </w:r>
      <w:r w:rsidRPr="00A93F13">
        <w:rPr>
          <w:vertAlign w:val="superscript"/>
        </w:rPr>
        <w:footnoteReference w:id="11"/>
      </w:r>
      <w:r w:rsidRPr="00A93F13">
        <w:t xml:space="preserve"> of his rights under articles </w:t>
      </w:r>
      <w:r>
        <w:t xml:space="preserve">2 (1) (c), 5 and 6 </w:t>
      </w:r>
      <w:r w:rsidRPr="00A93F13">
        <w:t>of the Convention</w:t>
      </w:r>
      <w:r>
        <w:t xml:space="preserve">. He alleged that the authorities had violated his rights under those articles when he had requested social assistance, in July 2009, and had been advised to apply for dispensation at the immigration authorities for his right to reside in Denmark. In August 2010, the petitioner had submitted a complaint to the Board of Equal Treatment, which had granted him compensation of </w:t>
      </w:r>
      <w:r w:rsidRPr="00FF2124">
        <w:t>2</w:t>
      </w:r>
      <w:r>
        <w:t>,</w:t>
      </w:r>
      <w:r w:rsidRPr="00FF2124">
        <w:t>000 DK</w:t>
      </w:r>
      <w:r>
        <w:t>r</w:t>
      </w:r>
      <w:r w:rsidRPr="00FF2124">
        <w:t xml:space="preserve"> (</w:t>
      </w:r>
      <w:r>
        <w:t xml:space="preserve">approximately US$ 330). The petitioner had later appealed the decision, claiming that the compensation was too low. The decision had been maintained by the district court and the high court. The latter had </w:t>
      </w:r>
      <w:r w:rsidRPr="000631CD">
        <w:t>ordered the petitioner to cover the costs of the proceedings amounting to 25</w:t>
      </w:r>
      <w:r>
        <w:t>,</w:t>
      </w:r>
      <w:r w:rsidRPr="000631CD">
        <w:t>000 DK</w:t>
      </w:r>
      <w:r>
        <w:t>r</w:t>
      </w:r>
      <w:r w:rsidRPr="000631CD">
        <w:t xml:space="preserve"> (</w:t>
      </w:r>
      <w:r>
        <w:t>approximately US$ 4,200</w:t>
      </w:r>
      <w:r w:rsidRPr="000631CD">
        <w:t>)</w:t>
      </w:r>
      <w:r>
        <w:t>.</w:t>
      </w:r>
    </w:p>
    <w:p w:rsidR="00485180" w:rsidRDefault="00485180" w:rsidP="002750EF">
      <w:pPr>
        <w:pStyle w:val="SingleTxtG"/>
        <w:tabs>
          <w:tab w:val="left" w:pos="1276"/>
        </w:tabs>
      </w:pPr>
      <w:r>
        <w:t>6</w:t>
      </w:r>
      <w:r w:rsidR="002750EF">
        <w:t>4</w:t>
      </w:r>
      <w:r>
        <w:t>.</w:t>
      </w:r>
      <w:r>
        <w:tab/>
        <w:t>The Committee considered that</w:t>
      </w:r>
      <w:r w:rsidRPr="00C3589B">
        <w:t xml:space="preserve"> the petitioner’s claims under article 2</w:t>
      </w:r>
      <w:r>
        <w:t xml:space="preserve"> </w:t>
      </w:r>
      <w:r w:rsidRPr="00C3589B">
        <w:t>(1)</w:t>
      </w:r>
      <w:r>
        <w:t xml:space="preserve"> </w:t>
      </w:r>
      <w:r w:rsidRPr="00C3589B">
        <w:t>(c) of the Convention were inadmissible</w:t>
      </w:r>
      <w:r w:rsidRPr="000A1227">
        <w:t xml:space="preserve"> </w:t>
      </w:r>
      <w:r>
        <w:t xml:space="preserve">under article 14 of the Convention. It observed that the </w:t>
      </w:r>
      <w:r w:rsidRPr="002F33F9">
        <w:t>communication raise</w:t>
      </w:r>
      <w:r>
        <w:t>d</w:t>
      </w:r>
      <w:r w:rsidRPr="002F33F9">
        <w:t xml:space="preserve"> issues under articles 5 and 6 of the Convention and therefore declare</w:t>
      </w:r>
      <w:r>
        <w:t>d</w:t>
      </w:r>
      <w:r w:rsidRPr="002F33F9">
        <w:t xml:space="preserve"> admissible th</w:t>
      </w:r>
      <w:r>
        <w:t>at</w:t>
      </w:r>
      <w:r w:rsidRPr="002F33F9">
        <w:t xml:space="preserve"> section of the communication</w:t>
      </w:r>
      <w:r>
        <w:t xml:space="preserve">. </w:t>
      </w:r>
    </w:p>
    <w:p w:rsidR="00485180" w:rsidRDefault="00485180" w:rsidP="002750EF">
      <w:pPr>
        <w:pStyle w:val="SingleTxtG"/>
        <w:tabs>
          <w:tab w:val="left" w:pos="1276"/>
        </w:tabs>
      </w:pPr>
      <w:r>
        <w:t>6</w:t>
      </w:r>
      <w:r w:rsidR="002750EF">
        <w:t>5</w:t>
      </w:r>
      <w:r>
        <w:t>.</w:t>
      </w:r>
      <w:r>
        <w:tab/>
      </w:r>
      <w:r w:rsidRPr="00A35E5E">
        <w:t>The Committee considered that the decisions of the authorities denying that the petitioner had Danish nationality amounted to a violation of his rights under article 5 (d) (iii) of the Convention.</w:t>
      </w:r>
      <w:r>
        <w:t xml:space="preserve"> The Committee</w:t>
      </w:r>
      <w:r w:rsidRPr="004B5978">
        <w:t xml:space="preserve"> </w:t>
      </w:r>
      <w:r>
        <w:t xml:space="preserve">further concluded that </w:t>
      </w:r>
      <w:r w:rsidRPr="008A6A78">
        <w:t>the compensation</w:t>
      </w:r>
      <w:r>
        <w:t xml:space="preserve"> received by the petitioner did not comply with article 6 of the Convention. In addition, the Committee considered that asking the petitioner to pay a</w:t>
      </w:r>
      <w:r w:rsidRPr="005E0D10">
        <w:t xml:space="preserve"> </w:t>
      </w:r>
      <w:r>
        <w:t>large</w:t>
      </w:r>
      <w:r w:rsidRPr="005E0D10">
        <w:t xml:space="preserve"> amount</w:t>
      </w:r>
      <w:r>
        <w:t xml:space="preserve"> to cover the legal costs of the court proceedings</w:t>
      </w:r>
      <w:r w:rsidRPr="005E0D10">
        <w:t xml:space="preserve"> </w:t>
      </w:r>
      <w:r>
        <w:t>constituted</w:t>
      </w:r>
      <w:r w:rsidRPr="005E0D10">
        <w:t xml:space="preserve"> a sanction against a person who had been </w:t>
      </w:r>
      <w:r>
        <w:t xml:space="preserve">the </w:t>
      </w:r>
      <w:r w:rsidRPr="005E0D10">
        <w:t>victim of racial discrimination and who was</w:t>
      </w:r>
      <w:r>
        <w:t xml:space="preserve"> merely</w:t>
      </w:r>
      <w:r w:rsidRPr="005E0D10">
        <w:t xml:space="preserve"> seeking adequate compensation.</w:t>
      </w:r>
      <w:r>
        <w:t xml:space="preserve"> It therefore considered</w:t>
      </w:r>
      <w:r w:rsidRPr="005E0D10">
        <w:t xml:space="preserve"> that article 6 of the Convention ha</w:t>
      </w:r>
      <w:r>
        <w:t>d</w:t>
      </w:r>
      <w:r w:rsidRPr="005E0D10">
        <w:t xml:space="preserve"> been violated.</w:t>
      </w:r>
      <w:r>
        <w:t xml:space="preserve"> </w:t>
      </w:r>
    </w:p>
    <w:p w:rsidR="00485180" w:rsidRDefault="00485180" w:rsidP="00804EAA">
      <w:pPr>
        <w:pStyle w:val="SingleTxtG"/>
        <w:rPr>
          <w:w w:val="103"/>
        </w:rPr>
      </w:pPr>
      <w:r>
        <w:br w:type="page"/>
      </w:r>
    </w:p>
    <w:p w:rsidR="00485180" w:rsidRPr="00A81CDC" w:rsidRDefault="00485180" w:rsidP="00485180">
      <w:pPr>
        <w:pStyle w:val="HChG"/>
        <w:ind w:left="0" w:firstLine="0"/>
      </w:pPr>
      <w:r>
        <w:lastRenderedPageBreak/>
        <w:tab/>
      </w:r>
      <w:bookmarkStart w:id="38" w:name="_Toc17361308"/>
      <w:r>
        <w:t>IX</w:t>
      </w:r>
      <w:r w:rsidRPr="00A81CDC">
        <w:t>.</w:t>
      </w:r>
      <w:r w:rsidRPr="00A81CDC">
        <w:tab/>
        <w:t>Follow-up to individual communications</w:t>
      </w:r>
      <w:bookmarkEnd w:id="38"/>
    </w:p>
    <w:p w:rsidR="00485180" w:rsidRPr="005747D3" w:rsidRDefault="002750EF" w:rsidP="00485180">
      <w:pPr>
        <w:pStyle w:val="SingleTxtG"/>
        <w:tabs>
          <w:tab w:val="left" w:pos="1276"/>
        </w:tabs>
      </w:pPr>
      <w:r>
        <w:t>66</w:t>
      </w:r>
      <w:r w:rsidR="00485180" w:rsidRPr="005747D3">
        <w:t>.</w:t>
      </w:r>
      <w:r w:rsidR="00485180" w:rsidRPr="005747D3">
        <w:tab/>
        <w:t xml:space="preserve">At its sixty-seventh session, the Committee decided to establish a procedure to follow up on its opinions and recommendations adopted following the examination of communications </w:t>
      </w:r>
      <w:r w:rsidR="00485180">
        <w:t>under article 14 of the Convention</w:t>
      </w:r>
      <w:r w:rsidR="00485180" w:rsidRPr="005747D3">
        <w:t>.</w:t>
      </w:r>
      <w:r w:rsidR="00485180">
        <w:t xml:space="preserve"> It</w:t>
      </w:r>
      <w:r w:rsidR="00485180" w:rsidRPr="005747D3">
        <w:t xml:space="preserve"> decided to add two paragraphs to its rules of procedure setting out details of the procedure.</w:t>
      </w:r>
      <w:r w:rsidR="00485180" w:rsidRPr="00BE5EB7">
        <w:rPr>
          <w:rStyle w:val="FootnoteReference"/>
        </w:rPr>
        <w:footnoteReference w:id="12"/>
      </w:r>
      <w:r w:rsidR="00485180" w:rsidRPr="00BE5EB7">
        <w:rPr>
          <w:rStyle w:val="FootnoteReference"/>
        </w:rPr>
        <w:t xml:space="preserve"> </w:t>
      </w:r>
      <w:r w:rsidR="00485180" w:rsidRPr="005747D3">
        <w:t xml:space="preserve">The Rapporteur for follow-up </w:t>
      </w:r>
      <w:r w:rsidR="00485180">
        <w:t>on opinions</w:t>
      </w:r>
      <w:r w:rsidR="00485180" w:rsidRPr="005747D3">
        <w:t xml:space="preserve"> regularly presents a report to the Committee with recommendations on further action to be taken. These recommendations, which are annexed to the Committee</w:t>
      </w:r>
      <w:r w:rsidR="00485180">
        <w:t>’</w:t>
      </w:r>
      <w:r w:rsidR="00485180" w:rsidRPr="005747D3">
        <w:t xml:space="preserve">s annual reports to the General Assembly, reflect the cases in which the Committee found violations of the Convention or provided </w:t>
      </w:r>
      <w:r w:rsidR="00485180">
        <w:t xml:space="preserve">suggestions or </w:t>
      </w:r>
      <w:r w:rsidR="00485180" w:rsidRPr="005747D3">
        <w:t>recommendations</w:t>
      </w:r>
      <w:r w:rsidR="00485180">
        <w:t xml:space="preserve"> (see annex I)</w:t>
      </w:r>
      <w:r w:rsidR="00485180" w:rsidRPr="005747D3">
        <w:t>.</w:t>
      </w:r>
    </w:p>
    <w:p w:rsidR="00485180" w:rsidRPr="005747D3" w:rsidRDefault="00485180" w:rsidP="002750EF">
      <w:pPr>
        <w:pStyle w:val="SingleTxtG"/>
        <w:tabs>
          <w:tab w:val="left" w:pos="1276"/>
        </w:tabs>
      </w:pPr>
      <w:r w:rsidRPr="005747D3">
        <w:t>6</w:t>
      </w:r>
      <w:r w:rsidR="002750EF">
        <w:t>7</w:t>
      </w:r>
      <w:r w:rsidRPr="005747D3">
        <w:t>.</w:t>
      </w:r>
      <w:r w:rsidRPr="005747D3">
        <w:tab/>
      </w:r>
      <w:r>
        <w:t>T</w:t>
      </w:r>
      <w:r w:rsidRPr="005747D3">
        <w:t>he table below provides an overview of follow-up replies received from States parties. Wherever possible, it indicates whether follow-up replies are or have been considered satisfactory or unsatisfactory, or whether the dialogue between the State party and the Rapporteur for follow-up continues. In general, replies may be considered satisfactory if they reveal willingness by the State party to implement the Committee</w:t>
      </w:r>
      <w:r>
        <w:t>’</w:t>
      </w:r>
      <w:r w:rsidRPr="005747D3">
        <w:t>s recommendations or to offer an appropriate remedy to the complainant. Replies that do not address the Committee</w:t>
      </w:r>
      <w:r>
        <w:t>’</w:t>
      </w:r>
      <w:r w:rsidRPr="005747D3">
        <w:t>s recommendations or relate only to certain aspects of the recommendations are considered unsatisfactory.</w:t>
      </w:r>
    </w:p>
    <w:p w:rsidR="00485180" w:rsidRDefault="00485180" w:rsidP="002750EF">
      <w:pPr>
        <w:pStyle w:val="SingleTxtG"/>
        <w:tabs>
          <w:tab w:val="left" w:pos="1276"/>
        </w:tabs>
      </w:pPr>
      <w:r>
        <w:t>6</w:t>
      </w:r>
      <w:r w:rsidR="002750EF">
        <w:t>8</w:t>
      </w:r>
      <w:r>
        <w:t>.</w:t>
      </w:r>
      <w:r>
        <w:tab/>
        <w:t>A</w:t>
      </w:r>
      <w:r w:rsidRPr="005747D3">
        <w:t>t the time of adoption of the present report, the Committee had adopted final opinions on</w:t>
      </w:r>
      <w:r>
        <w:t xml:space="preserve"> the merits with respect to 36</w:t>
      </w:r>
      <w:r w:rsidRPr="005747D3">
        <w:t xml:space="preserve"> complaints and found vi</w:t>
      </w:r>
      <w:r>
        <w:t>olations of the Convention in 20 cases. In 10</w:t>
      </w:r>
      <w:r w:rsidRPr="005747D3">
        <w:t xml:space="preserve"> cases, the Committee provided </w:t>
      </w:r>
      <w:r>
        <w:t xml:space="preserve">suggestions </w:t>
      </w:r>
      <w:r w:rsidRPr="005747D3">
        <w:t>recommendations although it did not establish a violation of the Convention.</w:t>
      </w:r>
    </w:p>
    <w:bookmarkEnd w:id="28"/>
    <w:p w:rsidR="00485180" w:rsidRPr="003067A8" w:rsidRDefault="00485180" w:rsidP="00485180">
      <w:pPr>
        <w:pStyle w:val="HChG"/>
      </w:pPr>
      <w:r w:rsidRPr="00CB21CA">
        <w:t xml:space="preserve"> </w:t>
      </w:r>
    </w:p>
    <w:p w:rsidR="00485180" w:rsidRPr="00CB21CA" w:rsidRDefault="00485180" w:rsidP="00485180">
      <w:pPr>
        <w:pStyle w:val="SingleTxtG"/>
        <w:sectPr w:rsidR="00485180" w:rsidRPr="00CB21CA" w:rsidSect="002A1DAC">
          <w:endnotePr>
            <w:numFmt w:val="decimal"/>
          </w:endnotePr>
          <w:type w:val="oddPage"/>
          <w:pgSz w:w="11909" w:h="16834" w:code="9"/>
          <w:pgMar w:top="1418" w:right="1134" w:bottom="1134" w:left="1134" w:header="851" w:footer="567" w:gutter="0"/>
          <w:pgNumType w:start="1"/>
          <w:cols w:space="720"/>
          <w:noEndnote/>
          <w:docGrid w:linePitch="278"/>
        </w:sectPr>
      </w:pPr>
    </w:p>
    <w:p w:rsidR="00485180" w:rsidRPr="005F15E3" w:rsidRDefault="00485180" w:rsidP="00722BB0">
      <w:pPr>
        <w:pStyle w:val="H23G"/>
        <w:rPr>
          <w:w w:val="103"/>
        </w:rPr>
      </w:pPr>
      <w:r w:rsidRPr="00CB21CA">
        <w:lastRenderedPageBreak/>
        <w:tab/>
      </w:r>
      <w:r w:rsidRPr="00CB21CA">
        <w:tab/>
      </w:r>
      <w:r w:rsidRPr="005F15E3">
        <w:rPr>
          <w:w w:val="103"/>
        </w:rPr>
        <w:t>Follow-up information received to date for all cases of violations of the Convention in which the Committee provided suggestions or recommendations</w:t>
      </w:r>
    </w:p>
    <w:tbl>
      <w:tblPr>
        <w:tblW w:w="13492" w:type="dxa"/>
        <w:tblInd w:w="567" w:type="dxa"/>
        <w:tblLayout w:type="fixed"/>
        <w:tblCellMar>
          <w:left w:w="0" w:type="dxa"/>
          <w:right w:w="0" w:type="dxa"/>
        </w:tblCellMar>
        <w:tblLook w:val="01E0" w:firstRow="1" w:lastRow="1" w:firstColumn="1" w:lastColumn="1" w:noHBand="0" w:noVBand="0"/>
      </w:tblPr>
      <w:tblGrid>
        <w:gridCol w:w="1762"/>
        <w:gridCol w:w="3767"/>
        <w:gridCol w:w="2114"/>
        <w:gridCol w:w="1333"/>
        <w:gridCol w:w="1939"/>
        <w:gridCol w:w="1418"/>
        <w:gridCol w:w="1159"/>
      </w:tblGrid>
      <w:tr w:rsidR="00485180" w:rsidRPr="000240AC" w:rsidTr="00A16A91">
        <w:trPr>
          <w:cantSplit/>
          <w:tblHeader/>
        </w:trPr>
        <w:tc>
          <w:tcPr>
            <w:tcW w:w="1762" w:type="dxa"/>
            <w:tcBorders>
              <w:top w:val="single" w:sz="4" w:space="0" w:color="auto"/>
              <w:bottom w:val="single" w:sz="12" w:space="0" w:color="auto"/>
            </w:tcBorders>
            <w:shd w:val="clear" w:color="auto" w:fill="auto"/>
            <w:tcMar>
              <w:right w:w="113" w:type="dxa"/>
            </w:tcMar>
            <w:vAlign w:val="bottom"/>
          </w:tcPr>
          <w:p w:rsidR="00485180" w:rsidRPr="000240AC" w:rsidRDefault="00485180" w:rsidP="00CB37E9">
            <w:pPr>
              <w:spacing w:before="80" w:after="80" w:line="200" w:lineRule="exact"/>
              <w:ind w:right="113"/>
              <w:rPr>
                <w:i/>
                <w:sz w:val="16"/>
              </w:rPr>
            </w:pPr>
            <w:r w:rsidRPr="000240AC">
              <w:rPr>
                <w:i/>
                <w:sz w:val="16"/>
              </w:rPr>
              <w:t>State party and number</w:t>
            </w:r>
            <w:r w:rsidRPr="000240AC">
              <w:rPr>
                <w:i/>
                <w:sz w:val="16"/>
              </w:rPr>
              <w:br/>
              <w:t xml:space="preserve">of cases </w:t>
            </w:r>
            <w:r>
              <w:rPr>
                <w:i/>
                <w:sz w:val="16"/>
              </w:rPr>
              <w:t>of</w:t>
            </w:r>
            <w:r w:rsidRPr="000240AC">
              <w:rPr>
                <w:i/>
                <w:sz w:val="16"/>
              </w:rPr>
              <w:t xml:space="preserve"> violation</w:t>
            </w:r>
            <w:r>
              <w:rPr>
                <w:i/>
                <w:sz w:val="16"/>
              </w:rPr>
              <w:t>s</w:t>
            </w:r>
          </w:p>
        </w:tc>
        <w:tc>
          <w:tcPr>
            <w:tcW w:w="3767" w:type="dxa"/>
            <w:tcBorders>
              <w:top w:val="single" w:sz="4" w:space="0" w:color="auto"/>
              <w:bottom w:val="single" w:sz="12" w:space="0" w:color="auto"/>
            </w:tcBorders>
            <w:shd w:val="clear" w:color="auto" w:fill="auto"/>
            <w:tcMar>
              <w:right w:w="113" w:type="dxa"/>
            </w:tcMar>
            <w:vAlign w:val="bottom"/>
          </w:tcPr>
          <w:p w:rsidR="00485180" w:rsidRPr="000240AC" w:rsidRDefault="00485180" w:rsidP="00CB37E9">
            <w:pPr>
              <w:spacing w:before="80" w:after="80" w:line="200" w:lineRule="exact"/>
              <w:ind w:right="113"/>
              <w:rPr>
                <w:i/>
                <w:sz w:val="16"/>
              </w:rPr>
            </w:pPr>
            <w:r w:rsidRPr="000240AC">
              <w:rPr>
                <w:i/>
                <w:sz w:val="16"/>
              </w:rPr>
              <w:t xml:space="preserve">Communication number and author </w:t>
            </w:r>
          </w:p>
        </w:tc>
        <w:tc>
          <w:tcPr>
            <w:tcW w:w="2114" w:type="dxa"/>
            <w:tcBorders>
              <w:top w:val="single" w:sz="4" w:space="0" w:color="auto"/>
              <w:bottom w:val="single" w:sz="12" w:space="0" w:color="auto"/>
            </w:tcBorders>
            <w:shd w:val="clear" w:color="auto" w:fill="auto"/>
            <w:tcMar>
              <w:right w:w="113" w:type="dxa"/>
            </w:tcMar>
            <w:vAlign w:val="bottom"/>
          </w:tcPr>
          <w:p w:rsidR="00485180" w:rsidRPr="000240AC" w:rsidRDefault="00485180" w:rsidP="00CB37E9">
            <w:pPr>
              <w:spacing w:before="80" w:after="80" w:line="200" w:lineRule="exact"/>
              <w:ind w:right="113"/>
              <w:rPr>
                <w:i/>
                <w:sz w:val="16"/>
              </w:rPr>
            </w:pPr>
            <w:r w:rsidRPr="000240AC">
              <w:rPr>
                <w:i/>
                <w:sz w:val="16"/>
              </w:rPr>
              <w:t xml:space="preserve">Follow-up response </w:t>
            </w:r>
            <w:r w:rsidRPr="000240AC">
              <w:rPr>
                <w:i/>
                <w:sz w:val="16"/>
              </w:rPr>
              <w:br/>
              <w:t xml:space="preserve">received from </w:t>
            </w:r>
            <w:r w:rsidRPr="000240AC">
              <w:rPr>
                <w:i/>
                <w:sz w:val="16"/>
              </w:rPr>
              <w:br/>
              <w:t>State party</w:t>
            </w:r>
          </w:p>
        </w:tc>
        <w:tc>
          <w:tcPr>
            <w:tcW w:w="1333" w:type="dxa"/>
            <w:tcBorders>
              <w:top w:val="single" w:sz="4" w:space="0" w:color="auto"/>
              <w:bottom w:val="single" w:sz="12" w:space="0" w:color="auto"/>
            </w:tcBorders>
            <w:shd w:val="clear" w:color="auto" w:fill="auto"/>
            <w:tcMar>
              <w:right w:w="113" w:type="dxa"/>
            </w:tcMar>
            <w:vAlign w:val="bottom"/>
          </w:tcPr>
          <w:p w:rsidR="00485180" w:rsidRPr="000240AC" w:rsidRDefault="00485180" w:rsidP="00CB37E9">
            <w:pPr>
              <w:spacing w:before="80" w:after="80" w:line="200" w:lineRule="exact"/>
              <w:ind w:right="113"/>
              <w:rPr>
                <w:i/>
                <w:sz w:val="16"/>
              </w:rPr>
            </w:pPr>
            <w:r w:rsidRPr="000240AC">
              <w:rPr>
                <w:i/>
                <w:sz w:val="16"/>
              </w:rPr>
              <w:t>Satisfactory response</w:t>
            </w:r>
          </w:p>
        </w:tc>
        <w:tc>
          <w:tcPr>
            <w:tcW w:w="1939" w:type="dxa"/>
            <w:tcBorders>
              <w:top w:val="single" w:sz="4" w:space="0" w:color="auto"/>
              <w:bottom w:val="single" w:sz="12" w:space="0" w:color="auto"/>
            </w:tcBorders>
            <w:shd w:val="clear" w:color="auto" w:fill="auto"/>
            <w:tcMar>
              <w:right w:w="113" w:type="dxa"/>
            </w:tcMar>
            <w:vAlign w:val="bottom"/>
          </w:tcPr>
          <w:p w:rsidR="00485180" w:rsidRPr="000240AC" w:rsidRDefault="00485180" w:rsidP="00CB37E9">
            <w:pPr>
              <w:spacing w:before="80" w:after="80" w:line="200" w:lineRule="exact"/>
              <w:ind w:right="113"/>
              <w:rPr>
                <w:i/>
                <w:sz w:val="16"/>
              </w:rPr>
            </w:pPr>
            <w:r w:rsidRPr="000240AC">
              <w:rPr>
                <w:i/>
                <w:sz w:val="16"/>
              </w:rPr>
              <w:t>Unsatisfactory or incomplete response</w:t>
            </w:r>
          </w:p>
        </w:tc>
        <w:tc>
          <w:tcPr>
            <w:tcW w:w="1418" w:type="dxa"/>
            <w:tcBorders>
              <w:top w:val="single" w:sz="4" w:space="0" w:color="auto"/>
              <w:bottom w:val="single" w:sz="12" w:space="0" w:color="auto"/>
            </w:tcBorders>
            <w:shd w:val="clear" w:color="auto" w:fill="auto"/>
            <w:tcMar>
              <w:right w:w="113" w:type="dxa"/>
            </w:tcMar>
            <w:vAlign w:val="bottom"/>
          </w:tcPr>
          <w:p w:rsidR="00485180" w:rsidRPr="000240AC" w:rsidRDefault="00485180" w:rsidP="00CB37E9">
            <w:pPr>
              <w:spacing w:before="80" w:after="80" w:line="200" w:lineRule="exact"/>
              <w:ind w:right="113"/>
              <w:rPr>
                <w:i/>
                <w:sz w:val="16"/>
              </w:rPr>
            </w:pPr>
            <w:r w:rsidRPr="000240AC">
              <w:rPr>
                <w:i/>
                <w:sz w:val="16"/>
              </w:rPr>
              <w:t>No follow-up response received</w:t>
            </w:r>
          </w:p>
        </w:tc>
        <w:tc>
          <w:tcPr>
            <w:tcW w:w="1159" w:type="dxa"/>
            <w:tcBorders>
              <w:top w:val="single" w:sz="4" w:space="0" w:color="auto"/>
              <w:bottom w:val="single" w:sz="12" w:space="0" w:color="auto"/>
            </w:tcBorders>
            <w:shd w:val="clear" w:color="auto" w:fill="auto"/>
            <w:tcMar>
              <w:right w:w="113" w:type="dxa"/>
            </w:tcMar>
            <w:vAlign w:val="bottom"/>
          </w:tcPr>
          <w:p w:rsidR="00485180" w:rsidRPr="000240AC" w:rsidRDefault="00485180" w:rsidP="00CB37E9">
            <w:pPr>
              <w:spacing w:before="80" w:after="80" w:line="200" w:lineRule="exact"/>
              <w:ind w:right="113"/>
              <w:rPr>
                <w:i/>
                <w:sz w:val="16"/>
              </w:rPr>
            </w:pPr>
            <w:r w:rsidRPr="000240AC">
              <w:rPr>
                <w:i/>
                <w:sz w:val="16"/>
              </w:rPr>
              <w:t>Follow-up dialogue ongoing</w:t>
            </w:r>
          </w:p>
        </w:tc>
      </w:tr>
      <w:tr w:rsidR="00485180" w:rsidRPr="000240AC" w:rsidTr="00A16A91">
        <w:trPr>
          <w:cantSplit/>
          <w:trHeight w:hRule="exact" w:val="113"/>
          <w:tblHeader/>
        </w:trPr>
        <w:tc>
          <w:tcPr>
            <w:tcW w:w="1762" w:type="dxa"/>
            <w:tcBorders>
              <w:top w:val="single" w:sz="12" w:space="0" w:color="auto"/>
            </w:tcBorders>
            <w:shd w:val="clear" w:color="auto" w:fill="auto"/>
            <w:tcMar>
              <w:right w:w="113" w:type="dxa"/>
            </w:tcMar>
          </w:tcPr>
          <w:p w:rsidR="00485180" w:rsidRPr="000240AC" w:rsidRDefault="00485180" w:rsidP="00CB37E9">
            <w:pPr>
              <w:spacing w:before="40" w:after="120" w:line="240" w:lineRule="atLeast"/>
              <w:ind w:right="113"/>
            </w:pPr>
          </w:p>
        </w:tc>
        <w:tc>
          <w:tcPr>
            <w:tcW w:w="3767" w:type="dxa"/>
            <w:tcBorders>
              <w:top w:val="single" w:sz="12" w:space="0" w:color="auto"/>
            </w:tcBorders>
            <w:shd w:val="clear" w:color="auto" w:fill="auto"/>
            <w:tcMar>
              <w:right w:w="113" w:type="dxa"/>
            </w:tcMar>
          </w:tcPr>
          <w:p w:rsidR="00485180" w:rsidRPr="000240AC" w:rsidRDefault="00485180" w:rsidP="00CB37E9">
            <w:pPr>
              <w:spacing w:before="40" w:after="120" w:line="240" w:lineRule="atLeast"/>
              <w:ind w:right="113"/>
            </w:pPr>
          </w:p>
        </w:tc>
        <w:tc>
          <w:tcPr>
            <w:tcW w:w="2114" w:type="dxa"/>
            <w:tcBorders>
              <w:top w:val="single" w:sz="12" w:space="0" w:color="auto"/>
            </w:tcBorders>
            <w:shd w:val="clear" w:color="auto" w:fill="auto"/>
            <w:tcMar>
              <w:right w:w="113" w:type="dxa"/>
            </w:tcMar>
          </w:tcPr>
          <w:p w:rsidR="00485180" w:rsidRPr="000240AC" w:rsidRDefault="00485180" w:rsidP="00CB37E9">
            <w:pPr>
              <w:spacing w:before="40" w:after="120" w:line="240" w:lineRule="atLeast"/>
              <w:ind w:right="113"/>
            </w:pPr>
          </w:p>
        </w:tc>
        <w:tc>
          <w:tcPr>
            <w:tcW w:w="1333" w:type="dxa"/>
            <w:tcBorders>
              <w:top w:val="single" w:sz="12" w:space="0" w:color="auto"/>
            </w:tcBorders>
            <w:shd w:val="clear" w:color="auto" w:fill="auto"/>
            <w:tcMar>
              <w:right w:w="113" w:type="dxa"/>
            </w:tcMar>
          </w:tcPr>
          <w:p w:rsidR="00485180" w:rsidRPr="000240AC" w:rsidRDefault="00485180" w:rsidP="00CB37E9">
            <w:pPr>
              <w:spacing w:before="40" w:after="120" w:line="240" w:lineRule="atLeast"/>
              <w:ind w:right="113"/>
            </w:pPr>
          </w:p>
        </w:tc>
        <w:tc>
          <w:tcPr>
            <w:tcW w:w="1939" w:type="dxa"/>
            <w:tcBorders>
              <w:top w:val="single" w:sz="12" w:space="0" w:color="auto"/>
            </w:tcBorders>
            <w:shd w:val="clear" w:color="auto" w:fill="auto"/>
            <w:tcMar>
              <w:right w:w="113" w:type="dxa"/>
            </w:tcMar>
          </w:tcPr>
          <w:p w:rsidR="00485180" w:rsidRPr="000240AC" w:rsidRDefault="00485180" w:rsidP="00CB37E9">
            <w:pPr>
              <w:spacing w:before="40" w:after="120" w:line="240" w:lineRule="atLeast"/>
              <w:ind w:right="113"/>
            </w:pPr>
          </w:p>
        </w:tc>
        <w:tc>
          <w:tcPr>
            <w:tcW w:w="1418" w:type="dxa"/>
            <w:tcBorders>
              <w:top w:val="single" w:sz="12" w:space="0" w:color="auto"/>
            </w:tcBorders>
            <w:shd w:val="clear" w:color="auto" w:fill="auto"/>
            <w:tcMar>
              <w:right w:w="113" w:type="dxa"/>
            </w:tcMar>
          </w:tcPr>
          <w:p w:rsidR="00485180" w:rsidRPr="000240AC" w:rsidRDefault="00485180" w:rsidP="00CB37E9">
            <w:pPr>
              <w:spacing w:before="40" w:after="120" w:line="240" w:lineRule="atLeast"/>
              <w:ind w:right="113"/>
            </w:pPr>
          </w:p>
        </w:tc>
        <w:tc>
          <w:tcPr>
            <w:tcW w:w="1159" w:type="dxa"/>
            <w:tcBorders>
              <w:top w:val="single" w:sz="12" w:space="0" w:color="auto"/>
            </w:tcBorders>
            <w:shd w:val="clear" w:color="auto" w:fill="auto"/>
            <w:tcMar>
              <w:right w:w="113" w:type="dxa"/>
            </w:tcMar>
          </w:tcPr>
          <w:p w:rsidR="00485180" w:rsidRPr="000240AC" w:rsidRDefault="00485180" w:rsidP="00CB37E9">
            <w:pPr>
              <w:spacing w:before="40" w:after="120" w:line="240" w:lineRule="atLeast"/>
              <w:ind w:right="113"/>
            </w:pP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r w:rsidRPr="000240AC">
              <w:t>Denmark (7)</w:t>
            </w:r>
          </w:p>
        </w:tc>
        <w:tc>
          <w:tcPr>
            <w:tcW w:w="3767" w:type="dxa"/>
            <w:shd w:val="clear" w:color="auto" w:fill="auto"/>
            <w:tcMar>
              <w:right w:w="113" w:type="dxa"/>
            </w:tcMar>
          </w:tcPr>
          <w:p w:rsidR="00485180" w:rsidRPr="000240AC" w:rsidRDefault="00485180" w:rsidP="00CB37E9">
            <w:pPr>
              <w:spacing w:before="40" w:after="120" w:line="240" w:lineRule="atLeast"/>
              <w:ind w:right="113"/>
            </w:pPr>
            <w:r w:rsidRPr="000240AC">
              <w:t>10/1997, Ziad Ben Ahmed Habassi</w:t>
            </w:r>
          </w:p>
        </w:tc>
        <w:tc>
          <w:tcPr>
            <w:tcW w:w="2114" w:type="dxa"/>
            <w:shd w:val="clear" w:color="auto" w:fill="auto"/>
            <w:tcMar>
              <w:right w:w="113" w:type="dxa"/>
            </w:tcMar>
          </w:tcPr>
          <w:p w:rsidR="00485180" w:rsidRPr="000240AC" w:rsidRDefault="00485180" w:rsidP="00CB37E9">
            <w:pPr>
              <w:spacing w:before="40" w:after="120" w:line="240" w:lineRule="atLeast"/>
              <w:ind w:right="113"/>
            </w:pPr>
            <w:r w:rsidRPr="000240AC">
              <w:t>X (</w:t>
            </w:r>
            <w:hyperlink r:id="rId58" w:history="1">
              <w:r w:rsidRPr="00133C6F">
                <w:rPr>
                  <w:rStyle w:val="Hyperlink"/>
                </w:rPr>
                <w:t>A/61/18</w:t>
              </w:r>
            </w:hyperlink>
            <w:r w:rsidRPr="000240AC">
              <w:t>)</w:t>
            </w:r>
          </w:p>
        </w:tc>
        <w:tc>
          <w:tcPr>
            <w:tcW w:w="1333" w:type="dxa"/>
            <w:shd w:val="clear" w:color="auto" w:fill="auto"/>
            <w:tcMar>
              <w:right w:w="113" w:type="dxa"/>
            </w:tcMar>
          </w:tcPr>
          <w:p w:rsidR="00485180" w:rsidRPr="000240AC" w:rsidRDefault="00485180" w:rsidP="00CB37E9">
            <w:pPr>
              <w:spacing w:before="40" w:after="120" w:line="240" w:lineRule="atLeast"/>
              <w:ind w:right="113"/>
            </w:pPr>
            <w:r w:rsidRPr="000240AC">
              <w:t>X</w:t>
            </w:r>
          </w:p>
        </w:tc>
        <w:tc>
          <w:tcPr>
            <w:tcW w:w="1939" w:type="dxa"/>
            <w:shd w:val="clear" w:color="auto" w:fill="auto"/>
            <w:tcMar>
              <w:right w:w="113" w:type="dxa"/>
            </w:tcMar>
          </w:tcPr>
          <w:p w:rsidR="00485180" w:rsidRPr="000240AC" w:rsidRDefault="00485180" w:rsidP="00CB37E9">
            <w:pPr>
              <w:spacing w:before="40" w:after="120" w:line="240" w:lineRule="atLeast"/>
              <w:ind w:right="113"/>
            </w:pP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p>
        </w:tc>
        <w:tc>
          <w:tcPr>
            <w:tcW w:w="3767" w:type="dxa"/>
            <w:shd w:val="clear" w:color="auto" w:fill="auto"/>
            <w:tcMar>
              <w:right w:w="113" w:type="dxa"/>
            </w:tcMar>
          </w:tcPr>
          <w:p w:rsidR="00485180" w:rsidRPr="000240AC" w:rsidRDefault="00485180" w:rsidP="00CB37E9">
            <w:pPr>
              <w:spacing w:before="40" w:after="120" w:line="240" w:lineRule="atLeast"/>
              <w:ind w:right="113"/>
            </w:pPr>
            <w:r w:rsidRPr="000240AC">
              <w:t>16/1999, Kashif Ahmad</w:t>
            </w:r>
          </w:p>
        </w:tc>
        <w:tc>
          <w:tcPr>
            <w:tcW w:w="2114" w:type="dxa"/>
            <w:shd w:val="clear" w:color="auto" w:fill="auto"/>
            <w:tcMar>
              <w:right w:w="113" w:type="dxa"/>
            </w:tcMar>
          </w:tcPr>
          <w:p w:rsidR="00485180" w:rsidRPr="000240AC" w:rsidRDefault="00485180" w:rsidP="00CB37E9">
            <w:pPr>
              <w:spacing w:before="40" w:after="120" w:line="240" w:lineRule="atLeast"/>
              <w:ind w:right="113"/>
            </w:pPr>
            <w:r w:rsidRPr="000240AC">
              <w:t>X (</w:t>
            </w:r>
            <w:hyperlink r:id="rId59" w:history="1">
              <w:r w:rsidRPr="00133C6F">
                <w:rPr>
                  <w:rStyle w:val="Hyperlink"/>
                </w:rPr>
                <w:t>A/61/18</w:t>
              </w:r>
            </w:hyperlink>
            <w:r w:rsidRPr="000240AC">
              <w:t>)</w:t>
            </w:r>
          </w:p>
        </w:tc>
        <w:tc>
          <w:tcPr>
            <w:tcW w:w="1333" w:type="dxa"/>
            <w:shd w:val="clear" w:color="auto" w:fill="auto"/>
            <w:tcMar>
              <w:right w:w="113" w:type="dxa"/>
            </w:tcMar>
          </w:tcPr>
          <w:p w:rsidR="00485180" w:rsidRPr="000240AC" w:rsidRDefault="00485180" w:rsidP="00CB37E9">
            <w:pPr>
              <w:spacing w:before="40" w:after="120" w:line="240" w:lineRule="atLeast"/>
              <w:ind w:right="113"/>
            </w:pPr>
            <w:r w:rsidRPr="000240AC">
              <w:t>X</w:t>
            </w:r>
          </w:p>
        </w:tc>
        <w:tc>
          <w:tcPr>
            <w:tcW w:w="1939" w:type="dxa"/>
            <w:shd w:val="clear" w:color="auto" w:fill="auto"/>
            <w:tcMar>
              <w:right w:w="113" w:type="dxa"/>
            </w:tcMar>
          </w:tcPr>
          <w:p w:rsidR="00485180" w:rsidRPr="000240AC" w:rsidRDefault="00485180" w:rsidP="00CB37E9">
            <w:pPr>
              <w:spacing w:before="40" w:after="120" w:line="240" w:lineRule="atLeast"/>
              <w:ind w:right="113"/>
            </w:pP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p>
        </w:tc>
        <w:tc>
          <w:tcPr>
            <w:tcW w:w="3767" w:type="dxa"/>
            <w:shd w:val="clear" w:color="auto" w:fill="auto"/>
            <w:tcMar>
              <w:right w:w="113" w:type="dxa"/>
            </w:tcMar>
          </w:tcPr>
          <w:p w:rsidR="00485180" w:rsidRPr="000240AC" w:rsidRDefault="00485180" w:rsidP="00CB37E9">
            <w:pPr>
              <w:spacing w:before="40" w:after="120" w:line="240" w:lineRule="atLeast"/>
              <w:ind w:right="113"/>
            </w:pPr>
            <w:r w:rsidRPr="000240AC">
              <w:t>34/2004, Hassan Gelle</w:t>
            </w:r>
          </w:p>
        </w:tc>
        <w:tc>
          <w:tcPr>
            <w:tcW w:w="2114" w:type="dxa"/>
            <w:shd w:val="clear" w:color="auto" w:fill="auto"/>
            <w:tcMar>
              <w:right w:w="113" w:type="dxa"/>
            </w:tcMar>
          </w:tcPr>
          <w:p w:rsidR="00485180" w:rsidRPr="000240AC" w:rsidRDefault="00485180" w:rsidP="00CB37E9">
            <w:pPr>
              <w:spacing w:before="40" w:after="120" w:line="240" w:lineRule="atLeast"/>
              <w:ind w:right="113"/>
            </w:pPr>
            <w:r w:rsidRPr="000240AC">
              <w:t>X (</w:t>
            </w:r>
            <w:hyperlink r:id="rId60" w:history="1">
              <w:r w:rsidRPr="00133C6F">
                <w:rPr>
                  <w:rStyle w:val="Hyperlink"/>
                </w:rPr>
                <w:t>A/62/18</w:t>
              </w:r>
            </w:hyperlink>
            <w:r w:rsidRPr="000240AC">
              <w:t>)</w:t>
            </w:r>
          </w:p>
        </w:tc>
        <w:tc>
          <w:tcPr>
            <w:tcW w:w="1333" w:type="dxa"/>
            <w:shd w:val="clear" w:color="auto" w:fill="auto"/>
            <w:tcMar>
              <w:right w:w="113" w:type="dxa"/>
            </w:tcMar>
          </w:tcPr>
          <w:p w:rsidR="00485180" w:rsidRPr="000240AC" w:rsidRDefault="00485180" w:rsidP="00CB37E9">
            <w:pPr>
              <w:spacing w:before="40" w:after="120" w:line="240" w:lineRule="atLeast"/>
              <w:ind w:right="113"/>
            </w:pPr>
            <w:r w:rsidRPr="000240AC">
              <w:t>X</w:t>
            </w:r>
          </w:p>
        </w:tc>
        <w:tc>
          <w:tcPr>
            <w:tcW w:w="1939" w:type="dxa"/>
            <w:shd w:val="clear" w:color="auto" w:fill="auto"/>
            <w:tcMar>
              <w:right w:w="113" w:type="dxa"/>
            </w:tcMar>
          </w:tcPr>
          <w:p w:rsidR="00485180" w:rsidRPr="000240AC" w:rsidRDefault="00485180" w:rsidP="00CB37E9">
            <w:pPr>
              <w:spacing w:before="40" w:after="120" w:line="240" w:lineRule="atLeast"/>
              <w:ind w:right="113"/>
            </w:pP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p>
        </w:tc>
        <w:tc>
          <w:tcPr>
            <w:tcW w:w="3767" w:type="dxa"/>
            <w:shd w:val="clear" w:color="auto" w:fill="auto"/>
            <w:tcMar>
              <w:right w:w="113" w:type="dxa"/>
            </w:tcMar>
          </w:tcPr>
          <w:p w:rsidR="00485180" w:rsidRPr="000240AC" w:rsidRDefault="00485180" w:rsidP="00CB37E9">
            <w:pPr>
              <w:spacing w:before="40" w:after="120" w:line="240" w:lineRule="atLeast"/>
              <w:ind w:right="113"/>
            </w:pPr>
            <w:r w:rsidRPr="000240AC">
              <w:t>40/2007, Murat Er</w:t>
            </w:r>
          </w:p>
        </w:tc>
        <w:tc>
          <w:tcPr>
            <w:tcW w:w="2114" w:type="dxa"/>
            <w:shd w:val="clear" w:color="auto" w:fill="auto"/>
            <w:tcMar>
              <w:right w:w="113" w:type="dxa"/>
            </w:tcMar>
          </w:tcPr>
          <w:p w:rsidR="00485180" w:rsidRPr="000240AC" w:rsidRDefault="00485180" w:rsidP="00CB37E9">
            <w:pPr>
              <w:spacing w:before="40" w:after="120" w:line="240" w:lineRule="atLeast"/>
              <w:ind w:right="113"/>
            </w:pPr>
            <w:r w:rsidRPr="000240AC">
              <w:t>X (</w:t>
            </w:r>
            <w:hyperlink r:id="rId61" w:history="1">
              <w:r w:rsidRPr="00133C6F">
                <w:rPr>
                  <w:rStyle w:val="Hyperlink"/>
                </w:rPr>
                <w:t>A/63/18</w:t>
              </w:r>
            </w:hyperlink>
            <w:r w:rsidRPr="000240AC">
              <w:t>)</w:t>
            </w:r>
          </w:p>
        </w:tc>
        <w:tc>
          <w:tcPr>
            <w:tcW w:w="1333" w:type="dxa"/>
            <w:shd w:val="clear" w:color="auto" w:fill="auto"/>
            <w:tcMar>
              <w:right w:w="113" w:type="dxa"/>
            </w:tcMar>
          </w:tcPr>
          <w:p w:rsidR="00485180" w:rsidRPr="000240AC" w:rsidRDefault="00485180" w:rsidP="00CB37E9">
            <w:pPr>
              <w:spacing w:before="40" w:after="120" w:line="240" w:lineRule="atLeast"/>
              <w:ind w:right="113"/>
            </w:pPr>
          </w:p>
        </w:tc>
        <w:tc>
          <w:tcPr>
            <w:tcW w:w="1939" w:type="dxa"/>
            <w:shd w:val="clear" w:color="auto" w:fill="auto"/>
            <w:tcMar>
              <w:right w:w="113" w:type="dxa"/>
            </w:tcMar>
          </w:tcPr>
          <w:p w:rsidR="00485180" w:rsidRPr="000240AC" w:rsidRDefault="00485180" w:rsidP="00CB37E9">
            <w:pPr>
              <w:spacing w:before="40" w:after="120" w:line="240" w:lineRule="atLeast"/>
              <w:ind w:right="113"/>
            </w:pPr>
            <w:r w:rsidRPr="000240AC">
              <w:t>X incomplete</w:t>
            </w: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p>
        </w:tc>
        <w:tc>
          <w:tcPr>
            <w:tcW w:w="3767" w:type="dxa"/>
            <w:shd w:val="clear" w:color="auto" w:fill="auto"/>
            <w:tcMar>
              <w:right w:w="113" w:type="dxa"/>
            </w:tcMar>
          </w:tcPr>
          <w:p w:rsidR="00485180" w:rsidRPr="000240AC" w:rsidRDefault="00485180" w:rsidP="00CB37E9">
            <w:pPr>
              <w:spacing w:before="40" w:after="120" w:line="240" w:lineRule="atLeast"/>
              <w:ind w:right="113"/>
            </w:pPr>
            <w:r w:rsidRPr="000240AC">
              <w:t>43/2008, Saada Mohamad Adan</w:t>
            </w:r>
          </w:p>
        </w:tc>
        <w:tc>
          <w:tcPr>
            <w:tcW w:w="2114" w:type="dxa"/>
            <w:shd w:val="clear" w:color="auto" w:fill="auto"/>
            <w:tcMar>
              <w:right w:w="113" w:type="dxa"/>
            </w:tcMar>
          </w:tcPr>
          <w:p w:rsidR="00485180" w:rsidRPr="000240AC" w:rsidRDefault="00485180" w:rsidP="00CB37E9">
            <w:pPr>
              <w:spacing w:before="40" w:after="120" w:line="240" w:lineRule="atLeast"/>
              <w:ind w:right="113"/>
            </w:pPr>
            <w:r w:rsidRPr="000240AC">
              <w:t>X (</w:t>
            </w:r>
            <w:hyperlink r:id="rId62" w:history="1">
              <w:r w:rsidRPr="00133C6F">
                <w:rPr>
                  <w:rStyle w:val="Hyperlink"/>
                </w:rPr>
                <w:t>A/66/18</w:t>
              </w:r>
            </w:hyperlink>
            <w:r w:rsidRPr="000240AC">
              <w:t>)</w:t>
            </w:r>
            <w:r w:rsidRPr="000240AC">
              <w:br/>
              <w:t>6 December 2010</w:t>
            </w:r>
            <w:r w:rsidRPr="000240AC">
              <w:br/>
              <w:t>28 June 2011</w:t>
            </w:r>
          </w:p>
        </w:tc>
        <w:tc>
          <w:tcPr>
            <w:tcW w:w="1333" w:type="dxa"/>
            <w:shd w:val="clear" w:color="auto" w:fill="auto"/>
            <w:tcMar>
              <w:right w:w="113" w:type="dxa"/>
            </w:tcMar>
          </w:tcPr>
          <w:p w:rsidR="00485180" w:rsidRPr="000240AC" w:rsidRDefault="00485180" w:rsidP="00CB37E9">
            <w:pPr>
              <w:spacing w:before="40" w:after="120" w:line="240" w:lineRule="atLeast"/>
              <w:ind w:right="113"/>
            </w:pPr>
            <w:r w:rsidRPr="000240AC">
              <w:t>X partly satisfactory</w:t>
            </w:r>
          </w:p>
        </w:tc>
        <w:tc>
          <w:tcPr>
            <w:tcW w:w="1939" w:type="dxa"/>
            <w:shd w:val="clear" w:color="auto" w:fill="auto"/>
            <w:tcMar>
              <w:right w:w="113" w:type="dxa"/>
            </w:tcMar>
          </w:tcPr>
          <w:p w:rsidR="00485180" w:rsidRPr="000240AC" w:rsidRDefault="00485180" w:rsidP="00CB37E9">
            <w:pPr>
              <w:spacing w:before="40" w:after="120" w:line="240" w:lineRule="atLeast"/>
              <w:ind w:right="113"/>
            </w:pPr>
            <w:r w:rsidRPr="000240AC">
              <w:t xml:space="preserve">X </w:t>
            </w:r>
            <w:r w:rsidR="00A16A91">
              <w:br/>
            </w:r>
            <w:r w:rsidRPr="000240AC">
              <w:t xml:space="preserve">partly unsatisfactory </w:t>
            </w: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p>
        </w:tc>
        <w:tc>
          <w:tcPr>
            <w:tcW w:w="3767" w:type="dxa"/>
            <w:shd w:val="clear" w:color="auto" w:fill="auto"/>
            <w:tcMar>
              <w:right w:w="113" w:type="dxa"/>
            </w:tcMar>
          </w:tcPr>
          <w:p w:rsidR="00485180" w:rsidRPr="000240AC" w:rsidRDefault="00485180" w:rsidP="00CB37E9">
            <w:pPr>
              <w:spacing w:before="40" w:after="120" w:line="240" w:lineRule="atLeast"/>
              <w:ind w:right="113"/>
            </w:pPr>
            <w:r w:rsidRPr="000240AC">
              <w:t>46/2009, Mahali Dawas</w:t>
            </w:r>
            <w:r w:rsidRPr="000240AC">
              <w:br/>
              <w:t>and Yousef Shava</w:t>
            </w:r>
          </w:p>
          <w:p w:rsidR="00485180" w:rsidRPr="000240AC" w:rsidRDefault="00485180" w:rsidP="00CB37E9">
            <w:pPr>
              <w:spacing w:before="40" w:after="120" w:line="240" w:lineRule="atLeast"/>
              <w:ind w:right="113"/>
            </w:pPr>
          </w:p>
          <w:p w:rsidR="00485180" w:rsidRPr="000240AC" w:rsidRDefault="00485180" w:rsidP="00CB37E9">
            <w:pPr>
              <w:spacing w:before="40" w:after="120" w:line="240" w:lineRule="atLeast"/>
              <w:ind w:right="113"/>
            </w:pPr>
          </w:p>
          <w:p w:rsidR="00485180" w:rsidRPr="000240AC" w:rsidRDefault="00485180" w:rsidP="00CB37E9">
            <w:pPr>
              <w:spacing w:before="40" w:after="120" w:line="240" w:lineRule="atLeast"/>
              <w:ind w:right="113"/>
            </w:pPr>
            <w:r w:rsidRPr="000240AC">
              <w:t>58/2016, S.A</w:t>
            </w:r>
            <w:r>
              <w:t>.</w:t>
            </w:r>
          </w:p>
        </w:tc>
        <w:tc>
          <w:tcPr>
            <w:tcW w:w="2114" w:type="dxa"/>
            <w:shd w:val="clear" w:color="auto" w:fill="auto"/>
            <w:tcMar>
              <w:right w:w="113" w:type="dxa"/>
            </w:tcMar>
          </w:tcPr>
          <w:p w:rsidR="00485180" w:rsidRPr="000240AC" w:rsidRDefault="00485180" w:rsidP="00CB37E9">
            <w:pPr>
              <w:spacing w:before="40" w:after="120" w:line="240" w:lineRule="atLeast"/>
              <w:ind w:right="113"/>
            </w:pPr>
            <w:r w:rsidRPr="000240AC">
              <w:t>X (</w:t>
            </w:r>
            <w:hyperlink r:id="rId63" w:history="1">
              <w:r w:rsidRPr="00133C6F">
                <w:rPr>
                  <w:rStyle w:val="Hyperlink"/>
                </w:rPr>
                <w:t>A/69/18</w:t>
              </w:r>
            </w:hyperlink>
            <w:r w:rsidRPr="000240AC">
              <w:t>)</w:t>
            </w:r>
            <w:r w:rsidRPr="000240AC">
              <w:br/>
              <w:t>18 June 2012</w:t>
            </w:r>
            <w:r w:rsidRPr="000240AC">
              <w:br/>
              <w:t>29 August 2012</w:t>
            </w:r>
            <w:r w:rsidRPr="000240AC">
              <w:br/>
              <w:t>20 December 2013</w:t>
            </w:r>
            <w:r w:rsidRPr="000240AC">
              <w:br/>
              <w:t>19 December 2014</w:t>
            </w:r>
          </w:p>
          <w:p w:rsidR="00485180" w:rsidRPr="000240AC" w:rsidRDefault="00485180" w:rsidP="00CB37E9">
            <w:pPr>
              <w:spacing w:before="40" w:after="120" w:line="240" w:lineRule="atLeast"/>
              <w:ind w:right="113"/>
            </w:pPr>
            <w:r w:rsidRPr="000240AC">
              <w:t xml:space="preserve">X </w:t>
            </w:r>
            <w:r>
              <w:br/>
            </w:r>
            <w:r w:rsidRPr="000240AC">
              <w:t>5 April 2019</w:t>
            </w:r>
          </w:p>
        </w:tc>
        <w:tc>
          <w:tcPr>
            <w:tcW w:w="1333" w:type="dxa"/>
            <w:shd w:val="clear" w:color="auto" w:fill="auto"/>
            <w:tcMar>
              <w:right w:w="113" w:type="dxa"/>
            </w:tcMar>
          </w:tcPr>
          <w:p w:rsidR="00485180" w:rsidRPr="000240AC" w:rsidRDefault="00485180" w:rsidP="00CB37E9">
            <w:pPr>
              <w:spacing w:before="40" w:after="120" w:line="240" w:lineRule="atLeast"/>
              <w:ind w:right="113"/>
            </w:pPr>
            <w:r w:rsidRPr="000240AC">
              <w:t>X partly satisfactory</w:t>
            </w:r>
          </w:p>
          <w:p w:rsidR="00485180" w:rsidRPr="000240AC" w:rsidRDefault="00485180" w:rsidP="00CB37E9">
            <w:pPr>
              <w:spacing w:before="40" w:after="120" w:line="240" w:lineRule="atLeast"/>
              <w:ind w:right="113"/>
            </w:pPr>
          </w:p>
          <w:p w:rsidR="00485180" w:rsidRPr="000240AC" w:rsidRDefault="00485180" w:rsidP="00CB37E9">
            <w:pPr>
              <w:spacing w:before="40" w:after="120" w:line="240" w:lineRule="atLeast"/>
              <w:ind w:right="113"/>
            </w:pPr>
          </w:p>
          <w:p w:rsidR="00485180" w:rsidRPr="000240AC" w:rsidRDefault="00485180" w:rsidP="00A762ED">
            <w:pPr>
              <w:spacing w:before="40" w:after="120" w:line="240" w:lineRule="atLeast"/>
              <w:ind w:right="113"/>
            </w:pPr>
            <w:r w:rsidRPr="000240AC">
              <w:t>X partly satisfactory</w:t>
            </w:r>
          </w:p>
        </w:tc>
        <w:tc>
          <w:tcPr>
            <w:tcW w:w="1939" w:type="dxa"/>
            <w:shd w:val="clear" w:color="auto" w:fill="auto"/>
            <w:tcMar>
              <w:right w:w="113" w:type="dxa"/>
            </w:tcMar>
          </w:tcPr>
          <w:p w:rsidR="00485180" w:rsidRPr="000240AC" w:rsidRDefault="00485180" w:rsidP="00CB37E9">
            <w:pPr>
              <w:spacing w:before="40" w:after="120" w:line="240" w:lineRule="atLeast"/>
              <w:ind w:right="113"/>
            </w:pP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r w:rsidRPr="000240AC">
              <w:t>X</w:t>
            </w:r>
          </w:p>
          <w:p w:rsidR="00485180" w:rsidRPr="000240AC" w:rsidRDefault="00485180" w:rsidP="00CB37E9">
            <w:pPr>
              <w:spacing w:before="40" w:after="120" w:line="240" w:lineRule="atLeast"/>
              <w:ind w:right="113"/>
            </w:pPr>
          </w:p>
          <w:p w:rsidR="00485180" w:rsidRPr="000240AC" w:rsidRDefault="00485180" w:rsidP="00CB37E9">
            <w:pPr>
              <w:spacing w:before="40" w:after="120" w:line="240" w:lineRule="atLeast"/>
              <w:ind w:right="113"/>
            </w:pPr>
          </w:p>
          <w:p w:rsidR="00485180" w:rsidRPr="000240AC" w:rsidRDefault="00485180" w:rsidP="00CB37E9">
            <w:pPr>
              <w:spacing w:before="40" w:after="120" w:line="240" w:lineRule="atLeast"/>
              <w:ind w:right="113"/>
            </w:pPr>
          </w:p>
          <w:p w:rsidR="00485180" w:rsidRPr="000240AC" w:rsidRDefault="00485180" w:rsidP="00CB37E9">
            <w:pPr>
              <w:spacing w:before="40" w:after="120" w:line="240" w:lineRule="atLeast"/>
              <w:ind w:right="113"/>
            </w:pPr>
            <w:r w:rsidRPr="000240AC">
              <w:t>X</w:t>
            </w: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r>
              <w:t>France (1)</w:t>
            </w:r>
          </w:p>
        </w:tc>
        <w:tc>
          <w:tcPr>
            <w:tcW w:w="3767" w:type="dxa"/>
            <w:shd w:val="clear" w:color="auto" w:fill="auto"/>
            <w:tcMar>
              <w:right w:w="113" w:type="dxa"/>
            </w:tcMar>
          </w:tcPr>
          <w:p w:rsidR="00485180" w:rsidRPr="000240AC" w:rsidRDefault="00485180" w:rsidP="00CB37E9">
            <w:pPr>
              <w:spacing w:before="40" w:after="120" w:line="240" w:lineRule="atLeast"/>
              <w:ind w:right="113"/>
              <w:rPr>
                <w:lang w:val="de-DE"/>
              </w:rPr>
            </w:pPr>
            <w:r>
              <w:rPr>
                <w:lang w:val="de-DE"/>
              </w:rPr>
              <w:t>52/2012, Laurent Gabre Gabaroum</w:t>
            </w:r>
          </w:p>
        </w:tc>
        <w:tc>
          <w:tcPr>
            <w:tcW w:w="2114" w:type="dxa"/>
            <w:shd w:val="clear" w:color="auto" w:fill="auto"/>
            <w:tcMar>
              <w:right w:w="113" w:type="dxa"/>
            </w:tcMar>
          </w:tcPr>
          <w:p w:rsidR="00485180" w:rsidRPr="000240AC" w:rsidRDefault="00485180" w:rsidP="00663D1B">
            <w:pPr>
              <w:pStyle w:val="SingleTxtG"/>
              <w:spacing w:before="40" w:line="220" w:lineRule="exact"/>
              <w:ind w:left="0" w:right="113"/>
              <w:jc w:val="left"/>
            </w:pPr>
            <w:r>
              <w:t>X (</w:t>
            </w:r>
            <w:hyperlink r:id="rId64" w:history="1">
              <w:r w:rsidRPr="00133C6F">
                <w:rPr>
                  <w:rStyle w:val="Hyperlink"/>
                </w:rPr>
                <w:t>A/72/18</w:t>
              </w:r>
            </w:hyperlink>
            <w:r>
              <w:t>)</w:t>
            </w:r>
            <w:r w:rsidR="00663D1B">
              <w:br/>
            </w:r>
            <w:r>
              <w:t>23 November 2016</w:t>
            </w:r>
          </w:p>
        </w:tc>
        <w:tc>
          <w:tcPr>
            <w:tcW w:w="1333" w:type="dxa"/>
            <w:shd w:val="clear" w:color="auto" w:fill="auto"/>
            <w:tcMar>
              <w:right w:w="113" w:type="dxa"/>
            </w:tcMar>
          </w:tcPr>
          <w:p w:rsidR="00485180" w:rsidRPr="000240AC" w:rsidRDefault="00485180" w:rsidP="00CB37E9">
            <w:pPr>
              <w:spacing w:before="40" w:after="120" w:line="240" w:lineRule="atLeast"/>
              <w:ind w:right="113"/>
            </w:pPr>
          </w:p>
        </w:tc>
        <w:tc>
          <w:tcPr>
            <w:tcW w:w="1939" w:type="dxa"/>
            <w:shd w:val="clear" w:color="auto" w:fill="auto"/>
            <w:tcMar>
              <w:right w:w="113" w:type="dxa"/>
            </w:tcMar>
          </w:tcPr>
          <w:p w:rsidR="00485180" w:rsidRPr="000240AC" w:rsidRDefault="00485180" w:rsidP="00CB37E9">
            <w:pPr>
              <w:spacing w:before="40" w:after="120" w:line="240" w:lineRule="atLeast"/>
              <w:ind w:right="113"/>
            </w:pPr>
            <w:r w:rsidRPr="000240AC">
              <w:t xml:space="preserve">X </w:t>
            </w:r>
            <w:r w:rsidR="00A16A91">
              <w:br/>
            </w:r>
            <w:r w:rsidRPr="000240AC">
              <w:t>partly satisfactory</w:t>
            </w: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r>
              <w:t>X</w:t>
            </w: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r w:rsidRPr="000240AC">
              <w:t>Germany (1)</w:t>
            </w:r>
          </w:p>
        </w:tc>
        <w:tc>
          <w:tcPr>
            <w:tcW w:w="3767" w:type="dxa"/>
            <w:shd w:val="clear" w:color="auto" w:fill="auto"/>
            <w:tcMar>
              <w:right w:w="113" w:type="dxa"/>
            </w:tcMar>
          </w:tcPr>
          <w:p w:rsidR="00485180" w:rsidRPr="000240AC" w:rsidRDefault="00485180" w:rsidP="00CB37E9">
            <w:pPr>
              <w:spacing w:before="40" w:after="120" w:line="240" w:lineRule="atLeast"/>
              <w:ind w:right="113"/>
              <w:rPr>
                <w:lang w:val="de-DE"/>
              </w:rPr>
            </w:pPr>
            <w:r w:rsidRPr="000240AC">
              <w:rPr>
                <w:lang w:val="de-DE"/>
              </w:rPr>
              <w:t>48/2010, TBB-Turkish Union Berlin/Brandenburg</w:t>
            </w:r>
          </w:p>
        </w:tc>
        <w:tc>
          <w:tcPr>
            <w:tcW w:w="2114" w:type="dxa"/>
            <w:shd w:val="clear" w:color="auto" w:fill="auto"/>
            <w:tcMar>
              <w:right w:w="113" w:type="dxa"/>
            </w:tcMar>
          </w:tcPr>
          <w:p w:rsidR="00485180" w:rsidRPr="000240AC" w:rsidRDefault="00485180" w:rsidP="00CB37E9">
            <w:pPr>
              <w:spacing w:before="40" w:after="120" w:line="240" w:lineRule="atLeast"/>
              <w:ind w:right="113"/>
            </w:pPr>
            <w:r w:rsidRPr="000240AC">
              <w:t>X (</w:t>
            </w:r>
            <w:hyperlink r:id="rId65" w:history="1">
              <w:r w:rsidRPr="00133C6F">
                <w:rPr>
                  <w:rStyle w:val="Hyperlink"/>
                </w:rPr>
                <w:t>A/70/18</w:t>
              </w:r>
            </w:hyperlink>
            <w:r w:rsidRPr="000240AC">
              <w:t>)</w:t>
            </w:r>
            <w:r w:rsidRPr="000240AC">
              <w:br/>
              <w:t>1 July 2013</w:t>
            </w:r>
            <w:r w:rsidRPr="000240AC">
              <w:br/>
              <w:t>29 August 2013</w:t>
            </w:r>
            <w:r w:rsidRPr="000240AC">
              <w:br/>
              <w:t>17 September 2014</w:t>
            </w:r>
            <w:r w:rsidRPr="000240AC">
              <w:br/>
              <w:t>3 February 2015</w:t>
            </w:r>
          </w:p>
        </w:tc>
        <w:tc>
          <w:tcPr>
            <w:tcW w:w="1333" w:type="dxa"/>
            <w:shd w:val="clear" w:color="auto" w:fill="auto"/>
            <w:tcMar>
              <w:right w:w="113" w:type="dxa"/>
            </w:tcMar>
          </w:tcPr>
          <w:p w:rsidR="00485180" w:rsidRPr="000240AC" w:rsidRDefault="00485180" w:rsidP="00CB37E9">
            <w:pPr>
              <w:spacing w:before="40" w:after="120" w:line="240" w:lineRule="atLeast"/>
              <w:ind w:right="113"/>
            </w:pPr>
          </w:p>
        </w:tc>
        <w:tc>
          <w:tcPr>
            <w:tcW w:w="1939" w:type="dxa"/>
            <w:shd w:val="clear" w:color="auto" w:fill="auto"/>
            <w:tcMar>
              <w:right w:w="113" w:type="dxa"/>
            </w:tcMar>
          </w:tcPr>
          <w:p w:rsidR="00485180" w:rsidRPr="000240AC" w:rsidRDefault="00485180" w:rsidP="00CB37E9">
            <w:pPr>
              <w:spacing w:before="40" w:after="120" w:line="240" w:lineRule="atLeast"/>
              <w:ind w:right="113"/>
            </w:pP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r w:rsidRPr="000240AC">
              <w:t>X</w:t>
            </w:r>
          </w:p>
        </w:tc>
      </w:tr>
      <w:tr w:rsidR="00485180" w:rsidRPr="000240AC" w:rsidTr="00A16A91">
        <w:trPr>
          <w:cantSplit/>
        </w:trPr>
        <w:tc>
          <w:tcPr>
            <w:tcW w:w="1762" w:type="dxa"/>
            <w:shd w:val="clear" w:color="auto" w:fill="auto"/>
            <w:tcMar>
              <w:right w:w="113" w:type="dxa"/>
            </w:tcMar>
          </w:tcPr>
          <w:p w:rsidR="00485180" w:rsidRPr="000240AC" w:rsidRDefault="00485180" w:rsidP="00994F07">
            <w:pPr>
              <w:keepNext/>
              <w:keepLines/>
              <w:spacing w:before="40" w:after="120" w:line="240" w:lineRule="atLeast"/>
              <w:ind w:right="113"/>
            </w:pPr>
            <w:r w:rsidRPr="000240AC">
              <w:t>Netherlands (2)</w:t>
            </w:r>
          </w:p>
        </w:tc>
        <w:tc>
          <w:tcPr>
            <w:tcW w:w="3767" w:type="dxa"/>
            <w:shd w:val="clear" w:color="auto" w:fill="auto"/>
            <w:tcMar>
              <w:right w:w="113" w:type="dxa"/>
            </w:tcMar>
          </w:tcPr>
          <w:p w:rsidR="00485180" w:rsidRPr="000240AC" w:rsidRDefault="00485180" w:rsidP="00994F07">
            <w:pPr>
              <w:keepNext/>
              <w:keepLines/>
              <w:spacing w:before="40" w:after="120" w:line="240" w:lineRule="atLeast"/>
              <w:ind w:right="113"/>
            </w:pPr>
            <w:r w:rsidRPr="000240AC">
              <w:t>1/1984, A. Yilmaz-Dogan</w:t>
            </w:r>
          </w:p>
        </w:tc>
        <w:tc>
          <w:tcPr>
            <w:tcW w:w="2114" w:type="dxa"/>
            <w:shd w:val="clear" w:color="auto" w:fill="auto"/>
            <w:tcMar>
              <w:right w:w="113" w:type="dxa"/>
            </w:tcMar>
          </w:tcPr>
          <w:p w:rsidR="00485180" w:rsidRPr="000240AC" w:rsidRDefault="00485180" w:rsidP="00994F07">
            <w:pPr>
              <w:keepNext/>
              <w:keepLines/>
              <w:spacing w:before="40" w:after="120" w:line="240" w:lineRule="atLeast"/>
              <w:ind w:right="113"/>
            </w:pPr>
          </w:p>
        </w:tc>
        <w:tc>
          <w:tcPr>
            <w:tcW w:w="1333" w:type="dxa"/>
            <w:shd w:val="clear" w:color="auto" w:fill="auto"/>
            <w:tcMar>
              <w:right w:w="113" w:type="dxa"/>
            </w:tcMar>
          </w:tcPr>
          <w:p w:rsidR="00485180" w:rsidRPr="000240AC" w:rsidRDefault="00485180" w:rsidP="00994F07">
            <w:pPr>
              <w:keepNext/>
              <w:keepLines/>
              <w:spacing w:before="40" w:after="120" w:line="240" w:lineRule="atLeast"/>
              <w:ind w:right="113"/>
            </w:pPr>
          </w:p>
        </w:tc>
        <w:tc>
          <w:tcPr>
            <w:tcW w:w="1939" w:type="dxa"/>
            <w:shd w:val="clear" w:color="auto" w:fill="auto"/>
            <w:tcMar>
              <w:right w:w="113" w:type="dxa"/>
            </w:tcMar>
          </w:tcPr>
          <w:p w:rsidR="00485180" w:rsidRPr="000240AC" w:rsidRDefault="00485180" w:rsidP="00994F07">
            <w:pPr>
              <w:keepNext/>
              <w:keepLines/>
              <w:spacing w:before="40" w:after="120" w:line="240" w:lineRule="atLeast"/>
              <w:ind w:right="113"/>
            </w:pPr>
          </w:p>
        </w:tc>
        <w:tc>
          <w:tcPr>
            <w:tcW w:w="1418" w:type="dxa"/>
            <w:shd w:val="clear" w:color="auto" w:fill="auto"/>
            <w:tcMar>
              <w:right w:w="113" w:type="dxa"/>
            </w:tcMar>
          </w:tcPr>
          <w:p w:rsidR="00485180" w:rsidRPr="000240AC" w:rsidRDefault="00485180" w:rsidP="00994F07">
            <w:pPr>
              <w:keepNext/>
              <w:keepLines/>
              <w:spacing w:before="40" w:after="120" w:line="240" w:lineRule="atLeast"/>
              <w:ind w:right="113"/>
            </w:pPr>
            <w:r w:rsidRPr="000240AC">
              <w:t xml:space="preserve">X </w:t>
            </w:r>
          </w:p>
        </w:tc>
        <w:tc>
          <w:tcPr>
            <w:tcW w:w="1159" w:type="dxa"/>
            <w:shd w:val="clear" w:color="auto" w:fill="auto"/>
            <w:tcMar>
              <w:right w:w="113" w:type="dxa"/>
            </w:tcMar>
          </w:tcPr>
          <w:p w:rsidR="00485180" w:rsidRPr="000240AC" w:rsidRDefault="00485180" w:rsidP="00994F07">
            <w:pPr>
              <w:keepNext/>
              <w:keepLines/>
              <w:spacing w:before="40" w:after="120" w:line="240" w:lineRule="atLeast"/>
              <w:ind w:right="113"/>
            </w:pPr>
          </w:p>
        </w:tc>
      </w:tr>
      <w:tr w:rsidR="00485180" w:rsidRPr="000240AC" w:rsidTr="00A16A91">
        <w:trPr>
          <w:cantSplit/>
        </w:trPr>
        <w:tc>
          <w:tcPr>
            <w:tcW w:w="1762" w:type="dxa"/>
            <w:shd w:val="clear" w:color="auto" w:fill="auto"/>
            <w:tcMar>
              <w:right w:w="113" w:type="dxa"/>
            </w:tcMar>
          </w:tcPr>
          <w:p w:rsidR="00485180" w:rsidRPr="000240AC" w:rsidRDefault="00485180" w:rsidP="00994F07">
            <w:pPr>
              <w:keepNext/>
              <w:keepLines/>
              <w:spacing w:before="40" w:after="120" w:line="240" w:lineRule="atLeast"/>
              <w:ind w:right="113"/>
            </w:pPr>
          </w:p>
        </w:tc>
        <w:tc>
          <w:tcPr>
            <w:tcW w:w="3767" w:type="dxa"/>
            <w:shd w:val="clear" w:color="auto" w:fill="auto"/>
            <w:tcMar>
              <w:right w:w="113" w:type="dxa"/>
            </w:tcMar>
          </w:tcPr>
          <w:p w:rsidR="00485180" w:rsidRPr="000240AC" w:rsidRDefault="00485180" w:rsidP="00994F07">
            <w:pPr>
              <w:keepNext/>
              <w:keepLines/>
              <w:spacing w:before="40" w:after="120" w:line="240" w:lineRule="atLeast"/>
              <w:ind w:right="113"/>
            </w:pPr>
            <w:r w:rsidRPr="000240AC">
              <w:t>4/1991, L.K.</w:t>
            </w:r>
          </w:p>
        </w:tc>
        <w:tc>
          <w:tcPr>
            <w:tcW w:w="2114" w:type="dxa"/>
            <w:shd w:val="clear" w:color="auto" w:fill="auto"/>
            <w:tcMar>
              <w:right w:w="113" w:type="dxa"/>
            </w:tcMar>
          </w:tcPr>
          <w:p w:rsidR="00485180" w:rsidRPr="000240AC" w:rsidRDefault="00485180" w:rsidP="00994F07">
            <w:pPr>
              <w:keepNext/>
              <w:keepLines/>
              <w:spacing w:before="40" w:after="120" w:line="240" w:lineRule="atLeast"/>
              <w:ind w:right="113"/>
            </w:pPr>
          </w:p>
        </w:tc>
        <w:tc>
          <w:tcPr>
            <w:tcW w:w="1333" w:type="dxa"/>
            <w:shd w:val="clear" w:color="auto" w:fill="auto"/>
            <w:tcMar>
              <w:right w:w="113" w:type="dxa"/>
            </w:tcMar>
          </w:tcPr>
          <w:p w:rsidR="00485180" w:rsidRPr="000240AC" w:rsidRDefault="00485180" w:rsidP="00994F07">
            <w:pPr>
              <w:keepNext/>
              <w:keepLines/>
              <w:spacing w:before="40" w:after="120" w:line="240" w:lineRule="atLeast"/>
              <w:ind w:right="113"/>
            </w:pPr>
          </w:p>
        </w:tc>
        <w:tc>
          <w:tcPr>
            <w:tcW w:w="1939" w:type="dxa"/>
            <w:shd w:val="clear" w:color="auto" w:fill="auto"/>
            <w:tcMar>
              <w:right w:w="113" w:type="dxa"/>
            </w:tcMar>
          </w:tcPr>
          <w:p w:rsidR="00485180" w:rsidRPr="000240AC" w:rsidRDefault="00485180" w:rsidP="00994F07">
            <w:pPr>
              <w:keepNext/>
              <w:keepLines/>
              <w:spacing w:before="40" w:after="120" w:line="240" w:lineRule="atLeast"/>
              <w:ind w:right="113"/>
            </w:pPr>
          </w:p>
        </w:tc>
        <w:tc>
          <w:tcPr>
            <w:tcW w:w="1418" w:type="dxa"/>
            <w:shd w:val="clear" w:color="auto" w:fill="auto"/>
            <w:tcMar>
              <w:right w:w="113" w:type="dxa"/>
            </w:tcMar>
          </w:tcPr>
          <w:p w:rsidR="00485180" w:rsidRPr="000240AC" w:rsidRDefault="00485180" w:rsidP="00994F07">
            <w:pPr>
              <w:keepNext/>
              <w:keepLines/>
              <w:spacing w:before="40" w:after="120" w:line="240" w:lineRule="atLeast"/>
              <w:ind w:right="113"/>
            </w:pPr>
            <w:r w:rsidRPr="000240AC">
              <w:t xml:space="preserve">X </w:t>
            </w:r>
          </w:p>
        </w:tc>
        <w:tc>
          <w:tcPr>
            <w:tcW w:w="1159" w:type="dxa"/>
            <w:shd w:val="clear" w:color="auto" w:fill="auto"/>
            <w:tcMar>
              <w:right w:w="113" w:type="dxa"/>
            </w:tcMar>
          </w:tcPr>
          <w:p w:rsidR="00485180" w:rsidRPr="000240AC" w:rsidRDefault="00485180" w:rsidP="00994F07">
            <w:pPr>
              <w:keepNext/>
              <w:keepLines/>
              <w:spacing w:before="40" w:after="120" w:line="240" w:lineRule="atLeast"/>
              <w:ind w:right="113"/>
            </w:pP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r w:rsidRPr="000240AC">
              <w:t>Norway (1)</w:t>
            </w:r>
          </w:p>
        </w:tc>
        <w:tc>
          <w:tcPr>
            <w:tcW w:w="3767" w:type="dxa"/>
            <w:shd w:val="clear" w:color="auto" w:fill="auto"/>
            <w:tcMar>
              <w:right w:w="113" w:type="dxa"/>
            </w:tcMar>
          </w:tcPr>
          <w:p w:rsidR="00485180" w:rsidRPr="000240AC" w:rsidRDefault="00485180" w:rsidP="00CB37E9">
            <w:pPr>
              <w:spacing w:before="40" w:after="120" w:line="240" w:lineRule="atLeast"/>
              <w:ind w:right="113"/>
            </w:pPr>
            <w:r w:rsidRPr="000240AC">
              <w:t>30/2003, The Jewish Community of Oslo</w:t>
            </w:r>
          </w:p>
        </w:tc>
        <w:tc>
          <w:tcPr>
            <w:tcW w:w="2114" w:type="dxa"/>
            <w:shd w:val="clear" w:color="auto" w:fill="auto"/>
            <w:tcMar>
              <w:right w:w="113" w:type="dxa"/>
            </w:tcMar>
          </w:tcPr>
          <w:p w:rsidR="00485180" w:rsidRPr="000240AC" w:rsidRDefault="00485180" w:rsidP="00CB37E9">
            <w:pPr>
              <w:spacing w:before="40" w:after="120" w:line="240" w:lineRule="atLeast"/>
              <w:ind w:right="113"/>
            </w:pPr>
            <w:r w:rsidRPr="000240AC">
              <w:t>X (</w:t>
            </w:r>
            <w:hyperlink r:id="rId66" w:history="1">
              <w:r w:rsidRPr="00133C6F">
                <w:rPr>
                  <w:rStyle w:val="Hyperlink"/>
                </w:rPr>
                <w:t>A/62/18</w:t>
              </w:r>
            </w:hyperlink>
            <w:r w:rsidRPr="000240AC">
              <w:t>)</w:t>
            </w:r>
          </w:p>
        </w:tc>
        <w:tc>
          <w:tcPr>
            <w:tcW w:w="1333" w:type="dxa"/>
            <w:shd w:val="clear" w:color="auto" w:fill="auto"/>
            <w:tcMar>
              <w:right w:w="113" w:type="dxa"/>
            </w:tcMar>
          </w:tcPr>
          <w:p w:rsidR="00485180" w:rsidRPr="000240AC" w:rsidRDefault="00485180" w:rsidP="00CB37E9">
            <w:pPr>
              <w:spacing w:before="40" w:after="120" w:line="240" w:lineRule="atLeast"/>
              <w:ind w:right="113"/>
            </w:pPr>
          </w:p>
        </w:tc>
        <w:tc>
          <w:tcPr>
            <w:tcW w:w="1939" w:type="dxa"/>
            <w:shd w:val="clear" w:color="auto" w:fill="auto"/>
            <w:tcMar>
              <w:right w:w="113" w:type="dxa"/>
            </w:tcMar>
          </w:tcPr>
          <w:p w:rsidR="00485180" w:rsidRPr="000240AC" w:rsidRDefault="00485180" w:rsidP="00CB37E9">
            <w:pPr>
              <w:spacing w:before="40" w:after="120" w:line="240" w:lineRule="atLeast"/>
              <w:ind w:right="113"/>
            </w:pPr>
          </w:p>
        </w:tc>
        <w:tc>
          <w:tcPr>
            <w:tcW w:w="1418" w:type="dxa"/>
            <w:shd w:val="clear" w:color="auto" w:fill="auto"/>
            <w:tcMar>
              <w:right w:w="113" w:type="dxa"/>
            </w:tcMar>
          </w:tcPr>
          <w:p w:rsidR="00485180" w:rsidRPr="000240AC" w:rsidRDefault="00485180" w:rsidP="00994F07">
            <w:pPr>
              <w:spacing w:before="40" w:after="120" w:line="240" w:lineRule="atLeast"/>
              <w:ind w:right="113"/>
            </w:pPr>
            <w:r w:rsidRPr="000240AC">
              <w:t>X</w:t>
            </w:r>
          </w:p>
        </w:tc>
        <w:tc>
          <w:tcPr>
            <w:tcW w:w="1159" w:type="dxa"/>
            <w:shd w:val="clear" w:color="auto" w:fill="auto"/>
            <w:tcMar>
              <w:right w:w="113" w:type="dxa"/>
            </w:tcMar>
          </w:tcPr>
          <w:p w:rsidR="00485180" w:rsidRPr="000240AC" w:rsidRDefault="00485180" w:rsidP="00CB37E9">
            <w:pPr>
              <w:spacing w:before="40" w:after="120" w:line="240" w:lineRule="atLeast"/>
              <w:ind w:right="113"/>
            </w:pPr>
            <w:r>
              <w:rPr>
                <w:szCs w:val="19"/>
              </w:rPr>
              <w:t>X</w:t>
            </w: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r w:rsidRPr="000240AC">
              <w:lastRenderedPageBreak/>
              <w:t>Republic of</w:t>
            </w:r>
            <w:r w:rsidRPr="000240AC">
              <w:br/>
              <w:t>Korea (1)</w:t>
            </w:r>
          </w:p>
        </w:tc>
        <w:tc>
          <w:tcPr>
            <w:tcW w:w="3767" w:type="dxa"/>
            <w:shd w:val="clear" w:color="auto" w:fill="auto"/>
            <w:tcMar>
              <w:right w:w="113" w:type="dxa"/>
            </w:tcMar>
          </w:tcPr>
          <w:p w:rsidR="00485180" w:rsidRPr="000240AC" w:rsidRDefault="00485180" w:rsidP="00CB37E9">
            <w:pPr>
              <w:spacing w:before="40" w:after="120" w:line="240" w:lineRule="atLeast"/>
              <w:ind w:right="113"/>
            </w:pPr>
            <w:r w:rsidRPr="000240AC">
              <w:t>51/2012, L.G.</w:t>
            </w:r>
          </w:p>
        </w:tc>
        <w:tc>
          <w:tcPr>
            <w:tcW w:w="2114" w:type="dxa"/>
            <w:shd w:val="clear" w:color="auto" w:fill="auto"/>
            <w:tcMar>
              <w:right w:w="113" w:type="dxa"/>
            </w:tcMar>
          </w:tcPr>
          <w:p w:rsidR="00485180" w:rsidRPr="000240AC" w:rsidRDefault="00485180" w:rsidP="00581D98">
            <w:pPr>
              <w:spacing w:before="40" w:after="120" w:line="240" w:lineRule="atLeast"/>
              <w:ind w:right="113"/>
            </w:pPr>
            <w:r w:rsidRPr="000240AC">
              <w:t>X</w:t>
            </w:r>
            <w:r>
              <w:t xml:space="preserve"> </w:t>
            </w:r>
            <w:r w:rsidRPr="008168B8">
              <w:t>(</w:t>
            </w:r>
            <w:hyperlink r:id="rId67" w:history="1">
              <w:r w:rsidRPr="00133C6F">
                <w:rPr>
                  <w:rStyle w:val="Hyperlink"/>
                </w:rPr>
                <w:t>A/71/18</w:t>
              </w:r>
            </w:hyperlink>
            <w:r w:rsidRPr="008168B8">
              <w:t>)</w:t>
            </w:r>
            <w:r>
              <w:br/>
            </w:r>
            <w:r w:rsidRPr="000240AC">
              <w:t>9 December 2016</w:t>
            </w:r>
          </w:p>
        </w:tc>
        <w:tc>
          <w:tcPr>
            <w:tcW w:w="1333" w:type="dxa"/>
            <w:shd w:val="clear" w:color="auto" w:fill="auto"/>
            <w:tcMar>
              <w:right w:w="113" w:type="dxa"/>
            </w:tcMar>
          </w:tcPr>
          <w:p w:rsidR="00485180" w:rsidRPr="000240AC" w:rsidRDefault="00485180" w:rsidP="00CB37E9">
            <w:pPr>
              <w:spacing w:before="40" w:after="120" w:line="240" w:lineRule="atLeast"/>
              <w:ind w:right="113"/>
            </w:pPr>
          </w:p>
        </w:tc>
        <w:tc>
          <w:tcPr>
            <w:tcW w:w="1939" w:type="dxa"/>
            <w:shd w:val="clear" w:color="auto" w:fill="auto"/>
            <w:tcMar>
              <w:right w:w="113" w:type="dxa"/>
            </w:tcMar>
          </w:tcPr>
          <w:p w:rsidR="00485180" w:rsidRPr="000240AC" w:rsidRDefault="00485180" w:rsidP="00994F07">
            <w:pPr>
              <w:spacing w:before="40" w:after="120" w:line="240" w:lineRule="atLeast"/>
              <w:ind w:right="113"/>
            </w:pPr>
            <w:r w:rsidRPr="000240AC">
              <w:t>X</w:t>
            </w:r>
            <w:r>
              <w:br/>
            </w:r>
            <w:r w:rsidRPr="00BF05CB">
              <w:t>partly satisfactory</w:t>
            </w: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r>
              <w:t>X</w:t>
            </w: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r>
              <w:t xml:space="preserve">Republic of </w:t>
            </w:r>
            <w:r>
              <w:br/>
              <w:t>Moldova (1)</w:t>
            </w:r>
          </w:p>
        </w:tc>
        <w:tc>
          <w:tcPr>
            <w:tcW w:w="3767" w:type="dxa"/>
            <w:shd w:val="clear" w:color="auto" w:fill="auto"/>
            <w:tcMar>
              <w:right w:w="113" w:type="dxa"/>
            </w:tcMar>
          </w:tcPr>
          <w:p w:rsidR="00485180" w:rsidRPr="000240AC" w:rsidRDefault="00485180" w:rsidP="00CB37E9">
            <w:pPr>
              <w:spacing w:before="40" w:after="120" w:line="240" w:lineRule="atLeast"/>
              <w:ind w:right="113"/>
            </w:pPr>
            <w:r w:rsidRPr="00303F71">
              <w:t>57/2015, Salifou Belemvire</w:t>
            </w:r>
          </w:p>
        </w:tc>
        <w:tc>
          <w:tcPr>
            <w:tcW w:w="2114" w:type="dxa"/>
            <w:shd w:val="clear" w:color="auto" w:fill="auto"/>
            <w:tcMar>
              <w:right w:w="113" w:type="dxa"/>
            </w:tcMar>
          </w:tcPr>
          <w:p w:rsidR="00485180" w:rsidRPr="000240AC" w:rsidRDefault="00485180" w:rsidP="00581D98">
            <w:pPr>
              <w:spacing w:before="40" w:after="120" w:line="240" w:lineRule="atLeast"/>
              <w:ind w:right="113"/>
            </w:pPr>
            <w:r>
              <w:t>X (</w:t>
            </w:r>
            <w:hyperlink r:id="rId68" w:history="1">
              <w:r w:rsidRPr="00133C6F">
                <w:rPr>
                  <w:rStyle w:val="Hyperlink"/>
                </w:rPr>
                <w:t>A/73/18</w:t>
              </w:r>
            </w:hyperlink>
            <w:r>
              <w:t>)</w:t>
            </w:r>
            <w:r w:rsidR="00581D98">
              <w:br/>
            </w:r>
            <w:r>
              <w:t>27 March 2018</w:t>
            </w:r>
          </w:p>
        </w:tc>
        <w:tc>
          <w:tcPr>
            <w:tcW w:w="1333" w:type="dxa"/>
            <w:shd w:val="clear" w:color="auto" w:fill="auto"/>
            <w:tcMar>
              <w:right w:w="113" w:type="dxa"/>
            </w:tcMar>
          </w:tcPr>
          <w:p w:rsidR="00485180" w:rsidRPr="000240AC" w:rsidRDefault="00485180" w:rsidP="00CB37E9">
            <w:pPr>
              <w:spacing w:before="40" w:after="120" w:line="240" w:lineRule="atLeast"/>
              <w:ind w:right="113"/>
            </w:pPr>
          </w:p>
        </w:tc>
        <w:tc>
          <w:tcPr>
            <w:tcW w:w="1939" w:type="dxa"/>
            <w:shd w:val="clear" w:color="auto" w:fill="auto"/>
            <w:tcMar>
              <w:right w:w="113" w:type="dxa"/>
            </w:tcMar>
          </w:tcPr>
          <w:p w:rsidR="00485180" w:rsidRPr="000240AC" w:rsidRDefault="00485180" w:rsidP="00CB37E9">
            <w:pPr>
              <w:spacing w:before="40" w:after="120" w:line="240" w:lineRule="atLeast"/>
              <w:ind w:right="113"/>
            </w:pPr>
            <w:r>
              <w:t>X</w:t>
            </w:r>
            <w:r>
              <w:br/>
            </w:r>
            <w:r w:rsidRPr="00BF05CB">
              <w:t>partly satisfactory</w:t>
            </w: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r>
              <w:t>X</w:t>
            </w: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r w:rsidRPr="000240AC">
              <w:t xml:space="preserve">Serbia and </w:t>
            </w:r>
            <w:r w:rsidRPr="000240AC">
              <w:br/>
              <w:t>Montenegro (1)</w:t>
            </w:r>
          </w:p>
        </w:tc>
        <w:tc>
          <w:tcPr>
            <w:tcW w:w="3767" w:type="dxa"/>
            <w:shd w:val="clear" w:color="auto" w:fill="auto"/>
            <w:tcMar>
              <w:right w:w="113" w:type="dxa"/>
            </w:tcMar>
          </w:tcPr>
          <w:p w:rsidR="00485180" w:rsidRPr="000240AC" w:rsidRDefault="00485180" w:rsidP="00CB37E9">
            <w:pPr>
              <w:spacing w:before="40" w:after="120" w:line="240" w:lineRule="atLeast"/>
              <w:ind w:right="113"/>
            </w:pPr>
            <w:r w:rsidRPr="000240AC">
              <w:t>29/2003, Dragan Durmic</w:t>
            </w:r>
          </w:p>
        </w:tc>
        <w:tc>
          <w:tcPr>
            <w:tcW w:w="2114" w:type="dxa"/>
            <w:shd w:val="clear" w:color="auto" w:fill="auto"/>
            <w:tcMar>
              <w:right w:w="113" w:type="dxa"/>
            </w:tcMar>
          </w:tcPr>
          <w:p w:rsidR="00485180" w:rsidRPr="000240AC" w:rsidRDefault="00485180" w:rsidP="00CB37E9">
            <w:pPr>
              <w:spacing w:before="40" w:after="120" w:line="240" w:lineRule="atLeast"/>
              <w:ind w:right="113"/>
            </w:pPr>
            <w:r w:rsidRPr="000240AC">
              <w:t>X (</w:t>
            </w:r>
            <w:hyperlink r:id="rId69" w:history="1">
              <w:r w:rsidRPr="00133C6F">
                <w:rPr>
                  <w:rStyle w:val="Hyperlink"/>
                </w:rPr>
                <w:t>A/62/18</w:t>
              </w:r>
            </w:hyperlink>
            <w:r w:rsidRPr="000240AC">
              <w:t>)</w:t>
            </w:r>
          </w:p>
        </w:tc>
        <w:tc>
          <w:tcPr>
            <w:tcW w:w="1333" w:type="dxa"/>
            <w:shd w:val="clear" w:color="auto" w:fill="auto"/>
            <w:tcMar>
              <w:right w:w="113" w:type="dxa"/>
            </w:tcMar>
          </w:tcPr>
          <w:p w:rsidR="00485180" w:rsidRPr="000240AC" w:rsidRDefault="00485180" w:rsidP="00CB37E9">
            <w:pPr>
              <w:spacing w:before="40" w:after="120" w:line="240" w:lineRule="atLeast"/>
              <w:ind w:right="113"/>
            </w:pPr>
          </w:p>
        </w:tc>
        <w:tc>
          <w:tcPr>
            <w:tcW w:w="1939" w:type="dxa"/>
            <w:shd w:val="clear" w:color="auto" w:fill="auto"/>
            <w:tcMar>
              <w:right w:w="113" w:type="dxa"/>
            </w:tcMar>
          </w:tcPr>
          <w:p w:rsidR="00485180" w:rsidRPr="000240AC" w:rsidRDefault="00485180" w:rsidP="00CB37E9">
            <w:pPr>
              <w:spacing w:before="40" w:after="120" w:line="240" w:lineRule="atLeast"/>
              <w:ind w:right="113"/>
            </w:pP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r w:rsidRPr="000240AC">
              <w:t>X</w:t>
            </w:r>
          </w:p>
        </w:tc>
      </w:tr>
      <w:tr w:rsidR="00485180" w:rsidRPr="000240AC" w:rsidTr="00A16A91">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r w:rsidRPr="000240AC">
              <w:t>Slovakia (3)</w:t>
            </w:r>
          </w:p>
        </w:tc>
        <w:tc>
          <w:tcPr>
            <w:tcW w:w="3767" w:type="dxa"/>
            <w:shd w:val="clear" w:color="auto" w:fill="auto"/>
            <w:tcMar>
              <w:right w:w="113" w:type="dxa"/>
            </w:tcMar>
          </w:tcPr>
          <w:p w:rsidR="00485180" w:rsidRPr="000240AC" w:rsidRDefault="00485180" w:rsidP="00CB37E9">
            <w:pPr>
              <w:spacing w:before="40" w:after="120" w:line="240" w:lineRule="atLeast"/>
              <w:ind w:right="113"/>
            </w:pPr>
            <w:r w:rsidRPr="000240AC">
              <w:t>13/1998, Anna Koptova</w:t>
            </w:r>
          </w:p>
        </w:tc>
        <w:tc>
          <w:tcPr>
            <w:tcW w:w="2114" w:type="dxa"/>
            <w:shd w:val="clear" w:color="auto" w:fill="auto"/>
            <w:tcMar>
              <w:right w:w="113" w:type="dxa"/>
            </w:tcMar>
          </w:tcPr>
          <w:p w:rsidR="00485180" w:rsidRPr="000240AC" w:rsidRDefault="00485180" w:rsidP="00CB37E9">
            <w:pPr>
              <w:spacing w:before="40" w:after="120" w:line="240" w:lineRule="atLeast"/>
              <w:ind w:right="113"/>
            </w:pPr>
            <w:r w:rsidRPr="000240AC">
              <w:t>X (</w:t>
            </w:r>
            <w:hyperlink r:id="rId70" w:history="1">
              <w:r w:rsidRPr="00133C6F">
                <w:rPr>
                  <w:rStyle w:val="Hyperlink"/>
                </w:rPr>
                <w:t>A/61/18</w:t>
              </w:r>
            </w:hyperlink>
            <w:r>
              <w:t xml:space="preserve">, </w:t>
            </w:r>
            <w:r w:rsidRPr="000240AC">
              <w:br/>
            </w:r>
            <w:hyperlink r:id="rId71" w:history="1">
              <w:r w:rsidRPr="00133C6F">
                <w:rPr>
                  <w:rStyle w:val="Hyperlink"/>
                </w:rPr>
                <w:t>A/62/18</w:t>
              </w:r>
            </w:hyperlink>
            <w:r w:rsidRPr="000240AC">
              <w:t>)</w:t>
            </w:r>
          </w:p>
        </w:tc>
        <w:tc>
          <w:tcPr>
            <w:tcW w:w="1333" w:type="dxa"/>
            <w:shd w:val="clear" w:color="auto" w:fill="auto"/>
            <w:tcMar>
              <w:right w:w="113" w:type="dxa"/>
            </w:tcMar>
          </w:tcPr>
          <w:p w:rsidR="00485180" w:rsidRPr="000240AC" w:rsidRDefault="00485180" w:rsidP="00CB37E9">
            <w:pPr>
              <w:spacing w:before="40" w:after="120" w:line="240" w:lineRule="atLeast"/>
              <w:ind w:right="113"/>
            </w:pPr>
          </w:p>
        </w:tc>
        <w:tc>
          <w:tcPr>
            <w:tcW w:w="1939" w:type="dxa"/>
            <w:shd w:val="clear" w:color="auto" w:fill="auto"/>
            <w:tcMar>
              <w:right w:w="113" w:type="dxa"/>
            </w:tcMar>
          </w:tcPr>
          <w:p w:rsidR="00485180" w:rsidRPr="000240AC" w:rsidRDefault="00485180" w:rsidP="00CB37E9">
            <w:pPr>
              <w:spacing w:before="40" w:after="120" w:line="240" w:lineRule="atLeast"/>
              <w:ind w:right="113"/>
            </w:pP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r w:rsidRPr="000240AC">
              <w:t>X</w:t>
            </w:r>
          </w:p>
        </w:tc>
      </w:tr>
      <w:tr w:rsidR="00485180" w:rsidRPr="000240AC" w:rsidTr="00337856">
        <w:trPr>
          <w:cantSplit/>
        </w:trPr>
        <w:tc>
          <w:tcPr>
            <w:tcW w:w="1762" w:type="dxa"/>
            <w:shd w:val="clear" w:color="auto" w:fill="auto"/>
            <w:tcMar>
              <w:right w:w="113" w:type="dxa"/>
            </w:tcMar>
          </w:tcPr>
          <w:p w:rsidR="00485180" w:rsidRPr="000240AC" w:rsidRDefault="00485180" w:rsidP="00CB37E9">
            <w:pPr>
              <w:spacing w:before="40" w:after="120" w:line="240" w:lineRule="atLeast"/>
              <w:ind w:right="113"/>
            </w:pPr>
          </w:p>
        </w:tc>
        <w:tc>
          <w:tcPr>
            <w:tcW w:w="3767" w:type="dxa"/>
            <w:shd w:val="clear" w:color="auto" w:fill="auto"/>
            <w:tcMar>
              <w:right w:w="113" w:type="dxa"/>
            </w:tcMar>
          </w:tcPr>
          <w:p w:rsidR="00485180" w:rsidRPr="000240AC" w:rsidRDefault="00485180" w:rsidP="00CB37E9">
            <w:pPr>
              <w:spacing w:before="40" w:after="120" w:line="240" w:lineRule="atLeast"/>
              <w:ind w:right="113"/>
            </w:pPr>
            <w:r w:rsidRPr="000240AC">
              <w:rPr>
                <w:lang w:val="fr-CH"/>
              </w:rPr>
              <w:t>31/2003, L.R. et al.</w:t>
            </w:r>
          </w:p>
        </w:tc>
        <w:tc>
          <w:tcPr>
            <w:tcW w:w="2114" w:type="dxa"/>
            <w:shd w:val="clear" w:color="auto" w:fill="auto"/>
            <w:tcMar>
              <w:right w:w="113" w:type="dxa"/>
            </w:tcMar>
          </w:tcPr>
          <w:p w:rsidR="00485180" w:rsidRPr="000240AC" w:rsidRDefault="00485180" w:rsidP="00581D98">
            <w:pPr>
              <w:spacing w:before="40" w:after="120" w:line="240" w:lineRule="atLeast"/>
              <w:ind w:right="113"/>
            </w:pPr>
            <w:r w:rsidRPr="000240AC">
              <w:t>X (</w:t>
            </w:r>
            <w:hyperlink r:id="rId72" w:history="1">
              <w:r w:rsidRPr="00133C6F">
                <w:rPr>
                  <w:rStyle w:val="Hyperlink"/>
                </w:rPr>
                <w:t>A/61/18</w:t>
              </w:r>
            </w:hyperlink>
            <w:r>
              <w:t xml:space="preserve">, </w:t>
            </w:r>
            <w:r w:rsidRPr="000240AC">
              <w:br/>
            </w:r>
            <w:hyperlink r:id="rId73" w:history="1">
              <w:r w:rsidRPr="00133C6F">
                <w:rPr>
                  <w:rStyle w:val="Hyperlink"/>
                </w:rPr>
                <w:t>A/62/18</w:t>
              </w:r>
            </w:hyperlink>
            <w:r w:rsidRPr="000240AC">
              <w:t>)</w:t>
            </w:r>
          </w:p>
        </w:tc>
        <w:tc>
          <w:tcPr>
            <w:tcW w:w="1333" w:type="dxa"/>
            <w:shd w:val="clear" w:color="auto" w:fill="auto"/>
            <w:tcMar>
              <w:right w:w="113" w:type="dxa"/>
            </w:tcMar>
          </w:tcPr>
          <w:p w:rsidR="00485180" w:rsidRPr="000240AC" w:rsidRDefault="00485180" w:rsidP="00CB37E9">
            <w:pPr>
              <w:spacing w:before="40" w:after="120" w:line="240" w:lineRule="atLeast"/>
              <w:ind w:right="113"/>
            </w:pPr>
          </w:p>
        </w:tc>
        <w:tc>
          <w:tcPr>
            <w:tcW w:w="1939" w:type="dxa"/>
            <w:shd w:val="clear" w:color="auto" w:fill="auto"/>
            <w:tcMar>
              <w:right w:w="113" w:type="dxa"/>
            </w:tcMar>
          </w:tcPr>
          <w:p w:rsidR="00485180" w:rsidRPr="000240AC" w:rsidRDefault="00485180" w:rsidP="00CB37E9">
            <w:pPr>
              <w:spacing w:before="40" w:after="120" w:line="240" w:lineRule="atLeast"/>
              <w:ind w:right="113"/>
            </w:pPr>
          </w:p>
        </w:tc>
        <w:tc>
          <w:tcPr>
            <w:tcW w:w="1418" w:type="dxa"/>
            <w:shd w:val="clear" w:color="auto" w:fill="auto"/>
            <w:tcMar>
              <w:right w:w="113" w:type="dxa"/>
            </w:tcMar>
          </w:tcPr>
          <w:p w:rsidR="00485180" w:rsidRPr="000240AC" w:rsidRDefault="00485180" w:rsidP="00CB37E9">
            <w:pPr>
              <w:spacing w:before="40" w:after="120" w:line="240" w:lineRule="atLeast"/>
              <w:ind w:right="113"/>
            </w:pPr>
          </w:p>
        </w:tc>
        <w:tc>
          <w:tcPr>
            <w:tcW w:w="1159" w:type="dxa"/>
            <w:shd w:val="clear" w:color="auto" w:fill="auto"/>
            <w:tcMar>
              <w:right w:w="113" w:type="dxa"/>
            </w:tcMar>
          </w:tcPr>
          <w:p w:rsidR="00485180" w:rsidRPr="000240AC" w:rsidRDefault="00485180" w:rsidP="00CB37E9">
            <w:pPr>
              <w:spacing w:before="40" w:after="120" w:line="240" w:lineRule="atLeast"/>
              <w:ind w:right="113"/>
            </w:pPr>
            <w:r>
              <w:t>X</w:t>
            </w:r>
          </w:p>
        </w:tc>
      </w:tr>
      <w:tr w:rsidR="00485180" w:rsidRPr="00EE4BF5" w:rsidTr="00337856">
        <w:trPr>
          <w:cantSplit/>
        </w:trPr>
        <w:tc>
          <w:tcPr>
            <w:tcW w:w="1762" w:type="dxa"/>
            <w:tcBorders>
              <w:bottom w:val="single" w:sz="12" w:space="0" w:color="auto"/>
            </w:tcBorders>
            <w:shd w:val="clear" w:color="auto" w:fill="auto"/>
            <w:tcMar>
              <w:right w:w="113" w:type="dxa"/>
            </w:tcMar>
          </w:tcPr>
          <w:p w:rsidR="00485180" w:rsidRPr="000240AC" w:rsidRDefault="00485180" w:rsidP="00CB37E9">
            <w:pPr>
              <w:spacing w:before="40" w:after="120" w:line="240" w:lineRule="atLeast"/>
              <w:ind w:right="113"/>
            </w:pPr>
          </w:p>
        </w:tc>
        <w:tc>
          <w:tcPr>
            <w:tcW w:w="3767" w:type="dxa"/>
            <w:tcBorders>
              <w:bottom w:val="single" w:sz="12" w:space="0" w:color="auto"/>
            </w:tcBorders>
            <w:shd w:val="clear" w:color="auto" w:fill="auto"/>
            <w:tcMar>
              <w:right w:w="113" w:type="dxa"/>
            </w:tcMar>
          </w:tcPr>
          <w:p w:rsidR="00485180" w:rsidRPr="000240AC" w:rsidRDefault="00485180" w:rsidP="00CB37E9">
            <w:pPr>
              <w:spacing w:before="40" w:after="120" w:line="240" w:lineRule="atLeast"/>
              <w:ind w:right="113"/>
            </w:pPr>
            <w:r w:rsidRPr="000240AC">
              <w:rPr>
                <w:lang w:val="fr-CH"/>
              </w:rPr>
              <w:t>56/2014, V.S</w:t>
            </w:r>
          </w:p>
        </w:tc>
        <w:tc>
          <w:tcPr>
            <w:tcW w:w="2114" w:type="dxa"/>
            <w:tcBorders>
              <w:bottom w:val="single" w:sz="12" w:space="0" w:color="auto"/>
            </w:tcBorders>
            <w:shd w:val="clear" w:color="auto" w:fill="auto"/>
            <w:tcMar>
              <w:right w:w="113" w:type="dxa"/>
            </w:tcMar>
          </w:tcPr>
          <w:p w:rsidR="00485180" w:rsidRPr="00EE4BF5" w:rsidRDefault="00485180" w:rsidP="00581D98">
            <w:pPr>
              <w:spacing w:before="40" w:after="120" w:line="240" w:lineRule="atLeast"/>
              <w:ind w:right="113"/>
              <w:rPr>
                <w:lang w:val="fr-FR"/>
              </w:rPr>
            </w:pPr>
            <w:r w:rsidRPr="00EE4BF5">
              <w:rPr>
                <w:lang w:val="fr-FR"/>
              </w:rPr>
              <w:t>X</w:t>
            </w:r>
            <w:r>
              <w:rPr>
                <w:lang w:val="fr-FR"/>
              </w:rPr>
              <w:t xml:space="preserve"> (</w:t>
            </w:r>
            <w:hyperlink r:id="rId74" w:history="1">
              <w:r w:rsidRPr="00133C6F">
                <w:rPr>
                  <w:rStyle w:val="Hyperlink"/>
                  <w:lang w:val="fr-FR"/>
                </w:rPr>
                <w:t>A/71/18</w:t>
              </w:r>
            </w:hyperlink>
            <w:r>
              <w:rPr>
                <w:lang w:val="fr-FR"/>
              </w:rPr>
              <w:t>)</w:t>
            </w:r>
            <w:r w:rsidRPr="00EE4BF5">
              <w:rPr>
                <w:lang w:val="fr-FR"/>
              </w:rPr>
              <w:br/>
              <w:t>9 March 2016</w:t>
            </w:r>
          </w:p>
        </w:tc>
        <w:tc>
          <w:tcPr>
            <w:tcW w:w="1333" w:type="dxa"/>
            <w:tcBorders>
              <w:bottom w:val="single" w:sz="12" w:space="0" w:color="auto"/>
            </w:tcBorders>
            <w:shd w:val="clear" w:color="auto" w:fill="auto"/>
            <w:tcMar>
              <w:right w:w="113" w:type="dxa"/>
            </w:tcMar>
          </w:tcPr>
          <w:p w:rsidR="00485180" w:rsidRPr="00EE4BF5" w:rsidRDefault="00485180" w:rsidP="00CB37E9">
            <w:pPr>
              <w:spacing w:before="40" w:after="120" w:line="240" w:lineRule="atLeast"/>
              <w:ind w:right="113"/>
              <w:rPr>
                <w:lang w:val="fr-FR"/>
              </w:rPr>
            </w:pPr>
          </w:p>
        </w:tc>
        <w:tc>
          <w:tcPr>
            <w:tcW w:w="1939" w:type="dxa"/>
            <w:tcBorders>
              <w:bottom w:val="single" w:sz="12" w:space="0" w:color="auto"/>
            </w:tcBorders>
            <w:shd w:val="clear" w:color="auto" w:fill="auto"/>
            <w:tcMar>
              <w:right w:w="113" w:type="dxa"/>
            </w:tcMar>
          </w:tcPr>
          <w:p w:rsidR="00485180" w:rsidRPr="00EE4BF5" w:rsidRDefault="00485180" w:rsidP="00CB37E9">
            <w:pPr>
              <w:spacing w:before="40" w:after="120" w:line="240" w:lineRule="atLeast"/>
              <w:ind w:right="113"/>
              <w:rPr>
                <w:lang w:val="fr-FR"/>
              </w:rPr>
            </w:pPr>
            <w:r>
              <w:rPr>
                <w:lang w:val="fr-FR"/>
              </w:rPr>
              <w:t>X</w:t>
            </w:r>
            <w:r>
              <w:rPr>
                <w:lang w:val="fr-FR"/>
              </w:rPr>
              <w:br/>
            </w:r>
            <w:r>
              <w:t>u</w:t>
            </w:r>
            <w:r w:rsidRPr="000240AC">
              <w:t>nsatisfactor</w:t>
            </w:r>
            <w:r>
              <w:t>y</w:t>
            </w:r>
          </w:p>
        </w:tc>
        <w:tc>
          <w:tcPr>
            <w:tcW w:w="1418" w:type="dxa"/>
            <w:tcBorders>
              <w:bottom w:val="single" w:sz="12" w:space="0" w:color="auto"/>
            </w:tcBorders>
            <w:shd w:val="clear" w:color="auto" w:fill="auto"/>
            <w:tcMar>
              <w:right w:w="113" w:type="dxa"/>
            </w:tcMar>
          </w:tcPr>
          <w:p w:rsidR="00485180" w:rsidRPr="00EE4BF5" w:rsidRDefault="00485180" w:rsidP="00CB37E9">
            <w:pPr>
              <w:spacing w:before="40" w:after="120" w:line="240" w:lineRule="atLeast"/>
              <w:ind w:right="113"/>
              <w:rPr>
                <w:lang w:val="fr-FR"/>
              </w:rPr>
            </w:pPr>
          </w:p>
        </w:tc>
        <w:tc>
          <w:tcPr>
            <w:tcW w:w="1159" w:type="dxa"/>
            <w:tcBorders>
              <w:bottom w:val="single" w:sz="12" w:space="0" w:color="auto"/>
            </w:tcBorders>
            <w:shd w:val="clear" w:color="auto" w:fill="auto"/>
            <w:tcMar>
              <w:right w:w="113" w:type="dxa"/>
            </w:tcMar>
          </w:tcPr>
          <w:p w:rsidR="00485180" w:rsidRPr="00EE4BF5" w:rsidRDefault="00485180" w:rsidP="00CB37E9">
            <w:pPr>
              <w:spacing w:before="40" w:after="120" w:line="240" w:lineRule="atLeast"/>
              <w:ind w:right="113"/>
              <w:rPr>
                <w:lang w:val="fr-FR"/>
              </w:rPr>
            </w:pPr>
            <w:r>
              <w:rPr>
                <w:lang w:val="fr-FR"/>
              </w:rPr>
              <w:t>X</w:t>
            </w:r>
          </w:p>
        </w:tc>
      </w:tr>
    </w:tbl>
    <w:p w:rsidR="00485180" w:rsidRPr="00490FA7" w:rsidRDefault="00485180" w:rsidP="00485180">
      <w:pPr>
        <w:pStyle w:val="H23G"/>
      </w:pPr>
      <w:r>
        <w:t xml:space="preserve"> </w:t>
      </w:r>
    </w:p>
    <w:p w:rsidR="00485180" w:rsidRPr="00CB21CA" w:rsidRDefault="00485180" w:rsidP="00485180">
      <w:pPr>
        <w:pStyle w:val="SingleTxtG"/>
        <w:sectPr w:rsidR="00485180" w:rsidRPr="00CB21CA" w:rsidSect="00E70090">
          <w:headerReference w:type="even" r:id="rId75"/>
          <w:headerReference w:type="default" r:id="rId76"/>
          <w:footerReference w:type="even" r:id="rId77"/>
          <w:footerReference w:type="default" r:id="rId78"/>
          <w:endnotePr>
            <w:numFmt w:val="decimal"/>
          </w:endnotePr>
          <w:pgSz w:w="16834" w:h="11909" w:orient="landscape" w:code="9"/>
          <w:pgMar w:top="1418" w:right="1134" w:bottom="1134" w:left="1134" w:header="851" w:footer="567" w:gutter="0"/>
          <w:cols w:space="720"/>
          <w:noEndnote/>
          <w:docGrid w:linePitch="278"/>
        </w:sectPr>
      </w:pPr>
    </w:p>
    <w:p w:rsidR="00485180" w:rsidRPr="00CB21CA" w:rsidRDefault="00485180" w:rsidP="00485180">
      <w:pPr>
        <w:pStyle w:val="HChG"/>
      </w:pPr>
      <w:r w:rsidRPr="00CB21CA">
        <w:lastRenderedPageBreak/>
        <w:tab/>
      </w:r>
      <w:bookmarkStart w:id="39" w:name="_Toc428794297"/>
      <w:bookmarkStart w:id="40" w:name="_Toc17361309"/>
      <w:r w:rsidRPr="00CB21CA">
        <w:t>X.</w:t>
      </w:r>
      <w:r w:rsidRPr="00CB21CA">
        <w:tab/>
        <w:t>Follow-up to the World Conference against Racism, Racial Discrimination, Xenophobia and Related Intolerance and the Durban Review Conference</w:t>
      </w:r>
      <w:bookmarkEnd w:id="39"/>
      <w:bookmarkEnd w:id="40"/>
    </w:p>
    <w:p w:rsidR="00485180" w:rsidRPr="003067A8" w:rsidRDefault="00590AE1" w:rsidP="00485180">
      <w:pPr>
        <w:pStyle w:val="SingleTxtG"/>
        <w:tabs>
          <w:tab w:val="left" w:pos="1276"/>
        </w:tabs>
      </w:pPr>
      <w:r>
        <w:t>69</w:t>
      </w:r>
      <w:r w:rsidR="00485180" w:rsidRPr="003067A8">
        <w:t>.</w:t>
      </w:r>
      <w:r w:rsidR="00485180" w:rsidRPr="003067A8">
        <w:tab/>
      </w:r>
      <w:r w:rsidR="00485180" w:rsidRPr="000E4E08">
        <w:t>The Committee considered the question of follow-up to the World Conference against Racism, Racial Discrimination, Xenophobia and Related Intolerance and the Durban Review Conference at its ninety-</w:t>
      </w:r>
      <w:r w:rsidR="00485180">
        <w:t>seventh</w:t>
      </w:r>
      <w:r w:rsidR="00485180" w:rsidRPr="000E4E08">
        <w:t xml:space="preserve"> and ninety-</w:t>
      </w:r>
      <w:r w:rsidR="00485180">
        <w:t>eighth</w:t>
      </w:r>
      <w:r w:rsidR="00485180" w:rsidRPr="000E4E08">
        <w:t xml:space="preserve"> sessions.</w:t>
      </w:r>
    </w:p>
    <w:p w:rsidR="00485180" w:rsidRDefault="00590AE1" w:rsidP="00485180">
      <w:pPr>
        <w:pStyle w:val="SingleTxtG"/>
        <w:tabs>
          <w:tab w:val="left" w:pos="1276"/>
        </w:tabs>
      </w:pPr>
      <w:r>
        <w:t>70</w:t>
      </w:r>
      <w:r w:rsidR="00485180">
        <w:t>.</w:t>
      </w:r>
      <w:r w:rsidR="00485180">
        <w:tab/>
        <w:t xml:space="preserve">The Chair of the Committee participated in and delivered a statement at an event organized by the Working Group of Experts on People of African Descent entitled “Towards a declaration on the promotion and respect of the rights of people of African descent”, held on 29 October 2018 in New York. </w:t>
      </w:r>
      <w:r w:rsidR="00485180" w:rsidRPr="000E4E08">
        <w:t xml:space="preserve">Ms. </w:t>
      </w:r>
      <w:r w:rsidR="00485180">
        <w:t xml:space="preserve">Shepherd </w:t>
      </w:r>
      <w:r w:rsidR="00485180" w:rsidRPr="000E4E08">
        <w:t xml:space="preserve">participated in </w:t>
      </w:r>
      <w:r w:rsidR="00485180">
        <w:t>a number of events, notably as a panellist on the theme of data collection and social and racial justice</w:t>
      </w:r>
      <w:r w:rsidR="00485180" w:rsidDel="00281F96">
        <w:t xml:space="preserve"> </w:t>
      </w:r>
      <w:r w:rsidR="00485180">
        <w:t>at the twenty-fourth session of the Working Group of Experts on People of African Descent, held on 28 March 2019, and at a discussion on the Permanent Forum on People of African Descent, held on 10 May 2019, both in Geneva.</w:t>
      </w:r>
    </w:p>
    <w:p w:rsidR="00485180" w:rsidRDefault="00485180" w:rsidP="00485180">
      <w:r>
        <w:br w:type="page"/>
      </w:r>
    </w:p>
    <w:p w:rsidR="00485180" w:rsidRPr="00CB21CA" w:rsidRDefault="00485180" w:rsidP="00485180">
      <w:pPr>
        <w:pStyle w:val="HChG"/>
      </w:pPr>
      <w:r w:rsidRPr="00CB21CA">
        <w:lastRenderedPageBreak/>
        <w:tab/>
      </w:r>
      <w:bookmarkStart w:id="41" w:name="_Toc17361310"/>
      <w:bookmarkStart w:id="42" w:name="_Toc428794298"/>
      <w:r w:rsidRPr="00CB21CA">
        <w:t>X</w:t>
      </w:r>
      <w:r>
        <w:t>I</w:t>
      </w:r>
      <w:r w:rsidRPr="00CB21CA">
        <w:t>.</w:t>
      </w:r>
      <w:r w:rsidRPr="00CB21CA">
        <w:tab/>
      </w:r>
      <w:r>
        <w:t>Preparation of a general recommendation on preventing and combating racial profiling</w:t>
      </w:r>
      <w:bookmarkEnd w:id="41"/>
      <w:r>
        <w:rPr>
          <w:sz w:val="29"/>
          <w:szCs w:val="29"/>
        </w:rPr>
        <w:t xml:space="preserve"> </w:t>
      </w:r>
    </w:p>
    <w:p w:rsidR="00485180" w:rsidRPr="00D8454B" w:rsidRDefault="00485180" w:rsidP="00590AE1">
      <w:pPr>
        <w:pStyle w:val="SingleTxtG"/>
        <w:tabs>
          <w:tab w:val="left" w:pos="1276"/>
        </w:tabs>
        <w:rPr>
          <w:b/>
          <w:sz w:val="28"/>
          <w:szCs w:val="28"/>
        </w:rPr>
      </w:pPr>
      <w:r w:rsidRPr="00D8454B">
        <w:t>7</w:t>
      </w:r>
      <w:r w:rsidR="00590AE1">
        <w:t>1</w:t>
      </w:r>
      <w:r w:rsidRPr="00D8454B">
        <w:t>.</w:t>
      </w:r>
      <w:r w:rsidRPr="00D8454B">
        <w:tab/>
      </w:r>
      <w:r>
        <w:t xml:space="preserve">In follow-up to the </w:t>
      </w:r>
      <w:r w:rsidRPr="00CB21CA">
        <w:t>half</w:t>
      </w:r>
      <w:r>
        <w:t>-</w:t>
      </w:r>
      <w:r w:rsidRPr="00CB21CA">
        <w:t xml:space="preserve">day thematic discussion </w:t>
      </w:r>
      <w:r>
        <w:t xml:space="preserve">that it had held on 27 November 2017 (ninety-fourth session) </w:t>
      </w:r>
      <w:r w:rsidRPr="00CB21CA">
        <w:t>on</w:t>
      </w:r>
      <w:r>
        <w:t xml:space="preserve"> the theme</w:t>
      </w:r>
      <w:r w:rsidRPr="00CB21CA">
        <w:t xml:space="preserve"> </w:t>
      </w:r>
      <w:r>
        <w:t>“</w:t>
      </w:r>
      <w:r w:rsidRPr="00CB21CA">
        <w:t xml:space="preserve">Racial </w:t>
      </w:r>
      <w:r>
        <w:t>d</w:t>
      </w:r>
      <w:r w:rsidRPr="00CB21CA">
        <w:t xml:space="preserve">iscrimination in </w:t>
      </w:r>
      <w:r>
        <w:t>t</w:t>
      </w:r>
      <w:r w:rsidRPr="00CB21CA">
        <w:t xml:space="preserve">oday's </w:t>
      </w:r>
      <w:r>
        <w:t>w</w:t>
      </w:r>
      <w:r w:rsidRPr="00CB21CA">
        <w:t xml:space="preserve">orld: </w:t>
      </w:r>
      <w:r>
        <w:t>r</w:t>
      </w:r>
      <w:r w:rsidRPr="00CB21CA">
        <w:t>acial profiling, ethnic cleansing and current global issues and challenges</w:t>
      </w:r>
      <w:r>
        <w:t>”, the Committee decided at its ninety-seventh session to develop a general recommendation on preventing and combating racial profiling</w:t>
      </w:r>
      <w:r w:rsidRPr="00CB21CA">
        <w:t xml:space="preserve">. </w:t>
      </w:r>
      <w:r>
        <w:t xml:space="preserve">It appointed Mr. Murillo Martínez as rapporteur for the general recommendation, and established an informal open-ended drafting group to assist him. </w:t>
      </w:r>
    </w:p>
    <w:p w:rsidR="00485180" w:rsidRDefault="00485180" w:rsidP="00590AE1">
      <w:pPr>
        <w:pStyle w:val="SingleTxtG"/>
        <w:tabs>
          <w:tab w:val="left" w:pos="1276"/>
        </w:tabs>
      </w:pPr>
      <w:r>
        <w:t>7</w:t>
      </w:r>
      <w:r w:rsidR="00590AE1">
        <w:t>2</w:t>
      </w:r>
      <w:r>
        <w:t>.</w:t>
      </w:r>
      <w:r>
        <w:tab/>
        <w:t xml:space="preserve">At its ninety-eighth session, the Committee adopted an initial draft of the general recommendation, and decided to share it with stakeholders and call for their contributions. The Committee also decided to pursue the drafting process at future sessions, in particular at its ninety-ninth and 100th sessions. </w:t>
      </w:r>
    </w:p>
    <w:p w:rsidR="00485180" w:rsidRDefault="00485180" w:rsidP="00485180">
      <w:r>
        <w:br w:type="page"/>
      </w:r>
    </w:p>
    <w:p w:rsidR="00485180" w:rsidRDefault="00485180" w:rsidP="00485180">
      <w:pPr>
        <w:pStyle w:val="HChG"/>
      </w:pPr>
      <w:r>
        <w:lastRenderedPageBreak/>
        <w:tab/>
      </w:r>
      <w:bookmarkStart w:id="43" w:name="_Toc17361311"/>
      <w:r w:rsidRPr="00106C43">
        <w:t>XII</w:t>
      </w:r>
      <w:r w:rsidR="00BF09B2">
        <w:t>.</w:t>
      </w:r>
      <w:r>
        <w:tab/>
        <w:t>Sixth informal meeting with States parties</w:t>
      </w:r>
      <w:bookmarkEnd w:id="43"/>
    </w:p>
    <w:p w:rsidR="00485180" w:rsidRDefault="00485180" w:rsidP="00590AE1">
      <w:pPr>
        <w:pStyle w:val="SingleTxtG"/>
        <w:tabs>
          <w:tab w:val="left" w:pos="1276"/>
        </w:tabs>
      </w:pPr>
      <w:r>
        <w:t>7</w:t>
      </w:r>
      <w:r w:rsidR="00590AE1">
        <w:t>3</w:t>
      </w:r>
      <w:r>
        <w:t>.</w:t>
      </w:r>
      <w:r>
        <w:tab/>
      </w:r>
      <w:r w:rsidRPr="00106C43">
        <w:t>On 7 December</w:t>
      </w:r>
      <w:r>
        <w:t xml:space="preserve"> 2018</w:t>
      </w:r>
      <w:r w:rsidRPr="00106C43">
        <w:t xml:space="preserve">, the Committee held its sixth </w:t>
      </w:r>
      <w:r>
        <w:t xml:space="preserve">informal meeting </w:t>
      </w:r>
      <w:r w:rsidRPr="00106C43">
        <w:t>with States</w:t>
      </w:r>
      <w:r>
        <w:t xml:space="preserve"> parties to the Convention. Representatives of 61 States parties attended. At the meeting, views were exchanged on the following three issues: (a) the review of the human rights treaties bodies system under to paragraph 41 of General Assembly resolution 68/268 of 9 April 2014; (b) steps taken by States parties to implement the Committee’s recommendations; and (c) new manifestations of racism and the resurgence of extremism that triggers racial discrimination, and possible measures to counter them (see </w:t>
      </w:r>
      <w:hyperlink r:id="rId79" w:history="1">
        <w:r w:rsidRPr="00133C6F">
          <w:rPr>
            <w:rStyle w:val="Hyperlink"/>
          </w:rPr>
          <w:t>CERD/C/SR.2698</w:t>
        </w:r>
      </w:hyperlink>
      <w:r>
        <w:t>).</w:t>
      </w:r>
    </w:p>
    <w:p w:rsidR="00485180" w:rsidRDefault="00485180" w:rsidP="00485180">
      <w:pPr>
        <w:pStyle w:val="SingleTxtG"/>
        <w:tabs>
          <w:tab w:val="left" w:pos="1276"/>
        </w:tabs>
      </w:pPr>
      <w:r>
        <w:br w:type="page"/>
      </w:r>
    </w:p>
    <w:p w:rsidR="00485180" w:rsidRDefault="00485180" w:rsidP="00485180">
      <w:pPr>
        <w:pStyle w:val="HChG"/>
      </w:pPr>
      <w:r>
        <w:lastRenderedPageBreak/>
        <w:tab/>
      </w:r>
      <w:bookmarkStart w:id="44" w:name="_Toc17361312"/>
      <w:r>
        <w:t>XIII.</w:t>
      </w:r>
      <w:r>
        <w:tab/>
        <w:t>Discussions on the treaty body strengthening process</w:t>
      </w:r>
      <w:bookmarkEnd w:id="44"/>
    </w:p>
    <w:p w:rsidR="00485180" w:rsidRDefault="00485180" w:rsidP="00590AE1">
      <w:pPr>
        <w:pStyle w:val="SingleTxtG"/>
        <w:tabs>
          <w:tab w:val="left" w:pos="1276"/>
        </w:tabs>
      </w:pPr>
      <w:r>
        <w:t>7</w:t>
      </w:r>
      <w:r w:rsidR="00590AE1">
        <w:t>4</w:t>
      </w:r>
      <w:r>
        <w:t>.</w:t>
      </w:r>
      <w:r>
        <w:tab/>
        <w:t xml:space="preserve">At its ninety-sixth session, the Committee considered the various recommendations made in the General Assembly resolution 68/268 of 9 April 2014 on strengthening and enhancing the effective functioning of the human rights treaty body system, and appointed Mr. Albuquerque e Silva as focal point to follow up on the issue. </w:t>
      </w:r>
    </w:p>
    <w:p w:rsidR="00485180" w:rsidRDefault="00485180" w:rsidP="00590AE1">
      <w:pPr>
        <w:pStyle w:val="SingleTxtG"/>
        <w:tabs>
          <w:tab w:val="left" w:pos="1276"/>
        </w:tabs>
      </w:pPr>
      <w:r>
        <w:t>7</w:t>
      </w:r>
      <w:r w:rsidR="00590AE1">
        <w:t>5</w:t>
      </w:r>
      <w:r>
        <w:t>.</w:t>
      </w:r>
      <w:r>
        <w:tab/>
        <w:t xml:space="preserve"> At its ninety-seventh session, the Committee discussed how it could contribute fully to the process of reviewing the treaty body system. Upon the resignation of Mr.</w:t>
      </w:r>
      <w:r w:rsidRPr="009961D8">
        <w:t xml:space="preserve"> </w:t>
      </w:r>
      <w:r>
        <w:t xml:space="preserve">Albuquerque e Silva as focal point, the Committee appointed Mr. Avtonomov and Ms. Chung as focal points. </w:t>
      </w:r>
    </w:p>
    <w:p w:rsidR="00485180" w:rsidRDefault="00485180" w:rsidP="00590AE1">
      <w:pPr>
        <w:pStyle w:val="SingleTxtG"/>
        <w:tabs>
          <w:tab w:val="left" w:pos="1276"/>
        </w:tabs>
      </w:pPr>
      <w:r>
        <w:t>7</w:t>
      </w:r>
      <w:r w:rsidR="00590AE1">
        <w:t>6</w:t>
      </w:r>
      <w:r>
        <w:t>.</w:t>
      </w:r>
      <w:r>
        <w:tab/>
        <w:t xml:space="preserve">At the Committee’s ninety-eighth session, the two focal points presented proposals for a position paper for the Committee, which formed the basis for the Committee’s views regarding the review of the treaty body system. </w:t>
      </w:r>
    </w:p>
    <w:bookmarkEnd w:id="42"/>
    <w:p w:rsidR="00485180" w:rsidRDefault="00485180" w:rsidP="00485180">
      <w:pPr>
        <w:pStyle w:val="SingleTxtG"/>
        <w:tabs>
          <w:tab w:val="left" w:pos="1276"/>
        </w:tabs>
      </w:pPr>
    </w:p>
    <w:p w:rsidR="00485180" w:rsidRPr="00CB21CA" w:rsidRDefault="00485180" w:rsidP="00485180">
      <w:pPr>
        <w:pStyle w:val="SingleTxtG"/>
        <w:tabs>
          <w:tab w:val="left" w:pos="1276"/>
        </w:tabs>
        <w:sectPr w:rsidR="00485180" w:rsidRPr="00CB21CA" w:rsidSect="00E70090">
          <w:headerReference w:type="even" r:id="rId80"/>
          <w:headerReference w:type="default" r:id="rId81"/>
          <w:footerReference w:type="even" r:id="rId82"/>
          <w:footerReference w:type="default" r:id="rId83"/>
          <w:endnotePr>
            <w:numFmt w:val="decimal"/>
          </w:endnotePr>
          <w:pgSz w:w="11909" w:h="16834" w:code="9"/>
          <w:pgMar w:top="1418" w:right="1134" w:bottom="1134" w:left="1134" w:header="851" w:footer="567" w:gutter="0"/>
          <w:cols w:space="720"/>
          <w:noEndnote/>
          <w:docGrid w:linePitch="278"/>
        </w:sectPr>
      </w:pPr>
    </w:p>
    <w:p w:rsidR="00485180" w:rsidRPr="00CB21CA" w:rsidRDefault="00485180" w:rsidP="00485180">
      <w:pPr>
        <w:pStyle w:val="HChG"/>
      </w:pPr>
      <w:bookmarkStart w:id="45" w:name="_Toc428794305"/>
      <w:r>
        <w:lastRenderedPageBreak/>
        <w:tab/>
      </w:r>
      <w:r>
        <w:tab/>
      </w:r>
      <w:bookmarkStart w:id="46" w:name="_Toc17361313"/>
      <w:r w:rsidRPr="00CB21CA">
        <w:t>Annex I</w:t>
      </w:r>
      <w:bookmarkEnd w:id="45"/>
      <w:bookmarkEnd w:id="46"/>
    </w:p>
    <w:p w:rsidR="00485180" w:rsidRDefault="00485180" w:rsidP="00485180">
      <w:pPr>
        <w:pStyle w:val="H1G"/>
      </w:pPr>
      <w:r w:rsidRPr="00CB21CA">
        <w:tab/>
      </w:r>
      <w:r w:rsidRPr="00CB21CA">
        <w:tab/>
      </w:r>
      <w:bookmarkStart w:id="47" w:name="_Toc428794306"/>
      <w:bookmarkStart w:id="48" w:name="_Toc17361314"/>
      <w:r w:rsidRPr="00CB21CA">
        <w:t>Follow-up information provided in relation to cases in which the Committee adopted recommendations</w:t>
      </w:r>
      <w:bookmarkEnd w:id="47"/>
      <w:bookmarkEnd w:id="48"/>
      <w:r>
        <w:t xml:space="preserve"> </w:t>
      </w:r>
    </w:p>
    <w:p w:rsidR="00485180" w:rsidRPr="00D6427F" w:rsidRDefault="00485180" w:rsidP="00485180">
      <w:pPr>
        <w:pStyle w:val="SingleTxtG"/>
      </w:pPr>
      <w:r>
        <w:t>1.</w:t>
      </w:r>
      <w:r>
        <w:tab/>
      </w:r>
      <w:r w:rsidRPr="00D6427F">
        <w:t>The present annex contains a compilation of information received on follow-up to individual communications since the previous annual report,</w:t>
      </w:r>
      <w:r w:rsidRPr="00F75A57">
        <w:rPr>
          <w:rStyle w:val="FootnoteReference"/>
        </w:rPr>
        <w:footnoteReference w:id="13"/>
      </w:r>
      <w:r w:rsidRPr="00A62621">
        <w:t xml:space="preserve"> </w:t>
      </w:r>
      <w:r w:rsidRPr="00D6427F">
        <w:t>as well as any decisions made by the Committee on the nature of those responses</w:t>
      </w:r>
      <w:r w:rsidR="0014067E">
        <w:t>.</w:t>
      </w:r>
    </w:p>
    <w:p w:rsidR="00485180" w:rsidRPr="00903498" w:rsidRDefault="00485180" w:rsidP="00C461E1">
      <w:pPr>
        <w:pStyle w:val="H1G"/>
      </w:pPr>
      <w:r w:rsidRPr="00D6427F">
        <w:tab/>
      </w:r>
      <w:r w:rsidRPr="00D6427F">
        <w:tab/>
      </w:r>
      <w:r w:rsidRPr="00903498">
        <w:t>France</w:t>
      </w:r>
    </w:p>
    <w:p w:rsidR="00485180" w:rsidRPr="00903498" w:rsidRDefault="00485180" w:rsidP="00485180">
      <w:pPr>
        <w:pStyle w:val="H23G"/>
      </w:pPr>
      <w:r w:rsidRPr="00903498">
        <w:tab/>
      </w:r>
      <w:r w:rsidRPr="00903498">
        <w:tab/>
        <w:t>Gabre Gabaroum, opinion No. 52/2012, adopted on 10 May 2016</w:t>
      </w:r>
    </w:p>
    <w:p w:rsidR="00485180" w:rsidRPr="00903498" w:rsidRDefault="00485180" w:rsidP="00485180">
      <w:pPr>
        <w:pStyle w:val="H23G"/>
      </w:pPr>
      <w:r>
        <w:tab/>
      </w:r>
      <w:r>
        <w:tab/>
      </w:r>
      <w:r w:rsidRPr="00903498">
        <w:t>Issues and violations found</w:t>
      </w:r>
    </w:p>
    <w:p w:rsidR="00485180" w:rsidRPr="00903498" w:rsidRDefault="00485180" w:rsidP="00936502">
      <w:pPr>
        <w:pStyle w:val="SingleTxtG"/>
      </w:pPr>
      <w:r>
        <w:t>2.</w:t>
      </w:r>
      <w:r>
        <w:tab/>
      </w:r>
      <w:r w:rsidRPr="00903498">
        <w:t xml:space="preserve">The issue was </w:t>
      </w:r>
      <w:r>
        <w:t xml:space="preserve">the </w:t>
      </w:r>
      <w:r w:rsidRPr="00903498">
        <w:t xml:space="preserve">failure to take effective measures to counter a company’s practice of stigmatizing and stereotyping French nationals of African origin on the basis of their colour </w:t>
      </w:r>
      <w:r>
        <w:t xml:space="preserve">or </w:t>
      </w:r>
      <w:r w:rsidRPr="00903498">
        <w:t>their national</w:t>
      </w:r>
      <w:r>
        <w:t xml:space="preserve">, </w:t>
      </w:r>
      <w:r w:rsidRPr="00903498">
        <w:t>ethnic or racial origin. The Committee found a violation of article 2 of the Convention. It also considered that the State party had violated article 6, as the domestic courts had persisted in requiring the petitioner to prove discriminatory intent, which ran counter to the Convention’s prohibition against all behaviour having a discriminatory effect and counter to the procedure for the reversal of the burden of proof provided for under national legislation (art. L-1134-1 of the Labour Code).</w:t>
      </w:r>
    </w:p>
    <w:p w:rsidR="00485180" w:rsidRPr="00903498" w:rsidRDefault="00485180" w:rsidP="00485180">
      <w:pPr>
        <w:pStyle w:val="H23G"/>
      </w:pPr>
      <w:r>
        <w:tab/>
      </w:r>
      <w:r>
        <w:tab/>
      </w:r>
      <w:r w:rsidRPr="00903498">
        <w:t>Remedy recommended</w:t>
      </w:r>
    </w:p>
    <w:p w:rsidR="00485180" w:rsidRPr="00903498" w:rsidRDefault="00485180" w:rsidP="00936502">
      <w:pPr>
        <w:pStyle w:val="SingleTxtG"/>
      </w:pPr>
      <w:r>
        <w:t xml:space="preserve">3. </w:t>
      </w:r>
      <w:r>
        <w:tab/>
      </w:r>
      <w:r w:rsidRPr="00903498">
        <w:t xml:space="preserve">The </w:t>
      </w:r>
      <w:r>
        <w:t>C</w:t>
      </w:r>
      <w:r w:rsidRPr="00903498">
        <w:t>ommittee recommended that the State party take steps to ensure that the principle of reversal of the burden of proof was fully observed by: (a) enhancing the judicial procedures available to victims of racial discrimination by, inter alia, rigorously applying the principle of reversal of the burden of proof and (b) disseminating clear information about domestic remedies available to presumed victims of racial discrimination. The State party was also requested to widely disseminate the opinion of the Committee, in particular among judiciary officials.</w:t>
      </w:r>
    </w:p>
    <w:p w:rsidR="00485180" w:rsidRPr="00D6427F" w:rsidRDefault="00485180" w:rsidP="00485180">
      <w:pPr>
        <w:pStyle w:val="H23G"/>
      </w:pPr>
      <w:r>
        <w:tab/>
      </w:r>
      <w:r>
        <w:tab/>
      </w:r>
      <w:r w:rsidRPr="00903498">
        <w:t>Initial or periodic reports examined since the adoption of the opinion</w:t>
      </w:r>
    </w:p>
    <w:p w:rsidR="00485180" w:rsidRPr="00D6427F" w:rsidRDefault="00485180" w:rsidP="00485180">
      <w:pPr>
        <w:spacing w:after="120"/>
        <w:ind w:left="1134" w:right="1134"/>
        <w:jc w:val="both"/>
      </w:pPr>
      <w:r>
        <w:t>4.</w:t>
      </w:r>
      <w:r>
        <w:tab/>
      </w:r>
      <w:r w:rsidRPr="00D6427F">
        <w:t>No periodic reports of the State party have been examined by the Committee since the adoption of the opinion.</w:t>
      </w:r>
    </w:p>
    <w:p w:rsidR="00485180" w:rsidRPr="00D6427F" w:rsidRDefault="00485180" w:rsidP="00485180">
      <w:pPr>
        <w:pStyle w:val="H23G"/>
      </w:pPr>
      <w:r>
        <w:tab/>
      </w:r>
      <w:r>
        <w:tab/>
      </w:r>
      <w:r w:rsidRPr="00903498">
        <w:t>Previous follow-up information</w:t>
      </w:r>
    </w:p>
    <w:p w:rsidR="00485180" w:rsidRPr="00903498" w:rsidRDefault="00485180" w:rsidP="00485180">
      <w:pPr>
        <w:spacing w:after="120"/>
        <w:ind w:left="1134" w:right="1134"/>
        <w:jc w:val="both"/>
        <w:rPr>
          <w:bCs/>
        </w:rPr>
      </w:pPr>
      <w:r>
        <w:rPr>
          <w:bCs/>
        </w:rPr>
        <w:t>5.</w:t>
      </w:r>
      <w:r>
        <w:rPr>
          <w:bCs/>
        </w:rPr>
        <w:tab/>
      </w:r>
      <w:r w:rsidRPr="00D6427F">
        <w:rPr>
          <w:bCs/>
        </w:rPr>
        <w:t xml:space="preserve">The previous follow-up information was published in </w:t>
      </w:r>
      <w:hyperlink r:id="rId84" w:history="1">
        <w:r w:rsidRPr="00133C6F">
          <w:rPr>
            <w:rStyle w:val="Hyperlink"/>
            <w:bCs/>
          </w:rPr>
          <w:t>A/72/18</w:t>
        </w:r>
      </w:hyperlink>
      <w:r>
        <w:rPr>
          <w:bCs/>
        </w:rPr>
        <w:t xml:space="preserve"> and </w:t>
      </w:r>
      <w:hyperlink r:id="rId85" w:history="1">
        <w:r w:rsidRPr="00C71276">
          <w:rPr>
            <w:rStyle w:val="Hyperlink"/>
            <w:bCs/>
          </w:rPr>
          <w:t>A/73/18</w:t>
        </w:r>
      </w:hyperlink>
      <w:r w:rsidRPr="00C71276">
        <w:rPr>
          <w:bCs/>
        </w:rPr>
        <w:t>.</w:t>
      </w:r>
    </w:p>
    <w:p w:rsidR="00485180" w:rsidRPr="00D6427F" w:rsidRDefault="00485180" w:rsidP="00485180">
      <w:pPr>
        <w:pStyle w:val="H23G"/>
      </w:pPr>
      <w:r>
        <w:tab/>
      </w:r>
      <w:r>
        <w:tab/>
      </w:r>
      <w:r w:rsidRPr="00903498">
        <w:t xml:space="preserve">Petitioner’s </w:t>
      </w:r>
      <w:r>
        <w:t>additional</w:t>
      </w:r>
      <w:r w:rsidRPr="00D6427F">
        <w:t xml:space="preserve"> </w:t>
      </w:r>
      <w:r w:rsidRPr="00903498">
        <w:t>comments</w:t>
      </w:r>
    </w:p>
    <w:p w:rsidR="00485180" w:rsidRDefault="00485180" w:rsidP="00936502">
      <w:pPr>
        <w:pStyle w:val="SingleTxtG"/>
      </w:pPr>
      <w:r>
        <w:t>6</w:t>
      </w:r>
      <w:r w:rsidRPr="00D6427F">
        <w:t>.</w:t>
      </w:r>
      <w:r w:rsidRPr="00D6427F">
        <w:tab/>
      </w:r>
      <w:r>
        <w:t xml:space="preserve">On 6 August and 25 October 2018, the Committee received from the petitioner a copy of the correspondence that he had exchanged with Renault, his former employer. In his letters addressed to the company, dated 13 July and 22 October 2018, he requested the company to pay him compensation based on the opinion issued by the Committee. The company replied to the petitioner by letters dated 19 July and 2 October 2018, indicating that the Committee’s opinion did not provide any legal basis for compensation. The company also indicated that the Committee’s opinion could not be used against Renault, as Renault had not taken part in the proceedings before the Committee. </w:t>
      </w:r>
      <w:r w:rsidRPr="00D456D0">
        <w:t xml:space="preserve">On 4 June 2019, the petitioner informed the Committee that his retirement date </w:t>
      </w:r>
      <w:r>
        <w:t>was</w:t>
      </w:r>
      <w:r w:rsidRPr="00D456D0">
        <w:t xml:space="preserve"> 11 August 2020. He also indicated that</w:t>
      </w:r>
      <w:r>
        <w:t>,</w:t>
      </w:r>
      <w:r w:rsidRPr="00D456D0">
        <w:t xml:space="preserve"> given that the </w:t>
      </w:r>
      <w:r>
        <w:t>o</w:t>
      </w:r>
      <w:r w:rsidRPr="00D456D0">
        <w:t xml:space="preserve">pinion adopted by the Committee </w:t>
      </w:r>
      <w:r>
        <w:t>was imprescriptible, he wa</w:t>
      </w:r>
      <w:r w:rsidRPr="00D456D0">
        <w:t xml:space="preserve">s </w:t>
      </w:r>
      <w:r w:rsidRPr="00D456D0">
        <w:lastRenderedPageBreak/>
        <w:t xml:space="preserve">ready to meet the representatives of the </w:t>
      </w:r>
      <w:r>
        <w:t>c</w:t>
      </w:r>
      <w:r w:rsidRPr="00D456D0">
        <w:t>ompany or the State party in order to receive economic reparation.</w:t>
      </w:r>
      <w:r w:rsidR="00133C6F">
        <w:t xml:space="preserve"> </w:t>
      </w:r>
    </w:p>
    <w:p w:rsidR="00485180" w:rsidRDefault="00485180" w:rsidP="0033584E">
      <w:pPr>
        <w:pStyle w:val="SingleTxtG"/>
      </w:pPr>
      <w:r>
        <w:t>7.</w:t>
      </w:r>
      <w:r>
        <w:tab/>
        <w:t xml:space="preserve">On 6 December 2018 and 8 January 2019, the petitioner informed the Committee that he had carried out a hunger strike from 8 to 10 December 2018, in front of St. Peter’s Basilica in Rome, the aim of which had been to raise awareness of his struggle. He indicated that he had informed the Ambassador of France to the Holy See, as well as the authorities of the Vatican City, about the purpose of his hunger strike, and had issued a press release. He further indicated that he was open to establishing a dialogue with the relevant authorities, so as to obtain compensation. He considered that his pension, due in March 2019, should take account of such compensation. </w:t>
      </w:r>
    </w:p>
    <w:p w:rsidR="00485180" w:rsidRPr="00BB0E9D" w:rsidRDefault="00485180" w:rsidP="0033584E">
      <w:pPr>
        <w:pStyle w:val="SingleTxtG"/>
      </w:pPr>
      <w:r>
        <w:t>8</w:t>
      </w:r>
      <w:r w:rsidRPr="007E5CDD">
        <w:t>.</w:t>
      </w:r>
      <w:r w:rsidRPr="007E5CDD">
        <w:tab/>
        <w:t xml:space="preserve">In this regard, the Committee notes that in its </w:t>
      </w:r>
      <w:r>
        <w:t>o</w:t>
      </w:r>
      <w:r w:rsidRPr="007E5CDD">
        <w:t xml:space="preserve">pinion adopted on 10 May 2016, no economic reparations were </w:t>
      </w:r>
      <w:r>
        <w:t>recommended for</w:t>
      </w:r>
      <w:r w:rsidRPr="007E5CDD">
        <w:t xml:space="preserve"> the petitioner.</w:t>
      </w:r>
    </w:p>
    <w:p w:rsidR="00485180" w:rsidRDefault="00485180" w:rsidP="00485180">
      <w:pPr>
        <w:pStyle w:val="H23G"/>
      </w:pPr>
      <w:r>
        <w:tab/>
      </w:r>
      <w:r>
        <w:tab/>
      </w:r>
      <w:r w:rsidRPr="00D6427F">
        <w:t>Reply from the State party</w:t>
      </w:r>
    </w:p>
    <w:p w:rsidR="00485180" w:rsidRPr="00A27C55" w:rsidRDefault="00485180" w:rsidP="0033584E">
      <w:pPr>
        <w:pStyle w:val="SingleTxtG"/>
      </w:pPr>
      <w:r>
        <w:t>9.</w:t>
      </w:r>
      <w:r>
        <w:tab/>
        <w:t>The reply from the State party is p</w:t>
      </w:r>
      <w:r w:rsidRPr="00A27C55">
        <w:t>ending</w:t>
      </w:r>
      <w:r>
        <w:t>.</w:t>
      </w:r>
    </w:p>
    <w:p w:rsidR="00485180" w:rsidRDefault="00485180" w:rsidP="00485180">
      <w:pPr>
        <w:pStyle w:val="H23G"/>
      </w:pPr>
      <w:r>
        <w:tab/>
      </w:r>
      <w:r>
        <w:tab/>
      </w:r>
      <w:r w:rsidRPr="00D6427F">
        <w:t>Proposed further action or Committee’s decision</w:t>
      </w:r>
    </w:p>
    <w:p w:rsidR="00485180" w:rsidRDefault="00485180" w:rsidP="0033584E">
      <w:pPr>
        <w:pStyle w:val="SingleTxtG"/>
      </w:pPr>
      <w:r>
        <w:t>10.</w:t>
      </w:r>
      <w:r>
        <w:tab/>
        <w:t>T</w:t>
      </w:r>
      <w:r w:rsidRPr="00D6427F">
        <w:t>he dialogue is ongoing</w:t>
      </w:r>
      <w:r>
        <w:t>.</w:t>
      </w:r>
    </w:p>
    <w:p w:rsidR="00485180" w:rsidRDefault="00485180" w:rsidP="00485180">
      <w:pPr>
        <w:pStyle w:val="H1G"/>
      </w:pPr>
      <w:r>
        <w:tab/>
      </w:r>
      <w:r>
        <w:tab/>
      </w:r>
      <w:bookmarkStart w:id="49" w:name="_Toc17361315"/>
      <w:r>
        <w:t>Denmark</w:t>
      </w:r>
      <w:bookmarkEnd w:id="49"/>
    </w:p>
    <w:p w:rsidR="00485180" w:rsidRPr="006A562D" w:rsidRDefault="00485180" w:rsidP="00485180">
      <w:pPr>
        <w:pStyle w:val="H23G"/>
      </w:pPr>
      <w:r>
        <w:tab/>
      </w:r>
      <w:r>
        <w:tab/>
        <w:t>S.A.</w:t>
      </w:r>
      <w:r w:rsidRPr="0041070D">
        <w:t>,</w:t>
      </w:r>
      <w:r>
        <w:t xml:space="preserve"> decision No. 58/2016</w:t>
      </w:r>
      <w:r w:rsidRPr="006A562D">
        <w:t xml:space="preserve">, adopted on </w:t>
      </w:r>
      <w:r>
        <w:t>13</w:t>
      </w:r>
      <w:r w:rsidRPr="006A562D">
        <w:t xml:space="preserve"> </w:t>
      </w:r>
      <w:r>
        <w:t>December 2018</w:t>
      </w:r>
    </w:p>
    <w:p w:rsidR="00485180" w:rsidRDefault="00485180" w:rsidP="00485180">
      <w:pPr>
        <w:pStyle w:val="H23G"/>
      </w:pPr>
      <w:r>
        <w:tab/>
      </w:r>
      <w:r>
        <w:tab/>
      </w:r>
      <w:r w:rsidRPr="006A562D">
        <w:t>Issues and violations found</w:t>
      </w:r>
    </w:p>
    <w:p w:rsidR="00485180" w:rsidRPr="001A7198" w:rsidRDefault="00485180" w:rsidP="0033584E">
      <w:pPr>
        <w:pStyle w:val="SingleTxtG"/>
      </w:pPr>
      <w:r>
        <w:t>11.</w:t>
      </w:r>
      <w:r>
        <w:tab/>
        <w:t>T</w:t>
      </w:r>
      <w:r w:rsidRPr="00262951">
        <w:t>he issue was</w:t>
      </w:r>
      <w:r>
        <w:t xml:space="preserve"> to establish </w:t>
      </w:r>
      <w:r w:rsidRPr="001A7198">
        <w:t xml:space="preserve">whether the State party </w:t>
      </w:r>
      <w:r>
        <w:t xml:space="preserve">had </w:t>
      </w:r>
      <w:r w:rsidRPr="001A7198">
        <w:t>fulf</w:t>
      </w:r>
      <w:r>
        <w:t>illed its obligation, under article 6 of the Convention</w:t>
      </w:r>
      <w:r w:rsidRPr="001A7198">
        <w:t xml:space="preserve">, to ensure the petitioner’s right to seek from </w:t>
      </w:r>
      <w:r>
        <w:t xml:space="preserve">the competent </w:t>
      </w:r>
      <w:r w:rsidRPr="001A7198">
        <w:t>national</w:t>
      </w:r>
      <w:r>
        <w:t xml:space="preserve"> tribunals and other State institutions</w:t>
      </w:r>
      <w:r w:rsidRPr="001A7198">
        <w:t xml:space="preserve"> just and adequate </w:t>
      </w:r>
      <w:r w:rsidRPr="0033584E">
        <w:t>reparation</w:t>
      </w:r>
      <w:r w:rsidRPr="001A7198">
        <w:t xml:space="preserve"> or satisfaction for any damage suffered as a result of racial discrimination.</w:t>
      </w:r>
      <w:r>
        <w:t xml:space="preserve"> The Committee found a </w:t>
      </w:r>
      <w:r w:rsidRPr="002507E7">
        <w:t>violat</w:t>
      </w:r>
      <w:r>
        <w:t>ion</w:t>
      </w:r>
      <w:r w:rsidRPr="002507E7">
        <w:t xml:space="preserve">, </w:t>
      </w:r>
      <w:r>
        <w:t>concluding</w:t>
      </w:r>
      <w:r w:rsidRPr="002507E7">
        <w:t xml:space="preserve"> that </w:t>
      </w:r>
      <w:r w:rsidRPr="001A7198">
        <w:t>the compensation received</w:t>
      </w:r>
      <w:r>
        <w:t xml:space="preserve"> by the petitioner</w:t>
      </w:r>
      <w:r w:rsidRPr="001A7198">
        <w:t xml:space="preserve"> did not comply with </w:t>
      </w:r>
      <w:r>
        <w:t>article 6 of the Convention</w:t>
      </w:r>
      <w:r w:rsidRPr="001A7198">
        <w:t xml:space="preserve"> </w:t>
      </w:r>
      <w:r>
        <w:t xml:space="preserve">as </w:t>
      </w:r>
      <w:r w:rsidRPr="001A7198">
        <w:t>it was not just and adequate and failed to rehabilitate the petitioner, taking into account that no judicial or administrative sanctions had been imposed on the perpetrators of a recognized act of racial discrimination.</w:t>
      </w:r>
      <w:r w:rsidRPr="00531BCB">
        <w:t xml:space="preserve"> The Committee </w:t>
      </w:r>
      <w:r>
        <w:t xml:space="preserve">also </w:t>
      </w:r>
      <w:r w:rsidRPr="00531BCB">
        <w:t xml:space="preserve">considered that asking the petitioner to pay a </w:t>
      </w:r>
      <w:r>
        <w:t>large</w:t>
      </w:r>
      <w:r w:rsidRPr="00531BCB">
        <w:t xml:space="preserve"> amount to cover the legal costs of the </w:t>
      </w:r>
      <w:r>
        <w:t xml:space="preserve">court </w:t>
      </w:r>
      <w:r w:rsidRPr="00531BCB">
        <w:t xml:space="preserve">proceedings constituted a sanction against a person who had been </w:t>
      </w:r>
      <w:r>
        <w:t xml:space="preserve">the </w:t>
      </w:r>
      <w:r w:rsidRPr="00531BCB">
        <w:t xml:space="preserve">victim of racial discrimination and who was </w:t>
      </w:r>
      <w:r>
        <w:t xml:space="preserve">merely </w:t>
      </w:r>
      <w:r w:rsidRPr="00531BCB">
        <w:t>seeking adequate compensation.</w:t>
      </w:r>
      <w:r>
        <w:t xml:space="preserve"> </w:t>
      </w:r>
    </w:p>
    <w:p w:rsidR="00485180" w:rsidRPr="005E72EC" w:rsidRDefault="00485180" w:rsidP="00485180">
      <w:pPr>
        <w:pStyle w:val="H23G"/>
      </w:pPr>
      <w:r>
        <w:tab/>
      </w:r>
      <w:r>
        <w:tab/>
      </w:r>
      <w:r w:rsidRPr="005E72EC">
        <w:t>Remedy recommended</w:t>
      </w:r>
    </w:p>
    <w:p w:rsidR="00485180" w:rsidRPr="005E72EC" w:rsidRDefault="00485180" w:rsidP="00485180">
      <w:pPr>
        <w:pStyle w:val="SingleTxtG"/>
      </w:pPr>
      <w:r>
        <w:t>12.</w:t>
      </w:r>
      <w:r>
        <w:tab/>
      </w:r>
      <w:r w:rsidRPr="00352654">
        <w:t xml:space="preserve">The Committee recommended that the State party review the amount of compensation provided to the petitioner, so as to render it just and adequate, bearing in mind the circumstances of the case. It also recommended that the decision ordering the petitioner to cover the legal costs of the proceedings be reviewed as to bring it in line with the principles of the Convention. </w:t>
      </w:r>
      <w:r>
        <w:t xml:space="preserve">The State party was also requested </w:t>
      </w:r>
      <w:r w:rsidRPr="00990F23">
        <w:t xml:space="preserve">to give wide publicity to the Committee’s </w:t>
      </w:r>
      <w:r>
        <w:t>o</w:t>
      </w:r>
      <w:r w:rsidRPr="00990F23">
        <w:t>pinion, including among</w:t>
      </w:r>
      <w:r>
        <w:t xml:space="preserve"> administrative and judicial bodies and other relevant authorities</w:t>
      </w:r>
      <w:r w:rsidRPr="00990F23">
        <w:t>, and to translate it into the official language of the State party.</w:t>
      </w:r>
      <w:r w:rsidR="00133C6F">
        <w:t xml:space="preserve"> </w:t>
      </w:r>
    </w:p>
    <w:p w:rsidR="00485180" w:rsidRPr="00ED68DA" w:rsidRDefault="00485180" w:rsidP="00485180">
      <w:pPr>
        <w:pStyle w:val="H23G"/>
      </w:pPr>
      <w:r>
        <w:tab/>
      </w:r>
      <w:r>
        <w:tab/>
      </w:r>
      <w:r w:rsidRPr="00ED68DA">
        <w:t xml:space="preserve">Initial or periodic reports examined since the adoption of the </w:t>
      </w:r>
      <w:r>
        <w:t>decision</w:t>
      </w:r>
    </w:p>
    <w:p w:rsidR="00485180" w:rsidRPr="00ED68DA" w:rsidRDefault="00485180" w:rsidP="00485180">
      <w:pPr>
        <w:pStyle w:val="SingleTxtG"/>
      </w:pPr>
      <w:r>
        <w:t>13.</w:t>
      </w:r>
      <w:r>
        <w:tab/>
      </w:r>
      <w:r w:rsidRPr="00ED68DA">
        <w:t xml:space="preserve">No periodic reports of the State party have been examined by the Committee since the adoption of the </w:t>
      </w:r>
      <w:r>
        <w:t>decision</w:t>
      </w:r>
      <w:r w:rsidRPr="00ED68DA">
        <w:t>.</w:t>
      </w:r>
    </w:p>
    <w:p w:rsidR="00485180" w:rsidRPr="00ED68DA" w:rsidRDefault="00485180" w:rsidP="00485180">
      <w:pPr>
        <w:pStyle w:val="H23G"/>
      </w:pPr>
      <w:r>
        <w:tab/>
      </w:r>
      <w:r>
        <w:tab/>
      </w:r>
      <w:r w:rsidRPr="00ED68DA">
        <w:t>Previous follow-up information</w:t>
      </w:r>
    </w:p>
    <w:p w:rsidR="00485180" w:rsidRDefault="00485180" w:rsidP="00485180">
      <w:pPr>
        <w:pStyle w:val="SingleTxtG"/>
        <w:rPr>
          <w:bCs/>
        </w:rPr>
      </w:pPr>
      <w:r>
        <w:rPr>
          <w:bCs/>
        </w:rPr>
        <w:t>14.</w:t>
      </w:r>
      <w:r>
        <w:rPr>
          <w:bCs/>
        </w:rPr>
        <w:tab/>
        <w:t>There was no previous follow-up information.</w:t>
      </w:r>
    </w:p>
    <w:p w:rsidR="00485180" w:rsidRDefault="00485180" w:rsidP="00485180">
      <w:pPr>
        <w:pStyle w:val="H23G"/>
      </w:pPr>
      <w:r>
        <w:lastRenderedPageBreak/>
        <w:tab/>
      </w:r>
      <w:r>
        <w:tab/>
      </w:r>
      <w:r w:rsidRPr="00181EB0">
        <w:t>State party’s observations</w:t>
      </w:r>
    </w:p>
    <w:p w:rsidR="00485180" w:rsidRDefault="00485180" w:rsidP="00485180">
      <w:pPr>
        <w:pStyle w:val="SingleTxtG"/>
        <w:rPr>
          <w:bCs/>
        </w:rPr>
      </w:pPr>
      <w:r>
        <w:t>15</w:t>
      </w:r>
      <w:r w:rsidRPr="00855686">
        <w:t>.</w:t>
      </w:r>
      <w:r w:rsidRPr="00855686">
        <w:tab/>
      </w:r>
      <w:r>
        <w:t xml:space="preserve">On 5 April 2019, </w:t>
      </w:r>
      <w:r w:rsidRPr="00BB7E9D">
        <w:rPr>
          <w:bCs/>
        </w:rPr>
        <w:t xml:space="preserve">the State </w:t>
      </w:r>
      <w:r>
        <w:rPr>
          <w:bCs/>
        </w:rPr>
        <w:t>p</w:t>
      </w:r>
      <w:r w:rsidRPr="00BB7E9D">
        <w:rPr>
          <w:bCs/>
        </w:rPr>
        <w:t>arty submitted follow-up information to the Committee.</w:t>
      </w:r>
      <w:r w:rsidRPr="00BB7E9D">
        <w:rPr>
          <w:b/>
          <w:bCs/>
        </w:rPr>
        <w:t xml:space="preserve"> </w:t>
      </w:r>
      <w:r w:rsidRPr="00352654">
        <w:rPr>
          <w:bCs/>
        </w:rPr>
        <w:t xml:space="preserve">It </w:t>
      </w:r>
      <w:r>
        <w:rPr>
          <w:bCs/>
        </w:rPr>
        <w:t xml:space="preserve">indicated that on 8 March 2019, the Board of Equal Treatment had decided that it would not reopen the petitioner’s case with a view to reconsidering the amount of the compensation granted to him. The Board had not received a request from the petitioner to reopen the case. According to section 10 of the Act on the </w:t>
      </w:r>
      <w:r w:rsidRPr="00482B93">
        <w:rPr>
          <w:bCs/>
        </w:rPr>
        <w:t xml:space="preserve">Board </w:t>
      </w:r>
      <w:r>
        <w:rPr>
          <w:bCs/>
        </w:rPr>
        <w:t>of</w:t>
      </w:r>
      <w:r w:rsidRPr="00482B93">
        <w:rPr>
          <w:bCs/>
        </w:rPr>
        <w:t xml:space="preserve"> Equal Treatment</w:t>
      </w:r>
      <w:r>
        <w:rPr>
          <w:bCs/>
        </w:rPr>
        <w:t xml:space="preserve">, cases before the Board could be opened only if special reasons made such action appropriate. The Board had concluded that, under that provision, it was not in a position to reopen the case on its own initiative. </w:t>
      </w:r>
    </w:p>
    <w:p w:rsidR="00485180" w:rsidRDefault="00485180" w:rsidP="00485180">
      <w:pPr>
        <w:pStyle w:val="SingleTxtG"/>
        <w:rPr>
          <w:bCs/>
        </w:rPr>
      </w:pPr>
      <w:r>
        <w:rPr>
          <w:bCs/>
        </w:rPr>
        <w:t>16.</w:t>
      </w:r>
      <w:r>
        <w:rPr>
          <w:bCs/>
        </w:rPr>
        <w:tab/>
        <w:t>The State party further indicated that, in order to ensure</w:t>
      </w:r>
      <w:r w:rsidRPr="005E54D2">
        <w:rPr>
          <w:bCs/>
        </w:rPr>
        <w:t xml:space="preserve"> wide publicity, including among administrative and judicial bodies, </w:t>
      </w:r>
      <w:r>
        <w:rPr>
          <w:bCs/>
        </w:rPr>
        <w:t xml:space="preserve">it had made the Committee’s opinion publicly available on the websites of the Board and of the </w:t>
      </w:r>
      <w:r w:rsidRPr="00596DC5">
        <w:rPr>
          <w:bCs/>
        </w:rPr>
        <w:t>Ministry of Foreign Affairs</w:t>
      </w:r>
      <w:r>
        <w:rPr>
          <w:bCs/>
        </w:rPr>
        <w:t>. In addition, a summary of the opinion would be included in the Board’s 2019 report, which would be published on its website. The Committee’s opinion had also been shared with the authorities involved in the case.</w:t>
      </w:r>
    </w:p>
    <w:p w:rsidR="00485180" w:rsidRPr="006A190A" w:rsidRDefault="00485180" w:rsidP="00485180">
      <w:pPr>
        <w:pStyle w:val="SingleTxtG"/>
        <w:rPr>
          <w:bCs/>
        </w:rPr>
      </w:pPr>
      <w:r>
        <w:rPr>
          <w:bCs/>
        </w:rPr>
        <w:t>17.</w:t>
      </w:r>
      <w:r>
        <w:rPr>
          <w:bCs/>
        </w:rPr>
        <w:tab/>
        <w:t xml:space="preserve">No information has been provided on the Committee’s recommendation that the decision </w:t>
      </w:r>
      <w:r w:rsidRPr="006A190A">
        <w:rPr>
          <w:bCs/>
        </w:rPr>
        <w:t>ordering the petitioner to cover the legal costs of the proceedings</w:t>
      </w:r>
      <w:r>
        <w:rPr>
          <w:bCs/>
        </w:rPr>
        <w:t xml:space="preserve"> be reviewed.</w:t>
      </w:r>
    </w:p>
    <w:p w:rsidR="00485180" w:rsidRDefault="00485180" w:rsidP="00485180">
      <w:pPr>
        <w:pStyle w:val="H23G"/>
        <w:rPr>
          <w:lang w:val="en-US"/>
        </w:rPr>
      </w:pPr>
      <w:r>
        <w:rPr>
          <w:lang w:val="en-US"/>
        </w:rPr>
        <w:tab/>
      </w:r>
      <w:r>
        <w:rPr>
          <w:lang w:val="en-US"/>
        </w:rPr>
        <w:tab/>
        <w:t>Petitioner’s comments</w:t>
      </w:r>
    </w:p>
    <w:p w:rsidR="00485180" w:rsidRPr="00CA1A63" w:rsidRDefault="00485180" w:rsidP="00485180">
      <w:pPr>
        <w:pStyle w:val="SingleTxtG"/>
        <w:rPr>
          <w:bCs/>
          <w:lang w:val="en-US"/>
        </w:rPr>
      </w:pPr>
      <w:r>
        <w:rPr>
          <w:bCs/>
        </w:rPr>
        <w:t>18.</w:t>
      </w:r>
      <w:r>
        <w:rPr>
          <w:bCs/>
        </w:rPr>
        <w:tab/>
      </w:r>
      <w:r w:rsidRPr="001A54EC">
        <w:t xml:space="preserve">The petitioner’s comments are </w:t>
      </w:r>
      <w:r>
        <w:rPr>
          <w:bCs/>
          <w:lang w:val="en-US"/>
        </w:rPr>
        <w:t>p</w:t>
      </w:r>
      <w:r w:rsidRPr="00F75A57">
        <w:rPr>
          <w:bCs/>
          <w:lang w:val="en-US"/>
        </w:rPr>
        <w:t>ending</w:t>
      </w:r>
      <w:r>
        <w:rPr>
          <w:bCs/>
          <w:lang w:val="en-US"/>
        </w:rPr>
        <w:t>.</w:t>
      </w:r>
    </w:p>
    <w:p w:rsidR="00485180" w:rsidRDefault="00485180" w:rsidP="00485180">
      <w:pPr>
        <w:pStyle w:val="H23G"/>
      </w:pPr>
      <w:r>
        <w:tab/>
      </w:r>
      <w:r>
        <w:tab/>
      </w:r>
      <w:r w:rsidRPr="00113F1C">
        <w:t>Proposed further action or Committee’s decision</w:t>
      </w:r>
    </w:p>
    <w:p w:rsidR="00485180" w:rsidRDefault="00485180" w:rsidP="00804EAA">
      <w:pPr>
        <w:pStyle w:val="SingleTxtG"/>
      </w:pPr>
      <w:r>
        <w:t>19.</w:t>
      </w:r>
      <w:r>
        <w:tab/>
        <w:t>T</w:t>
      </w:r>
      <w:r w:rsidRPr="00113F1C">
        <w:t>he dialogue is ongoing</w:t>
      </w:r>
      <w:r>
        <w:t>.</w:t>
      </w:r>
    </w:p>
    <w:p w:rsidR="00485180" w:rsidRDefault="00485180" w:rsidP="00485180">
      <w:pPr>
        <w:rPr>
          <w:b/>
          <w:bCs/>
        </w:rPr>
      </w:pPr>
      <w:r>
        <w:rPr>
          <w:b/>
          <w:bCs/>
        </w:rPr>
        <w:br w:type="page"/>
      </w:r>
    </w:p>
    <w:p w:rsidR="00485180" w:rsidRPr="00D6427F" w:rsidRDefault="00485180" w:rsidP="00485180">
      <w:pPr>
        <w:pStyle w:val="HMG"/>
      </w:pPr>
      <w:r>
        <w:lastRenderedPageBreak/>
        <w:tab/>
      </w:r>
      <w:r>
        <w:tab/>
      </w:r>
      <w:r w:rsidRPr="00D6427F">
        <w:t>Annex II</w:t>
      </w:r>
    </w:p>
    <w:p w:rsidR="00485180" w:rsidRPr="006D1A17" w:rsidRDefault="00485180" w:rsidP="00485180">
      <w:pPr>
        <w:pStyle w:val="H1G"/>
      </w:pPr>
      <w:r w:rsidRPr="00D6427F">
        <w:tab/>
      </w:r>
      <w:r w:rsidRPr="00D6427F">
        <w:tab/>
      </w:r>
      <w:bookmarkStart w:id="50" w:name="_Toc17361316"/>
      <w:r>
        <w:t>Rules of procedure specific to the hearings held pursuant to article 11 of the International Convention on t</w:t>
      </w:r>
      <w:r w:rsidRPr="006D1A17">
        <w:t xml:space="preserve">he Elimination </w:t>
      </w:r>
      <w:r>
        <w:t>of All Forms o</w:t>
      </w:r>
      <w:r w:rsidRPr="006D1A17">
        <w:t>f Racial Discrimination</w:t>
      </w:r>
      <w:bookmarkEnd w:id="50"/>
      <w:r w:rsidRPr="006D1A17">
        <w:t xml:space="preserve"> </w:t>
      </w:r>
    </w:p>
    <w:p w:rsidR="00485180" w:rsidRPr="003A3B56" w:rsidRDefault="00485180" w:rsidP="00485180">
      <w:pPr>
        <w:pStyle w:val="H23G"/>
      </w:pPr>
      <w:r>
        <w:tab/>
      </w:r>
      <w:r>
        <w:tab/>
      </w:r>
      <w:r w:rsidRPr="003A3B56">
        <w:t>Preamble</w:t>
      </w:r>
    </w:p>
    <w:p w:rsidR="00485180" w:rsidRPr="0096253A" w:rsidRDefault="00485180" w:rsidP="00485180">
      <w:pPr>
        <w:pStyle w:val="SingleTxtG"/>
      </w:pPr>
      <w:r w:rsidRPr="003A3B56">
        <w:t>The Committee on the Elimination of Racial Discrimination (hereinafter referred to as “the Committee”)</w:t>
      </w:r>
      <w:r>
        <w:t>,</w:t>
      </w:r>
      <w:r w:rsidRPr="003A3B56">
        <w:t xml:space="preserve"> acting on c</w:t>
      </w:r>
      <w:r w:rsidRPr="0096253A">
        <w:t>ommunications from States parties under article 11 of the International Convention on the Elimination of all forms of Racial Discrimination (hereinafter referred to as “the Convention”),</w:t>
      </w:r>
    </w:p>
    <w:p w:rsidR="00485180" w:rsidRPr="003A3B56" w:rsidRDefault="00485180" w:rsidP="00485180">
      <w:pPr>
        <w:pStyle w:val="SingleTxtG"/>
      </w:pPr>
      <w:r>
        <w:t>Bearing in mind</w:t>
      </w:r>
      <w:r w:rsidRPr="003A3B56">
        <w:t xml:space="preserve"> article</w:t>
      </w:r>
      <w:r>
        <w:t>s</w:t>
      </w:r>
      <w:r w:rsidRPr="003A3B56">
        <w:t xml:space="preserve"> 11, 12 and 13 of the Convention concerning inter-State communications,</w:t>
      </w:r>
    </w:p>
    <w:p w:rsidR="00485180" w:rsidRPr="003A3B56" w:rsidRDefault="00485180" w:rsidP="00485180">
      <w:pPr>
        <w:pStyle w:val="SingleTxtG"/>
      </w:pPr>
      <w:r>
        <w:t>Bearing in mind</w:t>
      </w:r>
      <w:r w:rsidRPr="003A3B56">
        <w:t xml:space="preserve"> the rules of procedure of the Committee,</w:t>
      </w:r>
    </w:p>
    <w:p w:rsidR="00485180" w:rsidRPr="003A3B56" w:rsidRDefault="00485180" w:rsidP="00485180">
      <w:pPr>
        <w:pStyle w:val="SingleTxtG"/>
      </w:pPr>
      <w:r w:rsidRPr="003A3B56">
        <w:t xml:space="preserve">Acting in pursuance of article 11 of the Convention and rules 69, 70 and 71 of the </w:t>
      </w:r>
      <w:r w:rsidRPr="0096253A">
        <w:t>Committee’s rules of procedure</w:t>
      </w:r>
      <w:r w:rsidRPr="003A3B56">
        <w:t>,</w:t>
      </w:r>
    </w:p>
    <w:p w:rsidR="00485180" w:rsidRPr="006D1A17" w:rsidRDefault="00485180" w:rsidP="00485180">
      <w:pPr>
        <w:pStyle w:val="SingleTxtG"/>
      </w:pPr>
      <w:r w:rsidRPr="003A3B56">
        <w:t>Establishes the present rules of procedure</w:t>
      </w:r>
      <w:r>
        <w:t>.</w:t>
      </w:r>
    </w:p>
    <w:p w:rsidR="00485180" w:rsidRPr="006D1A17" w:rsidRDefault="00485180" w:rsidP="00485180">
      <w:pPr>
        <w:pStyle w:val="H23G"/>
      </w:pPr>
      <w:r>
        <w:tab/>
      </w:r>
      <w:r>
        <w:tab/>
      </w:r>
      <w:r w:rsidRPr="006D1A17">
        <w:t>Rule 1</w:t>
      </w:r>
    </w:p>
    <w:p w:rsidR="00485180" w:rsidRPr="00F75A57" w:rsidRDefault="00485180" w:rsidP="00485180">
      <w:pPr>
        <w:pStyle w:val="H56G"/>
        <w:rPr>
          <w:i/>
          <w:iCs/>
        </w:rPr>
      </w:pPr>
      <w:r>
        <w:tab/>
      </w:r>
      <w:r>
        <w:tab/>
      </w:r>
      <w:r w:rsidRPr="00F75A57">
        <w:rPr>
          <w:i/>
          <w:iCs/>
        </w:rPr>
        <w:t>Formalities prior to the hearing</w:t>
      </w:r>
    </w:p>
    <w:p w:rsidR="00485180" w:rsidRPr="006D1A17" w:rsidRDefault="00485180" w:rsidP="00485180">
      <w:pPr>
        <w:pStyle w:val="SingleTxtG"/>
      </w:pPr>
      <w:r>
        <w:t>1.</w:t>
      </w:r>
      <w:r>
        <w:tab/>
        <w:t>I</w:t>
      </w:r>
      <w:r w:rsidRPr="006D1A17">
        <w:t xml:space="preserve">f a State </w:t>
      </w:r>
      <w:r>
        <w:t>p</w:t>
      </w:r>
      <w:r w:rsidRPr="006D1A17">
        <w:t>arty refers the matter again to the Committee</w:t>
      </w:r>
      <w:r>
        <w:t>,</w:t>
      </w:r>
      <w:r w:rsidRPr="00756A88">
        <w:t xml:space="preserve"> </w:t>
      </w:r>
      <w:r>
        <w:t xml:space="preserve">pursuant to </w:t>
      </w:r>
      <w:r w:rsidRPr="006D1A17">
        <w:t>article 11</w:t>
      </w:r>
      <w:r>
        <w:t xml:space="preserve"> </w:t>
      </w:r>
      <w:r w:rsidRPr="006D1A17">
        <w:t xml:space="preserve">(2) of the Convention, the Committee shall request the </w:t>
      </w:r>
      <w:r>
        <w:t>r</w:t>
      </w:r>
      <w:r w:rsidRPr="006D1A17">
        <w:t>espondent State to inform the Committee whether it wishes</w:t>
      </w:r>
      <w:r>
        <w:t>,</w:t>
      </w:r>
      <w:r w:rsidRPr="006D1A17">
        <w:t xml:space="preserve"> within one month </w:t>
      </w:r>
      <w:r>
        <w:t>of</w:t>
      </w:r>
      <w:r w:rsidRPr="006D1A17">
        <w:t xml:space="preserve"> receipt of t</w:t>
      </w:r>
      <w:r>
        <w:t>he</w:t>
      </w:r>
      <w:r w:rsidRPr="006D1A17">
        <w:t xml:space="preserve"> request</w:t>
      </w:r>
      <w:r>
        <w:t>,</w:t>
      </w:r>
      <w:r w:rsidRPr="006D1A17">
        <w:t xml:space="preserve"> to supply any relevant information on jurisdiction or admissibility of the communication, including the exhaustion of all available domestic remedies.</w:t>
      </w:r>
    </w:p>
    <w:p w:rsidR="00485180" w:rsidRPr="006D1A17" w:rsidRDefault="00485180" w:rsidP="00485180">
      <w:pPr>
        <w:pStyle w:val="SingleTxtG"/>
      </w:pPr>
      <w:r>
        <w:t>2.</w:t>
      </w:r>
      <w:r>
        <w:tab/>
      </w:r>
      <w:r w:rsidRPr="006D1A17">
        <w:t xml:space="preserve">The Secretariat shall immediately transmit any reply received to the Committee, and the other State concerned. The other State </w:t>
      </w:r>
      <w:r>
        <w:t>shall have</w:t>
      </w:r>
      <w:r w:rsidRPr="006D1A17">
        <w:t xml:space="preserve"> the opportunity to provide its observations on that reply within one month of </w:t>
      </w:r>
      <w:r>
        <w:t>receipt</w:t>
      </w:r>
      <w:r w:rsidRPr="006D1A17">
        <w:t xml:space="preserve">. The States </w:t>
      </w:r>
      <w:r>
        <w:t>p</w:t>
      </w:r>
      <w:r w:rsidRPr="006D1A17">
        <w:t>arties</w:t>
      </w:r>
      <w:r w:rsidRPr="00C50740">
        <w:t xml:space="preserve"> </w:t>
      </w:r>
      <w:r w:rsidRPr="006D1A17">
        <w:t xml:space="preserve">concerned may decide to confine their respective replies to the information already contained in their previous notes in which those issues have been raised. </w:t>
      </w:r>
    </w:p>
    <w:p w:rsidR="00485180" w:rsidRPr="006D1A17" w:rsidRDefault="00485180" w:rsidP="00485180">
      <w:pPr>
        <w:pStyle w:val="SingleTxtG"/>
      </w:pPr>
      <w:r>
        <w:t>3.</w:t>
      </w:r>
      <w:r>
        <w:tab/>
        <w:t>If</w:t>
      </w:r>
      <w:r w:rsidRPr="006D1A17">
        <w:t xml:space="preserve"> the interested States fail to exercise their right within the time limits established in </w:t>
      </w:r>
      <w:r>
        <w:t>r</w:t>
      </w:r>
      <w:r w:rsidRPr="006D1A17">
        <w:t>ules 1</w:t>
      </w:r>
      <w:r>
        <w:t xml:space="preserve"> </w:t>
      </w:r>
      <w:r w:rsidRPr="006D1A17">
        <w:t>(1) and 1</w:t>
      </w:r>
      <w:r>
        <w:t xml:space="preserve"> </w:t>
      </w:r>
      <w:r w:rsidRPr="006D1A17">
        <w:t>(2)</w:t>
      </w:r>
      <w:r>
        <w:t xml:space="preserve"> above</w:t>
      </w:r>
      <w:r w:rsidRPr="006D1A17">
        <w:t xml:space="preserve">, the Committee may consider that they have waived that right. </w:t>
      </w:r>
    </w:p>
    <w:p w:rsidR="00485180" w:rsidRPr="006D1A17" w:rsidRDefault="00485180" w:rsidP="00485180">
      <w:pPr>
        <w:pStyle w:val="SingleTxtG"/>
      </w:pPr>
      <w:r>
        <w:t>4.</w:t>
      </w:r>
      <w:r>
        <w:tab/>
      </w:r>
      <w:r w:rsidRPr="006D1A17">
        <w:t xml:space="preserve">Pursuant to </w:t>
      </w:r>
      <w:r>
        <w:t>r</w:t>
      </w:r>
      <w:r w:rsidRPr="006D1A17">
        <w:t xml:space="preserve">ule 87 of the Committee’s </w:t>
      </w:r>
      <w:r>
        <w:t>r</w:t>
      </w:r>
      <w:r w:rsidRPr="006D1A17">
        <w:t xml:space="preserve">ules of </w:t>
      </w:r>
      <w:r>
        <w:t>p</w:t>
      </w:r>
      <w:r w:rsidRPr="006D1A17">
        <w:t xml:space="preserve">rocedure, the Committee may establish a </w:t>
      </w:r>
      <w:r>
        <w:t>w</w:t>
      </w:r>
      <w:r w:rsidRPr="006D1A17">
        <w:t xml:space="preserve">orking </w:t>
      </w:r>
      <w:r>
        <w:t>g</w:t>
      </w:r>
      <w:r w:rsidRPr="006D1A17">
        <w:t xml:space="preserve">roup, </w:t>
      </w:r>
      <w:r>
        <w:t>comprising</w:t>
      </w:r>
      <w:r w:rsidRPr="006D1A17">
        <w:t xml:space="preserve"> five members, to assist the Committee in dealing with inter-</w:t>
      </w:r>
      <w:r>
        <w:t>S</w:t>
      </w:r>
      <w:r w:rsidRPr="006D1A17">
        <w:t>tate communications.</w:t>
      </w:r>
    </w:p>
    <w:p w:rsidR="00485180" w:rsidRPr="006D1A17" w:rsidRDefault="00485180" w:rsidP="00485180">
      <w:pPr>
        <w:pStyle w:val="SingleTxtG"/>
      </w:pPr>
      <w:r>
        <w:t>5.</w:t>
      </w:r>
      <w:r>
        <w:tab/>
      </w:r>
      <w:r w:rsidRPr="006D1A17">
        <w:t xml:space="preserve">Upon the request of one of the parties, late written submissions may be authorized by the Working Group, on an exceptional basis, with due consideration given to the circumstances of the case and the principle of equality of arms. </w:t>
      </w:r>
      <w:r>
        <w:t>If</w:t>
      </w:r>
      <w:r w:rsidRPr="006D1A17">
        <w:t xml:space="preserve"> the Working Group considers that such </w:t>
      </w:r>
      <w:r>
        <w:t xml:space="preserve">a </w:t>
      </w:r>
      <w:r w:rsidRPr="006D1A17">
        <w:t xml:space="preserve">submission can be taken into account, it shall transmit it immediately to the State party concerned, giving it the </w:t>
      </w:r>
      <w:r>
        <w:t>opportunity</w:t>
      </w:r>
      <w:r w:rsidRPr="006D1A17">
        <w:t xml:space="preserve"> to comment on any new issues raised within a determined time limit.</w:t>
      </w:r>
      <w:r w:rsidR="00133C6F">
        <w:t xml:space="preserve"> </w:t>
      </w:r>
    </w:p>
    <w:p w:rsidR="00485180" w:rsidRPr="006D1A17" w:rsidRDefault="00485180" w:rsidP="00485180">
      <w:pPr>
        <w:pStyle w:val="SingleTxtG"/>
      </w:pPr>
      <w:r>
        <w:t>6.</w:t>
      </w:r>
      <w:r>
        <w:tab/>
      </w:r>
      <w:r w:rsidRPr="006D1A17">
        <w:t>Upon the closure of the written proceedings related to jurisdiction and admissibility, including the exhaustion of domestic remedies, the case is ready for hearings. Adequate notice of the date on which the matter will be considered shall be given to the concerned States.</w:t>
      </w:r>
    </w:p>
    <w:p w:rsidR="00485180" w:rsidRPr="006D1A17" w:rsidRDefault="00485180" w:rsidP="00485180">
      <w:pPr>
        <w:pStyle w:val="SingleTxtG"/>
      </w:pPr>
      <w:r>
        <w:t>7.</w:t>
      </w:r>
      <w:r>
        <w:tab/>
      </w:r>
      <w:r w:rsidRPr="006D1A17">
        <w:t>Pursuant to article 11</w:t>
      </w:r>
      <w:r>
        <w:t xml:space="preserve"> </w:t>
      </w:r>
      <w:r w:rsidRPr="006D1A17">
        <w:t xml:space="preserve">(5) of the Convention, the Committee </w:t>
      </w:r>
      <w:r>
        <w:t>shall</w:t>
      </w:r>
      <w:r w:rsidRPr="006D1A17">
        <w:t xml:space="preserve"> invite the States parties concerned to appoint one representative to take part in the oral proceedings before the Committee, without voting rights. The notification of the appointment </w:t>
      </w:r>
      <w:r>
        <w:t>shall</w:t>
      </w:r>
      <w:r w:rsidRPr="006D1A17">
        <w:t xml:space="preserve"> include the name and a biographical résumé of the representative of the State, </w:t>
      </w:r>
      <w:r>
        <w:t xml:space="preserve">and shall be submitted </w:t>
      </w:r>
      <w:r w:rsidRPr="006D1A17">
        <w:t xml:space="preserve">within </w:t>
      </w:r>
      <w:r>
        <w:t>a</w:t>
      </w:r>
      <w:r w:rsidRPr="006D1A17">
        <w:t xml:space="preserve"> time limit fixed by the Committee. This notification shall be communicated in a </w:t>
      </w:r>
      <w:r w:rsidRPr="006D1A17">
        <w:lastRenderedPageBreak/>
        <w:t>timely manner to the States parties</w:t>
      </w:r>
      <w:r w:rsidRPr="00C50740">
        <w:t xml:space="preserve"> </w:t>
      </w:r>
      <w:r w:rsidRPr="006D1A17">
        <w:t xml:space="preserve">concerned, in compliance with </w:t>
      </w:r>
      <w:r>
        <w:t>r</w:t>
      </w:r>
      <w:r w:rsidRPr="006D1A17">
        <w:t xml:space="preserve">ule 71 of the Committee’s </w:t>
      </w:r>
      <w:r>
        <w:t>r</w:t>
      </w:r>
      <w:r w:rsidRPr="006D1A17">
        <w:t xml:space="preserve">ules of </w:t>
      </w:r>
      <w:r>
        <w:t>p</w:t>
      </w:r>
      <w:r w:rsidRPr="006D1A17">
        <w:t>rocedure.</w:t>
      </w:r>
    </w:p>
    <w:p w:rsidR="00485180" w:rsidRPr="006D1A17" w:rsidRDefault="00485180" w:rsidP="00485180">
      <w:pPr>
        <w:pStyle w:val="H23G"/>
      </w:pPr>
      <w:r>
        <w:tab/>
      </w:r>
      <w:r>
        <w:tab/>
      </w:r>
      <w:r w:rsidRPr="006D1A17">
        <w:t>Rule 2</w:t>
      </w:r>
    </w:p>
    <w:p w:rsidR="00485180" w:rsidRPr="006D1A17" w:rsidRDefault="00485180" w:rsidP="00485180">
      <w:pPr>
        <w:pStyle w:val="H4G"/>
      </w:pPr>
      <w:r>
        <w:tab/>
      </w:r>
      <w:r>
        <w:tab/>
      </w:r>
      <w:r w:rsidRPr="006D1A17">
        <w:t>Languages</w:t>
      </w:r>
    </w:p>
    <w:p w:rsidR="00485180" w:rsidRPr="006D1A17" w:rsidRDefault="00485180" w:rsidP="00485180">
      <w:pPr>
        <w:pStyle w:val="SingleTxtG"/>
      </w:pPr>
      <w:r w:rsidRPr="006D1A17">
        <w:t xml:space="preserve">The working languages of the proceedings shall be the usual working languages of the Committee. If one of the States concerned wishes to address the Committee in one of the official languages of the United Nations, interpretation </w:t>
      </w:r>
      <w:r>
        <w:t>shall</w:t>
      </w:r>
      <w:r w:rsidRPr="006D1A17">
        <w:t xml:space="preserve"> be provided in that language. Decisions taken by the Committee </w:t>
      </w:r>
      <w:r>
        <w:t>shall</w:t>
      </w:r>
      <w:r w:rsidRPr="006D1A17">
        <w:t xml:space="preserve"> be translated into the six </w:t>
      </w:r>
      <w:r>
        <w:t>o</w:t>
      </w:r>
      <w:r w:rsidRPr="006D1A17">
        <w:t>fficial languages</w:t>
      </w:r>
      <w:r>
        <w:t xml:space="preserve"> of the United Nations</w:t>
      </w:r>
      <w:r w:rsidRPr="006D1A17">
        <w:t>.</w:t>
      </w:r>
    </w:p>
    <w:p w:rsidR="00485180" w:rsidRPr="006D1A17" w:rsidRDefault="00485180" w:rsidP="00485180">
      <w:pPr>
        <w:pStyle w:val="H23G"/>
        <w:rPr>
          <w:lang w:eastAsia="en-GB"/>
        </w:rPr>
      </w:pPr>
      <w:r>
        <w:rPr>
          <w:lang w:eastAsia="en-GB"/>
        </w:rPr>
        <w:tab/>
      </w:r>
      <w:r>
        <w:rPr>
          <w:lang w:eastAsia="en-GB"/>
        </w:rPr>
        <w:tab/>
      </w:r>
      <w:r w:rsidRPr="006D1A17">
        <w:rPr>
          <w:lang w:eastAsia="en-GB"/>
        </w:rPr>
        <w:t>Rule 3</w:t>
      </w:r>
    </w:p>
    <w:p w:rsidR="00485180" w:rsidRPr="006D1A17" w:rsidRDefault="00485180" w:rsidP="00485180">
      <w:pPr>
        <w:pStyle w:val="H4G"/>
        <w:rPr>
          <w:lang w:eastAsia="en-GB"/>
        </w:rPr>
      </w:pPr>
      <w:r>
        <w:rPr>
          <w:lang w:eastAsia="en-GB"/>
        </w:rPr>
        <w:tab/>
      </w:r>
      <w:r>
        <w:rPr>
          <w:lang w:eastAsia="en-GB"/>
        </w:rPr>
        <w:tab/>
      </w:r>
      <w:r w:rsidRPr="006D1A17">
        <w:rPr>
          <w:lang w:eastAsia="en-GB"/>
        </w:rPr>
        <w:t>Chairing of the hearing</w:t>
      </w:r>
    </w:p>
    <w:p w:rsidR="00485180" w:rsidRPr="006D1A17" w:rsidRDefault="00485180" w:rsidP="00485180">
      <w:pPr>
        <w:pStyle w:val="SingleTxtG"/>
        <w:rPr>
          <w:b/>
          <w:i/>
          <w:lang w:eastAsia="en-GB"/>
        </w:rPr>
      </w:pPr>
      <w:r w:rsidRPr="006D1A17">
        <w:rPr>
          <w:lang w:eastAsia="en-GB"/>
        </w:rPr>
        <w:t xml:space="preserve">The hearing </w:t>
      </w:r>
      <w:r>
        <w:rPr>
          <w:lang w:eastAsia="en-GB"/>
        </w:rPr>
        <w:t>shall</w:t>
      </w:r>
      <w:r w:rsidRPr="006D1A17">
        <w:rPr>
          <w:lang w:eastAsia="en-GB"/>
        </w:rPr>
        <w:t xml:space="preserve"> be </w:t>
      </w:r>
      <w:r>
        <w:rPr>
          <w:lang w:eastAsia="en-GB"/>
        </w:rPr>
        <w:t>chaired</w:t>
      </w:r>
      <w:r w:rsidRPr="006D1A17">
        <w:rPr>
          <w:lang w:eastAsia="en-GB"/>
        </w:rPr>
        <w:t xml:space="preserve"> in accordance with </w:t>
      </w:r>
      <w:r>
        <w:rPr>
          <w:lang w:eastAsia="en-GB"/>
        </w:rPr>
        <w:t>r</w:t>
      </w:r>
      <w:r w:rsidRPr="006D1A17">
        <w:rPr>
          <w:lang w:eastAsia="en-GB"/>
        </w:rPr>
        <w:t xml:space="preserve">ules 17, 18 and 19 of the Committee’s </w:t>
      </w:r>
      <w:r>
        <w:rPr>
          <w:lang w:eastAsia="en-GB"/>
        </w:rPr>
        <w:t>r</w:t>
      </w:r>
      <w:r w:rsidRPr="006D1A17">
        <w:rPr>
          <w:lang w:eastAsia="en-GB"/>
        </w:rPr>
        <w:t xml:space="preserve">ules of </w:t>
      </w:r>
      <w:r>
        <w:rPr>
          <w:lang w:eastAsia="en-GB"/>
        </w:rPr>
        <w:t>p</w:t>
      </w:r>
      <w:r w:rsidRPr="006D1A17">
        <w:rPr>
          <w:lang w:eastAsia="en-GB"/>
        </w:rPr>
        <w:t>rocedure.</w:t>
      </w:r>
    </w:p>
    <w:p w:rsidR="00485180" w:rsidRPr="006D1A17" w:rsidRDefault="00485180" w:rsidP="00485180">
      <w:pPr>
        <w:pStyle w:val="H23G"/>
        <w:rPr>
          <w:lang w:eastAsia="en-GB"/>
        </w:rPr>
      </w:pPr>
      <w:r>
        <w:rPr>
          <w:lang w:eastAsia="en-GB"/>
        </w:rPr>
        <w:tab/>
      </w:r>
      <w:r>
        <w:rPr>
          <w:lang w:eastAsia="en-GB"/>
        </w:rPr>
        <w:tab/>
      </w:r>
      <w:r w:rsidRPr="006D1A17">
        <w:rPr>
          <w:lang w:eastAsia="en-GB"/>
        </w:rPr>
        <w:t>Rule 4</w:t>
      </w:r>
    </w:p>
    <w:p w:rsidR="00485180" w:rsidRPr="006D1A17" w:rsidRDefault="00485180" w:rsidP="00485180">
      <w:pPr>
        <w:pStyle w:val="H4G"/>
        <w:rPr>
          <w:lang w:eastAsia="en-GB"/>
        </w:rPr>
      </w:pPr>
      <w:r>
        <w:rPr>
          <w:lang w:eastAsia="en-GB"/>
        </w:rPr>
        <w:tab/>
      </w:r>
      <w:r>
        <w:rPr>
          <w:lang w:eastAsia="en-GB"/>
        </w:rPr>
        <w:tab/>
      </w:r>
      <w:r w:rsidRPr="006D1A17">
        <w:rPr>
          <w:lang w:eastAsia="en-GB"/>
        </w:rPr>
        <w:t>Independence and impartiality of Committee members</w:t>
      </w:r>
    </w:p>
    <w:p w:rsidR="00485180" w:rsidRPr="006D1A17" w:rsidRDefault="00485180" w:rsidP="00485180">
      <w:pPr>
        <w:pStyle w:val="SingleTxtG"/>
        <w:rPr>
          <w:rFonts w:eastAsia="Times New Roman"/>
          <w:color w:val="000000" w:themeColor="text1"/>
          <w:lang w:eastAsia="en-GB"/>
        </w:rPr>
      </w:pPr>
      <w:r>
        <w:t>1.</w:t>
      </w:r>
      <w:r>
        <w:tab/>
      </w:r>
      <w:r w:rsidRPr="006D1A17">
        <w:t xml:space="preserve">A member shall not take part in the </w:t>
      </w:r>
      <w:r>
        <w:t xml:space="preserve">Committee’s </w:t>
      </w:r>
      <w:r w:rsidRPr="006D1A17">
        <w:t>examination of an inter</w:t>
      </w:r>
      <w:r>
        <w:t>-S</w:t>
      </w:r>
      <w:r w:rsidRPr="006D1A17">
        <w:t>tate communication</w:t>
      </w:r>
      <w:r>
        <w:t xml:space="preserve"> if</w:t>
      </w:r>
      <w:r w:rsidRPr="006D1A17">
        <w:t>:</w:t>
      </w:r>
    </w:p>
    <w:p w:rsidR="00485180" w:rsidRPr="008A0A19" w:rsidRDefault="00966A86" w:rsidP="00966A86">
      <w:pPr>
        <w:pStyle w:val="SingleTxtG"/>
      </w:pPr>
      <w:r>
        <w:tab/>
      </w:r>
      <w:r w:rsidR="00485180" w:rsidRPr="008A0A19">
        <w:t>(a)</w:t>
      </w:r>
      <w:r w:rsidR="00485180" w:rsidRPr="008A0A19">
        <w:tab/>
      </w:r>
      <w:r w:rsidR="00485180">
        <w:t>H</w:t>
      </w:r>
      <w:r w:rsidR="00485180" w:rsidRPr="008A0A19">
        <w:t>e or she is a national of one of the States parties concerned;</w:t>
      </w:r>
    </w:p>
    <w:p w:rsidR="00485180" w:rsidRPr="008A0A19" w:rsidRDefault="00966A86" w:rsidP="00966A86">
      <w:pPr>
        <w:pStyle w:val="SingleTxtG"/>
      </w:pPr>
      <w:r>
        <w:tab/>
      </w:r>
      <w:r w:rsidR="00485180" w:rsidRPr="008A0A19">
        <w:t>(b)</w:t>
      </w:r>
      <w:r w:rsidR="00485180" w:rsidRPr="008A0A19">
        <w:tab/>
      </w:r>
      <w:r w:rsidR="00485180">
        <w:t>H</w:t>
      </w:r>
      <w:r w:rsidR="00485180" w:rsidRPr="008A0A19">
        <w:t>e or she has any personal or professional conflict of interest in the communication;</w:t>
      </w:r>
    </w:p>
    <w:p w:rsidR="00485180" w:rsidRPr="008A0A19" w:rsidRDefault="00966A86" w:rsidP="00966A86">
      <w:pPr>
        <w:pStyle w:val="SingleTxtG"/>
      </w:pPr>
      <w:r>
        <w:tab/>
      </w:r>
      <w:r w:rsidR="00485180" w:rsidRPr="008A0A19">
        <w:t>(c)</w:t>
      </w:r>
      <w:r w:rsidR="00485180" w:rsidRPr="008A0A19">
        <w:tab/>
      </w:r>
      <w:r w:rsidR="00485180">
        <w:t>H</w:t>
      </w:r>
      <w:r w:rsidR="00485180" w:rsidRPr="008A0A19">
        <w:t>e or she has participated in any capacity in any decision on the subject matter covered by the communication.</w:t>
      </w:r>
    </w:p>
    <w:p w:rsidR="00485180" w:rsidRPr="006D1A17" w:rsidRDefault="00485180" w:rsidP="00485180">
      <w:pPr>
        <w:pStyle w:val="SingleTxtG"/>
        <w:rPr>
          <w:rFonts w:eastAsia="Times New Roman"/>
          <w:b/>
          <w:i/>
          <w:color w:val="000000" w:themeColor="text1"/>
          <w:lang w:eastAsia="en-GB"/>
        </w:rPr>
      </w:pPr>
      <w:r>
        <w:t>2.</w:t>
      </w:r>
      <w:r>
        <w:tab/>
      </w:r>
      <w:r w:rsidRPr="006D1A17">
        <w:t>Any question aris</w:t>
      </w:r>
      <w:r>
        <w:t>ing</w:t>
      </w:r>
      <w:r w:rsidRPr="006D1A17">
        <w:t xml:space="preserve"> under </w:t>
      </w:r>
      <w:r>
        <w:t>rule 4</w:t>
      </w:r>
      <w:r w:rsidRPr="006D1A17">
        <w:t> </w:t>
      </w:r>
      <w:r>
        <w:t>(</w:t>
      </w:r>
      <w:r w:rsidRPr="006D1A17">
        <w:t>1</w:t>
      </w:r>
      <w:r>
        <w:t>)</w:t>
      </w:r>
      <w:r w:rsidRPr="006D1A17">
        <w:t xml:space="preserve"> above shall be decided by the Committee. The member concerned shall not take part in the decision.</w:t>
      </w:r>
      <w:r w:rsidRPr="006D1A17">
        <w:rPr>
          <w:rFonts w:eastAsia="Times New Roman"/>
          <w:b/>
          <w:i/>
          <w:color w:val="000000" w:themeColor="text1"/>
          <w:lang w:eastAsia="en-GB"/>
        </w:rPr>
        <w:t xml:space="preserve"> </w:t>
      </w:r>
    </w:p>
    <w:p w:rsidR="00485180" w:rsidRPr="006D1A17" w:rsidRDefault="00485180" w:rsidP="00485180">
      <w:pPr>
        <w:pStyle w:val="H23G"/>
        <w:rPr>
          <w:lang w:eastAsia="en-GB"/>
        </w:rPr>
      </w:pPr>
      <w:r>
        <w:rPr>
          <w:lang w:eastAsia="en-GB"/>
        </w:rPr>
        <w:tab/>
      </w:r>
      <w:r>
        <w:rPr>
          <w:lang w:eastAsia="en-GB"/>
        </w:rPr>
        <w:tab/>
      </w:r>
      <w:r w:rsidRPr="006D1A17">
        <w:rPr>
          <w:lang w:eastAsia="en-GB"/>
        </w:rPr>
        <w:t>Rule 5</w:t>
      </w:r>
    </w:p>
    <w:p w:rsidR="00485180" w:rsidRPr="006D1A17" w:rsidRDefault="00485180" w:rsidP="00485180">
      <w:pPr>
        <w:pStyle w:val="H4G"/>
        <w:rPr>
          <w:lang w:eastAsia="en-GB"/>
        </w:rPr>
      </w:pPr>
      <w:r>
        <w:rPr>
          <w:lang w:eastAsia="en-GB"/>
        </w:rPr>
        <w:tab/>
      </w:r>
      <w:r>
        <w:rPr>
          <w:lang w:eastAsia="en-GB"/>
        </w:rPr>
        <w:tab/>
      </w:r>
      <w:r w:rsidRPr="006D1A17">
        <w:rPr>
          <w:lang w:eastAsia="en-GB"/>
        </w:rPr>
        <w:t>Conduct of the hearing</w:t>
      </w:r>
    </w:p>
    <w:p w:rsidR="00485180" w:rsidRPr="006D1A17" w:rsidRDefault="00485180" w:rsidP="00485180">
      <w:pPr>
        <w:pStyle w:val="SingleTxtG"/>
      </w:pPr>
      <w:r>
        <w:t>1.</w:t>
      </w:r>
      <w:r>
        <w:tab/>
      </w:r>
      <w:r w:rsidRPr="006D1A17">
        <w:t xml:space="preserve">During the </w:t>
      </w:r>
      <w:r>
        <w:t>procedure</w:t>
      </w:r>
      <w:r w:rsidRPr="006D1A17">
        <w:t xml:space="preserve"> set out in article 11, the action taken by the Committee shall in no way be construed as an expression of its views on its jurisdiction, nor of the admissibility or merits of the communication.</w:t>
      </w:r>
    </w:p>
    <w:p w:rsidR="00485180" w:rsidRPr="006D1A17" w:rsidRDefault="00485180" w:rsidP="00485180">
      <w:pPr>
        <w:pStyle w:val="SingleTxtG"/>
      </w:pPr>
      <w:r>
        <w:t>2.</w:t>
      </w:r>
      <w:r>
        <w:tab/>
      </w:r>
      <w:r w:rsidRPr="006D1A17">
        <w:t>The hearings of the Committee shall be held in private.</w:t>
      </w:r>
    </w:p>
    <w:p w:rsidR="00485180" w:rsidRPr="006D1A17" w:rsidRDefault="00485180" w:rsidP="00485180">
      <w:pPr>
        <w:pStyle w:val="SingleTxtG"/>
      </w:pPr>
      <w:r>
        <w:t>3.</w:t>
      </w:r>
      <w:r>
        <w:tab/>
      </w:r>
      <w:r w:rsidRPr="006D1A17">
        <w:t>During the hearing, the representative of the State</w:t>
      </w:r>
      <w:r>
        <w:t xml:space="preserve"> party</w:t>
      </w:r>
      <w:r w:rsidRPr="006D1A17">
        <w:t xml:space="preserve"> </w:t>
      </w:r>
      <w:r>
        <w:t>that</w:t>
      </w:r>
      <w:r w:rsidRPr="006D1A17">
        <w:t xml:space="preserve"> raised preliminary issues </w:t>
      </w:r>
      <w:r>
        <w:t>shall</w:t>
      </w:r>
      <w:r w:rsidRPr="006D1A17">
        <w:t xml:space="preserve"> be invited to present the views of that State party, for a maximum of 45 minutes. The representative of the other State</w:t>
      </w:r>
      <w:r>
        <w:t xml:space="preserve"> party</w:t>
      </w:r>
      <w:r w:rsidRPr="006D1A17">
        <w:t xml:space="preserve"> shall then be given a maximum of 45 minutes to address the Committee. </w:t>
      </w:r>
      <w:r w:rsidRPr="00FA09C6">
        <w:t>Immediately afterwards</w:t>
      </w:r>
      <w:r w:rsidRPr="006D1A17">
        <w:t xml:space="preserve">, the respective representatives of the two States </w:t>
      </w:r>
      <w:r>
        <w:t>p</w:t>
      </w:r>
      <w:r w:rsidRPr="006D1A17">
        <w:t xml:space="preserve">arties </w:t>
      </w:r>
      <w:r>
        <w:t>shall</w:t>
      </w:r>
      <w:r w:rsidRPr="006D1A17">
        <w:t xml:space="preserve"> invited to </w:t>
      </w:r>
      <w:r>
        <w:t>give</w:t>
      </w:r>
      <w:r w:rsidRPr="006D1A17">
        <w:t xml:space="preserve"> an oral response for a maximum of 15 minutes. </w:t>
      </w:r>
    </w:p>
    <w:p w:rsidR="00485180" w:rsidRPr="006D1A17" w:rsidRDefault="00485180" w:rsidP="00485180">
      <w:pPr>
        <w:pStyle w:val="SingleTxtG"/>
      </w:pPr>
      <w:r>
        <w:t>4.</w:t>
      </w:r>
      <w:r>
        <w:tab/>
      </w:r>
      <w:r w:rsidRPr="00FA09C6">
        <w:t>After the representatives of the States parties have presented their views orally to the Committee for 45 minutes</w:t>
      </w:r>
      <w:r w:rsidRPr="006D1A17">
        <w:t>, the</w:t>
      </w:r>
      <w:r>
        <w:t xml:space="preserve"> States parties</w:t>
      </w:r>
      <w:r w:rsidRPr="006D1A17">
        <w:t xml:space="preserve"> </w:t>
      </w:r>
      <w:r>
        <w:t>may</w:t>
      </w:r>
      <w:r w:rsidRPr="006D1A17">
        <w:t xml:space="preserve"> provide additional written information</w:t>
      </w:r>
      <w:r>
        <w:t>,</w:t>
      </w:r>
      <w:r w:rsidRPr="006D1A17">
        <w:t xml:space="preserve"> not exceeding 10 pages</w:t>
      </w:r>
      <w:r>
        <w:t xml:space="preserve"> long</w:t>
      </w:r>
      <w:r w:rsidRPr="006D1A17">
        <w:t xml:space="preserve">, within 24 hours of the oral proceedings. On an exceptional basis, the Committee may allow the </w:t>
      </w:r>
      <w:r>
        <w:t xml:space="preserve">States </w:t>
      </w:r>
      <w:r w:rsidRPr="006D1A17">
        <w:t xml:space="preserve">parties to submit a written reply </w:t>
      </w:r>
      <w:r w:rsidRPr="00FA09C6">
        <w:t>in lieu of oral responses</w:t>
      </w:r>
      <w:r w:rsidRPr="006D1A17">
        <w:t xml:space="preserve">. </w:t>
      </w:r>
    </w:p>
    <w:p w:rsidR="00485180" w:rsidRPr="006D1A17" w:rsidRDefault="00485180" w:rsidP="00485180">
      <w:pPr>
        <w:pStyle w:val="SingleTxtG"/>
      </w:pPr>
      <w:r>
        <w:t>5.</w:t>
      </w:r>
      <w:r>
        <w:tab/>
      </w:r>
      <w:r w:rsidRPr="006D1A17">
        <w:t xml:space="preserve">The </w:t>
      </w:r>
      <w:r w:rsidRPr="00FA09C6">
        <w:t>oral responses will be limited to two rounds</w:t>
      </w:r>
      <w:r w:rsidRPr="006D1A17">
        <w:t xml:space="preserve">, unless the Chair of the Committee decides otherwise. </w:t>
      </w:r>
    </w:p>
    <w:p w:rsidR="00485180" w:rsidRPr="006D1A17" w:rsidRDefault="00485180" w:rsidP="00485180">
      <w:pPr>
        <w:pStyle w:val="SingleTxtG"/>
      </w:pPr>
      <w:r>
        <w:t>6.</w:t>
      </w:r>
      <w:r>
        <w:tab/>
        <w:t>If</w:t>
      </w:r>
      <w:r w:rsidRPr="006D1A17">
        <w:t xml:space="preserve"> the representative of </w:t>
      </w:r>
      <w:r>
        <w:t>either</w:t>
      </w:r>
      <w:r w:rsidRPr="006D1A17">
        <w:t xml:space="preserve"> of the States parties </w:t>
      </w:r>
      <w:r>
        <w:t>concerned</w:t>
      </w:r>
      <w:r w:rsidRPr="006D1A17">
        <w:t xml:space="preserve"> objects </w:t>
      </w:r>
      <w:r>
        <w:t xml:space="preserve">to </w:t>
      </w:r>
      <w:r w:rsidRPr="006D1A17">
        <w:t xml:space="preserve">the presence of the representative of the other State party in the room while he or she is delivering his or </w:t>
      </w:r>
      <w:r w:rsidRPr="006D1A17">
        <w:lastRenderedPageBreak/>
        <w:t xml:space="preserve">her presentation or oral response, the Committee </w:t>
      </w:r>
      <w:r>
        <w:t>shall</w:t>
      </w:r>
      <w:r w:rsidRPr="006D1A17">
        <w:t xml:space="preserve"> place th</w:t>
      </w:r>
      <w:r>
        <w:t>at</w:t>
      </w:r>
      <w:r w:rsidRPr="006D1A17">
        <w:t xml:space="preserve"> objection </w:t>
      </w:r>
      <w:r>
        <w:t>on record</w:t>
      </w:r>
      <w:r w:rsidRPr="006D1A17">
        <w:t xml:space="preserve"> and acknowledge that th</w:t>
      </w:r>
      <w:r>
        <w:t>e</w:t>
      </w:r>
      <w:r w:rsidRPr="006D1A17">
        <w:t xml:space="preserve"> presence</w:t>
      </w:r>
      <w:r>
        <w:t xml:space="preserve"> of that representative</w:t>
      </w:r>
      <w:r w:rsidRPr="006D1A17">
        <w:t xml:space="preserve"> shall not be interpreted in any way as a position of the Committee with regard to the merits of the objection or to any of the issues raised in the communication.</w:t>
      </w:r>
    </w:p>
    <w:p w:rsidR="00485180" w:rsidRPr="006D1A17" w:rsidRDefault="00485180" w:rsidP="00485180">
      <w:pPr>
        <w:pStyle w:val="SingleTxtG"/>
        <w:rPr>
          <w:rFonts w:eastAsia="Times New Roman"/>
          <w:lang w:eastAsia="en-GB"/>
        </w:rPr>
      </w:pPr>
      <w:r>
        <w:rPr>
          <w:rFonts w:eastAsia="Times New Roman"/>
          <w:lang w:eastAsia="en-GB"/>
        </w:rPr>
        <w:t>7.</w:t>
      </w:r>
      <w:r>
        <w:rPr>
          <w:rFonts w:eastAsia="Times New Roman"/>
          <w:lang w:eastAsia="en-GB"/>
        </w:rPr>
        <w:tab/>
      </w:r>
      <w:r w:rsidRPr="006D1A17">
        <w:rPr>
          <w:rFonts w:eastAsia="Times New Roman"/>
          <w:lang w:eastAsia="en-GB"/>
        </w:rPr>
        <w:t>In compliance with the decision of the Committee previously communicated to the States</w:t>
      </w:r>
      <w:r>
        <w:rPr>
          <w:rFonts w:eastAsia="Times New Roman"/>
          <w:lang w:eastAsia="en-GB"/>
        </w:rPr>
        <w:t xml:space="preserve"> parties</w:t>
      </w:r>
      <w:r w:rsidRPr="006D1A17">
        <w:rPr>
          <w:rFonts w:eastAsia="Times New Roman"/>
          <w:lang w:eastAsia="en-GB"/>
        </w:rPr>
        <w:t xml:space="preserve"> concerned, the oral responses made on behalf of each State </w:t>
      </w:r>
      <w:r>
        <w:rPr>
          <w:rFonts w:eastAsia="Times New Roman"/>
          <w:lang w:eastAsia="en-GB"/>
        </w:rPr>
        <w:t>p</w:t>
      </w:r>
      <w:r w:rsidRPr="006D1A17">
        <w:rPr>
          <w:rFonts w:eastAsia="Times New Roman"/>
          <w:lang w:eastAsia="en-GB"/>
        </w:rPr>
        <w:t xml:space="preserve">arty shall exclusively </w:t>
      </w:r>
      <w:r>
        <w:rPr>
          <w:rFonts w:eastAsia="Times New Roman"/>
          <w:lang w:eastAsia="en-GB"/>
        </w:rPr>
        <w:t>cover</w:t>
      </w:r>
      <w:r w:rsidRPr="006D1A17">
        <w:rPr>
          <w:rFonts w:eastAsia="Times New Roman"/>
          <w:lang w:eastAsia="en-GB"/>
        </w:rPr>
        <w:t xml:space="preserve"> issues of jurisdiction and admissibility, or issues of jurisdiction only. </w:t>
      </w:r>
    </w:p>
    <w:p w:rsidR="00485180" w:rsidRPr="006D1A17" w:rsidRDefault="00485180" w:rsidP="00485180">
      <w:pPr>
        <w:pStyle w:val="SingleTxtG"/>
        <w:rPr>
          <w:rFonts w:eastAsia="Times New Roman"/>
          <w:lang w:eastAsia="en-GB"/>
        </w:rPr>
      </w:pPr>
      <w:r>
        <w:rPr>
          <w:rFonts w:eastAsia="Times New Roman"/>
          <w:lang w:eastAsia="en-GB"/>
        </w:rPr>
        <w:t>8.</w:t>
      </w:r>
      <w:r>
        <w:rPr>
          <w:rFonts w:eastAsia="Times New Roman"/>
          <w:lang w:eastAsia="en-GB"/>
        </w:rPr>
        <w:tab/>
      </w:r>
      <w:r w:rsidRPr="006D1A17">
        <w:rPr>
          <w:rFonts w:eastAsia="Times New Roman"/>
          <w:lang w:eastAsia="en-GB"/>
        </w:rPr>
        <w:t>During the hearing, the Committee</w:t>
      </w:r>
      <w:r>
        <w:rPr>
          <w:rFonts w:eastAsia="Times New Roman"/>
          <w:lang w:eastAsia="en-GB"/>
        </w:rPr>
        <w:t xml:space="preserve"> members</w:t>
      </w:r>
      <w:r w:rsidRPr="006D1A17">
        <w:rPr>
          <w:rFonts w:eastAsia="Times New Roman"/>
          <w:lang w:eastAsia="en-GB"/>
        </w:rPr>
        <w:t xml:space="preserve"> may request in writing the Chair to address questions to the representatives of the States parties concerned. The Chair </w:t>
      </w:r>
      <w:r>
        <w:rPr>
          <w:rFonts w:eastAsia="Times New Roman"/>
          <w:lang w:eastAsia="en-GB"/>
        </w:rPr>
        <w:t>shall</w:t>
      </w:r>
      <w:r w:rsidRPr="006D1A17">
        <w:rPr>
          <w:rFonts w:eastAsia="Times New Roman"/>
          <w:lang w:eastAsia="en-GB"/>
        </w:rPr>
        <w:t xml:space="preserve"> address the questions to the representatives after both </w:t>
      </w:r>
      <w:r>
        <w:rPr>
          <w:rFonts w:eastAsia="Times New Roman"/>
          <w:lang w:eastAsia="en-GB"/>
        </w:rPr>
        <w:t>of them</w:t>
      </w:r>
      <w:r w:rsidRPr="006D1A17">
        <w:rPr>
          <w:rFonts w:eastAsia="Times New Roman"/>
          <w:lang w:eastAsia="en-GB"/>
        </w:rPr>
        <w:t xml:space="preserve"> have made their presentations of 45 minutes, in accordance with </w:t>
      </w:r>
      <w:r>
        <w:rPr>
          <w:rFonts w:eastAsia="Times New Roman"/>
          <w:lang w:eastAsia="en-GB"/>
        </w:rPr>
        <w:t>r</w:t>
      </w:r>
      <w:r w:rsidRPr="006D1A17">
        <w:rPr>
          <w:rFonts w:eastAsia="Times New Roman"/>
          <w:lang w:eastAsia="en-GB"/>
        </w:rPr>
        <w:t>ule 5</w:t>
      </w:r>
      <w:r>
        <w:rPr>
          <w:rFonts w:eastAsia="Times New Roman"/>
          <w:lang w:eastAsia="en-GB"/>
        </w:rPr>
        <w:t xml:space="preserve"> </w:t>
      </w:r>
      <w:r w:rsidRPr="006D1A17">
        <w:rPr>
          <w:rFonts w:eastAsia="Times New Roman"/>
          <w:lang w:eastAsia="en-GB"/>
        </w:rPr>
        <w:t>(3)</w:t>
      </w:r>
      <w:r>
        <w:rPr>
          <w:rFonts w:eastAsia="Times New Roman"/>
          <w:lang w:eastAsia="en-GB"/>
        </w:rPr>
        <w:t xml:space="preserve"> above</w:t>
      </w:r>
      <w:r w:rsidRPr="006D1A17">
        <w:rPr>
          <w:rFonts w:eastAsia="Times New Roman"/>
          <w:lang w:eastAsia="en-GB"/>
        </w:rPr>
        <w:t>.</w:t>
      </w:r>
      <w:r>
        <w:rPr>
          <w:rFonts w:eastAsia="Times New Roman"/>
          <w:lang w:eastAsia="en-GB"/>
        </w:rPr>
        <w:t xml:space="preserve"> </w:t>
      </w:r>
    </w:p>
    <w:p w:rsidR="00485180" w:rsidRPr="006D1A17" w:rsidRDefault="00485180" w:rsidP="00485180">
      <w:pPr>
        <w:pStyle w:val="SingleTxtG"/>
        <w:rPr>
          <w:rFonts w:eastAsia="Times New Roman"/>
          <w:lang w:eastAsia="en-GB"/>
        </w:rPr>
      </w:pPr>
      <w:r>
        <w:rPr>
          <w:rFonts w:eastAsia="Times New Roman"/>
          <w:lang w:eastAsia="en-GB"/>
        </w:rPr>
        <w:t>9.</w:t>
      </w:r>
      <w:r>
        <w:rPr>
          <w:rFonts w:eastAsia="Times New Roman"/>
          <w:lang w:eastAsia="en-GB"/>
        </w:rPr>
        <w:tab/>
      </w:r>
      <w:r w:rsidRPr="006D1A17">
        <w:rPr>
          <w:rFonts w:eastAsia="Times New Roman"/>
          <w:lang w:eastAsia="en-GB"/>
        </w:rPr>
        <w:t>The representatives</w:t>
      </w:r>
      <w:r>
        <w:rPr>
          <w:rFonts w:eastAsia="Times New Roman"/>
          <w:lang w:eastAsia="en-GB"/>
        </w:rPr>
        <w:t xml:space="preserve"> of the States parties concerned</w:t>
      </w:r>
      <w:r w:rsidRPr="006D1A17">
        <w:rPr>
          <w:rFonts w:eastAsia="Times New Roman"/>
          <w:lang w:eastAsia="en-GB"/>
        </w:rPr>
        <w:t xml:space="preserve"> may not address </w:t>
      </w:r>
      <w:r>
        <w:rPr>
          <w:rFonts w:eastAsia="Times New Roman"/>
          <w:lang w:eastAsia="en-GB"/>
        </w:rPr>
        <w:t xml:space="preserve">each other </w:t>
      </w:r>
      <w:r w:rsidRPr="006D1A17">
        <w:rPr>
          <w:rFonts w:eastAsia="Times New Roman"/>
          <w:lang w:eastAsia="en-GB"/>
        </w:rPr>
        <w:t>directly</w:t>
      </w:r>
      <w:r>
        <w:rPr>
          <w:rFonts w:eastAsia="Times New Roman"/>
          <w:lang w:eastAsia="en-GB"/>
        </w:rPr>
        <w:t>,</w:t>
      </w:r>
      <w:r w:rsidRPr="006D1A17">
        <w:rPr>
          <w:rFonts w:eastAsia="Times New Roman"/>
          <w:lang w:eastAsia="en-GB"/>
        </w:rPr>
        <w:t xml:space="preserve"> but they may suggest </w:t>
      </w:r>
      <w:r>
        <w:rPr>
          <w:rFonts w:eastAsia="Times New Roman"/>
          <w:lang w:eastAsia="en-GB"/>
        </w:rPr>
        <w:t xml:space="preserve">that </w:t>
      </w:r>
      <w:r w:rsidRPr="006D1A17">
        <w:rPr>
          <w:rFonts w:eastAsia="Times New Roman"/>
          <w:lang w:eastAsia="en-GB"/>
        </w:rPr>
        <w:t>the Chair to do so on their behalf during the last presentation of 45 minutes.</w:t>
      </w:r>
    </w:p>
    <w:p w:rsidR="00485180" w:rsidRPr="006D1A17" w:rsidRDefault="00485180" w:rsidP="00485180">
      <w:pPr>
        <w:pStyle w:val="SingleTxtG"/>
        <w:rPr>
          <w:rFonts w:eastAsia="Times New Roman"/>
          <w:lang w:eastAsia="en-GB"/>
        </w:rPr>
      </w:pPr>
      <w:r>
        <w:rPr>
          <w:rFonts w:eastAsia="Times New Roman"/>
          <w:lang w:eastAsia="en-GB"/>
        </w:rPr>
        <w:t>10.</w:t>
      </w:r>
      <w:r>
        <w:rPr>
          <w:rFonts w:eastAsia="Times New Roman"/>
          <w:lang w:eastAsia="en-GB"/>
        </w:rPr>
        <w:tab/>
      </w:r>
      <w:r w:rsidRPr="006D1A17">
        <w:rPr>
          <w:rFonts w:eastAsia="Times New Roman"/>
          <w:lang w:eastAsia="en-GB"/>
        </w:rPr>
        <w:t xml:space="preserve">The Committee may, at any time prior to or during the hearing, indicate any points or issues </w:t>
      </w:r>
      <w:r>
        <w:rPr>
          <w:rFonts w:eastAsia="Times New Roman"/>
          <w:lang w:eastAsia="en-GB"/>
        </w:rPr>
        <w:t>that</w:t>
      </w:r>
      <w:r w:rsidRPr="006D1A17">
        <w:rPr>
          <w:rFonts w:eastAsia="Times New Roman"/>
          <w:lang w:eastAsia="en-GB"/>
        </w:rPr>
        <w:t xml:space="preserve"> it </w:t>
      </w:r>
      <w:r>
        <w:rPr>
          <w:rFonts w:eastAsia="Times New Roman"/>
          <w:lang w:eastAsia="en-GB"/>
        </w:rPr>
        <w:t>wishes</w:t>
      </w:r>
      <w:r w:rsidRPr="006D1A17">
        <w:rPr>
          <w:rFonts w:eastAsia="Times New Roman"/>
          <w:lang w:eastAsia="en-GB"/>
        </w:rPr>
        <w:t xml:space="preserve"> the parties to address </w:t>
      </w:r>
      <w:r>
        <w:rPr>
          <w:rFonts w:eastAsia="Times New Roman"/>
          <w:lang w:eastAsia="en-GB"/>
        </w:rPr>
        <w:t>specifically</w:t>
      </w:r>
      <w:r w:rsidRPr="006D1A17">
        <w:rPr>
          <w:rFonts w:eastAsia="Times New Roman"/>
          <w:lang w:eastAsia="en-GB"/>
        </w:rPr>
        <w:t>, or on which it considers that there has been sufficient argument.</w:t>
      </w:r>
    </w:p>
    <w:p w:rsidR="00485180" w:rsidRPr="006D1A17" w:rsidRDefault="00485180" w:rsidP="00485180">
      <w:pPr>
        <w:pStyle w:val="SingleTxtG"/>
        <w:rPr>
          <w:rFonts w:eastAsia="Times New Roman"/>
          <w:lang w:eastAsia="en-GB"/>
        </w:rPr>
      </w:pPr>
      <w:r>
        <w:rPr>
          <w:rFonts w:eastAsia="Times New Roman"/>
          <w:lang w:eastAsia="en-GB"/>
        </w:rPr>
        <w:t>11.</w:t>
      </w:r>
      <w:r>
        <w:rPr>
          <w:rFonts w:eastAsia="Times New Roman"/>
          <w:lang w:eastAsia="en-GB"/>
        </w:rPr>
        <w:tab/>
      </w:r>
      <w:r w:rsidRPr="006D1A17">
        <w:rPr>
          <w:rFonts w:eastAsia="Times New Roman"/>
          <w:lang w:eastAsia="en-GB"/>
        </w:rPr>
        <w:t>The Chair may authorize the Committee</w:t>
      </w:r>
      <w:r w:rsidRPr="00AE4897">
        <w:rPr>
          <w:rFonts w:eastAsia="Times New Roman"/>
          <w:lang w:eastAsia="en-GB"/>
        </w:rPr>
        <w:t xml:space="preserve"> </w:t>
      </w:r>
      <w:r w:rsidRPr="006D1A17">
        <w:rPr>
          <w:rFonts w:eastAsia="Times New Roman"/>
          <w:lang w:eastAsia="en-GB"/>
        </w:rPr>
        <w:t xml:space="preserve">members to hold private consultations after the </w:t>
      </w:r>
      <w:r w:rsidRPr="00FA09C6">
        <w:rPr>
          <w:rFonts w:eastAsia="Times New Roman"/>
          <w:lang w:eastAsia="en-GB"/>
        </w:rPr>
        <w:t>first round</w:t>
      </w:r>
      <w:r w:rsidRPr="00AE4897">
        <w:rPr>
          <w:rFonts w:eastAsia="Times New Roman"/>
          <w:lang w:eastAsia="en-GB"/>
        </w:rPr>
        <w:t xml:space="preserve"> </w:t>
      </w:r>
      <w:r w:rsidRPr="006D1A17">
        <w:rPr>
          <w:rFonts w:eastAsia="Times New Roman"/>
          <w:lang w:eastAsia="en-GB"/>
        </w:rPr>
        <w:t xml:space="preserve">at the earliest. In that regard, the Chair may suspend the hearing for a maximum of 15 minutes. During </w:t>
      </w:r>
      <w:r>
        <w:rPr>
          <w:rFonts w:eastAsia="Times New Roman"/>
          <w:lang w:eastAsia="en-GB"/>
        </w:rPr>
        <w:t>such</w:t>
      </w:r>
      <w:r w:rsidRPr="006D1A17">
        <w:rPr>
          <w:rFonts w:eastAsia="Times New Roman"/>
          <w:lang w:eastAsia="en-GB"/>
        </w:rPr>
        <w:t xml:space="preserve"> breaks, the Secretariat will accompany the representatives of the States </w:t>
      </w:r>
      <w:r>
        <w:rPr>
          <w:rFonts w:eastAsia="Times New Roman"/>
          <w:lang w:eastAsia="en-GB"/>
        </w:rPr>
        <w:t>p</w:t>
      </w:r>
      <w:r w:rsidRPr="006D1A17">
        <w:rPr>
          <w:rFonts w:eastAsia="Times New Roman"/>
          <w:lang w:eastAsia="en-GB"/>
        </w:rPr>
        <w:t>arties concerned to a</w:t>
      </w:r>
      <w:r>
        <w:rPr>
          <w:rFonts w:eastAsia="Times New Roman"/>
          <w:lang w:eastAsia="en-GB"/>
        </w:rPr>
        <w:t xml:space="preserve"> separate</w:t>
      </w:r>
      <w:r w:rsidRPr="006D1A17">
        <w:rPr>
          <w:rFonts w:eastAsia="Times New Roman"/>
          <w:lang w:eastAsia="en-GB"/>
        </w:rPr>
        <w:t xml:space="preserve"> room next to the proceedings room.</w:t>
      </w:r>
    </w:p>
    <w:p w:rsidR="00485180" w:rsidRPr="006D1A17" w:rsidRDefault="00485180" w:rsidP="00485180">
      <w:pPr>
        <w:pStyle w:val="SingleTxtG"/>
        <w:rPr>
          <w:rFonts w:eastAsia="Times New Roman"/>
          <w:lang w:eastAsia="en-GB"/>
        </w:rPr>
      </w:pPr>
      <w:r>
        <w:rPr>
          <w:rFonts w:eastAsia="Times New Roman"/>
          <w:lang w:eastAsia="en-GB"/>
        </w:rPr>
        <w:t>12.</w:t>
      </w:r>
      <w:r>
        <w:rPr>
          <w:rFonts w:eastAsia="Times New Roman"/>
          <w:lang w:eastAsia="en-GB"/>
        </w:rPr>
        <w:tab/>
      </w:r>
      <w:r w:rsidRPr="006D1A17">
        <w:rPr>
          <w:rFonts w:eastAsia="Times New Roman"/>
          <w:lang w:eastAsia="en-GB"/>
        </w:rPr>
        <w:t xml:space="preserve">During the hearing, the representatives of the States parties concerned may request to carry out consultations. In this regard, the Chair may authorize such breaks for a maximum of 15 minutes. These consultations </w:t>
      </w:r>
      <w:r>
        <w:rPr>
          <w:rFonts w:eastAsia="Times New Roman"/>
          <w:lang w:eastAsia="en-GB"/>
        </w:rPr>
        <w:t>shall</w:t>
      </w:r>
      <w:r w:rsidRPr="006D1A17">
        <w:rPr>
          <w:rFonts w:eastAsia="Times New Roman"/>
          <w:lang w:eastAsia="en-GB"/>
        </w:rPr>
        <w:t xml:space="preserve"> be </w:t>
      </w:r>
      <w:r>
        <w:rPr>
          <w:rFonts w:eastAsia="Times New Roman"/>
          <w:lang w:eastAsia="en-GB"/>
        </w:rPr>
        <w:t>conducted</w:t>
      </w:r>
      <w:r w:rsidRPr="006D1A17">
        <w:rPr>
          <w:rFonts w:eastAsia="Times New Roman"/>
          <w:lang w:eastAsia="en-GB"/>
        </w:rPr>
        <w:t xml:space="preserve"> outside the proceedings room. </w:t>
      </w:r>
    </w:p>
    <w:p w:rsidR="00485180" w:rsidRPr="006D1A17" w:rsidRDefault="00485180" w:rsidP="00485180">
      <w:pPr>
        <w:pStyle w:val="H23G"/>
      </w:pPr>
      <w:r>
        <w:tab/>
      </w:r>
      <w:r>
        <w:tab/>
      </w:r>
      <w:r w:rsidRPr="006D1A17">
        <w:t>Rule 6</w:t>
      </w:r>
    </w:p>
    <w:p w:rsidR="00485180" w:rsidRPr="006D1A17" w:rsidRDefault="00485180" w:rsidP="00485180">
      <w:pPr>
        <w:pStyle w:val="H4G"/>
      </w:pPr>
      <w:r>
        <w:tab/>
      </w:r>
      <w:r>
        <w:tab/>
      </w:r>
      <w:r w:rsidRPr="006D1A17">
        <w:t xml:space="preserve">Deliberations </w:t>
      </w:r>
      <w:r>
        <w:t>and d</w:t>
      </w:r>
      <w:r w:rsidRPr="006D1A17">
        <w:t xml:space="preserve">ecisions </w:t>
      </w:r>
    </w:p>
    <w:p w:rsidR="00485180" w:rsidRPr="006D1A17" w:rsidRDefault="00485180" w:rsidP="00485180">
      <w:pPr>
        <w:pStyle w:val="SingleTxtG"/>
      </w:pPr>
      <w:r>
        <w:t>1.</w:t>
      </w:r>
      <w:r>
        <w:tab/>
      </w:r>
      <w:r w:rsidRPr="006D1A17">
        <w:t>The Committee shall deliberate in private, and its deliberations shall remain confidential. The representative of each State</w:t>
      </w:r>
      <w:r>
        <w:t xml:space="preserve"> party</w:t>
      </w:r>
      <w:r w:rsidRPr="006D1A17">
        <w:t xml:space="preserve"> concerned </w:t>
      </w:r>
      <w:r>
        <w:t>shall</w:t>
      </w:r>
      <w:r w:rsidRPr="006D1A17">
        <w:t xml:space="preserve"> be allowed to take part in the proceedings of the Committee, without voting rights, while the matter is under consideration.</w:t>
      </w:r>
    </w:p>
    <w:p w:rsidR="00485180" w:rsidRPr="006D1A17" w:rsidRDefault="00485180" w:rsidP="00485180">
      <w:pPr>
        <w:pStyle w:val="SingleTxtG"/>
      </w:pPr>
      <w:r>
        <w:t>2.</w:t>
      </w:r>
      <w:r>
        <w:tab/>
      </w:r>
      <w:r w:rsidRPr="006D1A17">
        <w:t>The Committee may also organi</w:t>
      </w:r>
      <w:r>
        <w:t>z</w:t>
      </w:r>
      <w:r w:rsidRPr="006D1A17">
        <w:t xml:space="preserve">e informal deliberations in which only </w:t>
      </w:r>
      <w:r>
        <w:t>its</w:t>
      </w:r>
      <w:r w:rsidRPr="006D1A17">
        <w:t xml:space="preserve"> </w:t>
      </w:r>
      <w:r>
        <w:t>m</w:t>
      </w:r>
      <w:r w:rsidRPr="006D1A17">
        <w:t>embers shall take part, with the support of the Secretariat and conference services, but with the exclusion of pr</w:t>
      </w:r>
      <w:r>
        <w:t>é</w:t>
      </w:r>
      <w:r w:rsidRPr="006D1A17">
        <w:t>cis</w:t>
      </w:r>
      <w:r>
        <w:t>-</w:t>
      </w:r>
      <w:r w:rsidRPr="006D1A17">
        <w:t>writers</w:t>
      </w:r>
      <w:r>
        <w:t>:</w:t>
      </w:r>
      <w:r w:rsidRPr="006D1A17">
        <w:t xml:space="preserve"> </w:t>
      </w:r>
      <w:r>
        <w:t>n</w:t>
      </w:r>
      <w:r w:rsidRPr="006D1A17">
        <w:t>o summary records of the informal deliberations</w:t>
      </w:r>
      <w:r>
        <w:t xml:space="preserve"> shall</w:t>
      </w:r>
      <w:r w:rsidRPr="006D1A17">
        <w:t xml:space="preserve"> be </w:t>
      </w:r>
      <w:r>
        <w:t>prepared</w:t>
      </w:r>
      <w:r w:rsidRPr="006D1A17">
        <w:t>.</w:t>
      </w:r>
    </w:p>
    <w:p w:rsidR="00485180" w:rsidRPr="006D1A17" w:rsidRDefault="00485180" w:rsidP="00485180">
      <w:pPr>
        <w:pStyle w:val="SingleTxtG"/>
      </w:pPr>
      <w:r>
        <w:t>3.</w:t>
      </w:r>
      <w:r>
        <w:tab/>
      </w:r>
      <w:r w:rsidRPr="006D1A17">
        <w:t xml:space="preserve">Decisions of the Committee shall be made by a majority of the members present and voting. The modalities of the votes are </w:t>
      </w:r>
      <w:r>
        <w:t>governed</w:t>
      </w:r>
      <w:r w:rsidRPr="006D1A17">
        <w:t xml:space="preserve"> by </w:t>
      </w:r>
      <w:r>
        <w:t>r</w:t>
      </w:r>
      <w:r w:rsidRPr="006D1A17">
        <w:t>ules 36</w:t>
      </w:r>
      <w:r>
        <w:t xml:space="preserve"> and</w:t>
      </w:r>
      <w:r w:rsidRPr="006D1A17">
        <w:t xml:space="preserve"> 49</w:t>
      </w:r>
      <w:r>
        <w:t xml:space="preserve"> to </w:t>
      </w:r>
      <w:r w:rsidRPr="006D1A17">
        <w:t xml:space="preserve">57 of the </w:t>
      </w:r>
      <w:r>
        <w:t>Committee’s r</w:t>
      </w:r>
      <w:r w:rsidRPr="006D1A17">
        <w:t xml:space="preserve">ules of </w:t>
      </w:r>
      <w:r>
        <w:t>p</w:t>
      </w:r>
      <w:r w:rsidRPr="006D1A17">
        <w:t xml:space="preserve">rocedure. If no member of the Committee requests that a vote </w:t>
      </w:r>
      <w:r>
        <w:t>be</w:t>
      </w:r>
      <w:r w:rsidRPr="006D1A17">
        <w:t xml:space="preserve"> held, the decision may be adopted without voting.</w:t>
      </w:r>
      <w:r>
        <w:t xml:space="preserve"> </w:t>
      </w:r>
    </w:p>
    <w:p w:rsidR="00485180" w:rsidRPr="006D1A17" w:rsidRDefault="00485180" w:rsidP="00485180">
      <w:pPr>
        <w:pStyle w:val="SingleTxtG"/>
      </w:pPr>
      <w:r>
        <w:rPr>
          <w:rFonts w:eastAsia="Times New Roman"/>
          <w:lang w:eastAsia="en-GB"/>
        </w:rPr>
        <w:t>4.</w:t>
      </w:r>
      <w:r>
        <w:rPr>
          <w:rFonts w:eastAsia="Times New Roman"/>
          <w:lang w:eastAsia="en-GB"/>
        </w:rPr>
        <w:tab/>
      </w:r>
      <w:r w:rsidRPr="006D1A17">
        <w:rPr>
          <w:rFonts w:eastAsia="Times New Roman"/>
          <w:lang w:eastAsia="en-GB"/>
        </w:rPr>
        <w:t xml:space="preserve">After </w:t>
      </w:r>
      <w:r>
        <w:rPr>
          <w:rFonts w:eastAsia="Times New Roman"/>
          <w:lang w:eastAsia="en-GB"/>
        </w:rPr>
        <w:t xml:space="preserve">the </w:t>
      </w:r>
      <w:r w:rsidRPr="006D1A17">
        <w:rPr>
          <w:rFonts w:eastAsia="Times New Roman"/>
          <w:lang w:eastAsia="en-GB"/>
        </w:rPr>
        <w:t>hearing</w:t>
      </w:r>
      <w:r>
        <w:rPr>
          <w:rFonts w:eastAsia="Times New Roman"/>
          <w:lang w:eastAsia="en-GB"/>
        </w:rPr>
        <w:t>,</w:t>
      </w:r>
      <w:r w:rsidRPr="006D1A17">
        <w:rPr>
          <w:rFonts w:eastAsia="Times New Roman"/>
          <w:lang w:eastAsia="en-GB"/>
        </w:rPr>
        <w:t xml:space="preserve"> and </w:t>
      </w:r>
      <w:r>
        <w:rPr>
          <w:rFonts w:eastAsia="Times New Roman"/>
          <w:lang w:eastAsia="en-GB"/>
        </w:rPr>
        <w:t>after its examination of</w:t>
      </w:r>
      <w:r w:rsidRPr="006D1A17">
        <w:rPr>
          <w:rFonts w:eastAsia="Times New Roman"/>
          <w:lang w:eastAsia="en-GB"/>
        </w:rPr>
        <w:t xml:space="preserve"> </w:t>
      </w:r>
      <w:r>
        <w:rPr>
          <w:rFonts w:eastAsia="Times New Roman"/>
          <w:lang w:eastAsia="en-GB"/>
        </w:rPr>
        <w:t>any</w:t>
      </w:r>
      <w:r w:rsidRPr="006D1A17">
        <w:rPr>
          <w:rFonts w:eastAsia="Times New Roman"/>
          <w:lang w:eastAsia="en-GB"/>
        </w:rPr>
        <w:t xml:space="preserve"> written submissions </w:t>
      </w:r>
      <w:r>
        <w:rPr>
          <w:rFonts w:eastAsia="Times New Roman"/>
          <w:lang w:eastAsia="en-GB"/>
        </w:rPr>
        <w:t>submitted</w:t>
      </w:r>
      <w:r w:rsidRPr="006D1A17">
        <w:rPr>
          <w:rFonts w:eastAsia="Times New Roman"/>
          <w:lang w:eastAsia="en-GB"/>
        </w:rPr>
        <w:t xml:space="preserve"> by the</w:t>
      </w:r>
      <w:r>
        <w:rPr>
          <w:rFonts w:eastAsia="Times New Roman"/>
          <w:lang w:eastAsia="en-GB"/>
        </w:rPr>
        <w:t xml:space="preserve"> States parties</w:t>
      </w:r>
      <w:r w:rsidRPr="006D1A17">
        <w:rPr>
          <w:rFonts w:eastAsia="Times New Roman"/>
          <w:lang w:eastAsia="en-GB"/>
        </w:rPr>
        <w:t xml:space="preserve">, the Committee </w:t>
      </w:r>
      <w:r>
        <w:rPr>
          <w:rFonts w:eastAsia="Times New Roman"/>
          <w:lang w:eastAsia="en-GB"/>
        </w:rPr>
        <w:t>shall</w:t>
      </w:r>
      <w:r w:rsidRPr="006D1A17">
        <w:rPr>
          <w:rFonts w:eastAsia="Times New Roman"/>
          <w:lang w:eastAsia="en-GB"/>
        </w:rPr>
        <w:t xml:space="preserve"> issue its decision during the </w:t>
      </w:r>
      <w:r>
        <w:rPr>
          <w:rFonts w:eastAsia="Times New Roman"/>
          <w:lang w:eastAsia="en-GB"/>
        </w:rPr>
        <w:t>current</w:t>
      </w:r>
      <w:r w:rsidRPr="006D1A17">
        <w:rPr>
          <w:rFonts w:eastAsia="Times New Roman"/>
          <w:lang w:eastAsia="en-GB"/>
        </w:rPr>
        <w:t xml:space="preserve"> session or at a later session. The Secretary</w:t>
      </w:r>
      <w:r>
        <w:rPr>
          <w:rFonts w:eastAsia="Times New Roman"/>
          <w:lang w:eastAsia="en-GB"/>
        </w:rPr>
        <w:t>-</w:t>
      </w:r>
      <w:r w:rsidRPr="006D1A17">
        <w:rPr>
          <w:rFonts w:eastAsia="Times New Roman"/>
          <w:lang w:eastAsia="en-GB"/>
        </w:rPr>
        <w:t xml:space="preserve">General shall ensure that the Committee </w:t>
      </w:r>
      <w:r>
        <w:rPr>
          <w:rFonts w:eastAsia="Times New Roman"/>
          <w:lang w:eastAsia="en-GB"/>
        </w:rPr>
        <w:t>has</w:t>
      </w:r>
      <w:r w:rsidRPr="006D1A17">
        <w:rPr>
          <w:rFonts w:eastAsia="Times New Roman"/>
          <w:lang w:eastAsia="en-GB"/>
        </w:rPr>
        <w:t xml:space="preserve"> the services </w:t>
      </w:r>
      <w:r>
        <w:rPr>
          <w:rFonts w:eastAsia="Times New Roman"/>
          <w:lang w:eastAsia="en-GB"/>
        </w:rPr>
        <w:t>that it requires</w:t>
      </w:r>
      <w:r w:rsidRPr="006D1A17">
        <w:rPr>
          <w:rFonts w:eastAsia="Times New Roman"/>
          <w:lang w:eastAsia="en-GB"/>
        </w:rPr>
        <w:t xml:space="preserve"> </w:t>
      </w:r>
      <w:r>
        <w:rPr>
          <w:rFonts w:eastAsia="Times New Roman"/>
          <w:lang w:eastAsia="en-GB"/>
        </w:rPr>
        <w:t>to</w:t>
      </w:r>
      <w:r w:rsidRPr="006D1A17">
        <w:rPr>
          <w:rFonts w:eastAsia="Times New Roman"/>
          <w:lang w:eastAsia="en-GB"/>
        </w:rPr>
        <w:t xml:space="preserve"> adopt </w:t>
      </w:r>
      <w:r>
        <w:rPr>
          <w:rFonts w:eastAsia="Times New Roman"/>
          <w:lang w:eastAsia="en-GB"/>
        </w:rPr>
        <w:t>a</w:t>
      </w:r>
      <w:r w:rsidRPr="006D1A17">
        <w:rPr>
          <w:rFonts w:eastAsia="Times New Roman"/>
          <w:lang w:eastAsia="en-GB"/>
        </w:rPr>
        <w:t xml:space="preserve"> decision, including all the documentation and conference services necessary to ensure that the subject matter of the communication </w:t>
      </w:r>
      <w:r>
        <w:rPr>
          <w:rFonts w:eastAsia="Times New Roman"/>
          <w:lang w:eastAsia="en-GB"/>
        </w:rPr>
        <w:t>may</w:t>
      </w:r>
      <w:r w:rsidRPr="006D1A17">
        <w:rPr>
          <w:rFonts w:eastAsia="Times New Roman"/>
          <w:lang w:eastAsia="en-GB"/>
        </w:rPr>
        <w:t xml:space="preserve"> be fully addressed. </w:t>
      </w:r>
    </w:p>
    <w:p w:rsidR="00485180" w:rsidRPr="006D1A17" w:rsidRDefault="00485180" w:rsidP="00485180">
      <w:pPr>
        <w:pStyle w:val="SingleTxtG"/>
      </w:pPr>
      <w:r>
        <w:rPr>
          <w:rFonts w:eastAsia="Times New Roman"/>
          <w:lang w:eastAsia="en-GB"/>
        </w:rPr>
        <w:t>5.</w:t>
      </w:r>
      <w:r>
        <w:rPr>
          <w:rFonts w:eastAsia="Times New Roman"/>
          <w:lang w:eastAsia="en-GB"/>
        </w:rPr>
        <w:tab/>
      </w:r>
      <w:r w:rsidRPr="006D1A17">
        <w:rPr>
          <w:rFonts w:eastAsia="Times New Roman"/>
          <w:lang w:eastAsia="en-GB"/>
        </w:rPr>
        <w:t>If the Committee rejects the preliminary issues or declares that they do not possess an exclusively preliminary character, it shall fix a time limit for the next steps as indicated in article 12 of the Convention</w:t>
      </w:r>
      <w:r>
        <w:rPr>
          <w:rFonts w:eastAsia="Times New Roman"/>
          <w:lang w:eastAsia="en-GB"/>
        </w:rPr>
        <w:t>,</w:t>
      </w:r>
      <w:r w:rsidRPr="006D1A17">
        <w:rPr>
          <w:rFonts w:eastAsia="Times New Roman"/>
          <w:lang w:eastAsia="en-GB"/>
        </w:rPr>
        <w:t xml:space="preserve"> concerning the appointment of an ad</w:t>
      </w:r>
      <w:r>
        <w:rPr>
          <w:rFonts w:eastAsia="Times New Roman"/>
          <w:lang w:eastAsia="en-GB"/>
        </w:rPr>
        <w:t xml:space="preserve"> </w:t>
      </w:r>
      <w:r w:rsidRPr="006D1A17">
        <w:rPr>
          <w:rFonts w:eastAsia="Times New Roman"/>
          <w:lang w:eastAsia="en-GB"/>
        </w:rPr>
        <w:t xml:space="preserve">hoc </w:t>
      </w:r>
      <w:r>
        <w:rPr>
          <w:rFonts w:eastAsia="Times New Roman"/>
          <w:lang w:eastAsia="en-GB"/>
        </w:rPr>
        <w:t xml:space="preserve">conciliation </w:t>
      </w:r>
      <w:r w:rsidRPr="006D1A17">
        <w:rPr>
          <w:rFonts w:eastAsia="Times New Roman"/>
          <w:lang w:eastAsia="en-GB"/>
        </w:rPr>
        <w:t xml:space="preserve">commission to address the issues of substance raised in the communication. </w:t>
      </w:r>
    </w:p>
    <w:p w:rsidR="00485180" w:rsidRPr="006D1A17" w:rsidRDefault="00485180" w:rsidP="00485180">
      <w:pPr>
        <w:pStyle w:val="SingleTxtG"/>
      </w:pPr>
      <w:r>
        <w:lastRenderedPageBreak/>
        <w:t>6.</w:t>
      </w:r>
      <w:r>
        <w:tab/>
        <w:t>I</w:t>
      </w:r>
      <w:r w:rsidRPr="006D1A17">
        <w:t>f the Committee decides that it has no jurisdiction or that the communication is inadmissible, it shall inform the States parties concerned of its decision not to take further steps in the proceedings.</w:t>
      </w:r>
    </w:p>
    <w:p w:rsidR="00485180" w:rsidRPr="006D1A17" w:rsidRDefault="00485180" w:rsidP="00485180">
      <w:pPr>
        <w:pStyle w:val="SingleTxtG"/>
      </w:pPr>
      <w:r>
        <w:rPr>
          <w:rFonts w:eastAsia="Times New Roman"/>
          <w:lang w:eastAsia="en-GB"/>
        </w:rPr>
        <w:t>7.</w:t>
      </w:r>
      <w:r>
        <w:rPr>
          <w:rFonts w:eastAsia="Times New Roman"/>
          <w:lang w:eastAsia="en-GB"/>
        </w:rPr>
        <w:tab/>
      </w:r>
      <w:r w:rsidRPr="006D1A17">
        <w:rPr>
          <w:rFonts w:eastAsia="Times New Roman"/>
          <w:lang w:eastAsia="en-GB"/>
        </w:rPr>
        <w:t xml:space="preserve">The Committee shall transmit any adopted decision to the States </w:t>
      </w:r>
      <w:r>
        <w:rPr>
          <w:rFonts w:eastAsia="Times New Roman"/>
          <w:lang w:eastAsia="en-GB"/>
        </w:rPr>
        <w:t>p</w:t>
      </w:r>
      <w:r w:rsidRPr="006D1A17">
        <w:rPr>
          <w:rFonts w:eastAsia="Times New Roman"/>
          <w:lang w:eastAsia="en-GB"/>
        </w:rPr>
        <w:t xml:space="preserve">arties concerned within a time limit to be determined by the Committee. </w:t>
      </w:r>
    </w:p>
    <w:p w:rsidR="00485180" w:rsidRPr="006D1A17" w:rsidRDefault="00485180" w:rsidP="00485180">
      <w:pPr>
        <w:pStyle w:val="H23G"/>
      </w:pPr>
      <w:r>
        <w:tab/>
      </w:r>
      <w:r>
        <w:tab/>
      </w:r>
      <w:r w:rsidRPr="006D1A17">
        <w:t>Rule 7</w:t>
      </w:r>
    </w:p>
    <w:p w:rsidR="00485180" w:rsidRPr="006D1A17" w:rsidRDefault="00485180" w:rsidP="00485180">
      <w:pPr>
        <w:pStyle w:val="H4G"/>
      </w:pPr>
      <w:r>
        <w:tab/>
      </w:r>
      <w:r>
        <w:tab/>
      </w:r>
      <w:r w:rsidRPr="006D1A17">
        <w:t>Final provisions</w:t>
      </w:r>
    </w:p>
    <w:p w:rsidR="00485180" w:rsidRPr="006D1A17" w:rsidRDefault="00485180" w:rsidP="00485180">
      <w:pPr>
        <w:pStyle w:val="SingleTxtG"/>
      </w:pPr>
      <w:r>
        <w:t>1.</w:t>
      </w:r>
      <w:r>
        <w:tab/>
      </w:r>
      <w:r w:rsidRPr="006D1A17">
        <w:t xml:space="preserve">The Committee shall adopt the present </w:t>
      </w:r>
      <w:r>
        <w:t>r</w:t>
      </w:r>
      <w:r w:rsidRPr="006D1A17">
        <w:t xml:space="preserve">ules of </w:t>
      </w:r>
      <w:r>
        <w:t>p</w:t>
      </w:r>
      <w:r w:rsidRPr="006D1A17">
        <w:t xml:space="preserve">rocedure prior to the beginning of the hearings and transmit them to the States </w:t>
      </w:r>
      <w:r>
        <w:t>p</w:t>
      </w:r>
      <w:r w:rsidRPr="006D1A17">
        <w:t xml:space="preserve">arties concerned. </w:t>
      </w:r>
    </w:p>
    <w:p w:rsidR="00485180" w:rsidRPr="006D1A17" w:rsidRDefault="00485180" w:rsidP="00485180">
      <w:pPr>
        <w:pStyle w:val="SingleTxtG"/>
      </w:pPr>
      <w:r>
        <w:t>2.</w:t>
      </w:r>
      <w:r>
        <w:tab/>
      </w:r>
      <w:r w:rsidRPr="006D1A17">
        <w:t xml:space="preserve">Any question related to the hearings </w:t>
      </w:r>
      <w:r>
        <w:t xml:space="preserve">that is </w:t>
      </w:r>
      <w:r w:rsidRPr="006D1A17">
        <w:t xml:space="preserve">not addressed by the present </w:t>
      </w:r>
      <w:r>
        <w:t>r</w:t>
      </w:r>
      <w:r w:rsidRPr="006D1A17">
        <w:t xml:space="preserve">ules of </w:t>
      </w:r>
      <w:r>
        <w:t>p</w:t>
      </w:r>
      <w:r w:rsidRPr="006D1A17">
        <w:t xml:space="preserve">rocedure shall be decided by the Committee. </w:t>
      </w:r>
    </w:p>
    <w:p w:rsidR="00485180" w:rsidRPr="006D1A17" w:rsidRDefault="00485180" w:rsidP="00485180">
      <w:pPr>
        <w:pStyle w:val="SingleTxtG"/>
      </w:pPr>
      <w:r>
        <w:t>3.</w:t>
      </w:r>
      <w:r>
        <w:tab/>
      </w:r>
      <w:r w:rsidRPr="006D1A17">
        <w:t xml:space="preserve">The present </w:t>
      </w:r>
      <w:r>
        <w:t>r</w:t>
      </w:r>
      <w:r w:rsidRPr="006D1A17">
        <w:t>ules of procedure may be amended by a decision taken by the Committee.</w:t>
      </w:r>
      <w:r>
        <w:t xml:space="preserve"> </w:t>
      </w:r>
    </w:p>
    <w:p w:rsidR="00505414" w:rsidRDefault="00485180" w:rsidP="00485180">
      <w:pPr>
        <w:spacing w:before="240"/>
        <w:jc w:val="center"/>
        <w:rPr>
          <w:u w:val="single"/>
        </w:rPr>
      </w:pPr>
      <w:r w:rsidRPr="00CB21CA">
        <w:rPr>
          <w:u w:val="single"/>
        </w:rPr>
        <w:tab/>
      </w:r>
      <w:r w:rsidRPr="00CB21CA">
        <w:rPr>
          <w:u w:val="single"/>
        </w:rPr>
        <w:tab/>
      </w:r>
      <w:r w:rsidRPr="00CB21CA">
        <w:rPr>
          <w:u w:val="single"/>
        </w:rPr>
        <w:tab/>
      </w:r>
    </w:p>
    <w:sectPr w:rsidR="00505414" w:rsidSect="00E34583">
      <w:footerReference w:type="even" r:id="rId86"/>
      <w:footerReference w:type="default" r:id="rId87"/>
      <w:endnotePr>
        <w:numFmt w:val="decimal"/>
      </w:endnotePr>
      <w:pgSz w:w="11909" w:h="16834" w:code="9"/>
      <w:pgMar w:top="1418" w:right="1134" w:bottom="1134" w:left="1134" w:header="851" w:footer="567" w:gutter="0"/>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2F" w:rsidRDefault="00DE4A2F"/>
  </w:endnote>
  <w:endnote w:type="continuationSeparator" w:id="0">
    <w:p w:rsidR="00DE4A2F" w:rsidRDefault="00DE4A2F"/>
  </w:endnote>
  <w:endnote w:type="continuationNotice" w:id="1">
    <w:p w:rsidR="00DE4A2F" w:rsidRDefault="00DE4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Default="00DE4A2F" w:rsidP="00EF2170">
    <w:pPr>
      <w:pStyle w:val="Footer"/>
    </w:pPr>
    <w:r>
      <w:rPr>
        <w:noProof/>
        <w:lang w:val="en-US"/>
      </w:rPr>
      <w:drawing>
        <wp:anchor distT="0" distB="0" distL="114300" distR="114300" simplePos="0" relativeHeight="25166182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E4A2F" w:rsidRDefault="00DE4A2F" w:rsidP="00EF2170">
    <w:pPr>
      <w:pStyle w:val="Footer"/>
      <w:ind w:right="1134"/>
      <w:rPr>
        <w:sz w:val="20"/>
      </w:rPr>
    </w:pPr>
    <w:r>
      <w:rPr>
        <w:sz w:val="20"/>
      </w:rPr>
      <w:t>GE.19-14322(E)</w:t>
    </w:r>
  </w:p>
  <w:p w:rsidR="00DE4A2F" w:rsidRPr="00EF2170" w:rsidRDefault="00DE4A2F" w:rsidP="00EF217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2848" behindDoc="0" locked="0" layoutInCell="1" allowOverlap="1">
          <wp:simplePos x="0" y="0"/>
          <wp:positionH relativeFrom="margin">
            <wp:posOffset>5478780</wp:posOffset>
          </wp:positionH>
          <wp:positionV relativeFrom="margin">
            <wp:posOffset>8794750</wp:posOffset>
          </wp:positionV>
          <wp:extent cx="485775" cy="485775"/>
          <wp:effectExtent l="0" t="0" r="9525" b="9525"/>
          <wp:wrapNone/>
          <wp:docPr id="2" name="Picture 1" descr="https://undocs.org/m2/QRCode.ashx?DS=A/74/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4/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753415"/>
      <w:docPartObj>
        <w:docPartGallery w:val="Page Numbers (Bottom of Page)"/>
        <w:docPartUnique/>
      </w:docPartObj>
    </w:sdtPr>
    <w:sdtEndPr>
      <w:rPr>
        <w:b/>
        <w:bCs/>
        <w:sz w:val="18"/>
        <w:szCs w:val="18"/>
      </w:rPr>
    </w:sdtEndPr>
    <w:sdtContent>
      <w:p w:rsidR="00DE4A2F" w:rsidRPr="00BF2414" w:rsidRDefault="00DE4A2F" w:rsidP="0033584E">
        <w:pPr>
          <w:pStyle w:val="Footer"/>
          <w:tabs>
            <w:tab w:val="left" w:pos="9639"/>
          </w:tabs>
          <w:rPr>
            <w:b/>
            <w:bCs/>
            <w:sz w:val="18"/>
            <w:szCs w:val="18"/>
          </w:rPr>
        </w:pPr>
        <w:r w:rsidRPr="00BF2414">
          <w:rPr>
            <w:b/>
            <w:bCs/>
            <w:sz w:val="18"/>
            <w:szCs w:val="18"/>
          </w:rPr>
          <w:fldChar w:fldCharType="begin"/>
        </w:r>
        <w:r w:rsidRPr="00BF2414">
          <w:rPr>
            <w:b/>
            <w:bCs/>
            <w:sz w:val="18"/>
            <w:szCs w:val="18"/>
          </w:rPr>
          <w:instrText xml:space="preserve"> PAGE   \* MERGEFORMAT </w:instrText>
        </w:r>
        <w:r w:rsidRPr="00BF2414">
          <w:rPr>
            <w:b/>
            <w:bCs/>
            <w:sz w:val="18"/>
            <w:szCs w:val="18"/>
          </w:rPr>
          <w:fldChar w:fldCharType="separate"/>
        </w:r>
        <w:r w:rsidR="00453265">
          <w:rPr>
            <w:b/>
            <w:bCs/>
            <w:noProof/>
            <w:sz w:val="18"/>
            <w:szCs w:val="18"/>
          </w:rPr>
          <w:t>32</w:t>
        </w:r>
        <w:r w:rsidRPr="00BF2414">
          <w:rPr>
            <w:b/>
            <w:bCs/>
            <w:sz w:val="18"/>
            <w:szCs w:val="18"/>
          </w:rPr>
          <w:fldChar w:fldCharType="end"/>
        </w:r>
        <w:r>
          <w:rPr>
            <w:b/>
            <w:bCs/>
            <w:sz w:val="18"/>
            <w:szCs w:val="18"/>
          </w:rPr>
          <w:tab/>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228331"/>
      <w:docPartObj>
        <w:docPartGallery w:val="Page Numbers (Bottom of Page)"/>
        <w:docPartUnique/>
      </w:docPartObj>
    </w:sdtPr>
    <w:sdtEndPr>
      <w:rPr>
        <w:sz w:val="18"/>
        <w:szCs w:val="18"/>
      </w:rPr>
    </w:sdtEndPr>
    <w:sdtContent>
      <w:p w:rsidR="00DE4A2F" w:rsidRPr="005102EA" w:rsidRDefault="00DE4A2F" w:rsidP="00C72B02">
        <w:pPr>
          <w:pStyle w:val="Footer"/>
          <w:tabs>
            <w:tab w:val="right" w:pos="9599"/>
          </w:tabs>
          <w:ind w:right="1134"/>
          <w:rPr>
            <w:sz w:val="18"/>
            <w:szCs w:val="18"/>
          </w:rPr>
        </w:pPr>
        <w:r>
          <w:rPr>
            <w:rFonts w:ascii="C39T30Lfz" w:hAnsi="C39T30Lfz"/>
            <w:sz w:val="56"/>
          </w:rPr>
          <w:tab/>
        </w:r>
        <w:r w:rsidRPr="00BF2414">
          <w:rPr>
            <w:b/>
            <w:bCs/>
            <w:sz w:val="18"/>
            <w:szCs w:val="18"/>
          </w:rPr>
          <w:fldChar w:fldCharType="begin"/>
        </w:r>
        <w:r w:rsidRPr="00BF2414">
          <w:rPr>
            <w:b/>
            <w:bCs/>
            <w:sz w:val="18"/>
            <w:szCs w:val="18"/>
          </w:rPr>
          <w:instrText xml:space="preserve"> PAGE   \* MERGEFORMAT </w:instrText>
        </w:r>
        <w:r w:rsidRPr="00BF2414">
          <w:rPr>
            <w:b/>
            <w:bCs/>
            <w:sz w:val="18"/>
            <w:szCs w:val="18"/>
          </w:rPr>
          <w:fldChar w:fldCharType="separate"/>
        </w:r>
        <w:r w:rsidR="00453265">
          <w:rPr>
            <w:b/>
            <w:bCs/>
            <w:noProof/>
            <w:sz w:val="18"/>
            <w:szCs w:val="18"/>
          </w:rPr>
          <w:t>31</w:t>
        </w:r>
        <w:r w:rsidRPr="00BF2414">
          <w:rPr>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Default="00DE4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Default="00DE4A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888061"/>
      <w:docPartObj>
        <w:docPartGallery w:val="Page Numbers (Bottom of Page)"/>
        <w:docPartUnique/>
      </w:docPartObj>
    </w:sdtPr>
    <w:sdtEndPr>
      <w:rPr>
        <w:b/>
        <w:noProof/>
      </w:rPr>
    </w:sdtEndPr>
    <w:sdtContent>
      <w:p w:rsidR="00DE4A2F" w:rsidRDefault="00DE4A2F" w:rsidP="002A1DAC">
        <w:pPr>
          <w:pStyle w:val="Footer"/>
          <w:rPr>
            <w:b/>
            <w:noProof/>
          </w:rPr>
        </w:pPr>
        <w:r w:rsidRPr="008E7E28">
          <w:rPr>
            <w:b/>
          </w:rPr>
          <w:fldChar w:fldCharType="begin"/>
        </w:r>
        <w:r w:rsidRPr="008E7E28">
          <w:rPr>
            <w:b/>
          </w:rPr>
          <w:instrText xml:space="preserve"> PAGE   \* MERGEFORMAT </w:instrText>
        </w:r>
        <w:r w:rsidRPr="008E7E28">
          <w:rPr>
            <w:b/>
          </w:rPr>
          <w:fldChar w:fldCharType="separate"/>
        </w:r>
        <w:r w:rsidR="00453265">
          <w:rPr>
            <w:b/>
            <w:noProof/>
          </w:rPr>
          <w:t>18</w:t>
        </w:r>
        <w:r w:rsidRPr="008E7E28">
          <w:rPr>
            <w:b/>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Pr="00044525" w:rsidRDefault="00DE4A2F" w:rsidP="004C1C11">
    <w:pPr>
      <w:pStyle w:val="Footer"/>
      <w:tabs>
        <w:tab w:val="right" w:pos="9598"/>
      </w:tabs>
      <w:rPr>
        <w:b/>
        <w:sz w:val="18"/>
      </w:rPr>
    </w:pPr>
    <w:r>
      <w:tab/>
    </w:r>
    <w:r>
      <w:fldChar w:fldCharType="begin"/>
    </w:r>
    <w:r>
      <w:instrText xml:space="preserve"> PAGE  \* MERGEFORMAT </w:instrText>
    </w:r>
    <w:r>
      <w:fldChar w:fldCharType="separate"/>
    </w:r>
    <w:r w:rsidR="00453265" w:rsidRPr="00453265">
      <w:rPr>
        <w:b/>
        <w:noProof/>
        <w:sz w:val="18"/>
      </w:rPr>
      <w:t>19</w:t>
    </w:r>
    <w:r>
      <w:rPr>
        <w:b/>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Pr="002D195E" w:rsidRDefault="00DE4A2F" w:rsidP="006A0A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Pr="002D195E" w:rsidRDefault="00DE4A2F" w:rsidP="006A0A47">
    <w:pPr>
      <w:pStyle w:val="Footer"/>
    </w:pPr>
    <w:r>
      <w:rPr>
        <w:noProof/>
        <w:lang w:val="en-US"/>
      </w:rPr>
      <mc:AlternateContent>
        <mc:Choice Requires="wps">
          <w:drawing>
            <wp:anchor distT="0" distB="0" distL="114300" distR="114300" simplePos="0" relativeHeight="251656704" behindDoc="0" locked="1" layoutInCell="1" allowOverlap="1" wp14:anchorId="2B6D377C" wp14:editId="17F64878">
              <wp:simplePos x="0" y="0"/>
              <wp:positionH relativeFrom="page">
                <wp:posOffset>415925</wp:posOffset>
              </wp:positionH>
              <wp:positionV relativeFrom="page">
                <wp:posOffset>897890</wp:posOffset>
              </wp:positionV>
              <wp:extent cx="222885" cy="5969635"/>
              <wp:effectExtent l="0" t="0" r="571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6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A2F" w:rsidRPr="00044525" w:rsidRDefault="00DE4A2F" w:rsidP="0016126B">
                          <w:pPr>
                            <w:pStyle w:val="Footer"/>
                            <w:tabs>
                              <w:tab w:val="right" w:pos="9598"/>
                            </w:tabs>
                            <w:jc w:val="right"/>
                          </w:pPr>
                          <w:r>
                            <w:fldChar w:fldCharType="begin"/>
                          </w:r>
                          <w:r>
                            <w:instrText xml:space="preserve"> PAGE  \* MERGEFORMAT </w:instrText>
                          </w:r>
                          <w:r>
                            <w:fldChar w:fldCharType="separate"/>
                          </w:r>
                          <w:r w:rsidR="00453265" w:rsidRPr="00453265">
                            <w:rPr>
                              <w:b/>
                              <w:noProof/>
                              <w:sz w:val="18"/>
                            </w:rPr>
                            <w:t>21</w:t>
                          </w:r>
                          <w:r>
                            <w:rPr>
                              <w:b/>
                              <w:noProof/>
                              <w:sz w:val="18"/>
                            </w:rPr>
                            <w:fldChar w:fldCharType="end"/>
                          </w:r>
                        </w:p>
                        <w:p w:rsidR="00DE4A2F" w:rsidRDefault="00DE4A2F" w:rsidP="001A270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D377C" id="_x0000_t202" coordsize="21600,21600" o:spt="202" path="m,l,21600r21600,l21600,xe">
              <v:stroke joinstyle="miter"/>
              <v:path gradientshapeok="t" o:connecttype="rect"/>
            </v:shapetype>
            <v:shape id="_x0000_s1029" type="#_x0000_t202" style="position:absolute;margin-left:32.75pt;margin-top:70.7pt;width:17.55pt;height:47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" stroked="f">
              <v:textbox style="layout-flow:vertical" inset="0,0,0,0">
                <w:txbxContent>
                  <w:p w:rsidR="00DE4A2F" w:rsidRPr="00044525" w:rsidRDefault="00DE4A2F" w:rsidP="0016126B">
                    <w:pPr>
                      <w:pStyle w:val="Footer"/>
                      <w:tabs>
                        <w:tab w:val="right" w:pos="9598"/>
                      </w:tabs>
                      <w:jc w:val="right"/>
                    </w:pPr>
                    <w:r>
                      <w:fldChar w:fldCharType="begin"/>
                    </w:r>
                    <w:r>
                      <w:instrText xml:space="preserve"> PAGE  \* MERGEFORMAT </w:instrText>
                    </w:r>
                    <w:r>
                      <w:fldChar w:fldCharType="separate"/>
                    </w:r>
                    <w:r w:rsidR="00453265" w:rsidRPr="00453265">
                      <w:rPr>
                        <w:b/>
                        <w:noProof/>
                        <w:sz w:val="18"/>
                      </w:rPr>
                      <w:t>21</w:t>
                    </w:r>
                    <w:r>
                      <w:rPr>
                        <w:b/>
                        <w:noProof/>
                        <w:sz w:val="18"/>
                      </w:rPr>
                      <w:fldChar w:fldCharType="end"/>
                    </w:r>
                  </w:p>
                  <w:p w:rsidR="00DE4A2F" w:rsidRDefault="00DE4A2F" w:rsidP="001A2703"/>
                </w:txbxContent>
              </v:textbox>
              <w10:wrap anchorx="page" anchory="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25273"/>
      <w:docPartObj>
        <w:docPartGallery w:val="Page Numbers (Bottom of Page)"/>
        <w:docPartUnique/>
      </w:docPartObj>
    </w:sdtPr>
    <w:sdtEndPr>
      <w:rPr>
        <w:b/>
        <w:bCs/>
        <w:sz w:val="18"/>
        <w:szCs w:val="18"/>
      </w:rPr>
    </w:sdtEndPr>
    <w:sdtContent>
      <w:p w:rsidR="00DE4A2F" w:rsidRPr="00BF2414" w:rsidRDefault="00DE4A2F" w:rsidP="00527CD8">
        <w:pPr>
          <w:pStyle w:val="Footer"/>
          <w:tabs>
            <w:tab w:val="left" w:pos="9639"/>
          </w:tabs>
          <w:rPr>
            <w:b/>
            <w:bCs/>
            <w:sz w:val="18"/>
            <w:szCs w:val="18"/>
          </w:rPr>
        </w:pPr>
        <w:r w:rsidRPr="00BF2414">
          <w:rPr>
            <w:b/>
            <w:bCs/>
            <w:sz w:val="18"/>
            <w:szCs w:val="18"/>
          </w:rPr>
          <w:fldChar w:fldCharType="begin"/>
        </w:r>
        <w:r w:rsidRPr="00BF2414">
          <w:rPr>
            <w:b/>
            <w:bCs/>
            <w:sz w:val="18"/>
            <w:szCs w:val="18"/>
          </w:rPr>
          <w:instrText xml:space="preserve"> PAGE   \* MERGEFORMAT </w:instrText>
        </w:r>
        <w:r w:rsidRPr="00BF2414">
          <w:rPr>
            <w:b/>
            <w:bCs/>
            <w:sz w:val="18"/>
            <w:szCs w:val="18"/>
          </w:rPr>
          <w:fldChar w:fldCharType="separate"/>
        </w:r>
        <w:r w:rsidR="00453265">
          <w:rPr>
            <w:b/>
            <w:bCs/>
            <w:noProof/>
            <w:sz w:val="18"/>
            <w:szCs w:val="18"/>
          </w:rPr>
          <w:t>24</w:t>
        </w:r>
        <w:r w:rsidRPr="00BF2414">
          <w:rPr>
            <w:b/>
            <w:bCs/>
            <w:sz w:val="18"/>
            <w:szCs w:val="18"/>
          </w:rPr>
          <w:fldChar w:fldCharType="end"/>
        </w:r>
        <w:r>
          <w:rPr>
            <w:b/>
            <w:bCs/>
            <w:sz w:val="18"/>
            <w:szCs w:val="18"/>
          </w:rPr>
          <w:tab/>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039119"/>
      <w:docPartObj>
        <w:docPartGallery w:val="Page Numbers (Bottom of Page)"/>
        <w:docPartUnique/>
      </w:docPartObj>
    </w:sdtPr>
    <w:sdtEndPr>
      <w:rPr>
        <w:sz w:val="18"/>
        <w:szCs w:val="18"/>
      </w:rPr>
    </w:sdtEndPr>
    <w:sdtContent>
      <w:p w:rsidR="00DE4A2F" w:rsidRPr="005102EA" w:rsidRDefault="00DE4A2F" w:rsidP="007550EE">
        <w:pPr>
          <w:pStyle w:val="Footer"/>
          <w:tabs>
            <w:tab w:val="right" w:pos="9599"/>
          </w:tabs>
          <w:ind w:right="1134"/>
          <w:rPr>
            <w:sz w:val="18"/>
            <w:szCs w:val="18"/>
          </w:rPr>
        </w:pPr>
        <w:r>
          <w:rPr>
            <w:rFonts w:ascii="C39T30Lfz" w:hAnsi="C39T30Lfz"/>
            <w:sz w:val="56"/>
          </w:rPr>
          <w:tab/>
        </w:r>
        <w:r w:rsidRPr="00BF2414">
          <w:rPr>
            <w:b/>
            <w:bCs/>
            <w:sz w:val="18"/>
            <w:szCs w:val="18"/>
          </w:rPr>
          <w:fldChar w:fldCharType="begin"/>
        </w:r>
        <w:r w:rsidRPr="00BF2414">
          <w:rPr>
            <w:b/>
            <w:bCs/>
            <w:sz w:val="18"/>
            <w:szCs w:val="18"/>
          </w:rPr>
          <w:instrText xml:space="preserve"> PAGE   \* MERGEFORMAT </w:instrText>
        </w:r>
        <w:r w:rsidRPr="00BF2414">
          <w:rPr>
            <w:b/>
            <w:bCs/>
            <w:sz w:val="18"/>
            <w:szCs w:val="18"/>
          </w:rPr>
          <w:fldChar w:fldCharType="separate"/>
        </w:r>
        <w:r w:rsidR="00453265">
          <w:rPr>
            <w:b/>
            <w:bCs/>
            <w:noProof/>
            <w:sz w:val="18"/>
            <w:szCs w:val="18"/>
          </w:rPr>
          <w:t>25</w:t>
        </w:r>
        <w:r w:rsidRPr="00BF2414">
          <w:rPr>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2F" w:rsidRDefault="00DE4A2F">
      <w:pPr>
        <w:tabs>
          <w:tab w:val="right" w:pos="2155"/>
        </w:tabs>
        <w:spacing w:after="80"/>
        <w:ind w:left="680"/>
        <w:rPr>
          <w:u w:val="single"/>
        </w:rPr>
      </w:pPr>
      <w:r>
        <w:rPr>
          <w:u w:val="single"/>
        </w:rPr>
        <w:tab/>
      </w:r>
    </w:p>
  </w:footnote>
  <w:footnote w:type="continuationSeparator" w:id="0">
    <w:p w:rsidR="00DE4A2F" w:rsidRDefault="00DE4A2F">
      <w:pPr>
        <w:tabs>
          <w:tab w:val="left" w:pos="2155"/>
        </w:tabs>
        <w:spacing w:after="80"/>
        <w:ind w:left="680"/>
        <w:rPr>
          <w:u w:val="single"/>
        </w:rPr>
      </w:pPr>
      <w:r>
        <w:rPr>
          <w:u w:val="single"/>
        </w:rPr>
        <w:tab/>
      </w:r>
    </w:p>
  </w:footnote>
  <w:footnote w:type="continuationNotice" w:id="1">
    <w:p w:rsidR="00DE4A2F" w:rsidRDefault="00DE4A2F"/>
  </w:footnote>
  <w:footnote w:id="2">
    <w:p w:rsidR="00DE4A2F" w:rsidRPr="00BB40A7" w:rsidRDefault="00DE4A2F" w:rsidP="00485180">
      <w:pPr>
        <w:pStyle w:val="FootnoteText"/>
      </w:pPr>
      <w:r w:rsidRPr="00BB40A7">
        <w:tab/>
      </w:r>
      <w:r w:rsidRPr="00BB40A7">
        <w:rPr>
          <w:rStyle w:val="FootnoteReference"/>
        </w:rPr>
        <w:footnoteRef/>
      </w:r>
      <w:r w:rsidRPr="00BB40A7">
        <w:tab/>
        <w:t xml:space="preserve">See </w:t>
      </w:r>
      <w:r w:rsidRPr="00BB40A7">
        <w:rPr>
          <w:i/>
        </w:rPr>
        <w:t xml:space="preserve">Official Records of the General Assembly, </w:t>
      </w:r>
      <w:r w:rsidRPr="00D53786">
        <w:rPr>
          <w:i/>
        </w:rPr>
        <w:t>Twenty-seventh Session, Supplement No. 18</w:t>
      </w:r>
      <w:r w:rsidRPr="00D53786">
        <w:rPr>
          <w:iCs/>
        </w:rPr>
        <w:t xml:space="preserve"> (</w:t>
      </w:r>
      <w:hyperlink r:id="rId1" w:history="1">
        <w:r w:rsidRPr="00A50896">
          <w:rPr>
            <w:rStyle w:val="Hyperlink"/>
            <w:iCs/>
          </w:rPr>
          <w:t>A/8718</w:t>
        </w:r>
      </w:hyperlink>
      <w:r w:rsidRPr="00D53786">
        <w:rPr>
          <w:iCs/>
        </w:rPr>
        <w:t>)</w:t>
      </w:r>
      <w:r w:rsidRPr="00D53786">
        <w:t>,</w:t>
      </w:r>
      <w:r w:rsidRPr="00BB40A7">
        <w:t xml:space="preserve"> chap. IX, sect. B</w:t>
      </w:r>
      <w:r w:rsidRPr="00BB40A7">
        <w:rPr>
          <w:lang w:val="en-US"/>
        </w:rPr>
        <w:t xml:space="preserve">. </w:t>
      </w:r>
    </w:p>
  </w:footnote>
  <w:footnote w:id="3">
    <w:p w:rsidR="00DE4A2F" w:rsidRPr="00BB40A7" w:rsidRDefault="00DE4A2F" w:rsidP="00485180">
      <w:pPr>
        <w:pStyle w:val="FootnoteText"/>
        <w:rPr>
          <w:lang w:val="en-US"/>
        </w:rPr>
      </w:pPr>
      <w:r w:rsidRPr="00BB40A7">
        <w:tab/>
      </w:r>
      <w:r w:rsidRPr="00BB40A7">
        <w:rPr>
          <w:rStyle w:val="FootnoteReference"/>
        </w:rPr>
        <w:footnoteRef/>
      </w:r>
      <w:r w:rsidRPr="00BB40A7">
        <w:tab/>
        <w:t xml:space="preserve">See </w:t>
      </w:r>
      <w:r w:rsidRPr="00BB40A7">
        <w:rPr>
          <w:i/>
          <w:iCs/>
        </w:rPr>
        <w:t>Official Records of the General Assembly, Sixty-second Session, Supplement No.</w:t>
      </w:r>
      <w:r>
        <w:rPr>
          <w:i/>
          <w:iCs/>
        </w:rPr>
        <w:t xml:space="preserve"> </w:t>
      </w:r>
      <w:r w:rsidRPr="00BB40A7">
        <w:rPr>
          <w:i/>
          <w:iCs/>
        </w:rPr>
        <w:t>18</w:t>
      </w:r>
      <w:r w:rsidRPr="00BB40A7">
        <w:t xml:space="preserve"> (</w:t>
      </w:r>
      <w:hyperlink r:id="rId2" w:history="1">
        <w:r w:rsidRPr="00A50896">
          <w:rPr>
            <w:rStyle w:val="Hyperlink"/>
          </w:rPr>
          <w:t>A/62/18</w:t>
        </w:r>
      </w:hyperlink>
      <w:r w:rsidRPr="00BB40A7">
        <w:t>), annex III.</w:t>
      </w:r>
    </w:p>
  </w:footnote>
  <w:footnote w:id="4">
    <w:p w:rsidR="00DE4A2F" w:rsidRPr="00B255D7" w:rsidRDefault="00DE4A2F" w:rsidP="005C703C">
      <w:pPr>
        <w:pStyle w:val="FootnoteText"/>
      </w:pPr>
      <w:r>
        <w:rPr>
          <w:lang w:val="en-US"/>
        </w:rPr>
        <w:tab/>
      </w:r>
      <w:r>
        <w:rPr>
          <w:rStyle w:val="FootnoteReference"/>
        </w:rPr>
        <w:footnoteRef/>
      </w:r>
      <w:r>
        <w:rPr>
          <w:lang w:val="en-US"/>
        </w:rPr>
        <w:tab/>
      </w:r>
      <w:r>
        <w:t xml:space="preserve">See </w:t>
      </w:r>
      <w:r>
        <w:rPr>
          <w:i/>
        </w:rPr>
        <w:t>Official Records of the General Assembly, Seventy-third Session, Supplement No. 18</w:t>
      </w:r>
      <w:r>
        <w:t xml:space="preserve"> (</w:t>
      </w:r>
      <w:hyperlink r:id="rId3" w:history="1">
        <w:r w:rsidRPr="00A50896">
          <w:rPr>
            <w:rStyle w:val="Hyperlink"/>
            <w:iCs/>
          </w:rPr>
          <w:t>A/73/18</w:t>
        </w:r>
      </w:hyperlink>
      <w:r>
        <w:rPr>
          <w:iCs/>
        </w:rPr>
        <w:t>).</w:t>
      </w:r>
    </w:p>
  </w:footnote>
  <w:footnote w:id="5">
    <w:p w:rsidR="00DE4A2F" w:rsidRPr="00BB40A7" w:rsidRDefault="00DE4A2F" w:rsidP="00485180">
      <w:pPr>
        <w:pStyle w:val="FootnoteText"/>
      </w:pPr>
      <w:r w:rsidRPr="00BB40A7">
        <w:tab/>
      </w:r>
      <w:r w:rsidRPr="00BB40A7">
        <w:rPr>
          <w:rStyle w:val="FootnoteReference"/>
        </w:rPr>
        <w:footnoteRef/>
      </w:r>
      <w:r w:rsidRPr="00BB40A7">
        <w:tab/>
        <w:t xml:space="preserve">For the terms of reference, see </w:t>
      </w:r>
      <w:r w:rsidRPr="00BB40A7">
        <w:rPr>
          <w:i/>
        </w:rPr>
        <w:t>Official Records of the General Assembly, Sixtieth Session, Supplement No. 18</w:t>
      </w:r>
      <w:r w:rsidRPr="00BB40A7">
        <w:t xml:space="preserve"> (</w:t>
      </w:r>
      <w:hyperlink r:id="rId4" w:history="1">
        <w:r w:rsidRPr="0025494F">
          <w:rPr>
            <w:rStyle w:val="Hyperlink"/>
          </w:rPr>
          <w:t>A/60/18</w:t>
        </w:r>
      </w:hyperlink>
      <w:r w:rsidRPr="00BB40A7">
        <w:t xml:space="preserve">), annex IV. </w:t>
      </w:r>
    </w:p>
  </w:footnote>
  <w:footnote w:id="6">
    <w:p w:rsidR="00DE4A2F" w:rsidRPr="00BB40A7" w:rsidRDefault="00DE4A2F" w:rsidP="00485180">
      <w:pPr>
        <w:pStyle w:val="FootnoteText"/>
      </w:pPr>
      <w:r w:rsidRPr="00BB40A7">
        <w:tab/>
      </w:r>
      <w:r w:rsidRPr="00BB40A7">
        <w:rPr>
          <w:rStyle w:val="FootnoteReference"/>
        </w:rPr>
        <w:footnoteRef/>
      </w:r>
      <w:r w:rsidRPr="00BB40A7">
        <w:tab/>
        <w:t xml:space="preserve">For the text of the guidelines, see </w:t>
      </w:r>
      <w:r w:rsidRPr="00BB40A7">
        <w:rPr>
          <w:i/>
        </w:rPr>
        <w:t>Official Records of the General Assembly, Sixty-first Session, Supplement No. 18</w:t>
      </w:r>
      <w:r w:rsidRPr="00BB40A7">
        <w:t xml:space="preserve"> (</w:t>
      </w:r>
      <w:hyperlink r:id="rId5" w:history="1">
        <w:r w:rsidRPr="0025494F">
          <w:rPr>
            <w:rStyle w:val="Hyperlink"/>
          </w:rPr>
          <w:t>A/61/18</w:t>
        </w:r>
      </w:hyperlink>
      <w:r w:rsidRPr="00BB40A7">
        <w:t>), annex VI.</w:t>
      </w:r>
    </w:p>
  </w:footnote>
  <w:footnote w:id="7">
    <w:p w:rsidR="00DE4A2F" w:rsidRPr="00A2360A" w:rsidRDefault="00DE4A2F" w:rsidP="00485180">
      <w:pPr>
        <w:pStyle w:val="FootnoteText"/>
        <w:rPr>
          <w:lang w:val="es-ES"/>
        </w:rPr>
      </w:pPr>
      <w:r>
        <w:tab/>
      </w:r>
      <w:r>
        <w:rPr>
          <w:rStyle w:val="FootnoteReference"/>
        </w:rPr>
        <w:footnoteRef/>
      </w:r>
      <w:r>
        <w:tab/>
        <w:t>OHCHR, “</w:t>
      </w:r>
      <w:r w:rsidRPr="007F02D3">
        <w:t>CERD information note on inter-</w:t>
      </w:r>
      <w:r>
        <w:t>S</w:t>
      </w:r>
      <w:r w:rsidRPr="007F02D3">
        <w:t>tate communications</w:t>
      </w:r>
      <w:r>
        <w:t>”, 30 August 2018.</w:t>
      </w:r>
      <w:r w:rsidRPr="00000B88">
        <w:t xml:space="preserve"> For further information, see www.ohchr.org/EN/HRBodies/CERD/Pages/InterstateCommunications.aspx</w:t>
      </w:r>
      <w:r>
        <w:t>.</w:t>
      </w:r>
      <w:r w:rsidRPr="00A2360A" w:rsidDel="007F02D3">
        <w:t xml:space="preserve"> </w:t>
      </w:r>
    </w:p>
  </w:footnote>
  <w:footnote w:id="8">
    <w:p w:rsidR="00DE4A2F" w:rsidRPr="005D4831" w:rsidRDefault="00DE4A2F" w:rsidP="00485180">
      <w:pPr>
        <w:pStyle w:val="FootnoteText"/>
      </w:pPr>
      <w:r>
        <w:tab/>
      </w:r>
      <w:r>
        <w:rPr>
          <w:rStyle w:val="FootnoteReference"/>
        </w:rPr>
        <w:footnoteRef/>
      </w:r>
      <w:r>
        <w:tab/>
      </w:r>
      <w:r w:rsidRPr="00BB40A7">
        <w:rPr>
          <w:i/>
        </w:rPr>
        <w:t>Official Records of the General Assembly, S</w:t>
      </w:r>
      <w:r>
        <w:rPr>
          <w:i/>
        </w:rPr>
        <w:t>even</w:t>
      </w:r>
      <w:r w:rsidRPr="00BB40A7">
        <w:rPr>
          <w:i/>
        </w:rPr>
        <w:t>ty-t</w:t>
      </w:r>
      <w:r>
        <w:rPr>
          <w:i/>
        </w:rPr>
        <w:t>hird</w:t>
      </w:r>
      <w:r w:rsidRPr="00BB40A7">
        <w:rPr>
          <w:i/>
        </w:rPr>
        <w:t xml:space="preserve"> Session, Supplement No. 18</w:t>
      </w:r>
      <w:r w:rsidRPr="00BB40A7">
        <w:t xml:space="preserve"> (</w:t>
      </w:r>
      <w:hyperlink r:id="rId6" w:history="1">
        <w:r w:rsidRPr="0020279A">
          <w:rPr>
            <w:rStyle w:val="Hyperlink"/>
          </w:rPr>
          <w:t>A/73/18</w:t>
        </w:r>
      </w:hyperlink>
      <w:r>
        <w:t>)</w:t>
      </w:r>
      <w:r w:rsidRPr="005D4831">
        <w:t>, para. 34</w:t>
      </w:r>
      <w:r>
        <w:t>.</w:t>
      </w:r>
    </w:p>
  </w:footnote>
  <w:footnote w:id="9">
    <w:p w:rsidR="00DE4A2F" w:rsidRPr="00384DCC" w:rsidRDefault="00DE4A2F" w:rsidP="00485180">
      <w:pPr>
        <w:pStyle w:val="FootnoteText"/>
      </w:pPr>
      <w:r>
        <w:tab/>
      </w:r>
      <w:r>
        <w:rPr>
          <w:rStyle w:val="FootnoteReference"/>
        </w:rPr>
        <w:footnoteRef/>
      </w:r>
      <w:r>
        <w:tab/>
        <w:t xml:space="preserve">On 23 April and 1 May 2019, Israel informed the Committee that it was not in a position to attend the hearing scheduled during the ninety-eighth session: it could not participate in such a hearing jointly with the representative of the “Palestinian entity”, as it considered that no treaty relations under the Convention existed between Israel and the “Palestinian entity”. Israel indicated that it was ready to engage with the Committee on the matter of jurisdiction through written communications. </w:t>
      </w:r>
    </w:p>
  </w:footnote>
  <w:footnote w:id="10">
    <w:p w:rsidR="00DE4A2F" w:rsidRPr="00761F01" w:rsidRDefault="00DE4A2F" w:rsidP="00485180">
      <w:pPr>
        <w:pStyle w:val="FootnoteText"/>
      </w:pPr>
      <w:r>
        <w:tab/>
      </w:r>
      <w:r>
        <w:rPr>
          <w:rStyle w:val="FootnoteReference"/>
        </w:rPr>
        <w:footnoteRef/>
      </w:r>
      <w:r>
        <w:tab/>
        <w:t>I</w:t>
      </w:r>
      <w:r w:rsidRPr="00761F01">
        <w:t xml:space="preserve">nformation on the declarations can be found </w:t>
      </w:r>
      <w:r>
        <w:t xml:space="preserve">at </w:t>
      </w:r>
      <w:hyperlink r:id="rId7" w:history="1">
        <w:r w:rsidRPr="00E37933">
          <w:rPr>
            <w:rStyle w:val="Hyperlink"/>
          </w:rPr>
          <w:t>https://treaties.un.org/</w:t>
        </w:r>
      </w:hyperlink>
      <w:r>
        <w:t>.</w:t>
      </w:r>
    </w:p>
  </w:footnote>
  <w:footnote w:id="11">
    <w:p w:rsidR="00DE4A2F" w:rsidRPr="00FB6D41" w:rsidRDefault="00DE4A2F" w:rsidP="00485180">
      <w:pPr>
        <w:pStyle w:val="FootnoteText"/>
      </w:pPr>
      <w:r>
        <w:tab/>
      </w:r>
      <w:r w:rsidRPr="00E929E3">
        <w:rPr>
          <w:rStyle w:val="FootnoteReference"/>
        </w:rPr>
        <w:footnoteRef/>
      </w:r>
      <w:r>
        <w:tab/>
        <w:t>Denmark ratified the Convention on 9 December 1971 and made</w:t>
      </w:r>
      <w:r w:rsidRPr="00FB6D41">
        <w:t xml:space="preserve"> </w:t>
      </w:r>
      <w:r>
        <w:t>the declaration under article 14 on 11 October 1985.</w:t>
      </w:r>
    </w:p>
  </w:footnote>
  <w:footnote w:id="12">
    <w:p w:rsidR="00DE4A2F" w:rsidRDefault="00DE4A2F" w:rsidP="00485180">
      <w:pPr>
        <w:pStyle w:val="FootnoteText"/>
      </w:pPr>
      <w:r>
        <w:tab/>
      </w:r>
      <w:r>
        <w:rPr>
          <w:rStyle w:val="FootnoteReference"/>
        </w:rPr>
        <w:footnoteRef/>
      </w:r>
      <w:r>
        <w:tab/>
      </w:r>
      <w:r w:rsidRPr="00755E52">
        <w:t xml:space="preserve">See </w:t>
      </w:r>
      <w:r>
        <w:rPr>
          <w:i/>
        </w:rPr>
        <w:t>Official Records of the General Assembly, Sixtieth Session, Supplement No. 18</w:t>
      </w:r>
      <w:r>
        <w:t xml:space="preserve"> (</w:t>
      </w:r>
      <w:hyperlink r:id="rId8" w:history="1">
        <w:r w:rsidRPr="00722BB0">
          <w:rPr>
            <w:rStyle w:val="Hyperlink"/>
          </w:rPr>
          <w:t>A/60/18</w:t>
        </w:r>
      </w:hyperlink>
      <w:r w:rsidRPr="00722BB0">
        <w:t>)</w:t>
      </w:r>
      <w:r>
        <w:t>, annex IV, sect. II.</w:t>
      </w:r>
    </w:p>
  </w:footnote>
  <w:footnote w:id="13">
    <w:p w:rsidR="00DE4A2F" w:rsidRPr="003B655E" w:rsidRDefault="00DE4A2F" w:rsidP="007A2315">
      <w:pPr>
        <w:pStyle w:val="FootnoteText"/>
      </w:pPr>
      <w:r>
        <w:tab/>
      </w:r>
      <w:r w:rsidRPr="00F75A57">
        <w:rPr>
          <w:rStyle w:val="FootnoteReference"/>
        </w:rPr>
        <w:footnoteRef/>
      </w:r>
      <w:r w:rsidRPr="00B57D49">
        <w:tab/>
      </w:r>
      <w:r>
        <w:rPr>
          <w:i/>
        </w:rPr>
        <w:t>Official Records of the General Assembly, Seventy-third Session, Supplement No. 18</w:t>
      </w:r>
      <w:r>
        <w:t xml:space="preserve"> (</w:t>
      </w:r>
      <w:hyperlink r:id="rId9" w:history="1">
        <w:r w:rsidRPr="007A2315">
          <w:rPr>
            <w:rStyle w:val="Hyperlink"/>
            <w:iCs/>
          </w:rPr>
          <w:t>A/73/18</w:t>
        </w:r>
      </w:hyperlink>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Default="00DE4A2F" w:rsidP="00D972C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Default="00DE4A2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Default="00DE4A2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Pr="00963E45" w:rsidRDefault="00DE4A2F" w:rsidP="006A0A47">
    <w:pPr>
      <w:pStyle w:val="Header"/>
      <w:rPr>
        <w:b w:val="0"/>
      </w:rPr>
    </w:pPr>
    <w:r>
      <w:t>A/74</w:t>
    </w:r>
    <w:r w:rsidRPr="00963E45">
      <w:t>/18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Pr="00963E45" w:rsidRDefault="00DE4A2F" w:rsidP="006A0A47">
    <w:pPr>
      <w:pStyle w:val="Header"/>
      <w:jc w:val="right"/>
      <w:rPr>
        <w:b w:val="0"/>
      </w:rPr>
    </w:pPr>
    <w:r>
      <w:t>A/74/18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Pr="002D195E" w:rsidRDefault="00DE4A2F" w:rsidP="006A0A47">
    <w:pPr>
      <w:pStyle w:val="Header"/>
      <w:pBdr>
        <w:bottom w:val="none" w:sz="0" w:space="0" w:color="auto"/>
      </w:pBdr>
    </w:pPr>
    <w:r>
      <w:rPr>
        <w:noProof/>
        <w:lang w:val="en-US"/>
      </w:rPr>
      <mc:AlternateContent>
        <mc:Choice Requires="wps">
          <w:drawing>
            <wp:anchor distT="0" distB="0" distL="114300" distR="114300" simplePos="0" relativeHeight="251655680" behindDoc="0" locked="1" layoutInCell="1" allowOverlap="1" wp14:anchorId="141D6F40" wp14:editId="4841AD50">
              <wp:simplePos x="0" y="0"/>
              <wp:positionH relativeFrom="page">
                <wp:posOffset>415925</wp:posOffset>
              </wp:positionH>
              <wp:positionV relativeFrom="page">
                <wp:posOffset>907415</wp:posOffset>
              </wp:positionV>
              <wp:extent cx="222885" cy="5929630"/>
              <wp:effectExtent l="0" t="0" r="571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29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A2F" w:rsidRPr="00044525" w:rsidRDefault="00DE4A2F" w:rsidP="001A2703">
                          <w:pPr>
                            <w:pStyle w:val="Footer"/>
                            <w:tabs>
                              <w:tab w:val="right" w:pos="9598"/>
                            </w:tabs>
                          </w:pPr>
                          <w:r>
                            <w:fldChar w:fldCharType="begin"/>
                          </w:r>
                          <w:r>
                            <w:instrText xml:space="preserve"> PAGE  \* MERGEFORMAT </w:instrText>
                          </w:r>
                          <w:r>
                            <w:fldChar w:fldCharType="separate"/>
                          </w:r>
                          <w:r w:rsidR="00453265" w:rsidRPr="00453265">
                            <w:rPr>
                              <w:b/>
                              <w:noProof/>
                              <w:sz w:val="18"/>
                            </w:rPr>
                            <w:t>20</w:t>
                          </w:r>
                          <w:r>
                            <w:rPr>
                              <w:b/>
                              <w:noProof/>
                              <w:sz w:val="18"/>
                            </w:rPr>
                            <w:fldChar w:fldCharType="end"/>
                          </w:r>
                          <w:r>
                            <w:rPr>
                              <w:sz w:val="18"/>
                            </w:rPr>
                            <w:tab/>
                          </w:r>
                        </w:p>
                        <w:p w:rsidR="00DE4A2F" w:rsidRDefault="00DE4A2F" w:rsidP="001A270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D6F40" id="_x0000_t202" coordsize="21600,21600" o:spt="202" path="m,l,21600r21600,l21600,xe">
              <v:stroke joinstyle="miter"/>
              <v:path gradientshapeok="t" o:connecttype="rect"/>
            </v:shapetype>
            <v:shape id="Text Box 12" o:spid="_x0000_s1026" type="#_x0000_t202" style="position:absolute;margin-left:32.75pt;margin-top:71.45pt;width:17.55pt;height:466.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PKegIAAAA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" stroked="f">
              <v:textbox style="layout-flow:vertical" inset="0,0,0,0">
                <w:txbxContent>
                  <w:p w:rsidR="00DE4A2F" w:rsidRPr="00044525" w:rsidRDefault="00DE4A2F" w:rsidP="001A2703">
                    <w:pPr>
                      <w:pStyle w:val="Footer"/>
                      <w:tabs>
                        <w:tab w:val="right" w:pos="9598"/>
                      </w:tabs>
                    </w:pPr>
                    <w:r>
                      <w:fldChar w:fldCharType="begin"/>
                    </w:r>
                    <w:r>
                      <w:instrText xml:space="preserve"> PAGE  \* MERGEFORMAT </w:instrText>
                    </w:r>
                    <w:r>
                      <w:fldChar w:fldCharType="separate"/>
                    </w:r>
                    <w:r w:rsidR="00453265" w:rsidRPr="00453265">
                      <w:rPr>
                        <w:b/>
                        <w:noProof/>
                        <w:sz w:val="18"/>
                      </w:rPr>
                      <w:t>20</w:t>
                    </w:r>
                    <w:r>
                      <w:rPr>
                        <w:b/>
                        <w:noProof/>
                        <w:sz w:val="18"/>
                      </w:rPr>
                      <w:fldChar w:fldCharType="end"/>
                    </w:r>
                    <w:r>
                      <w:rPr>
                        <w:sz w:val="18"/>
                      </w:rPr>
                      <w:tab/>
                    </w:r>
                  </w:p>
                  <w:p w:rsidR="00DE4A2F" w:rsidRDefault="00DE4A2F" w:rsidP="001A2703"/>
                </w:txbxContent>
              </v:textbox>
              <w10:wrap anchorx="page" anchory="page"/>
              <w10:anchorlock/>
            </v:shape>
          </w:pict>
        </mc:Fallback>
      </mc:AlternateContent>
    </w:r>
    <w:r>
      <w:rPr>
        <w:noProof/>
        <w:lang w:val="en-US"/>
      </w:rPr>
      <mc:AlternateContent>
        <mc:Choice Requires="wps">
          <w:drawing>
            <wp:anchor distT="0" distB="0" distL="114300" distR="114300" simplePos="0" relativeHeight="251658752" behindDoc="0" locked="1" layoutInCell="1" allowOverlap="1" wp14:anchorId="40157022" wp14:editId="117B8BCA">
              <wp:simplePos x="0" y="0"/>
              <wp:positionH relativeFrom="page">
                <wp:posOffset>9901555</wp:posOffset>
              </wp:positionH>
              <wp:positionV relativeFrom="page">
                <wp:posOffset>900430</wp:posOffset>
              </wp:positionV>
              <wp:extent cx="223200" cy="5929200"/>
              <wp:effectExtent l="0" t="0" r="571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 cy="59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A2F" w:rsidRPr="00051E81" w:rsidRDefault="00DE4A2F" w:rsidP="008E5D49">
                          <w:pPr>
                            <w:pBdr>
                              <w:bottom w:val="single" w:sz="4" w:space="1" w:color="auto"/>
                            </w:pBdr>
                            <w:rPr>
                              <w:b/>
                              <w:bCs/>
                            </w:rPr>
                          </w:pPr>
                          <w:r w:rsidRPr="00051E81">
                            <w:rPr>
                              <w:b/>
                              <w:bCs/>
                            </w:rPr>
                            <w:t>A/</w:t>
                          </w:r>
                          <w:r>
                            <w:rPr>
                              <w:b/>
                              <w:bCs/>
                              <w:sz w:val="18"/>
                              <w:szCs w:val="18"/>
                            </w:rPr>
                            <w:t>74/18</w:t>
                          </w:r>
                        </w:p>
                        <w:p w:rsidR="00DE4A2F" w:rsidRDefault="00DE4A2F" w:rsidP="00BD681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57022" id="Text Box 13" o:spid="_x0000_s1027" type="#_x0000_t202" style="position:absolute;margin-left:779.65pt;margin-top:70.9pt;width:17.55pt;height:46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" stroked="f">
              <v:textbox style="layout-flow:vertical" inset="0,0,0,0">
                <w:txbxContent>
                  <w:p w:rsidR="00DE4A2F" w:rsidRPr="00051E81" w:rsidRDefault="00DE4A2F" w:rsidP="008E5D49">
                    <w:pPr>
                      <w:pBdr>
                        <w:bottom w:val="single" w:sz="4" w:space="1" w:color="auto"/>
                      </w:pBdr>
                      <w:rPr>
                        <w:b/>
                        <w:bCs/>
                      </w:rPr>
                    </w:pPr>
                    <w:r w:rsidRPr="00051E81">
                      <w:rPr>
                        <w:b/>
                        <w:bCs/>
                      </w:rPr>
                      <w:t>A/</w:t>
                    </w:r>
                    <w:r>
                      <w:rPr>
                        <w:b/>
                        <w:bCs/>
                        <w:sz w:val="18"/>
                        <w:szCs w:val="18"/>
                      </w:rPr>
                      <w:t>74/18</w:t>
                    </w:r>
                  </w:p>
                  <w:p w:rsidR="00DE4A2F" w:rsidRDefault="00DE4A2F" w:rsidP="00BD6815"/>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Pr="002D195E" w:rsidRDefault="00DE4A2F" w:rsidP="006A0A47">
    <w:pPr>
      <w:pStyle w:val="Header"/>
      <w:pBdr>
        <w:bottom w:val="none" w:sz="0" w:space="0" w:color="auto"/>
      </w:pBdr>
    </w:pPr>
    <w:r>
      <w:rPr>
        <w:noProof/>
        <w:lang w:val="en-US"/>
      </w:rPr>
      <mc:AlternateContent>
        <mc:Choice Requires="wps">
          <w:drawing>
            <wp:anchor distT="0" distB="0" distL="114300" distR="114300" simplePos="0" relativeHeight="251659776" behindDoc="0" locked="1" layoutInCell="1" allowOverlap="1" wp14:anchorId="680BBEA5" wp14:editId="259DA0D4">
              <wp:simplePos x="0" y="0"/>
              <wp:positionH relativeFrom="page">
                <wp:posOffset>9901555</wp:posOffset>
              </wp:positionH>
              <wp:positionV relativeFrom="page">
                <wp:posOffset>900430</wp:posOffset>
              </wp:positionV>
              <wp:extent cx="223200" cy="5929200"/>
              <wp:effectExtent l="0" t="0" r="5715"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 cy="59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A2F" w:rsidRPr="00051E81" w:rsidRDefault="00DE4A2F" w:rsidP="008E5D49">
                          <w:pPr>
                            <w:pBdr>
                              <w:bottom w:val="single" w:sz="4" w:space="1" w:color="auto"/>
                            </w:pBdr>
                            <w:jc w:val="right"/>
                            <w:rPr>
                              <w:b/>
                              <w:bCs/>
                            </w:rPr>
                          </w:pPr>
                          <w:r w:rsidRPr="00051E81">
                            <w:rPr>
                              <w:b/>
                              <w:bCs/>
                            </w:rPr>
                            <w:t>A/</w:t>
                          </w:r>
                          <w:r>
                            <w:rPr>
                              <w:b/>
                              <w:bCs/>
                              <w:sz w:val="18"/>
                              <w:szCs w:val="18"/>
                            </w:rPr>
                            <w:t>74/18</w:t>
                          </w:r>
                        </w:p>
                        <w:p w:rsidR="00DE4A2F" w:rsidRDefault="00DE4A2F" w:rsidP="008E5D4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BBEA5" id="_x0000_t202" coordsize="21600,21600" o:spt="202" path="m,l,21600r21600,l21600,xe">
              <v:stroke joinstyle="miter"/>
              <v:path gradientshapeok="t" o:connecttype="rect"/>
            </v:shapetype>
            <v:shape id="_x0000_s1028" type="#_x0000_t202" style="position:absolute;margin-left:779.65pt;margin-top:70.9pt;width:17.55pt;height:46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" stroked="f">
              <v:textbox style="layout-flow:vertical" inset="0,0,0,0">
                <w:txbxContent>
                  <w:p w:rsidR="00DE4A2F" w:rsidRPr="00051E81" w:rsidRDefault="00DE4A2F" w:rsidP="008E5D49">
                    <w:pPr>
                      <w:pBdr>
                        <w:bottom w:val="single" w:sz="4" w:space="1" w:color="auto"/>
                      </w:pBdr>
                      <w:jc w:val="right"/>
                      <w:rPr>
                        <w:b/>
                        <w:bCs/>
                      </w:rPr>
                    </w:pPr>
                    <w:r w:rsidRPr="00051E81">
                      <w:rPr>
                        <w:b/>
                        <w:bCs/>
                      </w:rPr>
                      <w:t>A/</w:t>
                    </w:r>
                    <w:r>
                      <w:rPr>
                        <w:b/>
                        <w:bCs/>
                        <w:sz w:val="18"/>
                        <w:szCs w:val="18"/>
                      </w:rPr>
                      <w:t>74/18</w:t>
                    </w:r>
                  </w:p>
                  <w:p w:rsidR="00DE4A2F" w:rsidRDefault="00DE4A2F" w:rsidP="008E5D49"/>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Pr="00963E45" w:rsidRDefault="00DE4A2F" w:rsidP="006A0A47">
    <w:pPr>
      <w:pStyle w:val="Header"/>
      <w:rPr>
        <w:b w:val="0"/>
      </w:rPr>
    </w:pPr>
    <w:r w:rsidRPr="00963E45">
      <w:t>A/7</w:t>
    </w:r>
    <w:r>
      <w:t>4</w:t>
    </w:r>
    <w:r w:rsidRPr="00963E45">
      <w:t>/18</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2F" w:rsidRPr="00963E45" w:rsidRDefault="00DE4A2F" w:rsidP="00CB37E9">
    <w:pPr>
      <w:pStyle w:val="Header"/>
      <w:rPr>
        <w:b w:val="0"/>
      </w:rPr>
    </w:pPr>
    <w:r>
      <w:t>A/74/18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 w:vendorID="64" w:dllVersion="6" w:nlCheck="1" w:checkStyle="0"/>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7F"/>
    <w:rsid w:val="00000C1E"/>
    <w:rsid w:val="00010834"/>
    <w:rsid w:val="00011E34"/>
    <w:rsid w:val="00026E0B"/>
    <w:rsid w:val="00030B1A"/>
    <w:rsid w:val="00032E71"/>
    <w:rsid w:val="0003404E"/>
    <w:rsid w:val="00034A4D"/>
    <w:rsid w:val="0003695C"/>
    <w:rsid w:val="000411DE"/>
    <w:rsid w:val="0004132A"/>
    <w:rsid w:val="00041717"/>
    <w:rsid w:val="000420B5"/>
    <w:rsid w:val="00044DD2"/>
    <w:rsid w:val="00061D83"/>
    <w:rsid w:val="0006323F"/>
    <w:rsid w:val="00066CCD"/>
    <w:rsid w:val="0007573C"/>
    <w:rsid w:val="0008203B"/>
    <w:rsid w:val="00082B5A"/>
    <w:rsid w:val="00083106"/>
    <w:rsid w:val="00084A2A"/>
    <w:rsid w:val="000930FA"/>
    <w:rsid w:val="00093897"/>
    <w:rsid w:val="000A25A8"/>
    <w:rsid w:val="000A44A0"/>
    <w:rsid w:val="000C32BE"/>
    <w:rsid w:val="000C41AD"/>
    <w:rsid w:val="000D5519"/>
    <w:rsid w:val="000D63BE"/>
    <w:rsid w:val="000D6AA8"/>
    <w:rsid w:val="000E2316"/>
    <w:rsid w:val="000E2D2E"/>
    <w:rsid w:val="000E31C2"/>
    <w:rsid w:val="000E44C7"/>
    <w:rsid w:val="000F42EA"/>
    <w:rsid w:val="000F49AC"/>
    <w:rsid w:val="0010164F"/>
    <w:rsid w:val="001017A8"/>
    <w:rsid w:val="00112C9D"/>
    <w:rsid w:val="00113B0F"/>
    <w:rsid w:val="00117C6A"/>
    <w:rsid w:val="00121FDE"/>
    <w:rsid w:val="00131C44"/>
    <w:rsid w:val="0013280F"/>
    <w:rsid w:val="0013377F"/>
    <w:rsid w:val="00133C6F"/>
    <w:rsid w:val="001342C8"/>
    <w:rsid w:val="0013680E"/>
    <w:rsid w:val="001371F8"/>
    <w:rsid w:val="0014067E"/>
    <w:rsid w:val="00150954"/>
    <w:rsid w:val="00155521"/>
    <w:rsid w:val="00160D42"/>
    <w:rsid w:val="0016126B"/>
    <w:rsid w:val="00162F8F"/>
    <w:rsid w:val="00164D1D"/>
    <w:rsid w:val="00165925"/>
    <w:rsid w:val="0016672F"/>
    <w:rsid w:val="00167B38"/>
    <w:rsid w:val="00174C3D"/>
    <w:rsid w:val="0017768C"/>
    <w:rsid w:val="00182D8A"/>
    <w:rsid w:val="00185793"/>
    <w:rsid w:val="00192694"/>
    <w:rsid w:val="00194F1E"/>
    <w:rsid w:val="001A1436"/>
    <w:rsid w:val="001A2703"/>
    <w:rsid w:val="001A4D9D"/>
    <w:rsid w:val="001B417D"/>
    <w:rsid w:val="001B5E6E"/>
    <w:rsid w:val="001C19A8"/>
    <w:rsid w:val="001C2191"/>
    <w:rsid w:val="001C5CFB"/>
    <w:rsid w:val="001C6FB1"/>
    <w:rsid w:val="001D0551"/>
    <w:rsid w:val="001D1C8A"/>
    <w:rsid w:val="001D2BEF"/>
    <w:rsid w:val="001D7C0E"/>
    <w:rsid w:val="001E2113"/>
    <w:rsid w:val="001E6ABF"/>
    <w:rsid w:val="001F13D3"/>
    <w:rsid w:val="001F319B"/>
    <w:rsid w:val="001F439C"/>
    <w:rsid w:val="001F4888"/>
    <w:rsid w:val="001F4E52"/>
    <w:rsid w:val="001F5981"/>
    <w:rsid w:val="0020279A"/>
    <w:rsid w:val="00207B2A"/>
    <w:rsid w:val="00214042"/>
    <w:rsid w:val="002166EC"/>
    <w:rsid w:val="00225357"/>
    <w:rsid w:val="00225572"/>
    <w:rsid w:val="002314B7"/>
    <w:rsid w:val="00234EE0"/>
    <w:rsid w:val="0023608F"/>
    <w:rsid w:val="002428CC"/>
    <w:rsid w:val="00242971"/>
    <w:rsid w:val="00244971"/>
    <w:rsid w:val="00245F60"/>
    <w:rsid w:val="002469B7"/>
    <w:rsid w:val="002515B7"/>
    <w:rsid w:val="0025494F"/>
    <w:rsid w:val="00254FB6"/>
    <w:rsid w:val="00255CA8"/>
    <w:rsid w:val="002565D1"/>
    <w:rsid w:val="00257A38"/>
    <w:rsid w:val="002610BE"/>
    <w:rsid w:val="00272831"/>
    <w:rsid w:val="00274F20"/>
    <w:rsid w:val="002750EF"/>
    <w:rsid w:val="0027683E"/>
    <w:rsid w:val="002850DB"/>
    <w:rsid w:val="002A1B3F"/>
    <w:rsid w:val="002A1DAC"/>
    <w:rsid w:val="002A5BB7"/>
    <w:rsid w:val="002A6807"/>
    <w:rsid w:val="002B4E2E"/>
    <w:rsid w:val="002C32D7"/>
    <w:rsid w:val="002C4F9F"/>
    <w:rsid w:val="002C5E65"/>
    <w:rsid w:val="002D0D45"/>
    <w:rsid w:val="002D2A82"/>
    <w:rsid w:val="002D67EF"/>
    <w:rsid w:val="002F51F5"/>
    <w:rsid w:val="003047FB"/>
    <w:rsid w:val="003126F8"/>
    <w:rsid w:val="00312F4A"/>
    <w:rsid w:val="00315B13"/>
    <w:rsid w:val="00322C6B"/>
    <w:rsid w:val="00323231"/>
    <w:rsid w:val="003301C9"/>
    <w:rsid w:val="003306E9"/>
    <w:rsid w:val="00332A5F"/>
    <w:rsid w:val="00333031"/>
    <w:rsid w:val="00335647"/>
    <w:rsid w:val="0033584E"/>
    <w:rsid w:val="003363B9"/>
    <w:rsid w:val="00337856"/>
    <w:rsid w:val="00340C41"/>
    <w:rsid w:val="003441CB"/>
    <w:rsid w:val="003446DE"/>
    <w:rsid w:val="0034479A"/>
    <w:rsid w:val="00347C94"/>
    <w:rsid w:val="00352B09"/>
    <w:rsid w:val="003572FD"/>
    <w:rsid w:val="00361097"/>
    <w:rsid w:val="00367A37"/>
    <w:rsid w:val="003703F0"/>
    <w:rsid w:val="00370BEF"/>
    <w:rsid w:val="003763BB"/>
    <w:rsid w:val="00380354"/>
    <w:rsid w:val="0038446E"/>
    <w:rsid w:val="0038538E"/>
    <w:rsid w:val="0038551A"/>
    <w:rsid w:val="0038635E"/>
    <w:rsid w:val="00386A02"/>
    <w:rsid w:val="00386A94"/>
    <w:rsid w:val="00391D4E"/>
    <w:rsid w:val="00392018"/>
    <w:rsid w:val="00393EB5"/>
    <w:rsid w:val="003A0AF4"/>
    <w:rsid w:val="003A5854"/>
    <w:rsid w:val="003A6F53"/>
    <w:rsid w:val="003B18A0"/>
    <w:rsid w:val="003B6836"/>
    <w:rsid w:val="003B718C"/>
    <w:rsid w:val="003B7920"/>
    <w:rsid w:val="003C4A50"/>
    <w:rsid w:val="003C660E"/>
    <w:rsid w:val="003D445E"/>
    <w:rsid w:val="003D788F"/>
    <w:rsid w:val="003E3F13"/>
    <w:rsid w:val="003F1AFF"/>
    <w:rsid w:val="003F1DD1"/>
    <w:rsid w:val="003F28CA"/>
    <w:rsid w:val="003F35D9"/>
    <w:rsid w:val="004018B0"/>
    <w:rsid w:val="00404924"/>
    <w:rsid w:val="0041552B"/>
    <w:rsid w:val="00421D42"/>
    <w:rsid w:val="00433E52"/>
    <w:rsid w:val="00434C6B"/>
    <w:rsid w:val="00447BF2"/>
    <w:rsid w:val="00451622"/>
    <w:rsid w:val="00453265"/>
    <w:rsid w:val="00455DA0"/>
    <w:rsid w:val="00462330"/>
    <w:rsid w:val="00470DF8"/>
    <w:rsid w:val="0047513A"/>
    <w:rsid w:val="004769EF"/>
    <w:rsid w:val="004829F4"/>
    <w:rsid w:val="00485180"/>
    <w:rsid w:val="004866C3"/>
    <w:rsid w:val="00497936"/>
    <w:rsid w:val="004A3133"/>
    <w:rsid w:val="004A463F"/>
    <w:rsid w:val="004A620B"/>
    <w:rsid w:val="004B18F0"/>
    <w:rsid w:val="004B1CE0"/>
    <w:rsid w:val="004C0730"/>
    <w:rsid w:val="004C1816"/>
    <w:rsid w:val="004C1C11"/>
    <w:rsid w:val="004C3896"/>
    <w:rsid w:val="004C3EA7"/>
    <w:rsid w:val="004C48B0"/>
    <w:rsid w:val="004C6AD8"/>
    <w:rsid w:val="004D1435"/>
    <w:rsid w:val="004D4536"/>
    <w:rsid w:val="004D6129"/>
    <w:rsid w:val="004E185D"/>
    <w:rsid w:val="004E4238"/>
    <w:rsid w:val="004E4E46"/>
    <w:rsid w:val="004E55A1"/>
    <w:rsid w:val="004F097A"/>
    <w:rsid w:val="004F55C8"/>
    <w:rsid w:val="004F7C04"/>
    <w:rsid w:val="00505414"/>
    <w:rsid w:val="005075A6"/>
    <w:rsid w:val="005102EA"/>
    <w:rsid w:val="00511582"/>
    <w:rsid w:val="00511B1F"/>
    <w:rsid w:val="005138F4"/>
    <w:rsid w:val="00517F8A"/>
    <w:rsid w:val="00524F04"/>
    <w:rsid w:val="00527CD8"/>
    <w:rsid w:val="00532D29"/>
    <w:rsid w:val="005378D1"/>
    <w:rsid w:val="00542F6D"/>
    <w:rsid w:val="0055315D"/>
    <w:rsid w:val="005552EA"/>
    <w:rsid w:val="00556AA9"/>
    <w:rsid w:val="0055729D"/>
    <w:rsid w:val="005645B0"/>
    <w:rsid w:val="00564B94"/>
    <w:rsid w:val="005651CD"/>
    <w:rsid w:val="00565E1B"/>
    <w:rsid w:val="00573584"/>
    <w:rsid w:val="0057709B"/>
    <w:rsid w:val="00581D98"/>
    <w:rsid w:val="00585E4E"/>
    <w:rsid w:val="005875D7"/>
    <w:rsid w:val="00590AE1"/>
    <w:rsid w:val="005A0094"/>
    <w:rsid w:val="005A1D64"/>
    <w:rsid w:val="005A39D3"/>
    <w:rsid w:val="005A4627"/>
    <w:rsid w:val="005A6BE6"/>
    <w:rsid w:val="005B151A"/>
    <w:rsid w:val="005B20BF"/>
    <w:rsid w:val="005C69BD"/>
    <w:rsid w:val="005C703C"/>
    <w:rsid w:val="005D4E76"/>
    <w:rsid w:val="005D59D2"/>
    <w:rsid w:val="005D61C7"/>
    <w:rsid w:val="005E09E6"/>
    <w:rsid w:val="005E1871"/>
    <w:rsid w:val="005E2A1B"/>
    <w:rsid w:val="005F1C61"/>
    <w:rsid w:val="005F4037"/>
    <w:rsid w:val="005F532B"/>
    <w:rsid w:val="00600D59"/>
    <w:rsid w:val="00614764"/>
    <w:rsid w:val="00616985"/>
    <w:rsid w:val="00631C9E"/>
    <w:rsid w:val="00632467"/>
    <w:rsid w:val="006325B8"/>
    <w:rsid w:val="00633D5D"/>
    <w:rsid w:val="00634407"/>
    <w:rsid w:val="00634486"/>
    <w:rsid w:val="00642176"/>
    <w:rsid w:val="0064720A"/>
    <w:rsid w:val="006507BE"/>
    <w:rsid w:val="0065245D"/>
    <w:rsid w:val="006527E3"/>
    <w:rsid w:val="00654E62"/>
    <w:rsid w:val="0065618C"/>
    <w:rsid w:val="00662C4D"/>
    <w:rsid w:val="00663D1B"/>
    <w:rsid w:val="006650F6"/>
    <w:rsid w:val="00670BFA"/>
    <w:rsid w:val="006716F3"/>
    <w:rsid w:val="00671A53"/>
    <w:rsid w:val="00672421"/>
    <w:rsid w:val="0068002B"/>
    <w:rsid w:val="00695833"/>
    <w:rsid w:val="006963CC"/>
    <w:rsid w:val="006970BF"/>
    <w:rsid w:val="006A0A47"/>
    <w:rsid w:val="006A20E5"/>
    <w:rsid w:val="006A2ECB"/>
    <w:rsid w:val="006A43D9"/>
    <w:rsid w:val="006A69E5"/>
    <w:rsid w:val="006B0910"/>
    <w:rsid w:val="006B1907"/>
    <w:rsid w:val="006B235E"/>
    <w:rsid w:val="006B5051"/>
    <w:rsid w:val="006C5485"/>
    <w:rsid w:val="006D3144"/>
    <w:rsid w:val="006E0372"/>
    <w:rsid w:val="006E05C3"/>
    <w:rsid w:val="006E2FA5"/>
    <w:rsid w:val="006E7954"/>
    <w:rsid w:val="006F38AF"/>
    <w:rsid w:val="006F4EC2"/>
    <w:rsid w:val="006F4FB7"/>
    <w:rsid w:val="006F5199"/>
    <w:rsid w:val="006F51CB"/>
    <w:rsid w:val="006F71BE"/>
    <w:rsid w:val="00700D8D"/>
    <w:rsid w:val="007027E6"/>
    <w:rsid w:val="007028DF"/>
    <w:rsid w:val="00704560"/>
    <w:rsid w:val="007071BC"/>
    <w:rsid w:val="00722BB0"/>
    <w:rsid w:val="00723E37"/>
    <w:rsid w:val="0072627C"/>
    <w:rsid w:val="00726922"/>
    <w:rsid w:val="00726F1E"/>
    <w:rsid w:val="00733306"/>
    <w:rsid w:val="007451A4"/>
    <w:rsid w:val="0075361F"/>
    <w:rsid w:val="007550EE"/>
    <w:rsid w:val="007555DF"/>
    <w:rsid w:val="00764A59"/>
    <w:rsid w:val="00765106"/>
    <w:rsid w:val="00773B2D"/>
    <w:rsid w:val="00776DE5"/>
    <w:rsid w:val="007879F6"/>
    <w:rsid w:val="00791A19"/>
    <w:rsid w:val="007A2315"/>
    <w:rsid w:val="007A656D"/>
    <w:rsid w:val="007A6A99"/>
    <w:rsid w:val="007B2D2E"/>
    <w:rsid w:val="007B4558"/>
    <w:rsid w:val="007B71AE"/>
    <w:rsid w:val="007C7E2B"/>
    <w:rsid w:val="007D46BF"/>
    <w:rsid w:val="007D50E6"/>
    <w:rsid w:val="007D68A4"/>
    <w:rsid w:val="007E4DA4"/>
    <w:rsid w:val="007E5986"/>
    <w:rsid w:val="007F4B82"/>
    <w:rsid w:val="007F7F24"/>
    <w:rsid w:val="0080092F"/>
    <w:rsid w:val="00800D15"/>
    <w:rsid w:val="0080322F"/>
    <w:rsid w:val="0080414C"/>
    <w:rsid w:val="00804EAA"/>
    <w:rsid w:val="00807A6B"/>
    <w:rsid w:val="00814256"/>
    <w:rsid w:val="008156EE"/>
    <w:rsid w:val="00816E57"/>
    <w:rsid w:val="0082638F"/>
    <w:rsid w:val="008362AB"/>
    <w:rsid w:val="008379BF"/>
    <w:rsid w:val="008426A6"/>
    <w:rsid w:val="00850328"/>
    <w:rsid w:val="00855707"/>
    <w:rsid w:val="00856584"/>
    <w:rsid w:val="00860725"/>
    <w:rsid w:val="00861DF8"/>
    <w:rsid w:val="008627DD"/>
    <w:rsid w:val="00864A56"/>
    <w:rsid w:val="0087017D"/>
    <w:rsid w:val="00870676"/>
    <w:rsid w:val="00871D1C"/>
    <w:rsid w:val="00880346"/>
    <w:rsid w:val="00880A69"/>
    <w:rsid w:val="00883F0C"/>
    <w:rsid w:val="008859CB"/>
    <w:rsid w:val="00887F42"/>
    <w:rsid w:val="00897179"/>
    <w:rsid w:val="00897846"/>
    <w:rsid w:val="008A3E72"/>
    <w:rsid w:val="008C5846"/>
    <w:rsid w:val="008C592A"/>
    <w:rsid w:val="008C6C93"/>
    <w:rsid w:val="008D0E0A"/>
    <w:rsid w:val="008D29E8"/>
    <w:rsid w:val="008D635D"/>
    <w:rsid w:val="008D7D20"/>
    <w:rsid w:val="008E1DD1"/>
    <w:rsid w:val="008E5107"/>
    <w:rsid w:val="008E53B0"/>
    <w:rsid w:val="008E5D49"/>
    <w:rsid w:val="008F7897"/>
    <w:rsid w:val="00901372"/>
    <w:rsid w:val="00902131"/>
    <w:rsid w:val="00903CD0"/>
    <w:rsid w:val="00910FBB"/>
    <w:rsid w:val="009140D8"/>
    <w:rsid w:val="00915A52"/>
    <w:rsid w:val="00926241"/>
    <w:rsid w:val="00927386"/>
    <w:rsid w:val="00933BFB"/>
    <w:rsid w:val="00935223"/>
    <w:rsid w:val="00936502"/>
    <w:rsid w:val="00942714"/>
    <w:rsid w:val="009607B6"/>
    <w:rsid w:val="00966A86"/>
    <w:rsid w:val="00967312"/>
    <w:rsid w:val="0097131F"/>
    <w:rsid w:val="00980B9A"/>
    <w:rsid w:val="00981D82"/>
    <w:rsid w:val="00985D84"/>
    <w:rsid w:val="00992F8A"/>
    <w:rsid w:val="00994F07"/>
    <w:rsid w:val="009A0993"/>
    <w:rsid w:val="009B0587"/>
    <w:rsid w:val="009B4780"/>
    <w:rsid w:val="009B47E5"/>
    <w:rsid w:val="009B63AB"/>
    <w:rsid w:val="009C307B"/>
    <w:rsid w:val="009C39E0"/>
    <w:rsid w:val="009C66D3"/>
    <w:rsid w:val="009C7CEC"/>
    <w:rsid w:val="009D25F7"/>
    <w:rsid w:val="009F4208"/>
    <w:rsid w:val="009F49F8"/>
    <w:rsid w:val="009F6331"/>
    <w:rsid w:val="00A03713"/>
    <w:rsid w:val="00A03C75"/>
    <w:rsid w:val="00A04B28"/>
    <w:rsid w:val="00A04C71"/>
    <w:rsid w:val="00A05A4E"/>
    <w:rsid w:val="00A10F37"/>
    <w:rsid w:val="00A12116"/>
    <w:rsid w:val="00A152B8"/>
    <w:rsid w:val="00A16A91"/>
    <w:rsid w:val="00A23758"/>
    <w:rsid w:val="00A302FA"/>
    <w:rsid w:val="00A3708B"/>
    <w:rsid w:val="00A37419"/>
    <w:rsid w:val="00A431E4"/>
    <w:rsid w:val="00A479D4"/>
    <w:rsid w:val="00A50896"/>
    <w:rsid w:val="00A5134F"/>
    <w:rsid w:val="00A517BF"/>
    <w:rsid w:val="00A53A7F"/>
    <w:rsid w:val="00A57133"/>
    <w:rsid w:val="00A607E2"/>
    <w:rsid w:val="00A66574"/>
    <w:rsid w:val="00A715BC"/>
    <w:rsid w:val="00A7229F"/>
    <w:rsid w:val="00A73409"/>
    <w:rsid w:val="00A762ED"/>
    <w:rsid w:val="00A76368"/>
    <w:rsid w:val="00A80D5C"/>
    <w:rsid w:val="00A81809"/>
    <w:rsid w:val="00A862E7"/>
    <w:rsid w:val="00A86AC6"/>
    <w:rsid w:val="00A92B68"/>
    <w:rsid w:val="00A94C35"/>
    <w:rsid w:val="00A957E2"/>
    <w:rsid w:val="00A96CD2"/>
    <w:rsid w:val="00AB15F3"/>
    <w:rsid w:val="00AB5C47"/>
    <w:rsid w:val="00AB6179"/>
    <w:rsid w:val="00AB61F3"/>
    <w:rsid w:val="00AC1CCB"/>
    <w:rsid w:val="00AC7AB8"/>
    <w:rsid w:val="00AD13EC"/>
    <w:rsid w:val="00AE283B"/>
    <w:rsid w:val="00AF41A7"/>
    <w:rsid w:val="00B01340"/>
    <w:rsid w:val="00B0172F"/>
    <w:rsid w:val="00B01E2B"/>
    <w:rsid w:val="00B03DC5"/>
    <w:rsid w:val="00B05BCF"/>
    <w:rsid w:val="00B06BB7"/>
    <w:rsid w:val="00B122DB"/>
    <w:rsid w:val="00B1367F"/>
    <w:rsid w:val="00B13A68"/>
    <w:rsid w:val="00B17873"/>
    <w:rsid w:val="00B17FBC"/>
    <w:rsid w:val="00B2285E"/>
    <w:rsid w:val="00B27CC1"/>
    <w:rsid w:val="00B34574"/>
    <w:rsid w:val="00B4032D"/>
    <w:rsid w:val="00B45C1E"/>
    <w:rsid w:val="00B51D5E"/>
    <w:rsid w:val="00B5608B"/>
    <w:rsid w:val="00B567D3"/>
    <w:rsid w:val="00B57494"/>
    <w:rsid w:val="00B57B29"/>
    <w:rsid w:val="00B6112C"/>
    <w:rsid w:val="00B62F80"/>
    <w:rsid w:val="00B63185"/>
    <w:rsid w:val="00B633EF"/>
    <w:rsid w:val="00B66AF2"/>
    <w:rsid w:val="00B73596"/>
    <w:rsid w:val="00B74C70"/>
    <w:rsid w:val="00B80184"/>
    <w:rsid w:val="00B83CD9"/>
    <w:rsid w:val="00B84131"/>
    <w:rsid w:val="00B903E3"/>
    <w:rsid w:val="00B905B6"/>
    <w:rsid w:val="00B9331D"/>
    <w:rsid w:val="00B97C30"/>
    <w:rsid w:val="00BA0249"/>
    <w:rsid w:val="00BA535F"/>
    <w:rsid w:val="00BB00EE"/>
    <w:rsid w:val="00BB40A7"/>
    <w:rsid w:val="00BB4201"/>
    <w:rsid w:val="00BC05AD"/>
    <w:rsid w:val="00BC19E9"/>
    <w:rsid w:val="00BC37EC"/>
    <w:rsid w:val="00BD41B7"/>
    <w:rsid w:val="00BD6815"/>
    <w:rsid w:val="00BE1843"/>
    <w:rsid w:val="00BE2853"/>
    <w:rsid w:val="00BE31EE"/>
    <w:rsid w:val="00BE5EB7"/>
    <w:rsid w:val="00BE6733"/>
    <w:rsid w:val="00BF09B2"/>
    <w:rsid w:val="00BF78B0"/>
    <w:rsid w:val="00C00572"/>
    <w:rsid w:val="00C028D8"/>
    <w:rsid w:val="00C035D1"/>
    <w:rsid w:val="00C073B3"/>
    <w:rsid w:val="00C121BB"/>
    <w:rsid w:val="00C16F13"/>
    <w:rsid w:val="00C23CF0"/>
    <w:rsid w:val="00C31193"/>
    <w:rsid w:val="00C34A26"/>
    <w:rsid w:val="00C4266F"/>
    <w:rsid w:val="00C44207"/>
    <w:rsid w:val="00C461E1"/>
    <w:rsid w:val="00C5099B"/>
    <w:rsid w:val="00C62A16"/>
    <w:rsid w:val="00C71276"/>
    <w:rsid w:val="00C719B2"/>
    <w:rsid w:val="00C72B02"/>
    <w:rsid w:val="00C72FC9"/>
    <w:rsid w:val="00C75318"/>
    <w:rsid w:val="00C75CF3"/>
    <w:rsid w:val="00C9721C"/>
    <w:rsid w:val="00C97D6B"/>
    <w:rsid w:val="00CA79C5"/>
    <w:rsid w:val="00CB08B2"/>
    <w:rsid w:val="00CB1301"/>
    <w:rsid w:val="00CB27A3"/>
    <w:rsid w:val="00CB310B"/>
    <w:rsid w:val="00CB37E9"/>
    <w:rsid w:val="00CB57EB"/>
    <w:rsid w:val="00CB78AC"/>
    <w:rsid w:val="00CC2AD5"/>
    <w:rsid w:val="00CC2BF2"/>
    <w:rsid w:val="00CC5B36"/>
    <w:rsid w:val="00CD0519"/>
    <w:rsid w:val="00CD08E6"/>
    <w:rsid w:val="00CD2922"/>
    <w:rsid w:val="00CD4A56"/>
    <w:rsid w:val="00CD67E0"/>
    <w:rsid w:val="00CD7933"/>
    <w:rsid w:val="00CE2D7B"/>
    <w:rsid w:val="00CE380E"/>
    <w:rsid w:val="00CF0145"/>
    <w:rsid w:val="00CF3C88"/>
    <w:rsid w:val="00CF5D2A"/>
    <w:rsid w:val="00D04DDE"/>
    <w:rsid w:val="00D065B6"/>
    <w:rsid w:val="00D104E0"/>
    <w:rsid w:val="00D15F05"/>
    <w:rsid w:val="00D26353"/>
    <w:rsid w:val="00D37351"/>
    <w:rsid w:val="00D4201E"/>
    <w:rsid w:val="00D44501"/>
    <w:rsid w:val="00D54088"/>
    <w:rsid w:val="00D57935"/>
    <w:rsid w:val="00D6025E"/>
    <w:rsid w:val="00D6284B"/>
    <w:rsid w:val="00D62D2F"/>
    <w:rsid w:val="00D77E8D"/>
    <w:rsid w:val="00D83BF8"/>
    <w:rsid w:val="00D8637A"/>
    <w:rsid w:val="00D96724"/>
    <w:rsid w:val="00D972C2"/>
    <w:rsid w:val="00DA2CF1"/>
    <w:rsid w:val="00DA3B73"/>
    <w:rsid w:val="00DB438D"/>
    <w:rsid w:val="00DB4F25"/>
    <w:rsid w:val="00DB6B17"/>
    <w:rsid w:val="00DC37A0"/>
    <w:rsid w:val="00DC59BF"/>
    <w:rsid w:val="00DD6137"/>
    <w:rsid w:val="00DE2F72"/>
    <w:rsid w:val="00DE4A2F"/>
    <w:rsid w:val="00DF4C2C"/>
    <w:rsid w:val="00DF6CB6"/>
    <w:rsid w:val="00E14BF3"/>
    <w:rsid w:val="00E16D7B"/>
    <w:rsid w:val="00E30E75"/>
    <w:rsid w:val="00E34583"/>
    <w:rsid w:val="00E3551E"/>
    <w:rsid w:val="00E37933"/>
    <w:rsid w:val="00E4760C"/>
    <w:rsid w:val="00E4776F"/>
    <w:rsid w:val="00E51DFB"/>
    <w:rsid w:val="00E53012"/>
    <w:rsid w:val="00E54118"/>
    <w:rsid w:val="00E54567"/>
    <w:rsid w:val="00E6014D"/>
    <w:rsid w:val="00E60ACD"/>
    <w:rsid w:val="00E6552D"/>
    <w:rsid w:val="00E70090"/>
    <w:rsid w:val="00E7135B"/>
    <w:rsid w:val="00E73E7F"/>
    <w:rsid w:val="00E8063B"/>
    <w:rsid w:val="00E82759"/>
    <w:rsid w:val="00E84751"/>
    <w:rsid w:val="00E932EF"/>
    <w:rsid w:val="00E932FD"/>
    <w:rsid w:val="00E969F6"/>
    <w:rsid w:val="00E9700D"/>
    <w:rsid w:val="00EB3B63"/>
    <w:rsid w:val="00EB4426"/>
    <w:rsid w:val="00EB49D1"/>
    <w:rsid w:val="00EB6023"/>
    <w:rsid w:val="00EB7BEE"/>
    <w:rsid w:val="00EC223F"/>
    <w:rsid w:val="00EC6A7A"/>
    <w:rsid w:val="00EC6F57"/>
    <w:rsid w:val="00ED26BB"/>
    <w:rsid w:val="00EE2916"/>
    <w:rsid w:val="00EE5EE4"/>
    <w:rsid w:val="00EE717F"/>
    <w:rsid w:val="00EF2170"/>
    <w:rsid w:val="00EF46C3"/>
    <w:rsid w:val="00F0075B"/>
    <w:rsid w:val="00F0109B"/>
    <w:rsid w:val="00F021D2"/>
    <w:rsid w:val="00F02BF5"/>
    <w:rsid w:val="00F03A0A"/>
    <w:rsid w:val="00F04474"/>
    <w:rsid w:val="00F20054"/>
    <w:rsid w:val="00F22463"/>
    <w:rsid w:val="00F22688"/>
    <w:rsid w:val="00F2354C"/>
    <w:rsid w:val="00F23CDC"/>
    <w:rsid w:val="00F3327D"/>
    <w:rsid w:val="00F514D0"/>
    <w:rsid w:val="00F60170"/>
    <w:rsid w:val="00F70597"/>
    <w:rsid w:val="00F7238E"/>
    <w:rsid w:val="00F72A24"/>
    <w:rsid w:val="00F8116E"/>
    <w:rsid w:val="00F91E94"/>
    <w:rsid w:val="00F9623D"/>
    <w:rsid w:val="00FA4489"/>
    <w:rsid w:val="00FA4D73"/>
    <w:rsid w:val="00FA61AC"/>
    <w:rsid w:val="00FB2A4A"/>
    <w:rsid w:val="00FB4B9C"/>
    <w:rsid w:val="00FB6A91"/>
    <w:rsid w:val="00FC4778"/>
    <w:rsid w:val="00FD43C2"/>
    <w:rsid w:val="00FD5699"/>
    <w:rsid w:val="00FE5CCE"/>
    <w:rsid w:val="00FE7F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38A08369"/>
  <w15:docId w15:val="{41126EFB-9B47-4D72-B4FC-1CAC4910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EE4"/>
    <w:rPr>
      <w:rFonts w:eastAsia="SimSun"/>
    </w:rPr>
  </w:style>
  <w:style w:type="paragraph" w:styleId="Heading1">
    <w:name w:val="heading 1"/>
    <w:aliases w:val="Table_G"/>
    <w:basedOn w:val="SingleTxtG"/>
    <w:next w:val="SingleTxtG"/>
    <w:link w:val="Heading1Char"/>
    <w:rsid w:val="00EE5EE4"/>
    <w:pPr>
      <w:spacing w:after="0"/>
      <w:ind w:right="0"/>
      <w:jc w:val="left"/>
      <w:outlineLvl w:val="0"/>
    </w:pPr>
  </w:style>
  <w:style w:type="paragraph" w:styleId="Heading2">
    <w:name w:val="heading 2"/>
    <w:basedOn w:val="Normal"/>
    <w:next w:val="Normal"/>
    <w:link w:val="Heading2Char"/>
    <w:rsid w:val="00EE5EE4"/>
    <w:pPr>
      <w:outlineLvl w:val="1"/>
    </w:pPr>
  </w:style>
  <w:style w:type="paragraph" w:styleId="Heading3">
    <w:name w:val="heading 3"/>
    <w:basedOn w:val="Normal"/>
    <w:next w:val="Normal"/>
    <w:link w:val="Heading3Char"/>
    <w:rsid w:val="00EE5EE4"/>
    <w:pPr>
      <w:outlineLvl w:val="2"/>
    </w:pPr>
  </w:style>
  <w:style w:type="paragraph" w:styleId="Heading4">
    <w:name w:val="heading 4"/>
    <w:basedOn w:val="Normal"/>
    <w:next w:val="Normal"/>
    <w:link w:val="Heading4Char"/>
    <w:rsid w:val="00EE5EE4"/>
    <w:pPr>
      <w:outlineLvl w:val="3"/>
    </w:pPr>
  </w:style>
  <w:style w:type="paragraph" w:styleId="Heading5">
    <w:name w:val="heading 5"/>
    <w:basedOn w:val="Normal"/>
    <w:next w:val="Normal"/>
    <w:link w:val="Heading5Char"/>
    <w:rsid w:val="00EE5EE4"/>
    <w:pPr>
      <w:outlineLvl w:val="4"/>
    </w:pPr>
  </w:style>
  <w:style w:type="paragraph" w:styleId="Heading6">
    <w:name w:val="heading 6"/>
    <w:basedOn w:val="Normal"/>
    <w:next w:val="Normal"/>
    <w:link w:val="Heading6Char"/>
    <w:rsid w:val="00EE5EE4"/>
    <w:pPr>
      <w:outlineLvl w:val="5"/>
    </w:pPr>
  </w:style>
  <w:style w:type="paragraph" w:styleId="Heading7">
    <w:name w:val="heading 7"/>
    <w:basedOn w:val="Normal"/>
    <w:next w:val="Normal"/>
    <w:link w:val="Heading7Char"/>
    <w:rsid w:val="00EE5EE4"/>
    <w:pPr>
      <w:outlineLvl w:val="6"/>
    </w:pPr>
  </w:style>
  <w:style w:type="paragraph" w:styleId="Heading8">
    <w:name w:val="heading 8"/>
    <w:basedOn w:val="Normal"/>
    <w:next w:val="Normal"/>
    <w:link w:val="Heading8Char"/>
    <w:rsid w:val="00EE5EE4"/>
    <w:pPr>
      <w:outlineLvl w:val="7"/>
    </w:pPr>
  </w:style>
  <w:style w:type="paragraph" w:styleId="Heading9">
    <w:name w:val="heading 9"/>
    <w:basedOn w:val="Normal"/>
    <w:next w:val="Normal"/>
    <w:link w:val="Heading9Char"/>
    <w:rsid w:val="00EE5E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E5E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5E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5E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5E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5E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5EE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5EE4"/>
    <w:pPr>
      <w:spacing w:after="120" w:line="240" w:lineRule="atLeast"/>
      <w:ind w:left="1134" w:right="1134"/>
      <w:jc w:val="both"/>
    </w:pPr>
  </w:style>
  <w:style w:type="paragraph" w:customStyle="1" w:styleId="SLG">
    <w:name w:val="__S_L_G"/>
    <w:basedOn w:val="Normal"/>
    <w:next w:val="Normal"/>
    <w:rsid w:val="00EE5EE4"/>
    <w:pPr>
      <w:keepNext/>
      <w:keepLines/>
      <w:spacing w:before="240" w:after="240" w:line="580" w:lineRule="exact"/>
      <w:ind w:left="1134" w:right="1134"/>
    </w:pPr>
    <w:rPr>
      <w:b/>
      <w:sz w:val="56"/>
    </w:rPr>
  </w:style>
  <w:style w:type="paragraph" w:customStyle="1" w:styleId="SMG">
    <w:name w:val="__S_M_G"/>
    <w:basedOn w:val="Normal"/>
    <w:next w:val="Normal"/>
    <w:rsid w:val="00EE5EE4"/>
    <w:pPr>
      <w:keepNext/>
      <w:keepLines/>
      <w:spacing w:before="240" w:after="240" w:line="420" w:lineRule="exact"/>
      <w:ind w:left="1134" w:right="1134"/>
    </w:pPr>
    <w:rPr>
      <w:b/>
      <w:sz w:val="40"/>
    </w:rPr>
  </w:style>
  <w:style w:type="paragraph" w:customStyle="1" w:styleId="SSG">
    <w:name w:val="__S_S_G"/>
    <w:basedOn w:val="Normal"/>
    <w:next w:val="Normal"/>
    <w:rsid w:val="00EE5EE4"/>
    <w:pPr>
      <w:keepNext/>
      <w:keepLines/>
      <w:spacing w:before="240" w:after="240" w:line="300" w:lineRule="exact"/>
      <w:ind w:left="1134" w:right="1134"/>
    </w:pPr>
    <w:rPr>
      <w:b/>
      <w:sz w:val="28"/>
    </w:rPr>
  </w:style>
  <w:style w:type="paragraph" w:customStyle="1" w:styleId="XLargeG">
    <w:name w:val="__XLarge_G"/>
    <w:basedOn w:val="Normal"/>
    <w:next w:val="Normal"/>
    <w:rsid w:val="00EE5EE4"/>
    <w:pPr>
      <w:keepNext/>
      <w:keepLines/>
      <w:spacing w:before="240" w:after="240" w:line="420" w:lineRule="exact"/>
      <w:ind w:left="1134" w:right="1134"/>
    </w:pPr>
    <w:rPr>
      <w:b/>
      <w:sz w:val="40"/>
    </w:rPr>
  </w:style>
  <w:style w:type="paragraph" w:customStyle="1" w:styleId="Bullet1G">
    <w:name w:val="_Bullet 1_G"/>
    <w:basedOn w:val="Normal"/>
    <w:qFormat/>
    <w:rsid w:val="00EE5EE4"/>
    <w:pPr>
      <w:numPr>
        <w:numId w:val="3"/>
      </w:numPr>
      <w:spacing w:after="120"/>
      <w:ind w:right="1134"/>
      <w:jc w:val="both"/>
    </w:pPr>
  </w:style>
  <w:style w:type="paragraph" w:customStyle="1" w:styleId="Bullet2G">
    <w:name w:val="_Bullet 2_G"/>
    <w:basedOn w:val="Normal"/>
    <w:qFormat/>
    <w:rsid w:val="00EE5EE4"/>
    <w:pPr>
      <w:numPr>
        <w:numId w:val="4"/>
      </w:numPr>
      <w:spacing w:after="120"/>
      <w:ind w:right="1134"/>
      <w:jc w:val="both"/>
    </w:pPr>
  </w:style>
  <w:style w:type="paragraph" w:customStyle="1" w:styleId="ParaNoG">
    <w:name w:val="_ParaNo._G"/>
    <w:basedOn w:val="SingleTxtG"/>
    <w:rsid w:val="00EE5EE4"/>
    <w:pPr>
      <w:numPr>
        <w:numId w:val="5"/>
      </w:numPr>
    </w:pPr>
  </w:style>
  <w:style w:type="numbering" w:styleId="111111">
    <w:name w:val="Outline List 2"/>
    <w:basedOn w:val="NoList"/>
    <w:rsid w:val="00EE5EE4"/>
    <w:pPr>
      <w:numPr>
        <w:numId w:val="1"/>
      </w:numPr>
    </w:pPr>
  </w:style>
  <w:style w:type="numbering" w:styleId="1ai">
    <w:name w:val="Outline List 1"/>
    <w:basedOn w:val="NoList"/>
    <w:rsid w:val="00EE5EE4"/>
    <w:pPr>
      <w:numPr>
        <w:numId w:val="2"/>
      </w:numPr>
    </w:pPr>
  </w:style>
  <w:style w:type="paragraph" w:styleId="FootnoteText">
    <w:name w:val="footnote text"/>
    <w:aliases w:val="5_G"/>
    <w:basedOn w:val="Normal"/>
    <w:link w:val="FootnoteTextChar"/>
    <w:rsid w:val="00EE5EE4"/>
    <w:pPr>
      <w:tabs>
        <w:tab w:val="right" w:pos="1021"/>
      </w:tabs>
      <w:spacing w:line="220" w:lineRule="exact"/>
      <w:ind w:left="1134" w:right="1134" w:hanging="1134"/>
    </w:pPr>
    <w:rPr>
      <w:sz w:val="18"/>
    </w:rPr>
  </w:style>
  <w:style w:type="character" w:styleId="EndnoteReference">
    <w:name w:val="endnote reference"/>
    <w:aliases w:val="1_G"/>
    <w:rsid w:val="00EE5EE4"/>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EE5EE4"/>
    <w:rPr>
      <w:rFonts w:eastAsia="SimSun"/>
      <w:sz w:val="18"/>
    </w:rPr>
  </w:style>
  <w:style w:type="paragraph" w:styleId="EndnoteText">
    <w:name w:val="endnote text"/>
    <w:aliases w:val="2_G"/>
    <w:basedOn w:val="FootnoteText"/>
    <w:link w:val="EndnoteTextChar"/>
    <w:rsid w:val="00EE5EE4"/>
  </w:style>
  <w:style w:type="paragraph" w:styleId="Footer">
    <w:name w:val="footer"/>
    <w:aliases w:val="3_G"/>
    <w:basedOn w:val="Normal"/>
    <w:link w:val="FooterChar"/>
    <w:qFormat/>
    <w:rsid w:val="00EE5EE4"/>
    <w:rPr>
      <w:sz w:val="16"/>
    </w:rPr>
  </w:style>
  <w:style w:type="paragraph" w:styleId="Header">
    <w:name w:val="header"/>
    <w:aliases w:val="6_G"/>
    <w:basedOn w:val="Normal"/>
    <w:link w:val="HeaderChar"/>
    <w:rsid w:val="00EE5EE4"/>
    <w:pPr>
      <w:pBdr>
        <w:bottom w:val="single" w:sz="4" w:space="4" w:color="auto"/>
      </w:pBdr>
    </w:pPr>
    <w:rPr>
      <w:b/>
      <w:sz w:val="18"/>
    </w:rPr>
  </w:style>
  <w:style w:type="character" w:styleId="FootnoteReference">
    <w:name w:val="footnote reference"/>
    <w:aliases w:val="4_G"/>
    <w:rsid w:val="00EE5EE4"/>
    <w:rPr>
      <w:rFonts w:ascii="Times New Roman" w:hAnsi="Times New Roman"/>
      <w:sz w:val="18"/>
      <w:vertAlign w:val="superscript"/>
    </w:rPr>
  </w:style>
  <w:style w:type="character" w:styleId="Hyperlink">
    <w:name w:val="Hyperlink"/>
    <w:basedOn w:val="DefaultParagraphFont"/>
    <w:uiPriority w:val="99"/>
    <w:unhideWhenUsed/>
    <w:rsid w:val="00315B13"/>
    <w:rPr>
      <w:color w:val="0000FF" w:themeColor="hyperlink"/>
      <w:u w:val="none"/>
    </w:rPr>
  </w:style>
  <w:style w:type="character" w:customStyle="1" w:styleId="Heading1Char">
    <w:name w:val="Heading 1 Char"/>
    <w:aliases w:val="Table_G Char"/>
    <w:basedOn w:val="DefaultParagraphFont"/>
    <w:link w:val="Heading1"/>
    <w:rsid w:val="00EE5EE4"/>
    <w:rPr>
      <w:rFonts w:eastAsia="SimSun"/>
    </w:rPr>
  </w:style>
  <w:style w:type="character" w:customStyle="1" w:styleId="HeaderChar">
    <w:name w:val="Header Char"/>
    <w:aliases w:val="6_G Char"/>
    <w:basedOn w:val="DefaultParagraphFont"/>
    <w:link w:val="Header"/>
    <w:rsid w:val="00EE5EE4"/>
    <w:rPr>
      <w:rFonts w:eastAsia="SimSun"/>
      <w:b/>
      <w:sz w:val="18"/>
    </w:rPr>
  </w:style>
  <w:style w:type="character" w:customStyle="1" w:styleId="FooterChar">
    <w:name w:val="Footer Char"/>
    <w:aliases w:val="3_G Char"/>
    <w:basedOn w:val="DefaultParagraphFont"/>
    <w:link w:val="Footer"/>
    <w:rsid w:val="00EE5EE4"/>
    <w:rPr>
      <w:rFonts w:eastAsia="SimSun"/>
      <w:sz w:val="16"/>
    </w:rPr>
  </w:style>
  <w:style w:type="character" w:customStyle="1" w:styleId="EndnoteTextChar">
    <w:name w:val="Endnote Text Char"/>
    <w:aliases w:val="2_G Char"/>
    <w:basedOn w:val="DefaultParagraphFont"/>
    <w:link w:val="EndnoteText"/>
    <w:rsid w:val="00EE5EE4"/>
    <w:rPr>
      <w:rFonts w:eastAsia="SimSun"/>
      <w:sz w:val="18"/>
    </w:rPr>
  </w:style>
  <w:style w:type="character" w:customStyle="1" w:styleId="Heading2Char">
    <w:name w:val="Heading 2 Char"/>
    <w:basedOn w:val="DefaultParagraphFont"/>
    <w:link w:val="Heading2"/>
    <w:rsid w:val="00EE5EE4"/>
    <w:rPr>
      <w:rFonts w:eastAsia="SimSun"/>
    </w:rPr>
  </w:style>
  <w:style w:type="character" w:customStyle="1" w:styleId="Heading3Char">
    <w:name w:val="Heading 3 Char"/>
    <w:basedOn w:val="DefaultParagraphFont"/>
    <w:link w:val="Heading3"/>
    <w:rsid w:val="00EE5EE4"/>
    <w:rPr>
      <w:rFonts w:eastAsia="SimSun"/>
    </w:rPr>
  </w:style>
  <w:style w:type="character" w:customStyle="1" w:styleId="Heading4Char">
    <w:name w:val="Heading 4 Char"/>
    <w:basedOn w:val="DefaultParagraphFont"/>
    <w:link w:val="Heading4"/>
    <w:rsid w:val="00EE5EE4"/>
    <w:rPr>
      <w:rFonts w:eastAsia="SimSun"/>
    </w:rPr>
  </w:style>
  <w:style w:type="character" w:customStyle="1" w:styleId="Heading5Char">
    <w:name w:val="Heading 5 Char"/>
    <w:basedOn w:val="DefaultParagraphFont"/>
    <w:link w:val="Heading5"/>
    <w:rsid w:val="00EE5EE4"/>
    <w:rPr>
      <w:rFonts w:eastAsia="SimSun"/>
    </w:rPr>
  </w:style>
  <w:style w:type="character" w:customStyle="1" w:styleId="Heading6Char">
    <w:name w:val="Heading 6 Char"/>
    <w:basedOn w:val="DefaultParagraphFont"/>
    <w:link w:val="Heading6"/>
    <w:rsid w:val="00EE5EE4"/>
    <w:rPr>
      <w:rFonts w:eastAsia="SimSun"/>
    </w:rPr>
  </w:style>
  <w:style w:type="character" w:customStyle="1" w:styleId="Heading7Char">
    <w:name w:val="Heading 7 Char"/>
    <w:basedOn w:val="DefaultParagraphFont"/>
    <w:link w:val="Heading7"/>
    <w:rsid w:val="00EE5EE4"/>
    <w:rPr>
      <w:rFonts w:eastAsia="SimSun"/>
    </w:rPr>
  </w:style>
  <w:style w:type="character" w:customStyle="1" w:styleId="Heading8Char">
    <w:name w:val="Heading 8 Char"/>
    <w:basedOn w:val="DefaultParagraphFont"/>
    <w:link w:val="Heading8"/>
    <w:rsid w:val="00EE5EE4"/>
    <w:rPr>
      <w:rFonts w:eastAsia="SimSun"/>
    </w:rPr>
  </w:style>
  <w:style w:type="character" w:customStyle="1" w:styleId="Heading9Char">
    <w:name w:val="Heading 9 Char"/>
    <w:basedOn w:val="DefaultParagraphFont"/>
    <w:link w:val="Heading9"/>
    <w:rsid w:val="00EE5EE4"/>
    <w:rPr>
      <w:rFonts w:eastAsia="SimSun"/>
    </w:rPr>
  </w:style>
  <w:style w:type="table" w:styleId="TableGrid">
    <w:name w:val="Table Grid"/>
    <w:basedOn w:val="TableNormal"/>
    <w:rsid w:val="00EE5E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8379BF"/>
    <w:rPr>
      <w:rFonts w:eastAsia="SimSun"/>
    </w:rPr>
  </w:style>
  <w:style w:type="paragraph" w:customStyle="1" w:styleId="ColorfulShading-Accent11">
    <w:name w:val="Colorful Shading - Accent 11"/>
    <w:hidden/>
    <w:uiPriority w:val="71"/>
    <w:rsid w:val="008379BF"/>
    <w:rPr>
      <w:lang w:eastAsia="en-US"/>
    </w:rPr>
  </w:style>
  <w:style w:type="paragraph" w:styleId="Revision">
    <w:name w:val="Revision"/>
    <w:hidden/>
    <w:uiPriority w:val="99"/>
    <w:semiHidden/>
    <w:rsid w:val="008379BF"/>
    <w:rPr>
      <w:rFonts w:eastAsiaTheme="minorEastAsia"/>
      <w:spacing w:val="4"/>
      <w:w w:val="103"/>
      <w:kern w:val="14"/>
    </w:rPr>
  </w:style>
  <w:style w:type="character" w:styleId="FollowedHyperlink">
    <w:name w:val="FollowedHyperlink"/>
    <w:basedOn w:val="DefaultParagraphFont"/>
    <w:rsid w:val="004B18F0"/>
    <w:rPr>
      <w:color w:val="7030A0"/>
      <w:u w:val="none"/>
    </w:rPr>
  </w:style>
  <w:style w:type="paragraph" w:styleId="BalloonText">
    <w:name w:val="Balloon Text"/>
    <w:basedOn w:val="Normal"/>
    <w:link w:val="BalloonTextChar"/>
    <w:uiPriority w:val="99"/>
    <w:semiHidden/>
    <w:unhideWhenUsed/>
    <w:rsid w:val="00EE5EE4"/>
    <w:rPr>
      <w:rFonts w:ascii="Tahoma" w:hAnsi="Tahoma" w:cs="Tahoma"/>
      <w:sz w:val="16"/>
      <w:szCs w:val="16"/>
    </w:rPr>
  </w:style>
  <w:style w:type="character" w:customStyle="1" w:styleId="BalloonTextChar">
    <w:name w:val="Balloon Text Char"/>
    <w:basedOn w:val="DefaultParagraphFont"/>
    <w:link w:val="BalloonText"/>
    <w:uiPriority w:val="99"/>
    <w:semiHidden/>
    <w:rsid w:val="00EE5EE4"/>
    <w:rPr>
      <w:rFonts w:ascii="Tahoma" w:eastAsia="SimSun" w:hAnsi="Tahoma" w:cs="Tahoma"/>
      <w:sz w:val="16"/>
      <w:szCs w:val="16"/>
    </w:rPr>
  </w:style>
  <w:style w:type="character" w:styleId="CommentReference">
    <w:name w:val="annotation reference"/>
    <w:basedOn w:val="DefaultParagraphFont"/>
    <w:semiHidden/>
    <w:unhideWhenUsed/>
    <w:rsid w:val="00044DD2"/>
    <w:rPr>
      <w:sz w:val="16"/>
      <w:szCs w:val="16"/>
    </w:rPr>
  </w:style>
  <w:style w:type="paragraph" w:styleId="CommentText">
    <w:name w:val="annotation text"/>
    <w:basedOn w:val="Normal"/>
    <w:link w:val="CommentTextChar"/>
    <w:semiHidden/>
    <w:unhideWhenUsed/>
    <w:rsid w:val="00044DD2"/>
  </w:style>
  <w:style w:type="character" w:customStyle="1" w:styleId="CommentTextChar">
    <w:name w:val="Comment Text Char"/>
    <w:basedOn w:val="DefaultParagraphFont"/>
    <w:link w:val="CommentText"/>
    <w:semiHidden/>
    <w:rsid w:val="00044DD2"/>
    <w:rPr>
      <w:rFonts w:eastAsia="SimSun"/>
    </w:rPr>
  </w:style>
  <w:style w:type="paragraph" w:styleId="CommentSubject">
    <w:name w:val="annotation subject"/>
    <w:basedOn w:val="CommentText"/>
    <w:next w:val="CommentText"/>
    <w:link w:val="CommentSubjectChar"/>
    <w:semiHidden/>
    <w:unhideWhenUsed/>
    <w:rsid w:val="00044DD2"/>
    <w:rPr>
      <w:b/>
      <w:bCs/>
    </w:rPr>
  </w:style>
  <w:style w:type="character" w:customStyle="1" w:styleId="CommentSubjectChar">
    <w:name w:val="Comment Subject Char"/>
    <w:basedOn w:val="CommentTextChar"/>
    <w:link w:val="CommentSubject"/>
    <w:semiHidden/>
    <w:rsid w:val="00044DD2"/>
    <w:rPr>
      <w:rFonts w:eastAsia="SimSun"/>
      <w:b/>
      <w:bCs/>
    </w:rPr>
  </w:style>
  <w:style w:type="paragraph" w:styleId="TOC2">
    <w:name w:val="toc 2"/>
    <w:basedOn w:val="Normal"/>
    <w:next w:val="Normal"/>
    <w:autoRedefine/>
    <w:uiPriority w:val="39"/>
    <w:unhideWhenUsed/>
    <w:rsid w:val="00225357"/>
    <w:pPr>
      <w:spacing w:after="100"/>
      <w:ind w:left="200"/>
    </w:pPr>
  </w:style>
  <w:style w:type="character" w:customStyle="1" w:styleId="UnresolvedMention1">
    <w:name w:val="Unresolved Mention1"/>
    <w:basedOn w:val="DefaultParagraphFont"/>
    <w:uiPriority w:val="99"/>
    <w:semiHidden/>
    <w:unhideWhenUsed/>
    <w:rsid w:val="00044DD2"/>
    <w:rPr>
      <w:color w:val="605E5C"/>
      <w:shd w:val="clear" w:color="auto" w:fill="E1DFDD"/>
    </w:rPr>
  </w:style>
  <w:style w:type="paragraph" w:styleId="TOC1">
    <w:name w:val="toc 1"/>
    <w:basedOn w:val="Normal"/>
    <w:next w:val="Normal"/>
    <w:autoRedefine/>
    <w:uiPriority w:val="39"/>
    <w:unhideWhenUsed/>
    <w:rsid w:val="002253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undocs.org/en/CERD/C/CHN/CO/14-17" TargetMode="External"/><Relationship Id="rId39" Type="http://schemas.openxmlformats.org/officeDocument/2006/relationships/hyperlink" Target="http://undocs.org/en/CERD/C/HUN/CO/18-25" TargetMode="External"/><Relationship Id="rId21" Type="http://schemas.openxmlformats.org/officeDocument/2006/relationships/hyperlink" Target="http://undocs.org/en/CERD/C/96/1" TargetMode="External"/><Relationship Id="rId34" Type="http://schemas.openxmlformats.org/officeDocument/2006/relationships/hyperlink" Target="http://undocs.org/en/CERD/C/NOR/CO/23-24" TargetMode="External"/><Relationship Id="rId42" Type="http://schemas.openxmlformats.org/officeDocument/2006/relationships/hyperlink" Target="https://www.ohchr.org" TargetMode="External"/><Relationship Id="rId47" Type="http://schemas.openxmlformats.org/officeDocument/2006/relationships/hyperlink" Target="http://undocs.org/en/CERD/C/CYP/CO/23-24/Add.1" TargetMode="External"/><Relationship Id="rId50" Type="http://schemas.openxmlformats.org/officeDocument/2006/relationships/hyperlink" Target="http://undocs.org/en/CERD/C/KWT/CO/21-24/Add.1" TargetMode="External"/><Relationship Id="rId55" Type="http://schemas.openxmlformats.org/officeDocument/2006/relationships/hyperlink" Target="http://undocs.org/en/CERD/C/TJK/CO/9-11/Add.1" TargetMode="External"/><Relationship Id="rId63" Type="http://schemas.openxmlformats.org/officeDocument/2006/relationships/hyperlink" Target="http://undocs.org/en/A/69/18" TargetMode="External"/><Relationship Id="rId68" Type="http://schemas.openxmlformats.org/officeDocument/2006/relationships/hyperlink" Target="http://undocs.org/en/A/73/18" TargetMode="External"/><Relationship Id="rId76" Type="http://schemas.openxmlformats.org/officeDocument/2006/relationships/header" Target="header7.xml"/><Relationship Id="rId84" Type="http://schemas.openxmlformats.org/officeDocument/2006/relationships/hyperlink" Target="http://undocs.org/en/A/72/18"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undocs.org/en/A/62/18"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undocs.org/en/CERD/C/LVA/CO/6-12" TargetMode="External"/><Relationship Id="rId11" Type="http://schemas.openxmlformats.org/officeDocument/2006/relationships/image" Target="media/image4.png"/><Relationship Id="rId24" Type="http://schemas.openxmlformats.org/officeDocument/2006/relationships/hyperlink" Target="http://undocs.org/en/CERD/C/CHL/CO/19-21" TargetMode="External"/><Relationship Id="rId32" Type="http://schemas.openxmlformats.org/officeDocument/2006/relationships/hyperlink" Target="http://undocs.org/en/CERD/C/HND/CO/6-8" TargetMode="External"/><Relationship Id="rId37" Type="http://schemas.openxmlformats.org/officeDocument/2006/relationships/hyperlink" Target="http://undocs.org/en/CERD/C/AND/CO/1-6" TargetMode="External"/><Relationship Id="rId40" Type="http://schemas.openxmlformats.org/officeDocument/2006/relationships/hyperlink" Target="http://undocs.org/en/CERD/C/LTU/CO/9-10" TargetMode="External"/><Relationship Id="rId45" Type="http://schemas.openxmlformats.org/officeDocument/2006/relationships/hyperlink" Target="http://undocs.org/en/CERD/C/AUS/CO/18-20/Add.1" TargetMode="External"/><Relationship Id="rId53" Type="http://schemas.openxmlformats.org/officeDocument/2006/relationships/hyperlink" Target="http://undocs.org/en/CERD/C/MDA/CO/10-11/Add.1" TargetMode="External"/><Relationship Id="rId58" Type="http://schemas.openxmlformats.org/officeDocument/2006/relationships/hyperlink" Target="http://undocs.org/en/A/61/18" TargetMode="External"/><Relationship Id="rId66" Type="http://schemas.openxmlformats.org/officeDocument/2006/relationships/hyperlink" Target="http://undocs.org/en/A/62/18" TargetMode="External"/><Relationship Id="rId74" Type="http://schemas.openxmlformats.org/officeDocument/2006/relationships/hyperlink" Target="http://undocs.org/en/A/71/18" TargetMode="External"/><Relationship Id="rId79" Type="http://schemas.openxmlformats.org/officeDocument/2006/relationships/hyperlink" Target="http://undocs.org/en/CERD/C/SR.2698" TargetMode="External"/><Relationship Id="rId87"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hyperlink" Target="http://undocs.org/en/A/63/18" TargetMode="External"/><Relationship Id="rId82" Type="http://schemas.openxmlformats.org/officeDocument/2006/relationships/footer" Target="footer8.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undocs.org/en/CERD/C/98/1" TargetMode="External"/><Relationship Id="rId27" Type="http://schemas.openxmlformats.org/officeDocument/2006/relationships/hyperlink" Target="http://undocs.org/en/CERD/C/CUB/CO/19-21" TargetMode="External"/><Relationship Id="rId30" Type="http://schemas.openxmlformats.org/officeDocument/2006/relationships/hyperlink" Target="http://undocs.org/en/CERD/C/MNE/CO/4-6" TargetMode="External"/><Relationship Id="rId35" Type="http://schemas.openxmlformats.org/officeDocument/2006/relationships/hyperlink" Target="http://undocs.org/en/CERD/C/QAT/CO/17-21" TargetMode="External"/><Relationship Id="rId43" Type="http://schemas.openxmlformats.org/officeDocument/2006/relationships/hyperlink" Target="http://documents.un.org" TargetMode="External"/><Relationship Id="rId48" Type="http://schemas.openxmlformats.org/officeDocument/2006/relationships/hyperlink" Target="http://undocs.org/en/CERD/C/ECU/CO/23-24/Add.1" TargetMode="External"/><Relationship Id="rId56" Type="http://schemas.openxmlformats.org/officeDocument/2006/relationships/hyperlink" Target="http://undocs.org/en/CERD/C/URY/CO/21-23/Add.1" TargetMode="External"/><Relationship Id="rId64" Type="http://schemas.openxmlformats.org/officeDocument/2006/relationships/hyperlink" Target="http://undocs.org/en/A/72/18" TargetMode="External"/><Relationship Id="rId69" Type="http://schemas.openxmlformats.org/officeDocument/2006/relationships/hyperlink" Target="http://undocs.org/en/A/62/18" TargetMode="External"/><Relationship Id="rId77" Type="http://schemas.openxmlformats.org/officeDocument/2006/relationships/footer" Target="footer6.xml"/><Relationship Id="rId8" Type="http://schemas.openxmlformats.org/officeDocument/2006/relationships/image" Target="media/image1.wmf"/><Relationship Id="rId51" Type="http://schemas.openxmlformats.org/officeDocument/2006/relationships/hyperlink" Target="http://undocs.org/en/CERD/C/NZL/CO/21-22/Add.1" TargetMode="External"/><Relationship Id="rId72" Type="http://schemas.openxmlformats.org/officeDocument/2006/relationships/hyperlink" Target="http://undocs.org/en/A/61/18" TargetMode="External"/><Relationship Id="rId80" Type="http://schemas.openxmlformats.org/officeDocument/2006/relationships/header" Target="header8.xml"/><Relationship Id="rId85" Type="http://schemas.openxmlformats.org/officeDocument/2006/relationships/hyperlink" Target="https://documents-dds-ny.un.org/doc/UNDOC/GEN/G18/260/42/pdf/G1826042.pdf?OpenElement"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undocs.org/en/CERD/C/BIH/CO/12-13" TargetMode="External"/><Relationship Id="rId33" Type="http://schemas.openxmlformats.org/officeDocument/2006/relationships/hyperlink" Target="http://undocs.org/en/CERD/C/IRQ/CO/22-25" TargetMode="External"/><Relationship Id="rId38" Type="http://schemas.openxmlformats.org/officeDocument/2006/relationships/hyperlink" Target="http://undocs.org/en/CERD/C/GTM/CO/16-17" TargetMode="External"/><Relationship Id="rId46" Type="http://schemas.openxmlformats.org/officeDocument/2006/relationships/hyperlink" Target="http://undocs.org/en/CERD/C/BGR/CO/20-22/Add.1" TargetMode="External"/><Relationship Id="rId59" Type="http://schemas.openxmlformats.org/officeDocument/2006/relationships/hyperlink" Target="http://undocs.org/en/A/61/18" TargetMode="External"/><Relationship Id="rId67" Type="http://schemas.openxmlformats.org/officeDocument/2006/relationships/hyperlink" Target="http://undocs.org/en/A/71/18" TargetMode="External"/><Relationship Id="rId20" Type="http://schemas.openxmlformats.org/officeDocument/2006/relationships/hyperlink" Target="https://treaties.un.org/pages/Treaties.aspx?id=4&amp;subid=A&amp;lang=en" TargetMode="External"/><Relationship Id="rId41" Type="http://schemas.openxmlformats.org/officeDocument/2006/relationships/hyperlink" Target="http://undocs.org/en/CERD/C/ZMB/CO/17-19" TargetMode="External"/><Relationship Id="rId54" Type="http://schemas.openxmlformats.org/officeDocument/2006/relationships/hyperlink" Target="http://undocs.org/en/CERD/C/SRB/CO/2-5/Add.1" TargetMode="External"/><Relationship Id="rId62" Type="http://schemas.openxmlformats.org/officeDocument/2006/relationships/hyperlink" Target="http://undocs.org/en/A/66/18" TargetMode="External"/><Relationship Id="rId70" Type="http://schemas.openxmlformats.org/officeDocument/2006/relationships/hyperlink" Target="http://undocs.org/en/A/61/18" TargetMode="External"/><Relationship Id="rId75" Type="http://schemas.openxmlformats.org/officeDocument/2006/relationships/header" Target="header6.xml"/><Relationship Id="rId83" Type="http://schemas.openxmlformats.org/officeDocument/2006/relationships/footer" Target="footer9.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undocs.org/en/CERD/C/97/1" TargetMode="External"/><Relationship Id="rId28" Type="http://schemas.openxmlformats.org/officeDocument/2006/relationships/hyperlink" Target="http://undocs.org/en/CERD/C/JPN/CO/10-11" TargetMode="External"/><Relationship Id="rId36" Type="http://schemas.openxmlformats.org/officeDocument/2006/relationships/hyperlink" Target="http://undocs.org/en/CERD/C/KOR/CO/17-19" TargetMode="External"/><Relationship Id="rId49" Type="http://schemas.openxmlformats.org/officeDocument/2006/relationships/hyperlink" Target="http://undocs.org/en/CERD/C/FIN/CO/23/Add.1" TargetMode="External"/><Relationship Id="rId57" Type="http://schemas.openxmlformats.org/officeDocument/2006/relationships/hyperlink" Target="http://undocs.org/en/CERD/C/CUB/19-21" TargetMode="External"/><Relationship Id="rId10" Type="http://schemas.openxmlformats.org/officeDocument/2006/relationships/footer" Target="footer1.xml"/><Relationship Id="rId31" Type="http://schemas.openxmlformats.org/officeDocument/2006/relationships/hyperlink" Target="http://undocs.org/en/CERD/C/ALB/CO/9-12" TargetMode="External"/><Relationship Id="rId44" Type="http://schemas.openxmlformats.org/officeDocument/2006/relationships/hyperlink" Target="http://undocs.org/en/CERD/C/ARM/CO/7-11/Add.1" TargetMode="External"/><Relationship Id="rId52" Type="http://schemas.openxmlformats.org/officeDocument/2006/relationships/hyperlink" Target="http://undocs.org/en/CERD/C/PAK/CO/21-23/Add.1" TargetMode="External"/><Relationship Id="rId60" Type="http://schemas.openxmlformats.org/officeDocument/2006/relationships/hyperlink" Target="http://undocs.org/en/A/62/18" TargetMode="External"/><Relationship Id="rId65" Type="http://schemas.openxmlformats.org/officeDocument/2006/relationships/hyperlink" Target="http://undocs.org/en/A/70/18" TargetMode="External"/><Relationship Id="rId73" Type="http://schemas.openxmlformats.org/officeDocument/2006/relationships/hyperlink" Target="http://undocs.org/en/A/62/18" TargetMode="External"/><Relationship Id="rId78" Type="http://schemas.openxmlformats.org/officeDocument/2006/relationships/footer" Target="footer7.xml"/><Relationship Id="rId81" Type="http://schemas.openxmlformats.org/officeDocument/2006/relationships/header" Target="header9.xml"/><Relationship Id="rId86" Type="http://schemas.openxmlformats.org/officeDocument/2006/relationships/footer" Target="footer10.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05/441/20/pdf/G0544120.pdf?OpenElement" TargetMode="External"/><Relationship Id="rId3" Type="http://schemas.openxmlformats.org/officeDocument/2006/relationships/hyperlink" Target="https://undocs.org/en/A/73/18" TargetMode="External"/><Relationship Id="rId7" Type="http://schemas.openxmlformats.org/officeDocument/2006/relationships/hyperlink" Target="https://treaties.un.org/" TargetMode="External"/><Relationship Id="rId2" Type="http://schemas.openxmlformats.org/officeDocument/2006/relationships/hyperlink" Target="https://undocs.org/en/A/62/18" TargetMode="External"/><Relationship Id="rId1" Type="http://schemas.openxmlformats.org/officeDocument/2006/relationships/hyperlink" Target="https://undocs.org/en/A/8718" TargetMode="External"/><Relationship Id="rId6" Type="http://schemas.openxmlformats.org/officeDocument/2006/relationships/hyperlink" Target="https://undocs.org/en/A/73/18" TargetMode="External"/><Relationship Id="rId5" Type="http://schemas.openxmlformats.org/officeDocument/2006/relationships/hyperlink" Target="https://undocs.org/en/A/61/18" TargetMode="External"/><Relationship Id="rId4" Type="http://schemas.openxmlformats.org/officeDocument/2006/relationships/hyperlink" Target="https://documents-dds-ny.un.org/doc/UNDOC/GEN/G05/441/20/pdf/G0544120.pdf?OpenElement" TargetMode="External"/><Relationship Id="rId9" Type="http://schemas.openxmlformats.org/officeDocument/2006/relationships/hyperlink" Target="https://documents-dds-ny.un.org/doc/UNDOC/GEN/G18/260/42/pdf/G1826042.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4DF70-5E7D-47DF-BA97-5948D365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10538</Words>
  <Characters>58122</Characters>
  <Application>Microsoft Office Word</Application>
  <DocSecurity>0</DocSecurity>
  <Lines>1268</Lines>
  <Paragraphs>496</Paragraphs>
  <ScaleCrop>false</ScaleCrop>
  <HeadingPairs>
    <vt:vector size="2" baseType="variant">
      <vt:variant>
        <vt:lpstr>Title</vt:lpstr>
      </vt:variant>
      <vt:variant>
        <vt:i4>1</vt:i4>
      </vt:variant>
    </vt:vector>
  </HeadingPairs>
  <TitlesOfParts>
    <vt:vector size="1" baseType="lpstr">
      <vt:lpstr>A/74/18</vt:lpstr>
    </vt:vector>
  </TitlesOfParts>
  <Company>CSD</Company>
  <LinksUpToDate>false</LinksUpToDate>
  <CharactersWithSpaces>68546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A/74/18</dc:title>
  <dc:subject>1914322</dc:subject>
  <dc:creator>PACIS MAMANGUN</dc:creator>
  <cp:keywords/>
  <dc:description/>
  <cp:lastModifiedBy>Generic Pdf eng</cp:lastModifiedBy>
  <cp:revision>2</cp:revision>
  <cp:lastPrinted>2019-09-06T07:47:00Z</cp:lastPrinted>
  <dcterms:created xsi:type="dcterms:W3CDTF">2019-09-06T07:52:00Z</dcterms:created>
  <dcterms:modified xsi:type="dcterms:W3CDTF">2019-09-06T07:52:00Z</dcterms:modified>
</cp:coreProperties>
</file>