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670E3D"/>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670E3D" w:rsidP="00670E3D">
            <w:pPr>
              <w:jc w:val="right"/>
            </w:pPr>
            <w:r w:rsidRPr="00670E3D">
              <w:rPr>
                <w:sz w:val="40"/>
              </w:rPr>
              <w:t>A</w:t>
            </w:r>
            <w:r>
              <w:t>/HRC/35/L.31</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670E3D" w:rsidP="00E6618E">
            <w:pPr>
              <w:spacing w:before="240"/>
            </w:pPr>
            <w:r>
              <w:t>Distr. limitée</w:t>
            </w:r>
          </w:p>
          <w:p w:rsidR="00670E3D" w:rsidRDefault="00670E3D" w:rsidP="00670E3D">
            <w:pPr>
              <w:spacing w:line="240" w:lineRule="exact"/>
            </w:pPr>
            <w:r>
              <w:t>16 juin 2017</w:t>
            </w:r>
          </w:p>
          <w:p w:rsidR="00670E3D" w:rsidRDefault="00670E3D" w:rsidP="00670E3D">
            <w:pPr>
              <w:spacing w:line="240" w:lineRule="exact"/>
            </w:pPr>
            <w:r>
              <w:t>Français</w:t>
            </w:r>
          </w:p>
          <w:p w:rsidR="00670E3D" w:rsidRPr="00DB58B5" w:rsidRDefault="00670E3D" w:rsidP="00670E3D">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670E3D" w:rsidRPr="00E50532" w:rsidRDefault="00670E3D" w:rsidP="00721020">
      <w:pPr>
        <w:rPr>
          <w:b/>
        </w:rPr>
      </w:pPr>
      <w:r>
        <w:rPr>
          <w:b/>
        </w:rPr>
        <w:t>Trente-cinquième</w:t>
      </w:r>
      <w:r w:rsidRPr="00E50532">
        <w:rPr>
          <w:b/>
        </w:rPr>
        <w:t xml:space="preserve"> session</w:t>
      </w:r>
    </w:p>
    <w:p w:rsidR="00670E3D" w:rsidRDefault="00670E3D" w:rsidP="00721020">
      <w:r>
        <w:t>6-23 juin 2017</w:t>
      </w:r>
    </w:p>
    <w:p w:rsidR="00670E3D" w:rsidRPr="00E50532" w:rsidRDefault="00670E3D" w:rsidP="00721020">
      <w:r w:rsidRPr="00E50532">
        <w:t>Point</w:t>
      </w:r>
      <w:r>
        <w:t> 3</w:t>
      </w:r>
      <w:r w:rsidRPr="00E50532">
        <w:t xml:space="preserve"> de l’ordre du jour</w:t>
      </w:r>
    </w:p>
    <w:p w:rsidR="00C43535" w:rsidRPr="00301E15" w:rsidRDefault="00C43535" w:rsidP="00C43535">
      <w:pPr>
        <w:rPr>
          <w:b/>
        </w:rPr>
      </w:pPr>
      <w:r w:rsidRPr="00857958">
        <w:rPr>
          <w:b/>
        </w:rPr>
        <w:t>Promotion et protection de tous les droits de l</w:t>
      </w:r>
      <w:r>
        <w:rPr>
          <w:b/>
        </w:rPr>
        <w:t>’</w:t>
      </w:r>
      <w:r w:rsidRPr="00857958">
        <w:rPr>
          <w:b/>
        </w:rPr>
        <w:t xml:space="preserve">homme, </w:t>
      </w:r>
      <w:r w:rsidRPr="00857958">
        <w:rPr>
          <w:b/>
        </w:rPr>
        <w:br/>
        <w:t>civils, politiques, économiques, so</w:t>
      </w:r>
      <w:bookmarkStart w:id="0" w:name="_GoBack"/>
      <w:bookmarkEnd w:id="0"/>
      <w:r w:rsidRPr="00857958">
        <w:rPr>
          <w:b/>
        </w:rPr>
        <w:t xml:space="preserve">ciaux et culturels, </w:t>
      </w:r>
      <w:r w:rsidRPr="00857958">
        <w:rPr>
          <w:b/>
        </w:rPr>
        <w:br/>
        <w:t>y</w:t>
      </w:r>
      <w:r w:rsidR="00651BDF">
        <w:rPr>
          <w:b/>
        </w:rPr>
        <w:t> </w:t>
      </w:r>
      <w:r w:rsidRPr="00857958">
        <w:rPr>
          <w:b/>
        </w:rPr>
        <w:t>compris le droit au développement</w:t>
      </w:r>
    </w:p>
    <w:p w:rsidR="00C43535" w:rsidRDefault="00C43535" w:rsidP="00B86660">
      <w:pPr>
        <w:pStyle w:val="H23G"/>
      </w:pPr>
      <w:r>
        <w:tab/>
      </w:r>
      <w:r>
        <w:tab/>
      </w:r>
      <w:r w:rsidRPr="00AA1E92">
        <w:t xml:space="preserve">Albanie, </w:t>
      </w:r>
      <w:r w:rsidR="00296776">
        <w:t>Allemagne</w:t>
      </w:r>
      <w:r w:rsidR="00296776" w:rsidRPr="00AA1E92">
        <w:t xml:space="preserve">, </w:t>
      </w:r>
      <w:r w:rsidRPr="00AA1E92">
        <w:t>Andorre</w:t>
      </w:r>
      <w:r w:rsidR="00B86660" w:rsidRPr="00B86660">
        <w:rPr>
          <w:rStyle w:val="Appelnotedebasdep"/>
          <w:b w:val="0"/>
          <w:sz w:val="20"/>
          <w:vertAlign w:val="baseline"/>
        </w:rPr>
        <w:footnoteReference w:customMarkFollows="1" w:id="2"/>
        <w:t>*</w:t>
      </w:r>
      <w:r w:rsidRPr="00AA1E92">
        <w:t>, Argentine</w:t>
      </w:r>
      <w:r w:rsidR="00B86660" w:rsidRPr="00B86660">
        <w:rPr>
          <w:b w:val="0"/>
        </w:rPr>
        <w:t>*</w:t>
      </w:r>
      <w:r w:rsidRPr="00B86660">
        <w:t>,</w:t>
      </w:r>
      <w:r w:rsidRPr="00B86660">
        <w:rPr>
          <w:rStyle w:val="Appelnotedebasdep"/>
          <w:vertAlign w:val="baseline"/>
          <w:lang w:val="fr-FR"/>
        </w:rPr>
        <w:t xml:space="preserve"> </w:t>
      </w:r>
      <w:r w:rsidRPr="00B86660">
        <w:t>Australie</w:t>
      </w:r>
      <w:r w:rsidR="00B86660" w:rsidRPr="00B86660">
        <w:rPr>
          <w:b w:val="0"/>
        </w:rPr>
        <w:t>*</w:t>
      </w:r>
      <w:r w:rsidRPr="00B86660">
        <w:rPr>
          <w:rStyle w:val="Appelnotedebasdep"/>
          <w:b w:val="0"/>
          <w:sz w:val="24"/>
          <w:szCs w:val="24"/>
          <w:vertAlign w:val="baseline"/>
          <w:lang w:val="fr-FR"/>
        </w:rPr>
        <w:t>,</w:t>
      </w:r>
      <w:r w:rsidRPr="00AA1E92">
        <w:rPr>
          <w:rStyle w:val="Appelnotedebasdep"/>
          <w:lang w:val="fr-FR"/>
        </w:rPr>
        <w:t xml:space="preserve"> </w:t>
      </w:r>
      <w:r w:rsidRPr="00AA1E92">
        <w:t>Autriche</w:t>
      </w:r>
      <w:r w:rsidR="00B86660" w:rsidRPr="00B86660">
        <w:rPr>
          <w:b w:val="0"/>
        </w:rPr>
        <w:t>*</w:t>
      </w:r>
      <w:r w:rsidR="00B86660">
        <w:t>,</w:t>
      </w:r>
      <w:r w:rsidRPr="00AA1E92">
        <w:t xml:space="preserve"> Azerbaïdjan</w:t>
      </w:r>
      <w:r w:rsidR="00B86660" w:rsidRPr="00B86660">
        <w:rPr>
          <w:b w:val="0"/>
        </w:rPr>
        <w:t>*</w:t>
      </w:r>
      <w:r w:rsidRPr="00AA1E92">
        <w:t>, Belgi</w:t>
      </w:r>
      <w:r>
        <w:t>que</w:t>
      </w:r>
      <w:r w:rsidRPr="00AA1E92">
        <w:t>, Bosnie</w:t>
      </w:r>
      <w:r>
        <w:t>-</w:t>
      </w:r>
      <w:r w:rsidRPr="00B86660">
        <w:t>Herzégovine</w:t>
      </w:r>
      <w:r w:rsidR="00B86660" w:rsidRPr="00B86660">
        <w:rPr>
          <w:b w:val="0"/>
        </w:rPr>
        <w:t>*</w:t>
      </w:r>
      <w:r w:rsidR="00B86660">
        <w:t>,</w:t>
      </w:r>
      <w:r w:rsidRPr="00AA1E92">
        <w:t xml:space="preserve"> Bulgarie</w:t>
      </w:r>
      <w:r w:rsidR="00B86660" w:rsidRPr="00B86660">
        <w:rPr>
          <w:b w:val="0"/>
        </w:rPr>
        <w:t>*</w:t>
      </w:r>
      <w:r w:rsidRPr="00AA1E92">
        <w:t>, Canada</w:t>
      </w:r>
      <w:r w:rsidR="00B86660" w:rsidRPr="00B86660">
        <w:rPr>
          <w:b w:val="0"/>
        </w:rPr>
        <w:t>*</w:t>
      </w:r>
      <w:r w:rsidR="00B86660">
        <w:t>,</w:t>
      </w:r>
      <w:r w:rsidRPr="00AA1E92">
        <w:t xml:space="preserve"> Chil</w:t>
      </w:r>
      <w:r>
        <w:t>i</w:t>
      </w:r>
      <w:r w:rsidR="00B86660" w:rsidRPr="00B86660">
        <w:rPr>
          <w:b w:val="0"/>
        </w:rPr>
        <w:t>*</w:t>
      </w:r>
      <w:r w:rsidRPr="00AA1E92">
        <w:t xml:space="preserve">, </w:t>
      </w:r>
      <w:r w:rsidR="00CB00D5">
        <w:t>Chypre</w:t>
      </w:r>
      <w:r w:rsidR="00CB00D5" w:rsidRPr="00B86660">
        <w:rPr>
          <w:b w:val="0"/>
        </w:rPr>
        <w:t>*</w:t>
      </w:r>
      <w:r w:rsidR="00CB00D5">
        <w:t>,</w:t>
      </w:r>
      <w:r w:rsidR="00CB00D5" w:rsidRPr="00AA1E92">
        <w:t xml:space="preserve"> </w:t>
      </w:r>
      <w:r w:rsidRPr="00AA1E92">
        <w:t>Colombie</w:t>
      </w:r>
      <w:r w:rsidR="00B86660" w:rsidRPr="00B86660">
        <w:rPr>
          <w:b w:val="0"/>
        </w:rPr>
        <w:t>*</w:t>
      </w:r>
      <w:r w:rsidR="00B86660">
        <w:t>,</w:t>
      </w:r>
      <w:r w:rsidRPr="00AA1E92">
        <w:t xml:space="preserve"> Croatie</w:t>
      </w:r>
      <w:r w:rsidR="00B86660" w:rsidRPr="00B86660">
        <w:rPr>
          <w:b w:val="0"/>
        </w:rPr>
        <w:t>*</w:t>
      </w:r>
      <w:r w:rsidRPr="00AA1E92">
        <w:t>, Danemark</w:t>
      </w:r>
      <w:r w:rsidR="00B86660" w:rsidRPr="00B86660">
        <w:rPr>
          <w:b w:val="0"/>
        </w:rPr>
        <w:t>*</w:t>
      </w:r>
      <w:r w:rsidRPr="00AA1E92">
        <w:t xml:space="preserve">, </w:t>
      </w:r>
      <w:r>
        <w:t>Équateur</w:t>
      </w:r>
      <w:r w:rsidRPr="00AA1E92">
        <w:t xml:space="preserve">, </w:t>
      </w:r>
      <w:r w:rsidR="00CB00D5">
        <w:t>Espagne</w:t>
      </w:r>
      <w:r w:rsidR="00CB00D5" w:rsidRPr="00B86660">
        <w:rPr>
          <w:b w:val="0"/>
        </w:rPr>
        <w:t>*</w:t>
      </w:r>
      <w:r w:rsidR="00CB00D5">
        <w:t>,</w:t>
      </w:r>
      <w:r w:rsidR="00CB00D5" w:rsidRPr="00AA1E92">
        <w:t xml:space="preserve"> </w:t>
      </w:r>
      <w:r w:rsidRPr="00AA1E92">
        <w:t>Finland</w:t>
      </w:r>
      <w:r>
        <w:t>e</w:t>
      </w:r>
      <w:r w:rsidR="00B86660" w:rsidRPr="00B86660">
        <w:rPr>
          <w:b w:val="0"/>
        </w:rPr>
        <w:t>*</w:t>
      </w:r>
      <w:r w:rsidRPr="00AA1E92">
        <w:t>, France</w:t>
      </w:r>
      <w:r w:rsidR="00B86660" w:rsidRPr="00B86660">
        <w:rPr>
          <w:b w:val="0"/>
        </w:rPr>
        <w:t>*</w:t>
      </w:r>
      <w:r w:rsidR="00B86660">
        <w:t>,</w:t>
      </w:r>
      <w:r w:rsidRPr="00AA1E92">
        <w:t xml:space="preserve"> Gabon</w:t>
      </w:r>
      <w:r w:rsidR="00B86660" w:rsidRPr="00B86660">
        <w:rPr>
          <w:b w:val="0"/>
        </w:rPr>
        <w:t>*</w:t>
      </w:r>
      <w:r w:rsidR="00B86660">
        <w:t>,</w:t>
      </w:r>
      <w:r w:rsidRPr="00AA1E92">
        <w:t xml:space="preserve"> G</w:t>
      </w:r>
      <w:r>
        <w:t>éorgie</w:t>
      </w:r>
      <w:r w:rsidRPr="00AA1E92">
        <w:t>, Guin</w:t>
      </w:r>
      <w:r>
        <w:t>ée</w:t>
      </w:r>
      <w:r w:rsidR="00B86660" w:rsidRPr="00B86660">
        <w:rPr>
          <w:b w:val="0"/>
        </w:rPr>
        <w:t>*</w:t>
      </w:r>
      <w:r w:rsidRPr="00AA1E92">
        <w:t>, Haïti</w:t>
      </w:r>
      <w:r w:rsidR="00B86660" w:rsidRPr="00B86660">
        <w:rPr>
          <w:b w:val="0"/>
        </w:rPr>
        <w:t>*</w:t>
      </w:r>
      <w:r w:rsidRPr="00AA1E92">
        <w:t>, Honduras</w:t>
      </w:r>
      <w:r w:rsidR="00B86660" w:rsidRPr="00B86660">
        <w:rPr>
          <w:b w:val="0"/>
        </w:rPr>
        <w:t>*</w:t>
      </w:r>
      <w:r w:rsidR="00B86660">
        <w:t>,</w:t>
      </w:r>
      <w:r w:rsidRPr="00AA1E92">
        <w:t xml:space="preserve"> </w:t>
      </w:r>
      <w:r>
        <w:t>Hongrie</w:t>
      </w:r>
      <w:r w:rsidRPr="00AA1E92">
        <w:t xml:space="preserve">, </w:t>
      </w:r>
      <w:r>
        <w:t>Irlande</w:t>
      </w:r>
      <w:r w:rsidR="00B86660" w:rsidRPr="00B86660">
        <w:rPr>
          <w:b w:val="0"/>
        </w:rPr>
        <w:t>*</w:t>
      </w:r>
      <w:r w:rsidRPr="00AA1E92">
        <w:t>,</w:t>
      </w:r>
      <w:r w:rsidR="00CB00D5">
        <w:t xml:space="preserve"> </w:t>
      </w:r>
      <w:r w:rsidR="00CB00D5">
        <w:t>Islande</w:t>
      </w:r>
      <w:r w:rsidR="00CB00D5" w:rsidRPr="00B86660">
        <w:rPr>
          <w:b w:val="0"/>
        </w:rPr>
        <w:t>*</w:t>
      </w:r>
      <w:r w:rsidR="00CB00D5" w:rsidRPr="00AA1E92">
        <w:t xml:space="preserve">, </w:t>
      </w:r>
      <w:r w:rsidRPr="00AA1E92">
        <w:t>Italie</w:t>
      </w:r>
      <w:r w:rsidR="00B86660" w:rsidRPr="00B86660">
        <w:rPr>
          <w:b w:val="0"/>
        </w:rPr>
        <w:t>*</w:t>
      </w:r>
      <w:r w:rsidRPr="00AA1E92">
        <w:t xml:space="preserve">, Japon, </w:t>
      </w:r>
      <w:r>
        <w:t>Lettonie</w:t>
      </w:r>
      <w:r w:rsidRPr="00AA1E92">
        <w:t xml:space="preserve">, </w:t>
      </w:r>
      <w:r w:rsidRPr="00CB00D5">
        <w:rPr>
          <w:spacing w:val="-2"/>
        </w:rPr>
        <w:t>Liechtenstein</w:t>
      </w:r>
      <w:r w:rsidR="00B86660" w:rsidRPr="00CB00D5">
        <w:rPr>
          <w:b w:val="0"/>
          <w:spacing w:val="-2"/>
        </w:rPr>
        <w:t>*</w:t>
      </w:r>
      <w:r w:rsidRPr="00CB00D5">
        <w:rPr>
          <w:spacing w:val="-2"/>
        </w:rPr>
        <w:t>, Luxembourg</w:t>
      </w:r>
      <w:r w:rsidR="00B86660" w:rsidRPr="00CB00D5">
        <w:rPr>
          <w:b w:val="0"/>
          <w:spacing w:val="-2"/>
        </w:rPr>
        <w:t>*</w:t>
      </w:r>
      <w:r w:rsidRPr="00CB00D5">
        <w:rPr>
          <w:spacing w:val="-2"/>
        </w:rPr>
        <w:t>, Madagascar</w:t>
      </w:r>
      <w:r w:rsidR="00B86660" w:rsidRPr="00CB00D5">
        <w:rPr>
          <w:b w:val="0"/>
          <w:spacing w:val="-2"/>
        </w:rPr>
        <w:t>*</w:t>
      </w:r>
      <w:r w:rsidR="00B86660" w:rsidRPr="00CB00D5">
        <w:rPr>
          <w:spacing w:val="-2"/>
        </w:rPr>
        <w:t>,</w:t>
      </w:r>
      <w:r w:rsidRPr="00CB00D5">
        <w:rPr>
          <w:spacing w:val="-2"/>
        </w:rPr>
        <w:t xml:space="preserve"> Malte</w:t>
      </w:r>
      <w:r w:rsidR="00B86660" w:rsidRPr="00CB00D5">
        <w:rPr>
          <w:b w:val="0"/>
          <w:spacing w:val="-2"/>
        </w:rPr>
        <w:t>*</w:t>
      </w:r>
      <w:r w:rsidRPr="00CB00D5">
        <w:rPr>
          <w:spacing w:val="-2"/>
        </w:rPr>
        <w:t xml:space="preserve">, </w:t>
      </w:r>
      <w:r w:rsidR="00CB00D5" w:rsidRPr="00CB00D5">
        <w:rPr>
          <w:spacing w:val="-2"/>
        </w:rPr>
        <w:t>Maroc</w:t>
      </w:r>
      <w:r w:rsidR="00CB00D5" w:rsidRPr="00CB00D5">
        <w:rPr>
          <w:b w:val="0"/>
          <w:spacing w:val="-2"/>
        </w:rPr>
        <w:t>*</w:t>
      </w:r>
      <w:r w:rsidR="00CB00D5" w:rsidRPr="00CB00D5">
        <w:rPr>
          <w:spacing w:val="-2"/>
        </w:rPr>
        <w:t xml:space="preserve">, </w:t>
      </w:r>
      <w:r w:rsidRPr="00CB00D5">
        <w:rPr>
          <w:spacing w:val="-2"/>
        </w:rPr>
        <w:t>Mexique</w:t>
      </w:r>
      <w:r w:rsidR="00B86660" w:rsidRPr="00CB00D5">
        <w:rPr>
          <w:b w:val="0"/>
          <w:spacing w:val="-2"/>
        </w:rPr>
        <w:t>*</w:t>
      </w:r>
      <w:r w:rsidRPr="00CB00D5">
        <w:rPr>
          <w:spacing w:val="-2"/>
        </w:rPr>
        <w:t>, Monaco</w:t>
      </w:r>
      <w:r w:rsidR="00B86660" w:rsidRPr="00CB00D5">
        <w:rPr>
          <w:b w:val="0"/>
          <w:spacing w:val="-2"/>
        </w:rPr>
        <w:t>*</w:t>
      </w:r>
      <w:r w:rsidRPr="00CB00D5">
        <w:rPr>
          <w:spacing w:val="-2"/>
        </w:rPr>
        <w:t>,</w:t>
      </w:r>
      <w:r w:rsidRPr="00AA1E92">
        <w:t xml:space="preserve"> </w:t>
      </w:r>
      <w:r w:rsidRPr="00CB00D5">
        <w:rPr>
          <w:spacing w:val="-2"/>
        </w:rPr>
        <w:t>Monténégro</w:t>
      </w:r>
      <w:r w:rsidR="00B86660" w:rsidRPr="00CB00D5">
        <w:rPr>
          <w:b w:val="0"/>
          <w:spacing w:val="-2"/>
        </w:rPr>
        <w:t>*</w:t>
      </w:r>
      <w:r w:rsidRPr="00CB00D5">
        <w:rPr>
          <w:spacing w:val="-2"/>
        </w:rPr>
        <w:t>, Norvège</w:t>
      </w:r>
      <w:r w:rsidR="00B86660" w:rsidRPr="00CB00D5">
        <w:rPr>
          <w:b w:val="0"/>
          <w:spacing w:val="-2"/>
        </w:rPr>
        <w:t>*</w:t>
      </w:r>
      <w:r w:rsidRPr="00CB00D5">
        <w:rPr>
          <w:spacing w:val="-2"/>
        </w:rPr>
        <w:t xml:space="preserve">, </w:t>
      </w:r>
      <w:r w:rsidRPr="00CB00D5">
        <w:rPr>
          <w:rStyle w:val="Appelnotedebasdep"/>
          <w:spacing w:val="-2"/>
          <w:sz w:val="20"/>
          <w:vertAlign w:val="baseline"/>
          <w:lang w:val="fr-FR"/>
        </w:rPr>
        <w:t>Panama,</w:t>
      </w:r>
      <w:r w:rsidRPr="00CB00D5">
        <w:rPr>
          <w:spacing w:val="-2"/>
        </w:rPr>
        <w:t xml:space="preserve"> Paraguay, </w:t>
      </w:r>
      <w:r w:rsidR="00CB00D5" w:rsidRPr="00CB00D5">
        <w:rPr>
          <w:spacing w:val="-2"/>
        </w:rPr>
        <w:t xml:space="preserve">Pays-Bas, </w:t>
      </w:r>
      <w:r w:rsidRPr="00CB00D5">
        <w:rPr>
          <w:spacing w:val="-2"/>
        </w:rPr>
        <w:t>Pérou</w:t>
      </w:r>
      <w:r w:rsidR="00B86660" w:rsidRPr="00CB00D5">
        <w:rPr>
          <w:b w:val="0"/>
          <w:spacing w:val="-2"/>
        </w:rPr>
        <w:t>*</w:t>
      </w:r>
      <w:r w:rsidRPr="00CB00D5">
        <w:rPr>
          <w:spacing w:val="-2"/>
        </w:rPr>
        <w:t>, Philippines, Pologne</w:t>
      </w:r>
      <w:r w:rsidR="00B86660" w:rsidRPr="00CB00D5">
        <w:rPr>
          <w:b w:val="0"/>
          <w:spacing w:val="-2"/>
        </w:rPr>
        <w:t>*</w:t>
      </w:r>
      <w:r w:rsidR="001C7320" w:rsidRPr="00CB00D5">
        <w:rPr>
          <w:spacing w:val="-2"/>
        </w:rPr>
        <w:t>,</w:t>
      </w:r>
      <w:r w:rsidRPr="00AA1E92">
        <w:t xml:space="preserve"> Portugal, </w:t>
      </w:r>
      <w:r>
        <w:t>République de Corée</w:t>
      </w:r>
      <w:r w:rsidRPr="00AA1E92">
        <w:t xml:space="preserve">, </w:t>
      </w:r>
      <w:r>
        <w:t>Roumanie</w:t>
      </w:r>
      <w:r w:rsidR="00B86660" w:rsidRPr="00B86660">
        <w:rPr>
          <w:b w:val="0"/>
        </w:rPr>
        <w:t>*</w:t>
      </w:r>
      <w:r w:rsidRPr="00AA1E92">
        <w:t xml:space="preserve">, </w:t>
      </w:r>
      <w:r w:rsidR="00CB00D5">
        <w:t xml:space="preserve">Royaume-Uni de Grande-Bretagne </w:t>
      </w:r>
      <w:r w:rsidR="00CB00D5">
        <w:br/>
      </w:r>
      <w:r w:rsidR="00CB00D5">
        <w:t>et d’Irlande du Nord</w:t>
      </w:r>
      <w:r w:rsidR="00CB00D5" w:rsidRPr="00AA1E92">
        <w:t xml:space="preserve">, </w:t>
      </w:r>
      <w:r w:rsidRPr="00AA1E92">
        <w:t>Sénégal</w:t>
      </w:r>
      <w:r w:rsidR="00B86660" w:rsidRPr="00B86660">
        <w:rPr>
          <w:b w:val="0"/>
        </w:rPr>
        <w:t>*</w:t>
      </w:r>
      <w:r w:rsidRPr="00AA1E92">
        <w:t>, Serbie</w:t>
      </w:r>
      <w:r w:rsidR="00B86660" w:rsidRPr="00B86660">
        <w:rPr>
          <w:b w:val="0"/>
        </w:rPr>
        <w:t>*</w:t>
      </w:r>
      <w:r w:rsidR="001C7320">
        <w:t>,</w:t>
      </w:r>
      <w:r w:rsidRPr="00AA1E92">
        <w:t xml:space="preserve"> Slovénie, </w:t>
      </w:r>
      <w:r>
        <w:t>Suisse</w:t>
      </w:r>
      <w:r w:rsidRPr="00AA1E92">
        <w:t xml:space="preserve">, </w:t>
      </w:r>
      <w:r>
        <w:t>Turquie</w:t>
      </w:r>
      <w:r w:rsidR="00B86660" w:rsidRPr="00B86660">
        <w:rPr>
          <w:b w:val="0"/>
        </w:rPr>
        <w:t>*</w:t>
      </w:r>
      <w:r w:rsidR="001C7320">
        <w:t>,</w:t>
      </w:r>
      <w:r w:rsidRPr="00AA1E92">
        <w:t xml:space="preserve"> Uruguay</w:t>
      </w:r>
      <w:r w:rsidR="00B86660" w:rsidRPr="00B86660">
        <w:rPr>
          <w:b w:val="0"/>
        </w:rPr>
        <w:t>*</w:t>
      </w:r>
      <w:r w:rsidR="00B86660">
        <w:rPr>
          <w:b w:val="0"/>
        </w:rPr>
        <w:t> </w:t>
      </w:r>
      <w:r w:rsidRPr="00AA1E92">
        <w:t xml:space="preserve">: </w:t>
      </w:r>
      <w:r w:rsidR="00CB00D5">
        <w:br/>
      </w:r>
      <w:r>
        <w:t>projet de résolution</w:t>
      </w:r>
    </w:p>
    <w:p w:rsidR="00C43535" w:rsidRPr="00315169" w:rsidRDefault="00C43535" w:rsidP="00114ADF">
      <w:pPr>
        <w:pStyle w:val="H1G"/>
        <w:ind w:left="1701" w:hanging="567"/>
      </w:pPr>
      <w:r>
        <w:t>35/…</w:t>
      </w:r>
      <w:r>
        <w:tab/>
      </w:r>
      <w:r w:rsidRPr="00315169">
        <w:t>Extrême pauvreté et droits de l</w:t>
      </w:r>
      <w:r>
        <w:t>’</w:t>
      </w:r>
      <w:r w:rsidR="00651BDF">
        <w:t>homme</w:t>
      </w:r>
    </w:p>
    <w:p w:rsidR="00C43535" w:rsidRDefault="00C43535" w:rsidP="00651BDF">
      <w:pPr>
        <w:pStyle w:val="SingleTxtG"/>
        <w:ind w:firstLine="567"/>
      </w:pPr>
      <w:r w:rsidRPr="00651BDF">
        <w:rPr>
          <w:i/>
        </w:rPr>
        <w:t>Le Conseil des droits de l’homme</w:t>
      </w:r>
      <w:r w:rsidRPr="00402A2C">
        <w:t>,</w:t>
      </w:r>
    </w:p>
    <w:p w:rsidR="00C43535" w:rsidRPr="00315169" w:rsidRDefault="00C43535" w:rsidP="00651BDF">
      <w:pPr>
        <w:pStyle w:val="SingleTxtG"/>
        <w:ind w:firstLine="567"/>
      </w:pPr>
      <w:r w:rsidRPr="00156734">
        <w:rPr>
          <w:i/>
        </w:rPr>
        <w:t>Rappelant</w:t>
      </w:r>
      <w:r w:rsidRPr="00315169">
        <w:t xml:space="preserve"> que, conformément à la Déclaration universelle des droits de l</w:t>
      </w:r>
      <w:r>
        <w:t>’</w:t>
      </w:r>
      <w:r w:rsidRPr="00315169">
        <w:t>homme et aux Pactes internationaux relatifs aux droits de l</w:t>
      </w:r>
      <w:r>
        <w:t>’</w:t>
      </w:r>
      <w:r w:rsidRPr="00315169">
        <w:t>homme, l</w:t>
      </w:r>
      <w:r>
        <w:t>’</w:t>
      </w:r>
      <w:r w:rsidRPr="00315169">
        <w:t>idéal d</w:t>
      </w:r>
      <w:r>
        <w:t>’</w:t>
      </w:r>
      <w:r w:rsidRPr="00315169">
        <w:t xml:space="preserve">un monde dans lequel tous les êtres humains </w:t>
      </w:r>
      <w:r>
        <w:t>sont libérés de la crainte et de la misère ne peut être réalisé que si sont créées les conditions de la jouissance, par chacun, des droits économiques, sociaux et culturels, ainsi que des droits civils et politiques, et réaffirmant à cet égard le Pacte international relatif aux droits économiques, sociaux et culturels et le Pacte international relatif aux droits civils et politiques</w:t>
      </w:r>
      <w:r w:rsidRPr="00315169">
        <w:t>,</w:t>
      </w:r>
    </w:p>
    <w:p w:rsidR="00C43535" w:rsidRPr="00BC23EA" w:rsidRDefault="00C43535" w:rsidP="00651BDF">
      <w:pPr>
        <w:pStyle w:val="SingleTxtG"/>
        <w:ind w:firstLine="567"/>
      </w:pPr>
      <w:r w:rsidRPr="00156734">
        <w:rPr>
          <w:i/>
        </w:rPr>
        <w:t>Rappelant également</w:t>
      </w:r>
      <w:r w:rsidRPr="00BC23EA">
        <w:t xml:space="preserve"> toutes les résolutions </w:t>
      </w:r>
      <w:r>
        <w:t xml:space="preserve">portant </w:t>
      </w:r>
      <w:r w:rsidRPr="00BC23EA">
        <w:t>sur la question des droits de l</w:t>
      </w:r>
      <w:r>
        <w:t>’</w:t>
      </w:r>
      <w:r w:rsidRPr="00BC23EA">
        <w:t>homme et de l</w:t>
      </w:r>
      <w:r>
        <w:t>’</w:t>
      </w:r>
      <w:r w:rsidRPr="00BC23EA">
        <w:t xml:space="preserve">extrême pauvreté adoptées </w:t>
      </w:r>
      <w:r>
        <w:t xml:space="preserve">précédemment </w:t>
      </w:r>
      <w:r w:rsidRPr="00BC23EA">
        <w:t>par l</w:t>
      </w:r>
      <w:r>
        <w:t>’</w:t>
      </w:r>
      <w:r w:rsidRPr="00BC23EA">
        <w:t>Assemblée générale, notamment les résolutions</w:t>
      </w:r>
      <w:r w:rsidR="00B86660">
        <w:t> </w:t>
      </w:r>
      <w:r w:rsidRPr="00BC23EA">
        <w:t>69/183 en date du 18</w:t>
      </w:r>
      <w:r w:rsidR="00B86660">
        <w:t> </w:t>
      </w:r>
      <w:r w:rsidRPr="00BC23EA">
        <w:t xml:space="preserve">décembre 2014 et 71/186 </w:t>
      </w:r>
      <w:r w:rsidR="00B86660">
        <w:t>en date du 19 </w:t>
      </w:r>
      <w:r w:rsidRPr="00BC23EA">
        <w:t xml:space="preserve">décembre 2016, </w:t>
      </w:r>
      <w:r>
        <w:t>et par la Commission des droits de l’homme, ainsi que les résolutions du Conseil des droits de l’homme, notamment les résolutions</w:t>
      </w:r>
      <w:r w:rsidR="00B86660">
        <w:t> </w:t>
      </w:r>
      <w:r w:rsidRPr="00BC23EA">
        <w:t xml:space="preserve">2/2 </w:t>
      </w:r>
      <w:r w:rsidR="00B86660">
        <w:t>du 27 </w:t>
      </w:r>
      <w:r>
        <w:t>n</w:t>
      </w:r>
      <w:r w:rsidRPr="00BC23EA">
        <w:t xml:space="preserve">ovembre 2006, 7/27 </w:t>
      </w:r>
      <w:r>
        <w:t>du</w:t>
      </w:r>
      <w:r w:rsidR="00B86660">
        <w:t xml:space="preserve"> 28 </w:t>
      </w:r>
      <w:r>
        <w:t>mars</w:t>
      </w:r>
      <w:r w:rsidRPr="00BC23EA">
        <w:t xml:space="preserve"> 2008, 8/11 </w:t>
      </w:r>
      <w:r>
        <w:t>du</w:t>
      </w:r>
      <w:r w:rsidRPr="00BC23EA">
        <w:t xml:space="preserve"> 18</w:t>
      </w:r>
      <w:r w:rsidR="00B86660">
        <w:t> </w:t>
      </w:r>
      <w:r>
        <w:t>juin</w:t>
      </w:r>
      <w:r w:rsidRPr="00BC23EA">
        <w:t xml:space="preserve"> 2008, 12/19 </w:t>
      </w:r>
      <w:r>
        <w:t>du</w:t>
      </w:r>
      <w:r w:rsidR="00B86660">
        <w:t xml:space="preserve"> 2 </w:t>
      </w:r>
      <w:r>
        <w:t>octobre</w:t>
      </w:r>
      <w:r w:rsidRPr="00BC23EA">
        <w:t xml:space="preserve"> 2009, 15/19 </w:t>
      </w:r>
      <w:r>
        <w:t>du</w:t>
      </w:r>
      <w:r w:rsidR="00B86660">
        <w:t xml:space="preserve"> 30 </w:t>
      </w:r>
      <w:r>
        <w:t>septembre</w:t>
      </w:r>
      <w:r w:rsidRPr="00BC23EA">
        <w:t xml:space="preserve"> 2010, 17/13 </w:t>
      </w:r>
      <w:r>
        <w:t>du</w:t>
      </w:r>
      <w:r w:rsidRPr="00BC23EA">
        <w:t xml:space="preserve"> 17</w:t>
      </w:r>
      <w:r w:rsidR="00B86660">
        <w:t> </w:t>
      </w:r>
      <w:r>
        <w:t>juin</w:t>
      </w:r>
      <w:r w:rsidRPr="00BC23EA">
        <w:t xml:space="preserve"> 2011, 21/11 </w:t>
      </w:r>
      <w:r>
        <w:t>du</w:t>
      </w:r>
      <w:r w:rsidRPr="00BC23EA">
        <w:t xml:space="preserve"> 27</w:t>
      </w:r>
      <w:r w:rsidR="00B86660">
        <w:t> </w:t>
      </w:r>
      <w:r>
        <w:t>s</w:t>
      </w:r>
      <w:r w:rsidRPr="00BC23EA">
        <w:t xml:space="preserve">eptembre 2012 </w:t>
      </w:r>
      <w:r>
        <w:t>et</w:t>
      </w:r>
      <w:r w:rsidRPr="00BC23EA">
        <w:t xml:space="preserve"> 26/3 </w:t>
      </w:r>
      <w:r>
        <w:t>du</w:t>
      </w:r>
      <w:r w:rsidR="00B86660">
        <w:t xml:space="preserve"> 26 </w:t>
      </w:r>
      <w:r>
        <w:t>juin</w:t>
      </w:r>
      <w:r w:rsidRPr="00BC23EA">
        <w:t xml:space="preserve"> 2014, </w:t>
      </w:r>
      <w:r>
        <w:t>et</w:t>
      </w:r>
      <w:r w:rsidRPr="00BC23EA">
        <w:t xml:space="preserve"> </w:t>
      </w:r>
      <w:r>
        <w:t>prenant note de la</w:t>
      </w:r>
      <w:r w:rsidRPr="00BC23EA">
        <w:t xml:space="preserve"> </w:t>
      </w:r>
      <w:r>
        <w:t>Déclaration sur le droit au développement</w:t>
      </w:r>
      <w:r w:rsidRPr="00BC23EA">
        <w:t>,</w:t>
      </w:r>
    </w:p>
    <w:p w:rsidR="00C43535" w:rsidRPr="006850A1" w:rsidRDefault="00C43535" w:rsidP="00651BDF">
      <w:pPr>
        <w:pStyle w:val="SingleTxtG"/>
        <w:ind w:firstLine="567"/>
      </w:pPr>
      <w:r w:rsidRPr="00156734">
        <w:rPr>
          <w:i/>
        </w:rPr>
        <w:t>Rappelant également</w:t>
      </w:r>
      <w:r w:rsidRPr="006850A1">
        <w:t xml:space="preserve"> que</w:t>
      </w:r>
      <w:r w:rsidR="00B86660">
        <w:t>, dans sa résolution </w:t>
      </w:r>
      <w:r w:rsidRPr="006850A1">
        <w:t xml:space="preserve">62/205 </w:t>
      </w:r>
      <w:r>
        <w:t>en date du</w:t>
      </w:r>
      <w:r w:rsidRPr="006850A1">
        <w:t xml:space="preserve"> 19</w:t>
      </w:r>
      <w:r w:rsidR="00B86660">
        <w:t> </w:t>
      </w:r>
      <w:r>
        <w:t>d</w:t>
      </w:r>
      <w:r w:rsidRPr="006850A1">
        <w:t xml:space="preserve">écembre 2007, </w:t>
      </w:r>
      <w:r>
        <w:t>l’Assemblée générale a proclamé la</w:t>
      </w:r>
      <w:r w:rsidRPr="006850A1">
        <w:t xml:space="preserve"> </w:t>
      </w:r>
      <w:r w:rsidR="00B86660">
        <w:t>deuxième Décennie des Nations </w:t>
      </w:r>
      <w:r>
        <w:t>Unies pour l’élimination de la pauvreté (2008-2017) aux fins d’appuyer, de manière efficiente et coordonnée, les objectifs de développement convenus au niveau international relatifs à l’</w:t>
      </w:r>
      <w:r w:rsidR="00B86660">
        <w:t>élimination de la pauvreté, y </w:t>
      </w:r>
      <w:r>
        <w:t>compris les objectifs du Millénaire pour le développement</w:t>
      </w:r>
      <w:r w:rsidRPr="006850A1">
        <w:t>,</w:t>
      </w:r>
    </w:p>
    <w:p w:rsidR="00C43535" w:rsidRPr="00911295" w:rsidRDefault="00C43535" w:rsidP="00651BDF">
      <w:pPr>
        <w:pStyle w:val="SingleTxtG"/>
        <w:ind w:firstLine="567"/>
      </w:pPr>
      <w:r w:rsidRPr="00156734">
        <w:rPr>
          <w:i/>
        </w:rPr>
        <w:lastRenderedPageBreak/>
        <w:t>Rappelant</w:t>
      </w:r>
      <w:r w:rsidRPr="00911295">
        <w:t xml:space="preserve"> que, dans sa résolution</w:t>
      </w:r>
      <w:r w:rsidR="00B86660">
        <w:t> </w:t>
      </w:r>
      <w:r w:rsidRPr="00911295">
        <w:t>67/164 en date du</w:t>
      </w:r>
      <w:r w:rsidR="00B86660">
        <w:t xml:space="preserve"> 20 </w:t>
      </w:r>
      <w:r w:rsidRPr="00911295">
        <w:t>décembre 2012, l</w:t>
      </w:r>
      <w:r>
        <w:t>’</w:t>
      </w:r>
      <w:r w:rsidRPr="00911295">
        <w:t xml:space="preserve">Assemblée générale a pris </w:t>
      </w:r>
      <w:r>
        <w:t>note avec intérêt des principes directeurs sur l’extrême pauvreté et les droits de l’homme que le Conseil des droits de l’homme a adoptés par sa résolution</w:t>
      </w:r>
      <w:r w:rsidR="00B86660">
        <w:t> </w:t>
      </w:r>
      <w:r>
        <w:t>21/11, qui offrent aux États un outil utile pour élaborer et mettre en œuvre des politiques de réduction et d’élimination de la pauvreté, selon que de besoin</w:t>
      </w:r>
      <w:r w:rsidRPr="00911295">
        <w:t>,</w:t>
      </w:r>
    </w:p>
    <w:p w:rsidR="00C43535" w:rsidRDefault="00C43535" w:rsidP="00651BDF">
      <w:pPr>
        <w:pStyle w:val="SingleTxtG"/>
        <w:ind w:firstLine="567"/>
      </w:pPr>
      <w:r w:rsidRPr="00156734">
        <w:rPr>
          <w:i/>
        </w:rPr>
        <w:t>Réaffirmant</w:t>
      </w:r>
      <w:r w:rsidRPr="00FC6086">
        <w:t xml:space="preserve"> </w:t>
      </w:r>
      <w:r>
        <w:t>à cet égard</w:t>
      </w:r>
      <w:r w:rsidRPr="00FC6086">
        <w:t xml:space="preserve"> </w:t>
      </w:r>
      <w:r>
        <w:t>les engagements pris lors des conférences et réunions au sommet pertinentes des Nations</w:t>
      </w:r>
      <w:r w:rsidR="00B86660">
        <w:t> </w:t>
      </w:r>
      <w:r>
        <w:t>Unies</w:t>
      </w:r>
      <w:r w:rsidR="00B86660">
        <w:t>, y </w:t>
      </w:r>
      <w:r>
        <w:t>compris les engagement pris au Sommet mondial pour le développement social, tenu à Copenhague en 1995, au Sommet du Millénaire, au cours duquel les chefs d’État et de gouvernement se sont engagés à éliminer l’extrême pauvreté et à réduire de moitié, d’ici à 2015, la proportion de la population mondiale dont le revenu est inférieur à un dollar par jour et de celle qui souffre de la faim, et au Sommet mondial de 2005,</w:t>
      </w:r>
      <w:r w:rsidRPr="00FC6086">
        <w:t xml:space="preserve"> </w:t>
      </w:r>
      <w:r>
        <w:t>et se félicitant des conclusions du Sommet sur les objectifs du Millénaire pour le développement qui s’</w:t>
      </w:r>
      <w:r w:rsidR="00B86660">
        <w:t>est tenu à New </w:t>
      </w:r>
      <w:r>
        <w:t>York du 20 au 22</w:t>
      </w:r>
      <w:r w:rsidR="00B86660">
        <w:t> </w:t>
      </w:r>
      <w:r>
        <w:t>septembre 2010,</w:t>
      </w:r>
    </w:p>
    <w:p w:rsidR="00C43535" w:rsidRDefault="00C43535" w:rsidP="00651BDF">
      <w:pPr>
        <w:pStyle w:val="SingleTxtG"/>
        <w:ind w:firstLine="567"/>
      </w:pPr>
      <w:r w:rsidRPr="00156734">
        <w:rPr>
          <w:i/>
        </w:rPr>
        <w:t>Rappelant</w:t>
      </w:r>
      <w:r w:rsidRPr="00911295">
        <w:t xml:space="preserve"> que,</w:t>
      </w:r>
      <w:r w:rsidRPr="002352CA">
        <w:t xml:space="preserve"> </w:t>
      </w:r>
      <w:r w:rsidRPr="00911295">
        <w:t>dans sa résolution</w:t>
      </w:r>
      <w:r w:rsidR="00B86660">
        <w:t> </w:t>
      </w:r>
      <w:r>
        <w:t>70/1</w:t>
      </w:r>
      <w:r w:rsidRPr="00911295">
        <w:t xml:space="preserve"> en date du </w:t>
      </w:r>
      <w:r>
        <w:t>25</w:t>
      </w:r>
      <w:r w:rsidR="00B86660">
        <w:t> </w:t>
      </w:r>
      <w:r>
        <w:t>septembre 2015</w:t>
      </w:r>
      <w:r w:rsidRPr="00911295">
        <w:t>, l</w:t>
      </w:r>
      <w:r>
        <w:t>’</w:t>
      </w:r>
      <w:r w:rsidRPr="00911295">
        <w:t>Assemblée générale</w:t>
      </w:r>
      <w:r>
        <w:t xml:space="preserve"> a adopté</w:t>
      </w:r>
      <w:r w:rsidRPr="002352CA">
        <w:t xml:space="preserve"> </w:t>
      </w:r>
      <w:r>
        <w:t xml:space="preserve">le Programme de développement durable à l’horizon 2030 et s’est dite résolue à mettre un terme à la pauvreté sous toutes ses formes et dans toutes ses dimensions d’ici </w:t>
      </w:r>
      <w:r w:rsidR="00B86660">
        <w:t xml:space="preserve">à </w:t>
      </w:r>
      <w:r>
        <w:t>2030, considérant que l’élimination de la pauvreté constitue le plus grand défi auquel l’humanité doive faire face, et qu’il s’agit d’une condition indispensable au développement durable,</w:t>
      </w:r>
    </w:p>
    <w:p w:rsidR="00C43535" w:rsidRPr="002352CA" w:rsidRDefault="00C43535" w:rsidP="00651BDF">
      <w:pPr>
        <w:pStyle w:val="SingleTxtG"/>
        <w:ind w:firstLine="567"/>
      </w:pPr>
      <w:r w:rsidRPr="00156734">
        <w:rPr>
          <w:i/>
        </w:rPr>
        <w:t>Profondément préoccupé</w:t>
      </w:r>
      <w:r>
        <w:t xml:space="preserve"> par le fait que l’extrême pauvreté</w:t>
      </w:r>
      <w:r w:rsidR="00156734">
        <w:t xml:space="preserve"> persiste dans tous les pays du </w:t>
      </w:r>
      <w:r>
        <w:t>monde, quelle que soit leur situation économique, sociale ou culturelle, et que son importance et ses manifestations sont particulièrement graves dans les pays en développement,</w:t>
      </w:r>
    </w:p>
    <w:p w:rsidR="00C43535" w:rsidRPr="002352CA" w:rsidRDefault="00C43535" w:rsidP="00651BDF">
      <w:pPr>
        <w:pStyle w:val="SingleTxtG"/>
        <w:ind w:firstLine="567"/>
      </w:pPr>
      <w:r w:rsidRPr="00156734">
        <w:rPr>
          <w:i/>
        </w:rPr>
        <w:t>Réaffirmant</w:t>
      </w:r>
      <w:r w:rsidRPr="002352CA">
        <w:t xml:space="preserve"> que l</w:t>
      </w:r>
      <w:r>
        <w:t>’</w:t>
      </w:r>
      <w:r w:rsidRPr="002352CA">
        <w:t>existence de situations d</w:t>
      </w:r>
      <w:r>
        <w:t>’</w:t>
      </w:r>
      <w:r w:rsidRPr="002352CA">
        <w:t>extrême pauvreté généralisée fait obstacle à la jouissance pleine et effective des droits de l</w:t>
      </w:r>
      <w:r>
        <w:t>’</w:t>
      </w:r>
      <w:r w:rsidRPr="002352CA">
        <w:t xml:space="preserve">homme </w:t>
      </w:r>
      <w:r>
        <w:t>et que la communauté internationale doit continuer d’accorder un rang de priorité élevé à la réduction de l’extrême pauvreté dans l’immédiat et à son élimination à terme</w:t>
      </w:r>
      <w:r w:rsidRPr="002352CA">
        <w:t xml:space="preserve">, </w:t>
      </w:r>
      <w:r>
        <w:t>et qu’il faudrait redoubler d’efforts en ce sens</w:t>
      </w:r>
      <w:r w:rsidRPr="002352CA">
        <w:t>,</w:t>
      </w:r>
    </w:p>
    <w:p w:rsidR="00C43535" w:rsidRPr="009D7DF7" w:rsidRDefault="00C43535" w:rsidP="00651BDF">
      <w:pPr>
        <w:pStyle w:val="SingleTxtG"/>
        <w:ind w:firstLine="567"/>
      </w:pPr>
      <w:r w:rsidRPr="00156734">
        <w:rPr>
          <w:i/>
        </w:rPr>
        <w:t>Soulignant</w:t>
      </w:r>
      <w:r w:rsidRPr="009D7DF7">
        <w:t xml:space="preserve"> que le respect de tous les droits de l</w:t>
      </w:r>
      <w:r>
        <w:t>’</w:t>
      </w:r>
      <w:r w:rsidRPr="009D7DF7">
        <w:t xml:space="preserve">homme </w:t>
      </w:r>
      <w:r w:rsidR="00156734">
        <w:t>− </w:t>
      </w:r>
      <w:r>
        <w:t>civils, politiques, économiques, sociaux et culturels</w:t>
      </w:r>
      <w:r w:rsidR="00156734">
        <w:t> −</w:t>
      </w:r>
      <w:r w:rsidRPr="009D7DF7">
        <w:t xml:space="preserve"> </w:t>
      </w:r>
      <w:r>
        <w:t>qui sont universels, indivisibles, interdépendants et intimement liés</w:t>
      </w:r>
      <w:r w:rsidRPr="009D7DF7">
        <w:t xml:space="preserve">, </w:t>
      </w:r>
      <w:r>
        <w:t>est d’une importance cruciale pour tous les programmes et politiques visant à lutter effectivement contre l’extrême pauvreté aux niveaux local et national</w:t>
      </w:r>
      <w:r w:rsidR="00B86660">
        <w:t>,</w:t>
      </w:r>
    </w:p>
    <w:p w:rsidR="00C43535" w:rsidRPr="00BB13CC" w:rsidRDefault="00C43535" w:rsidP="00651BDF">
      <w:pPr>
        <w:pStyle w:val="SingleTxtG"/>
        <w:ind w:firstLine="567"/>
      </w:pPr>
      <w:r w:rsidRPr="00156734">
        <w:rPr>
          <w:i/>
        </w:rPr>
        <w:t>Rappelant</w:t>
      </w:r>
      <w:r w:rsidRPr="00BB13CC">
        <w:t xml:space="preserve"> </w:t>
      </w:r>
      <w:r>
        <w:t xml:space="preserve">ses résolutions 5/1, sur la mise en place des institutions du Conseil des droits de l’homme, et 5/2, sur le Code de conduite pour les titulaires de mandat au titre des procédures spéciales du Conseil, en date du 18 juin 2007, et soulignant que le titulaire du mandat doit s’acquitter de ses obligations conformément à ces </w:t>
      </w:r>
      <w:r w:rsidR="00156734">
        <w:t>résolutions et à leurs annexes,</w:t>
      </w:r>
    </w:p>
    <w:p w:rsidR="00C43535" w:rsidRPr="001707D6" w:rsidRDefault="00C43535" w:rsidP="00651BDF">
      <w:pPr>
        <w:pStyle w:val="SingleTxtG"/>
        <w:ind w:firstLine="567"/>
      </w:pPr>
      <w:r w:rsidRPr="001707D6">
        <w:t>1.</w:t>
      </w:r>
      <w:r w:rsidRPr="001707D6">
        <w:tab/>
      </w:r>
      <w:r w:rsidRPr="00262063">
        <w:rPr>
          <w:i/>
        </w:rPr>
        <w:t>Salue</w:t>
      </w:r>
      <w:r w:rsidRPr="001707D6">
        <w:t xml:space="preserve"> le travail du </w:t>
      </w:r>
      <w:r w:rsidRPr="00156734">
        <w:rPr>
          <w:rStyle w:val="Accentuation"/>
          <w:i w:val="0"/>
        </w:rPr>
        <w:t>Rapporteur</w:t>
      </w:r>
      <w:r>
        <w:rPr>
          <w:rStyle w:val="preferred"/>
        </w:rPr>
        <w:t xml:space="preserve"> spécial sur les droits de l’homme et l’extrême pauvreté, notamment ses rapports thématiques et ses </w:t>
      </w:r>
      <w:r>
        <w:t>visites de pays</w:t>
      </w:r>
      <w:r w:rsidR="00156734">
        <w:t> </w:t>
      </w:r>
      <w:r w:rsidRPr="001707D6">
        <w:t>;</w:t>
      </w:r>
    </w:p>
    <w:p w:rsidR="00C43535" w:rsidRPr="00B5575A" w:rsidRDefault="00C43535" w:rsidP="00651BDF">
      <w:pPr>
        <w:pStyle w:val="SingleTxtG"/>
        <w:ind w:firstLine="567"/>
      </w:pPr>
      <w:r w:rsidRPr="00B5575A">
        <w:t>2.</w:t>
      </w:r>
      <w:r w:rsidRPr="00B5575A">
        <w:tab/>
      </w:r>
      <w:r w:rsidRPr="00262063">
        <w:rPr>
          <w:i/>
        </w:rPr>
        <w:t>Décide</w:t>
      </w:r>
      <w:r w:rsidRPr="00B5575A">
        <w:t xml:space="preserve"> </w:t>
      </w:r>
      <w:r>
        <w:t>de proroger pour une période de trois ans le mandat du Rapporteur spécial sur les droits de l’homme et l’extrême pauvreté tel qu’</w:t>
      </w:r>
      <w:r w:rsidR="00156734">
        <w:t>énoncé dans la résolution </w:t>
      </w:r>
      <w:r>
        <w:t>8/11 du Conseil</w:t>
      </w:r>
      <w:r w:rsidR="00156734">
        <w:t> </w:t>
      </w:r>
      <w:r w:rsidRPr="00B5575A">
        <w:t>;</w:t>
      </w:r>
    </w:p>
    <w:p w:rsidR="00C43535" w:rsidRPr="00B5575A" w:rsidRDefault="00C43535" w:rsidP="00651BDF">
      <w:pPr>
        <w:pStyle w:val="SingleTxtG"/>
        <w:ind w:firstLine="567"/>
      </w:pPr>
      <w:r w:rsidRPr="00B5575A">
        <w:t>3.</w:t>
      </w:r>
      <w:r w:rsidRPr="00B5575A">
        <w:tab/>
      </w:r>
      <w:r w:rsidRPr="00262063">
        <w:rPr>
          <w:i/>
        </w:rPr>
        <w:t>Prie</w:t>
      </w:r>
      <w:r w:rsidRPr="00B5575A">
        <w:t xml:space="preserve"> l</w:t>
      </w:r>
      <w:r w:rsidR="00156734">
        <w:t>e Haut-Commissariat des Nations </w:t>
      </w:r>
      <w:r w:rsidRPr="00B5575A">
        <w:t>Unies aux droits de l</w:t>
      </w:r>
      <w:r>
        <w:t>’</w:t>
      </w:r>
      <w:r w:rsidRPr="00B5575A">
        <w:t>homme de continuer d</w:t>
      </w:r>
      <w:r>
        <w:t>’</w:t>
      </w:r>
      <w:r w:rsidRPr="00B5575A">
        <w:t>accorder un rang élevé de priorité à la question de l</w:t>
      </w:r>
      <w:r>
        <w:t>’</w:t>
      </w:r>
      <w:r w:rsidRPr="00B5575A">
        <w:t>extrême pauvreté et des droits de l</w:t>
      </w:r>
      <w:r>
        <w:t>’</w:t>
      </w:r>
      <w:r w:rsidRPr="00B5575A">
        <w:t xml:space="preserve">homme, de poursuivre les travaux dans ce domaine </w:t>
      </w:r>
      <w:r>
        <w:t>en totale coopération avec le</w:t>
      </w:r>
      <w:r w:rsidR="00156734">
        <w:t> </w:t>
      </w:r>
      <w:r w:rsidRPr="00B5575A">
        <w:t xml:space="preserve">Rapporteur </w:t>
      </w:r>
      <w:r>
        <w:t>spécial dans les différentes activités, et de continuer d’apporter au Rapporteur spécial toute l’assistance nécessaire pour lui permettre de s’</w:t>
      </w:r>
      <w:r w:rsidR="00156734">
        <w:t>acquitter efficacement de son </w:t>
      </w:r>
      <w:r>
        <w:t>mandat</w:t>
      </w:r>
      <w:r w:rsidR="00156734">
        <w:t> </w:t>
      </w:r>
      <w:r w:rsidRPr="00B5575A">
        <w:t>;</w:t>
      </w:r>
    </w:p>
    <w:p w:rsidR="00C43535" w:rsidRPr="004952C2" w:rsidRDefault="00C43535" w:rsidP="00651BDF">
      <w:pPr>
        <w:pStyle w:val="SingleTxtG"/>
        <w:ind w:firstLine="567"/>
      </w:pPr>
      <w:r w:rsidRPr="004952C2">
        <w:t>4.</w:t>
      </w:r>
      <w:r w:rsidRPr="004952C2">
        <w:tab/>
      </w:r>
      <w:r w:rsidRPr="00156734">
        <w:rPr>
          <w:i/>
        </w:rPr>
        <w:t>Prie</w:t>
      </w:r>
      <w:r w:rsidRPr="004952C2">
        <w:t xml:space="preserve"> </w:t>
      </w:r>
      <w:r>
        <w:t>le</w:t>
      </w:r>
      <w:r w:rsidRPr="00B5575A">
        <w:t xml:space="preserve"> Rapporteur </w:t>
      </w:r>
      <w:r>
        <w:t xml:space="preserve">spécial de soumettre chaque année un rapport sur la mise en </w:t>
      </w:r>
      <w:r w:rsidRPr="00156734">
        <w:t>œuvre</w:t>
      </w:r>
      <w:r>
        <w:t xml:space="preserve"> de la présente résolution à l’Assemblée générale et au Conseil, conformément à leurs programmes de travail respectifs</w:t>
      </w:r>
      <w:r w:rsidR="00156734">
        <w:t> </w:t>
      </w:r>
      <w:r w:rsidRPr="004952C2">
        <w:t>;</w:t>
      </w:r>
    </w:p>
    <w:p w:rsidR="00C43535" w:rsidRPr="004952C2" w:rsidRDefault="00C43535" w:rsidP="00494962">
      <w:pPr>
        <w:pStyle w:val="SingleTxtG"/>
        <w:keepNext/>
        <w:keepLines/>
        <w:ind w:firstLine="567"/>
      </w:pPr>
      <w:r w:rsidRPr="004952C2">
        <w:t>5.</w:t>
      </w:r>
      <w:r w:rsidRPr="004952C2">
        <w:tab/>
      </w:r>
      <w:r w:rsidRPr="00156734">
        <w:rPr>
          <w:i/>
        </w:rPr>
        <w:t>Demande</w:t>
      </w:r>
      <w:r>
        <w:t xml:space="preserve"> à tous les gouvernements de coopérer avec le Rapporteur spécial et de l’aider dans sa tâche, de lui fournir toutes les informations qu’il juge nécessaires et de répondre favorablement à ses demandes de visite, afin de lui permettre de s’acquitter efficacement de son mandat</w:t>
      </w:r>
      <w:r w:rsidR="00156734">
        <w:t> </w:t>
      </w:r>
      <w:r>
        <w:t>;</w:t>
      </w:r>
    </w:p>
    <w:p w:rsidR="00C43535" w:rsidRPr="004952C2" w:rsidRDefault="00C43535" w:rsidP="00651BDF">
      <w:pPr>
        <w:pStyle w:val="SingleTxtG"/>
        <w:ind w:firstLine="567"/>
      </w:pPr>
      <w:r w:rsidRPr="004952C2">
        <w:t>6.</w:t>
      </w:r>
      <w:r w:rsidRPr="004952C2">
        <w:tab/>
      </w:r>
      <w:r w:rsidRPr="00156734">
        <w:rPr>
          <w:i/>
        </w:rPr>
        <w:t>Invite</w:t>
      </w:r>
      <w:r w:rsidRPr="004952C2">
        <w:t xml:space="preserve"> </w:t>
      </w:r>
      <w:r>
        <w:t xml:space="preserve">les organismes, fonds et programmes des Nations Unies compétents, les organes conventionnels et les </w:t>
      </w:r>
      <w:r w:rsidR="00156734">
        <w:t>acteurs de la société civile, y c</w:t>
      </w:r>
      <w:r>
        <w:t>ompris les organisations non gouvernementales ainsi que le secteur privé à coopérer pleinement avec le Rapporteur spécial dans l’exercice de son mandat</w:t>
      </w:r>
      <w:r w:rsidR="00156734">
        <w:t> </w:t>
      </w:r>
      <w:r w:rsidRPr="004952C2">
        <w:t>;</w:t>
      </w:r>
    </w:p>
    <w:p w:rsidR="00552797" w:rsidRDefault="00C43535" w:rsidP="00651BDF">
      <w:pPr>
        <w:pStyle w:val="SingleTxtG"/>
        <w:ind w:firstLine="567"/>
      </w:pPr>
      <w:r w:rsidRPr="004952C2">
        <w:t>7.</w:t>
      </w:r>
      <w:r w:rsidRPr="004952C2">
        <w:tab/>
      </w:r>
      <w:r w:rsidRPr="00156734">
        <w:rPr>
          <w:i/>
        </w:rPr>
        <w:t>Décide</w:t>
      </w:r>
      <w:r w:rsidRPr="004952C2">
        <w:t xml:space="preserve"> de poursuivre l</w:t>
      </w:r>
      <w:r>
        <w:t>’</w:t>
      </w:r>
      <w:r w:rsidRPr="004952C2">
        <w:t>examen de la question de l</w:t>
      </w:r>
      <w:r>
        <w:t>’</w:t>
      </w:r>
      <w:r w:rsidRPr="004952C2">
        <w:t>extrême pauvreté et des droits de l</w:t>
      </w:r>
      <w:r>
        <w:t>’</w:t>
      </w:r>
      <w:r w:rsidRPr="004952C2">
        <w:t>homme conformément à son programme de travail.</w:t>
      </w:r>
    </w:p>
    <w:p w:rsidR="00C43535" w:rsidRPr="00C43535" w:rsidRDefault="00C43535" w:rsidP="00C43535">
      <w:pPr>
        <w:pStyle w:val="SingleTxtG"/>
        <w:spacing w:before="240" w:after="0"/>
        <w:jc w:val="center"/>
        <w:rPr>
          <w:u w:val="single"/>
        </w:rPr>
      </w:pPr>
      <w:r>
        <w:rPr>
          <w:u w:val="single"/>
        </w:rPr>
        <w:tab/>
      </w:r>
      <w:r>
        <w:rPr>
          <w:u w:val="single"/>
        </w:rPr>
        <w:tab/>
      </w:r>
      <w:r>
        <w:rPr>
          <w:u w:val="single"/>
        </w:rPr>
        <w:tab/>
      </w:r>
    </w:p>
    <w:sectPr w:rsidR="00C43535" w:rsidRPr="00C43535" w:rsidSect="00670E3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FD" w:rsidRPr="00EF7F30" w:rsidRDefault="00B251FD" w:rsidP="00EF7F30">
      <w:pPr>
        <w:pStyle w:val="Pieddepage"/>
      </w:pPr>
    </w:p>
  </w:endnote>
  <w:endnote w:type="continuationSeparator" w:id="0">
    <w:p w:rsidR="00B251FD" w:rsidRPr="00EF7F30" w:rsidRDefault="00B251FD" w:rsidP="00EF7F30">
      <w:pPr>
        <w:pStyle w:val="Pieddepage"/>
      </w:pPr>
    </w:p>
  </w:endnote>
  <w:endnote w:type="continuationNotice" w:id="1">
    <w:p w:rsidR="00B251FD" w:rsidRDefault="00B251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3D" w:rsidRPr="00670E3D" w:rsidRDefault="00670E3D" w:rsidP="00670E3D">
    <w:pPr>
      <w:pStyle w:val="Pieddepage"/>
      <w:tabs>
        <w:tab w:val="right" w:pos="9638"/>
      </w:tabs>
    </w:pPr>
    <w:r w:rsidRPr="00670E3D">
      <w:rPr>
        <w:b/>
        <w:sz w:val="18"/>
      </w:rPr>
      <w:fldChar w:fldCharType="begin"/>
    </w:r>
    <w:r w:rsidRPr="00670E3D">
      <w:rPr>
        <w:b/>
        <w:sz w:val="18"/>
      </w:rPr>
      <w:instrText xml:space="preserve"> PAGE  \* MERGEFORMAT </w:instrText>
    </w:r>
    <w:r w:rsidRPr="00670E3D">
      <w:rPr>
        <w:b/>
        <w:sz w:val="18"/>
      </w:rPr>
      <w:fldChar w:fldCharType="separate"/>
    </w:r>
    <w:r w:rsidR="006A45B4">
      <w:rPr>
        <w:b/>
        <w:noProof/>
        <w:sz w:val="18"/>
      </w:rPr>
      <w:t>2</w:t>
    </w:r>
    <w:r w:rsidRPr="00670E3D">
      <w:rPr>
        <w:b/>
        <w:sz w:val="18"/>
      </w:rPr>
      <w:fldChar w:fldCharType="end"/>
    </w:r>
    <w:r>
      <w:rPr>
        <w:b/>
        <w:sz w:val="18"/>
      </w:rPr>
      <w:tab/>
    </w:r>
    <w:r>
      <w:t>GE.17-09975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3D" w:rsidRPr="00670E3D" w:rsidRDefault="00670E3D" w:rsidP="00670E3D">
    <w:pPr>
      <w:pStyle w:val="Pieddepage"/>
      <w:tabs>
        <w:tab w:val="right" w:pos="9638"/>
      </w:tabs>
      <w:rPr>
        <w:b/>
        <w:sz w:val="18"/>
      </w:rPr>
    </w:pPr>
    <w:r>
      <w:t>GE.17-09975</w:t>
    </w:r>
    <w:r>
      <w:tab/>
    </w:r>
    <w:r w:rsidRPr="00670E3D">
      <w:rPr>
        <w:b/>
        <w:sz w:val="18"/>
      </w:rPr>
      <w:fldChar w:fldCharType="begin"/>
    </w:r>
    <w:r w:rsidRPr="00670E3D">
      <w:rPr>
        <w:b/>
        <w:sz w:val="18"/>
      </w:rPr>
      <w:instrText xml:space="preserve"> PAGE  \* MERGEFORMAT </w:instrText>
    </w:r>
    <w:r w:rsidRPr="00670E3D">
      <w:rPr>
        <w:b/>
        <w:sz w:val="18"/>
      </w:rPr>
      <w:fldChar w:fldCharType="separate"/>
    </w:r>
    <w:r w:rsidR="006A45B4">
      <w:rPr>
        <w:b/>
        <w:noProof/>
        <w:sz w:val="18"/>
      </w:rPr>
      <w:t>3</w:t>
    </w:r>
    <w:r w:rsidRPr="00670E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670E3D" w:rsidRDefault="00670E3D" w:rsidP="00670E3D">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17-09975  (F)    200617    200617</w:t>
    </w:r>
    <w:r>
      <w:rPr>
        <w:sz w:val="20"/>
      </w:rPr>
      <w:br/>
    </w:r>
    <w:r w:rsidRPr="00670E3D">
      <w:rPr>
        <w:rFonts w:ascii="C39T30Lfz" w:hAnsi="C39T30Lfz"/>
        <w:sz w:val="56"/>
      </w:rPr>
      <w:t></w:t>
    </w:r>
    <w:r w:rsidRPr="00670E3D">
      <w:rPr>
        <w:rFonts w:ascii="C39T30Lfz" w:hAnsi="C39T30Lfz"/>
        <w:sz w:val="56"/>
      </w:rPr>
      <w:t></w:t>
    </w:r>
    <w:r w:rsidRPr="00670E3D">
      <w:rPr>
        <w:rFonts w:ascii="C39T30Lfz" w:hAnsi="C39T30Lfz"/>
        <w:sz w:val="56"/>
      </w:rPr>
      <w:t></w:t>
    </w:r>
    <w:r w:rsidRPr="00670E3D">
      <w:rPr>
        <w:rFonts w:ascii="C39T30Lfz" w:hAnsi="C39T30Lfz"/>
        <w:sz w:val="56"/>
      </w:rPr>
      <w:t></w:t>
    </w:r>
    <w:r w:rsidRPr="00670E3D">
      <w:rPr>
        <w:rFonts w:ascii="C39T30Lfz" w:hAnsi="C39T30Lfz"/>
        <w:sz w:val="56"/>
      </w:rPr>
      <w:t></w:t>
    </w:r>
    <w:r w:rsidRPr="00670E3D">
      <w:rPr>
        <w:rFonts w:ascii="C39T30Lfz" w:hAnsi="C39T30Lfz"/>
        <w:sz w:val="56"/>
      </w:rPr>
      <w:t></w:t>
    </w:r>
    <w:r w:rsidRPr="00670E3D">
      <w:rPr>
        <w:rFonts w:ascii="C39T30Lfz" w:hAnsi="C39T30Lfz"/>
        <w:sz w:val="56"/>
      </w:rPr>
      <w:t></w:t>
    </w:r>
    <w:r w:rsidRPr="00670E3D">
      <w:rPr>
        <w:rFonts w:ascii="C39T30Lfz" w:hAnsi="C39T30Lfz"/>
        <w:sz w:val="56"/>
      </w:rPr>
      <w:t></w:t>
    </w:r>
    <w:r w:rsidRPr="00670E3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35/L.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FD" w:rsidRPr="00EF7F30" w:rsidRDefault="00B251FD"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B251FD" w:rsidRPr="00EF7F30" w:rsidRDefault="00B251FD" w:rsidP="000E5ADA">
      <w:pPr>
        <w:pStyle w:val="Pieddepage"/>
        <w:tabs>
          <w:tab w:val="right" w:pos="2155"/>
        </w:tabs>
        <w:spacing w:after="80" w:line="240" w:lineRule="atLeast"/>
        <w:ind w:left="680"/>
      </w:pPr>
      <w:r w:rsidRPr="00EF7F30">
        <w:rPr>
          <w:u w:val="single"/>
        </w:rPr>
        <w:tab/>
      </w:r>
    </w:p>
  </w:footnote>
  <w:footnote w:type="continuationNotice" w:id="1">
    <w:p w:rsidR="00B251FD" w:rsidRPr="000F2457" w:rsidRDefault="00B251FD">
      <w:pPr>
        <w:spacing w:line="240" w:lineRule="auto"/>
        <w:rPr>
          <w:sz w:val="2"/>
          <w:szCs w:val="2"/>
        </w:rPr>
      </w:pPr>
    </w:p>
  </w:footnote>
  <w:footnote w:id="2">
    <w:p w:rsidR="00B86660" w:rsidRPr="00B86660" w:rsidRDefault="00B86660">
      <w:pPr>
        <w:pStyle w:val="Notedebasdepage"/>
      </w:pPr>
      <w:r>
        <w:rPr>
          <w:rStyle w:val="Appelnotedebasdep"/>
        </w:rPr>
        <w:tab/>
      </w:r>
      <w:r w:rsidRPr="00B86660">
        <w:rPr>
          <w:rStyle w:val="Appelnotedebasdep"/>
          <w:sz w:val="20"/>
          <w:vertAlign w:val="baseline"/>
        </w:rPr>
        <w:t>*</w:t>
      </w:r>
      <w:r>
        <w:rPr>
          <w:rStyle w:val="Appelnotedebasdep"/>
          <w:sz w:val="20"/>
          <w:vertAlign w:val="baseline"/>
        </w:rPr>
        <w:tab/>
      </w:r>
      <w:r>
        <w:t>État non membre du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3D" w:rsidRPr="00670E3D" w:rsidRDefault="00670E3D">
    <w:pPr>
      <w:pStyle w:val="En-tte"/>
    </w:pPr>
    <w:fldSimple w:instr=" TITLE  \* MERGEFORMAT ">
      <w:r w:rsidR="006A45B4">
        <w:t>A/HRC/35/L.31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3D" w:rsidRPr="00670E3D" w:rsidRDefault="00670E3D" w:rsidP="00670E3D">
    <w:pPr>
      <w:pStyle w:val="En-tte"/>
      <w:jc w:val="right"/>
    </w:pPr>
    <w:fldSimple w:instr=" TITLE  \* MERGEFORMAT ">
      <w:r w:rsidR="006A45B4">
        <w:t>A/HRC/35/L.31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FD"/>
    <w:rsid w:val="00023842"/>
    <w:rsid w:val="0007796D"/>
    <w:rsid w:val="000B20DA"/>
    <w:rsid w:val="000E5ADA"/>
    <w:rsid w:val="000F2457"/>
    <w:rsid w:val="00111F2F"/>
    <w:rsid w:val="00114ADF"/>
    <w:rsid w:val="00131E73"/>
    <w:rsid w:val="0014365E"/>
    <w:rsid w:val="00156734"/>
    <w:rsid w:val="00176178"/>
    <w:rsid w:val="001C7320"/>
    <w:rsid w:val="001F525A"/>
    <w:rsid w:val="00212168"/>
    <w:rsid w:val="00230740"/>
    <w:rsid w:val="00260711"/>
    <w:rsid w:val="00262063"/>
    <w:rsid w:val="00296776"/>
    <w:rsid w:val="002E0D9C"/>
    <w:rsid w:val="003547BE"/>
    <w:rsid w:val="0036166A"/>
    <w:rsid w:val="00446FE5"/>
    <w:rsid w:val="00494962"/>
    <w:rsid w:val="00552797"/>
    <w:rsid w:val="00573BE5"/>
    <w:rsid w:val="00586ED3"/>
    <w:rsid w:val="00587A52"/>
    <w:rsid w:val="005B4E23"/>
    <w:rsid w:val="005C4981"/>
    <w:rsid w:val="00617B29"/>
    <w:rsid w:val="00651272"/>
    <w:rsid w:val="00651BDF"/>
    <w:rsid w:val="00670E3D"/>
    <w:rsid w:val="0068446C"/>
    <w:rsid w:val="00695AED"/>
    <w:rsid w:val="006A45B4"/>
    <w:rsid w:val="00710BD6"/>
    <w:rsid w:val="0071601D"/>
    <w:rsid w:val="00721020"/>
    <w:rsid w:val="00731589"/>
    <w:rsid w:val="0080684C"/>
    <w:rsid w:val="00871C75"/>
    <w:rsid w:val="008776DC"/>
    <w:rsid w:val="008B386A"/>
    <w:rsid w:val="008C0914"/>
    <w:rsid w:val="0094352E"/>
    <w:rsid w:val="00962015"/>
    <w:rsid w:val="009705C8"/>
    <w:rsid w:val="009A47AB"/>
    <w:rsid w:val="00A12E20"/>
    <w:rsid w:val="00AC7BEB"/>
    <w:rsid w:val="00AE323C"/>
    <w:rsid w:val="00B16AAF"/>
    <w:rsid w:val="00B22A9E"/>
    <w:rsid w:val="00B24C75"/>
    <w:rsid w:val="00B251FD"/>
    <w:rsid w:val="00B528BF"/>
    <w:rsid w:val="00B86660"/>
    <w:rsid w:val="00C02897"/>
    <w:rsid w:val="00C12613"/>
    <w:rsid w:val="00C43535"/>
    <w:rsid w:val="00CB00D5"/>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A3CF77"/>
  <w15:docId w15:val="{1C89BD55-3D50-4140-8411-7A7E44E3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preferred">
    <w:name w:val="preferred"/>
    <w:basedOn w:val="Policepardfaut"/>
    <w:rsid w:val="00C43535"/>
  </w:style>
  <w:style w:type="character" w:styleId="Accentuation">
    <w:name w:val="Emphasis"/>
    <w:basedOn w:val="Policepardfaut"/>
    <w:uiPriority w:val="20"/>
    <w:qFormat/>
    <w:rsid w:val="00C435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D640-1CE1-4640-B32D-25D5A1C6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1050</Words>
  <Characters>6303</Characters>
  <Application>Microsoft Office Word</Application>
  <DocSecurity>0</DocSecurity>
  <Lines>900</Lines>
  <Paragraphs>386</Paragraphs>
  <ScaleCrop>false</ScaleCrop>
  <HeadingPairs>
    <vt:vector size="2" baseType="variant">
      <vt:variant>
        <vt:lpstr>Titre</vt:lpstr>
      </vt:variant>
      <vt:variant>
        <vt:i4>1</vt:i4>
      </vt:variant>
    </vt:vector>
  </HeadingPairs>
  <TitlesOfParts>
    <vt:vector size="1" baseType="lpstr">
      <vt:lpstr>A/HRC/35/L.31</vt:lpstr>
    </vt:vector>
  </TitlesOfParts>
  <Company>DCM</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A/HRC/35/L.31</dc:title>
  <dc:subject/>
  <dc:creator>Marie DESCHAMPS</dc:creator>
  <cp:keywords/>
  <cp:lastModifiedBy>Marie DESCHAMPS</cp:lastModifiedBy>
  <cp:revision>2</cp:revision>
  <cp:lastPrinted>2017-06-20T10:07:00Z</cp:lastPrinted>
  <dcterms:created xsi:type="dcterms:W3CDTF">2017-06-20T10:43:00Z</dcterms:created>
  <dcterms:modified xsi:type="dcterms:W3CDTF">2017-06-20T10:43:00Z</dcterms:modified>
</cp:coreProperties>
</file>