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6F111768" w14:textId="77777777" w:rsidTr="00B270C7">
        <w:trPr>
          <w:trHeight w:hRule="exact" w:val="851"/>
        </w:trPr>
        <w:tc>
          <w:tcPr>
            <w:tcW w:w="1280" w:type="dxa"/>
            <w:tcBorders>
              <w:bottom w:val="single" w:sz="4" w:space="0" w:color="auto"/>
            </w:tcBorders>
          </w:tcPr>
          <w:p w14:paraId="66B57519" w14:textId="77777777" w:rsidR="002D5AAC" w:rsidRPr="001359DC" w:rsidRDefault="002D5AAC" w:rsidP="00C76F43">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5A5A4022"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535B4273" w14:textId="78A163AC" w:rsidR="002D5AAC" w:rsidRPr="001359DC" w:rsidRDefault="00C76F43" w:rsidP="00C76F43">
            <w:pPr>
              <w:jc w:val="right"/>
              <w:rPr>
                <w:lang w:val="es-ES"/>
              </w:rPr>
            </w:pPr>
            <w:r w:rsidRPr="00C76F43">
              <w:rPr>
                <w:sz w:val="40"/>
                <w:lang w:val="es-ES"/>
              </w:rPr>
              <w:t>A</w:t>
            </w:r>
            <w:r>
              <w:rPr>
                <w:lang w:val="es-ES"/>
              </w:rPr>
              <w:t>/HRC/50/L.19</w:t>
            </w:r>
          </w:p>
        </w:tc>
      </w:tr>
      <w:tr w:rsidR="002D5AAC" w:rsidRPr="001359DC" w14:paraId="4B31D2B8" w14:textId="77777777" w:rsidTr="00B270C7">
        <w:trPr>
          <w:trHeight w:hRule="exact" w:val="2835"/>
        </w:trPr>
        <w:tc>
          <w:tcPr>
            <w:tcW w:w="1280" w:type="dxa"/>
            <w:tcBorders>
              <w:top w:val="single" w:sz="4" w:space="0" w:color="auto"/>
              <w:bottom w:val="single" w:sz="12" w:space="0" w:color="auto"/>
            </w:tcBorders>
          </w:tcPr>
          <w:p w14:paraId="7DBBE49E" w14:textId="77777777" w:rsidR="002D5AAC" w:rsidRPr="001359DC" w:rsidRDefault="002E5067" w:rsidP="0008244E">
            <w:pPr>
              <w:spacing w:before="120"/>
              <w:jc w:val="center"/>
              <w:rPr>
                <w:lang w:val="es-ES"/>
              </w:rPr>
            </w:pPr>
            <w:r w:rsidRPr="001359DC">
              <w:rPr>
                <w:noProof/>
              </w:rPr>
              <w:drawing>
                <wp:inline distT="0" distB="0" distL="0" distR="0" wp14:anchorId="7745BD6B" wp14:editId="4980A855">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3E7AB5"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10F100AC" w14:textId="77777777" w:rsidR="002D5AAC" w:rsidRDefault="00C76F43" w:rsidP="0008244E">
            <w:pPr>
              <w:spacing w:before="240"/>
              <w:rPr>
                <w:lang w:val="es-ES"/>
              </w:rPr>
            </w:pPr>
            <w:r>
              <w:rPr>
                <w:lang w:val="es-ES"/>
              </w:rPr>
              <w:t>Distr. limitada</w:t>
            </w:r>
          </w:p>
          <w:p w14:paraId="779B45DE" w14:textId="77777777" w:rsidR="00C76F43" w:rsidRDefault="00C76F43" w:rsidP="00C76F43">
            <w:pPr>
              <w:spacing w:line="240" w:lineRule="exact"/>
              <w:rPr>
                <w:lang w:val="es-ES"/>
              </w:rPr>
            </w:pPr>
            <w:r>
              <w:rPr>
                <w:lang w:val="es-ES"/>
              </w:rPr>
              <w:t>30 de junio de 2022</w:t>
            </w:r>
          </w:p>
          <w:p w14:paraId="5052B143" w14:textId="77777777" w:rsidR="00C76F43" w:rsidRDefault="00C76F43" w:rsidP="00C76F43">
            <w:pPr>
              <w:spacing w:line="240" w:lineRule="exact"/>
              <w:rPr>
                <w:lang w:val="es-ES"/>
              </w:rPr>
            </w:pPr>
            <w:r>
              <w:rPr>
                <w:lang w:val="es-ES"/>
              </w:rPr>
              <w:t>Español</w:t>
            </w:r>
          </w:p>
          <w:p w14:paraId="73F64E96" w14:textId="054F3DF4" w:rsidR="00C76F43" w:rsidRPr="001359DC" w:rsidRDefault="00C76F43" w:rsidP="00C76F43">
            <w:pPr>
              <w:spacing w:line="240" w:lineRule="exact"/>
              <w:rPr>
                <w:lang w:val="es-ES"/>
              </w:rPr>
            </w:pPr>
            <w:r>
              <w:rPr>
                <w:lang w:val="es-ES"/>
              </w:rPr>
              <w:t>Original: inglés</w:t>
            </w:r>
          </w:p>
        </w:tc>
      </w:tr>
    </w:tbl>
    <w:p w14:paraId="349D2422" w14:textId="77777777" w:rsidR="00B270C7" w:rsidRPr="00B270C7" w:rsidRDefault="00B270C7" w:rsidP="00B270C7">
      <w:pPr>
        <w:spacing w:before="120"/>
        <w:rPr>
          <w:b/>
          <w:bCs/>
          <w:sz w:val="24"/>
          <w:szCs w:val="24"/>
        </w:rPr>
      </w:pPr>
      <w:r w:rsidRPr="00B270C7">
        <w:rPr>
          <w:b/>
          <w:bCs/>
          <w:sz w:val="24"/>
          <w:szCs w:val="24"/>
        </w:rPr>
        <w:t>Consejo de Derechos Humanos</w:t>
      </w:r>
    </w:p>
    <w:p w14:paraId="0B80000D" w14:textId="77777777" w:rsidR="00B270C7" w:rsidRPr="00B270C7" w:rsidRDefault="00B270C7" w:rsidP="00B270C7">
      <w:pPr>
        <w:rPr>
          <w:b/>
          <w:bCs/>
        </w:rPr>
      </w:pPr>
      <w:r w:rsidRPr="00B270C7">
        <w:rPr>
          <w:b/>
          <w:bCs/>
        </w:rPr>
        <w:t>50º período de sesiones</w:t>
      </w:r>
    </w:p>
    <w:p w14:paraId="488EA214" w14:textId="77777777" w:rsidR="00B270C7" w:rsidRPr="00B270C7" w:rsidRDefault="00B270C7" w:rsidP="00B270C7">
      <w:r w:rsidRPr="00B270C7">
        <w:t>13 de junio a 8 de julio de 2022</w:t>
      </w:r>
    </w:p>
    <w:p w14:paraId="22ECAB50" w14:textId="77777777" w:rsidR="00B270C7" w:rsidRPr="00B270C7" w:rsidRDefault="00B270C7" w:rsidP="00B270C7">
      <w:r w:rsidRPr="00B270C7">
        <w:t>Tema 2 de la agenda</w:t>
      </w:r>
    </w:p>
    <w:p w14:paraId="6C74F1EE" w14:textId="6202E07F" w:rsidR="00B270C7" w:rsidRPr="00B270C7" w:rsidRDefault="00B270C7" w:rsidP="00B270C7">
      <w:pPr>
        <w:rPr>
          <w:b/>
          <w:bCs/>
        </w:rPr>
      </w:pPr>
      <w:r w:rsidRPr="00B270C7">
        <w:rPr>
          <w:b/>
          <w:bCs/>
        </w:rPr>
        <w:t>Informe anual del Alto Comisionado de las Naciones Unidas</w:t>
      </w:r>
      <w:r>
        <w:rPr>
          <w:b/>
          <w:bCs/>
        </w:rPr>
        <w:br/>
      </w:r>
      <w:r w:rsidRPr="00B270C7">
        <w:rPr>
          <w:b/>
          <w:bCs/>
        </w:rPr>
        <w:t>para los Derechos Humanos e informes de la Oficina</w:t>
      </w:r>
      <w:r>
        <w:rPr>
          <w:b/>
          <w:bCs/>
        </w:rPr>
        <w:br/>
      </w:r>
      <w:r w:rsidRPr="00B270C7">
        <w:rPr>
          <w:b/>
          <w:bCs/>
        </w:rPr>
        <w:t>del Alto Comisionado y del Secretario General</w:t>
      </w:r>
    </w:p>
    <w:p w14:paraId="7CFA3E1C" w14:textId="7024BE72" w:rsidR="00B270C7" w:rsidRPr="00B270C7" w:rsidRDefault="00B270C7" w:rsidP="00B270C7">
      <w:pPr>
        <w:pStyle w:val="H23G"/>
      </w:pPr>
      <w:r>
        <w:tab/>
      </w:r>
      <w:r>
        <w:tab/>
      </w:r>
      <w:r w:rsidRPr="00B270C7">
        <w:t>Albania</w:t>
      </w:r>
      <w:r w:rsidRPr="00B270C7">
        <w:rPr>
          <w:rStyle w:val="Refdenotaalpie"/>
          <w:b w:val="0"/>
          <w:bCs/>
          <w:sz w:val="20"/>
          <w:vertAlign w:val="baseline"/>
        </w:rPr>
        <w:footnoteReference w:customMarkFollows="1" w:id="1"/>
        <w:t>*</w:t>
      </w:r>
      <w:r w:rsidRPr="00B270C7">
        <w:t>, Alemania, Australia</w:t>
      </w:r>
      <w:r w:rsidRPr="00B270C7">
        <w:rPr>
          <w:b w:val="0"/>
          <w:bCs/>
        </w:rPr>
        <w:t>*</w:t>
      </w:r>
      <w:r w:rsidRPr="00B270C7">
        <w:t>, Austria</w:t>
      </w:r>
      <w:r w:rsidRPr="00B270C7">
        <w:rPr>
          <w:b w:val="0"/>
          <w:bCs/>
        </w:rPr>
        <w:t>*</w:t>
      </w:r>
      <w:r w:rsidRPr="00B270C7">
        <w:t>, Bélgica</w:t>
      </w:r>
      <w:r w:rsidRPr="00B270C7">
        <w:rPr>
          <w:b w:val="0"/>
          <w:bCs/>
        </w:rPr>
        <w:t>*</w:t>
      </w:r>
      <w:r w:rsidRPr="00B270C7">
        <w:t>, Bulgaria</w:t>
      </w:r>
      <w:r w:rsidRPr="00B270C7">
        <w:rPr>
          <w:b w:val="0"/>
          <w:bCs/>
        </w:rPr>
        <w:t>*</w:t>
      </w:r>
      <w:r w:rsidRPr="00B270C7">
        <w:t>, Chequia, Chipre</w:t>
      </w:r>
      <w:r w:rsidRPr="00B270C7">
        <w:rPr>
          <w:b w:val="0"/>
          <w:bCs/>
        </w:rPr>
        <w:t>*</w:t>
      </w:r>
      <w:r w:rsidRPr="00B270C7">
        <w:t>, Costa Rica</w:t>
      </w:r>
      <w:r w:rsidRPr="00B270C7">
        <w:rPr>
          <w:b w:val="0"/>
          <w:bCs/>
        </w:rPr>
        <w:t>*</w:t>
      </w:r>
      <w:r w:rsidRPr="00B270C7">
        <w:t>, Croacia</w:t>
      </w:r>
      <w:r w:rsidRPr="00B270C7">
        <w:rPr>
          <w:b w:val="0"/>
          <w:bCs/>
        </w:rPr>
        <w:t>*</w:t>
      </w:r>
      <w:r w:rsidRPr="00B270C7">
        <w:t>, Dinamarca</w:t>
      </w:r>
      <w:r w:rsidRPr="00B270C7">
        <w:rPr>
          <w:b w:val="0"/>
          <w:bCs/>
        </w:rPr>
        <w:t>*</w:t>
      </w:r>
      <w:r w:rsidRPr="00B270C7">
        <w:t>, Eslovaquia</w:t>
      </w:r>
      <w:r w:rsidRPr="00B270C7">
        <w:rPr>
          <w:b w:val="0"/>
          <w:bCs/>
        </w:rPr>
        <w:t>*</w:t>
      </w:r>
      <w:r w:rsidRPr="00B270C7">
        <w:t>, Eslovenia</w:t>
      </w:r>
      <w:r w:rsidRPr="00B270C7">
        <w:rPr>
          <w:b w:val="0"/>
          <w:bCs/>
        </w:rPr>
        <w:t>*</w:t>
      </w:r>
      <w:r w:rsidRPr="00B270C7">
        <w:t>, España</w:t>
      </w:r>
      <w:r w:rsidRPr="00B270C7">
        <w:rPr>
          <w:b w:val="0"/>
          <w:bCs/>
        </w:rPr>
        <w:t>*</w:t>
      </w:r>
      <w:r w:rsidRPr="00B270C7">
        <w:t>, Estados Unidos de América, Estonia</w:t>
      </w:r>
      <w:r w:rsidRPr="00B270C7">
        <w:rPr>
          <w:b w:val="0"/>
          <w:bCs/>
        </w:rPr>
        <w:t>*</w:t>
      </w:r>
      <w:r w:rsidRPr="00B270C7">
        <w:t>, Finlandia, Francia, Grecia</w:t>
      </w:r>
      <w:r w:rsidRPr="00B270C7">
        <w:rPr>
          <w:b w:val="0"/>
          <w:bCs/>
        </w:rPr>
        <w:t>*</w:t>
      </w:r>
      <w:r w:rsidRPr="00B270C7">
        <w:t>, Hungría</w:t>
      </w:r>
      <w:r w:rsidRPr="00B270C7">
        <w:rPr>
          <w:b w:val="0"/>
          <w:bCs/>
        </w:rPr>
        <w:t>*</w:t>
      </w:r>
      <w:r w:rsidRPr="00B270C7">
        <w:t>, Irlanda</w:t>
      </w:r>
      <w:r w:rsidRPr="00B270C7">
        <w:rPr>
          <w:b w:val="0"/>
          <w:bCs/>
        </w:rPr>
        <w:t>*</w:t>
      </w:r>
      <w:r w:rsidRPr="00B270C7">
        <w:t>, Islandia</w:t>
      </w:r>
      <w:r w:rsidRPr="00B270C7">
        <w:rPr>
          <w:b w:val="0"/>
          <w:bCs/>
        </w:rPr>
        <w:t>*</w:t>
      </w:r>
      <w:r w:rsidRPr="00B270C7">
        <w:t>, Israel</w:t>
      </w:r>
      <w:r w:rsidRPr="00B270C7">
        <w:rPr>
          <w:b w:val="0"/>
          <w:bCs/>
        </w:rPr>
        <w:t>*</w:t>
      </w:r>
      <w:r w:rsidRPr="00B270C7">
        <w:t>, Italia</w:t>
      </w:r>
      <w:r w:rsidRPr="00B270C7">
        <w:rPr>
          <w:b w:val="0"/>
          <w:bCs/>
        </w:rPr>
        <w:t>*</w:t>
      </w:r>
      <w:r w:rsidRPr="00B270C7">
        <w:t>, Letonia</w:t>
      </w:r>
      <w:r w:rsidRPr="00B270C7">
        <w:rPr>
          <w:b w:val="0"/>
          <w:bCs/>
        </w:rPr>
        <w:t>*</w:t>
      </w:r>
      <w:r w:rsidRPr="00B270C7">
        <w:t>, Liechtenstein</w:t>
      </w:r>
      <w:r w:rsidRPr="00B270C7">
        <w:rPr>
          <w:b w:val="0"/>
          <w:bCs/>
        </w:rPr>
        <w:t>*</w:t>
      </w:r>
      <w:r w:rsidRPr="00B270C7">
        <w:t>, Lituania, Luxemburgo, Malta</w:t>
      </w:r>
      <w:r w:rsidRPr="00B270C7">
        <w:rPr>
          <w:b w:val="0"/>
          <w:bCs/>
        </w:rPr>
        <w:t>*</w:t>
      </w:r>
      <w:r w:rsidRPr="00B270C7">
        <w:t>, Mónaco</w:t>
      </w:r>
      <w:r w:rsidRPr="00B270C7">
        <w:rPr>
          <w:b w:val="0"/>
          <w:bCs/>
        </w:rPr>
        <w:t>*</w:t>
      </w:r>
      <w:r w:rsidRPr="00B270C7">
        <w:t>, Montenegro, Noruega</w:t>
      </w:r>
      <w:r w:rsidRPr="00B270C7">
        <w:rPr>
          <w:b w:val="0"/>
          <w:bCs/>
        </w:rPr>
        <w:t>*</w:t>
      </w:r>
      <w:r w:rsidRPr="00B270C7">
        <w:t>, Países Bajos, Polonia, Portugal</w:t>
      </w:r>
      <w:r w:rsidRPr="00B270C7">
        <w:rPr>
          <w:b w:val="0"/>
          <w:bCs/>
        </w:rPr>
        <w:t>*</w:t>
      </w:r>
      <w:r w:rsidRPr="00B270C7">
        <w:t>, Reino Unido de</w:t>
      </w:r>
      <w:r w:rsidR="003A0B9C">
        <w:t> </w:t>
      </w:r>
      <w:r w:rsidRPr="00B270C7">
        <w:t>Gran Bretaña e Irlanda del Norte, Rumania</w:t>
      </w:r>
      <w:r w:rsidRPr="00B270C7">
        <w:rPr>
          <w:b w:val="0"/>
          <w:bCs/>
        </w:rPr>
        <w:t>*</w:t>
      </w:r>
      <w:r w:rsidRPr="00B270C7">
        <w:t>, Suecia</w:t>
      </w:r>
      <w:r w:rsidRPr="00B270C7">
        <w:rPr>
          <w:b w:val="0"/>
          <w:bCs/>
        </w:rPr>
        <w:t>*</w:t>
      </w:r>
      <w:r w:rsidRPr="00B270C7">
        <w:t>, Suiza</w:t>
      </w:r>
      <w:r w:rsidRPr="003A0B9C">
        <w:rPr>
          <w:b w:val="0"/>
          <w:bCs/>
        </w:rPr>
        <w:t>*</w:t>
      </w:r>
      <w:r w:rsidR="003A0B9C" w:rsidRPr="003A0B9C">
        <w:t xml:space="preserve"> y</w:t>
      </w:r>
      <w:r w:rsidRPr="00B270C7">
        <w:t xml:space="preserve"> Ucrania: proyecto</w:t>
      </w:r>
      <w:r w:rsidR="003A0B9C">
        <w:t> </w:t>
      </w:r>
      <w:r w:rsidRPr="00B270C7">
        <w:t>de resolución</w:t>
      </w:r>
    </w:p>
    <w:p w14:paraId="272DC63D" w14:textId="3F66C6BD" w:rsidR="00B270C7" w:rsidRPr="00B270C7" w:rsidRDefault="00B270C7" w:rsidP="003A0B9C">
      <w:pPr>
        <w:pStyle w:val="H1G"/>
        <w:tabs>
          <w:tab w:val="left" w:pos="1764"/>
        </w:tabs>
      </w:pPr>
      <w:r>
        <w:tab/>
      </w:r>
      <w:r>
        <w:tab/>
      </w:r>
      <w:r w:rsidRPr="00B270C7">
        <w:t>50/...</w:t>
      </w:r>
      <w:r w:rsidRPr="00B270C7">
        <w:tab/>
        <w:t>Situación de los derechos humanos en Eritrea</w:t>
      </w:r>
    </w:p>
    <w:p w14:paraId="221AD4A0" w14:textId="77777777" w:rsidR="00B270C7" w:rsidRPr="00B270C7" w:rsidRDefault="00B270C7" w:rsidP="00B270C7">
      <w:pPr>
        <w:pStyle w:val="SingleTxtG"/>
      </w:pPr>
      <w:r w:rsidRPr="00B270C7">
        <w:tab/>
      </w:r>
      <w:r w:rsidRPr="00B270C7">
        <w:rPr>
          <w:i/>
          <w:iCs/>
        </w:rPr>
        <w:t>El Consejo de Derechos Humanos</w:t>
      </w:r>
      <w:r w:rsidRPr="00B270C7">
        <w:t>,</w:t>
      </w:r>
    </w:p>
    <w:p w14:paraId="7A5BB605" w14:textId="77777777" w:rsidR="00B270C7" w:rsidRPr="00B270C7" w:rsidRDefault="00B270C7" w:rsidP="00B270C7">
      <w:pPr>
        <w:pStyle w:val="SingleTxtG"/>
      </w:pPr>
      <w:r w:rsidRPr="00B270C7">
        <w:rPr>
          <w:i/>
          <w:iCs/>
        </w:rPr>
        <w:tab/>
        <w:t>Guiado</w:t>
      </w:r>
      <w:r w:rsidRPr="00B270C7">
        <w:t xml:space="preserve"> por la Carta de las Naciones Unidas, la Declaración Universal de Derechos Humanos, los Pactos Internacionales de Derechos Humanos y otros instrumentos internacionales pertinentes de derechos humanos,</w:t>
      </w:r>
    </w:p>
    <w:p w14:paraId="2B62CAFD" w14:textId="77777777" w:rsidR="00B270C7" w:rsidRPr="00B270C7" w:rsidRDefault="00B270C7" w:rsidP="00B270C7">
      <w:pPr>
        <w:pStyle w:val="SingleTxtG"/>
      </w:pPr>
      <w:r w:rsidRPr="00B270C7">
        <w:rPr>
          <w:i/>
          <w:iCs/>
        </w:rPr>
        <w:tab/>
        <w:t>Recordando</w:t>
      </w:r>
      <w:r w:rsidRPr="00B270C7">
        <w:t xml:space="preserve"> la resolución 60/251 de la Asamblea General, de 15 de marzo de 2006, las resoluciones 5/1 y 5/2 del Consejo de Derechos Humanos, de 18 de junio de 2007, la resolución 91 y las decisiones 250/2002, 275/2003 y 428/12 de la Comisión Africana de Derechos Humanos y de los Pueblos y todas las resoluciones anteriores del Consejo sobre la situación de los derechos humanos en Eritrea,</w:t>
      </w:r>
    </w:p>
    <w:p w14:paraId="0812186A" w14:textId="77777777" w:rsidR="00B270C7" w:rsidRPr="00B270C7" w:rsidRDefault="00B270C7" w:rsidP="00B270C7">
      <w:pPr>
        <w:pStyle w:val="SingleTxtG"/>
      </w:pPr>
      <w:r w:rsidRPr="00B270C7">
        <w:rPr>
          <w:i/>
          <w:iCs/>
        </w:rPr>
        <w:tab/>
        <w:t>Observando</w:t>
      </w:r>
      <w:r w:rsidRPr="00B270C7">
        <w:t xml:space="preserve"> los acontecimientos regionales acaecidos y sus consecuencias, incluidas las repercusiones para los derechos humanos en Eritrea,</w:t>
      </w:r>
    </w:p>
    <w:p w14:paraId="393F5F71" w14:textId="60BBBB25" w:rsidR="00B270C7" w:rsidRPr="00B270C7" w:rsidRDefault="00B270C7" w:rsidP="00B270C7">
      <w:pPr>
        <w:pStyle w:val="SingleTxtG"/>
      </w:pPr>
      <w:r w:rsidRPr="00B270C7">
        <w:rPr>
          <w:i/>
          <w:iCs/>
        </w:rPr>
        <w:tab/>
        <w:t>Expresando profunda preocupación</w:t>
      </w:r>
      <w:r w:rsidRPr="00B270C7">
        <w:t xml:space="preserve"> porque continúan las violaciones y abusos de los derechos humanos, como señala en su informe el Relator Especial sobre la situación de los derechos humanos en Eritrea</w:t>
      </w:r>
      <w:r w:rsidRPr="00B270C7">
        <w:rPr>
          <w:sz w:val="18"/>
          <w:szCs w:val="18"/>
          <w:vertAlign w:val="superscript"/>
        </w:rPr>
        <w:footnoteReference w:id="2"/>
      </w:r>
      <w:r w:rsidRPr="00B270C7">
        <w:t>,</w:t>
      </w:r>
    </w:p>
    <w:p w14:paraId="4F3D5016" w14:textId="77777777" w:rsidR="00B270C7" w:rsidRPr="00B270C7" w:rsidRDefault="00B270C7" w:rsidP="00B270C7">
      <w:pPr>
        <w:pStyle w:val="SingleTxtG"/>
      </w:pPr>
      <w:r w:rsidRPr="00B270C7">
        <w:tab/>
        <w:t>1.</w:t>
      </w:r>
      <w:r w:rsidRPr="00B270C7">
        <w:tab/>
      </w:r>
      <w:r w:rsidRPr="00B270C7">
        <w:rPr>
          <w:i/>
          <w:iCs/>
        </w:rPr>
        <w:t>Acoge</w:t>
      </w:r>
      <w:r w:rsidRPr="00B270C7">
        <w:t xml:space="preserve"> </w:t>
      </w:r>
      <w:r w:rsidRPr="00B270C7">
        <w:rPr>
          <w:i/>
          <w:iCs/>
        </w:rPr>
        <w:t>con beneplácito</w:t>
      </w:r>
      <w:r w:rsidRPr="00B270C7">
        <w:t xml:space="preserve"> el informe del Relator Especial sobre la situación de los derechos humanos en Eritrea y las conclusiones que presenta en él;</w:t>
      </w:r>
    </w:p>
    <w:p w14:paraId="7E363441" w14:textId="77777777" w:rsidR="00B270C7" w:rsidRPr="00B270C7" w:rsidRDefault="00B270C7" w:rsidP="00B270C7">
      <w:pPr>
        <w:pStyle w:val="SingleTxtG"/>
      </w:pPr>
      <w:r w:rsidRPr="00B270C7">
        <w:tab/>
        <w:t>2.</w:t>
      </w:r>
      <w:r w:rsidRPr="00B270C7">
        <w:tab/>
      </w:r>
      <w:r w:rsidRPr="00B270C7">
        <w:rPr>
          <w:i/>
          <w:iCs/>
        </w:rPr>
        <w:t>Decide</w:t>
      </w:r>
      <w:r w:rsidRPr="00B270C7">
        <w:t xml:space="preserve"> prorrogar el mandato del Relator Especial sobre la situación de los derechos humanos en Eritrea por un nuevo período de un año;</w:t>
      </w:r>
    </w:p>
    <w:p w14:paraId="007FA0C5" w14:textId="77777777" w:rsidR="00B270C7" w:rsidRPr="00B270C7" w:rsidRDefault="00B270C7" w:rsidP="00B270C7">
      <w:pPr>
        <w:pStyle w:val="SingleTxtG"/>
      </w:pPr>
      <w:r w:rsidRPr="00B270C7">
        <w:tab/>
        <w:t>3.</w:t>
      </w:r>
      <w:r w:rsidRPr="00B270C7">
        <w:tab/>
      </w:r>
      <w:r w:rsidRPr="00B270C7">
        <w:rPr>
          <w:i/>
          <w:iCs/>
        </w:rPr>
        <w:t>Solicita</w:t>
      </w:r>
      <w:r w:rsidRPr="00B270C7">
        <w:t xml:space="preserve"> al Relator Especial que presente un informe escrito al Consejo de Derechos Humanos en su 53</w:t>
      </w:r>
      <w:r w:rsidRPr="00B270C7">
        <w:rPr>
          <w:vertAlign w:val="superscript"/>
        </w:rPr>
        <w:t>er</w:t>
      </w:r>
      <w:r w:rsidRPr="00B270C7">
        <w:t xml:space="preserve"> período de sesiones y a la Asamblea General en su septuagésimo séptimo período de sesiones;</w:t>
      </w:r>
    </w:p>
    <w:p w14:paraId="3B47627C" w14:textId="77777777" w:rsidR="00B270C7" w:rsidRPr="00B270C7" w:rsidRDefault="00B270C7" w:rsidP="00B270C7">
      <w:pPr>
        <w:pStyle w:val="SingleTxtG"/>
      </w:pPr>
      <w:r w:rsidRPr="00B270C7">
        <w:lastRenderedPageBreak/>
        <w:tab/>
        <w:t>4.</w:t>
      </w:r>
      <w:r w:rsidRPr="00B270C7">
        <w:tab/>
      </w:r>
      <w:r w:rsidRPr="00B270C7">
        <w:rPr>
          <w:i/>
          <w:iCs/>
        </w:rPr>
        <w:t>Decide</w:t>
      </w:r>
      <w:r w:rsidRPr="00B270C7">
        <w:t xml:space="preserve"> celebrar un diálogo interactivo ampliado sobre la situación de los derechos humanos en Eritrea en su 52º período de sesiones, con la participación, entre otros, del Relator Especial, la Oficina del Alto Comisionado de las Naciones Unidas para los Derechos Humanos, la sociedad civil y otras partes interesadas;</w:t>
      </w:r>
    </w:p>
    <w:p w14:paraId="3C99FC60" w14:textId="77777777" w:rsidR="00B270C7" w:rsidRPr="00B270C7" w:rsidRDefault="00B270C7" w:rsidP="00B270C7">
      <w:pPr>
        <w:pStyle w:val="SingleTxtG"/>
        <w:rPr>
          <w:bCs/>
        </w:rPr>
      </w:pPr>
      <w:r w:rsidRPr="00B270C7">
        <w:tab/>
        <w:t>5.</w:t>
      </w:r>
      <w:r w:rsidRPr="00B270C7">
        <w:tab/>
      </w:r>
      <w:r w:rsidRPr="00B270C7">
        <w:rPr>
          <w:i/>
          <w:iCs/>
        </w:rPr>
        <w:t>Exhorta</w:t>
      </w:r>
      <w:r w:rsidRPr="00B270C7">
        <w:t xml:space="preserve"> al Gobierno de Eritrea a cooperar plenamente con el Relator Especial, entre otras formas permitiéndole acceder al país y comprometiéndose a realizar progresos en relación con las recomendaciones incluidas en sus informes y con los parámetros e indicadores asociados propuestos en 2019, a saber</w:t>
      </w:r>
      <w:r w:rsidRPr="00B270C7">
        <w:rPr>
          <w:sz w:val="18"/>
          <w:szCs w:val="18"/>
          <w:vertAlign w:val="superscript"/>
        </w:rPr>
        <w:footnoteReference w:id="3"/>
      </w:r>
      <w:r w:rsidRPr="00B270C7">
        <w:t>:</w:t>
      </w:r>
    </w:p>
    <w:p w14:paraId="7A73BF32" w14:textId="77777777" w:rsidR="00B270C7" w:rsidRPr="00B270C7" w:rsidRDefault="00B270C7" w:rsidP="00B270C7">
      <w:pPr>
        <w:pStyle w:val="SingleTxtG"/>
      </w:pPr>
      <w:r w:rsidRPr="00B270C7">
        <w:tab/>
        <w:t>a)</w:t>
      </w:r>
      <w:r w:rsidRPr="00B270C7">
        <w:tab/>
        <w:t>Avances en la promoción del estado de derecho y el fortalecimiento de las instituciones judiciales y de orden público nacionales;</w:t>
      </w:r>
    </w:p>
    <w:p w14:paraId="457AD694" w14:textId="77777777" w:rsidR="00B270C7" w:rsidRPr="00B270C7" w:rsidRDefault="00B270C7" w:rsidP="00B270C7">
      <w:pPr>
        <w:pStyle w:val="SingleTxtG"/>
      </w:pPr>
      <w:r w:rsidRPr="00B270C7">
        <w:tab/>
        <w:t>b)</w:t>
      </w:r>
      <w:r w:rsidRPr="00B270C7">
        <w:tab/>
        <w:t>Compromiso claro de introducción de reformas en el servicio militar/nacional;</w:t>
      </w:r>
    </w:p>
    <w:p w14:paraId="1486B785" w14:textId="0DAD4B6E" w:rsidR="00B270C7" w:rsidRPr="00B270C7" w:rsidRDefault="00B270C7" w:rsidP="00B270C7">
      <w:pPr>
        <w:pStyle w:val="SingleTxtG"/>
      </w:pPr>
      <w:r w:rsidRPr="00B270C7">
        <w:tab/>
        <w:t>c)</w:t>
      </w:r>
      <w:r w:rsidRPr="00B270C7">
        <w:tab/>
        <w:t>Mayores esfuerzos para respetar, proteger y hacer realidad los derechos a la libertad de religión o de creencias, de reunión pacífica, de asociación, de opinión y de expresión, incluidos los de los miembros de la prensa, y mayores esfuerzos para poner fin a la discriminación religiosa y étnica;</w:t>
      </w:r>
    </w:p>
    <w:p w14:paraId="0F3B354C" w14:textId="77777777" w:rsidR="00B270C7" w:rsidRPr="00B270C7" w:rsidRDefault="00B270C7" w:rsidP="00B270C7">
      <w:pPr>
        <w:pStyle w:val="SingleTxtG"/>
      </w:pPr>
      <w:r w:rsidRPr="00B270C7">
        <w:tab/>
        <w:t>d)</w:t>
      </w:r>
      <w:r w:rsidRPr="00B270C7">
        <w:tab/>
        <w:t>Compromiso claro de hacer frente a todas las formas de violencia sexual y por razón de género y de promover los derechos de la mujer y la niña y la igualdad entre los géneros;</w:t>
      </w:r>
    </w:p>
    <w:p w14:paraId="6D785F20" w14:textId="77777777" w:rsidR="00B270C7" w:rsidRPr="00B270C7" w:rsidRDefault="00B270C7" w:rsidP="00B270C7">
      <w:pPr>
        <w:pStyle w:val="SingleTxtG"/>
      </w:pPr>
      <w:r w:rsidRPr="00B270C7">
        <w:tab/>
        <w:t>e)</w:t>
      </w:r>
      <w:r w:rsidRPr="00B270C7">
        <w:tab/>
        <w:t>Fortalecimiento de la cooperación con los órganos especializados de derechos humanos de las Naciones Unidas, los organismos internacionales y la Comisión Africana de Derechos Humanos y de los Pueblos;</w:t>
      </w:r>
    </w:p>
    <w:p w14:paraId="3DE64982" w14:textId="77777777" w:rsidR="00B270C7" w:rsidRPr="00B270C7" w:rsidRDefault="00B270C7" w:rsidP="00B270C7">
      <w:pPr>
        <w:pStyle w:val="SingleTxtG"/>
      </w:pPr>
      <w:r w:rsidRPr="00B270C7">
        <w:tab/>
        <w:t>6.</w:t>
      </w:r>
      <w:r w:rsidRPr="00B270C7">
        <w:tab/>
      </w:r>
      <w:r w:rsidRPr="00B270C7">
        <w:rPr>
          <w:i/>
          <w:iCs/>
        </w:rPr>
        <w:t>Alienta</w:t>
      </w:r>
      <w:r w:rsidRPr="00B270C7">
        <w:t xml:space="preserve"> al Gobierno de Eritrea a aplicar las recomendaciones aceptadas por el Estado durante el tercer ciclo del examen periódico universal;</w:t>
      </w:r>
    </w:p>
    <w:p w14:paraId="469ED5DF" w14:textId="77777777" w:rsidR="00B270C7" w:rsidRPr="00B270C7" w:rsidRDefault="00B270C7" w:rsidP="00B270C7">
      <w:pPr>
        <w:pStyle w:val="SingleTxtG"/>
      </w:pPr>
      <w:r w:rsidRPr="00B270C7">
        <w:tab/>
        <w:t>7.</w:t>
      </w:r>
      <w:r w:rsidRPr="00B270C7">
        <w:tab/>
      </w:r>
      <w:r w:rsidRPr="00B270C7">
        <w:rPr>
          <w:i/>
          <w:iCs/>
        </w:rPr>
        <w:t>Solicita</w:t>
      </w:r>
      <w:r w:rsidRPr="00B270C7">
        <w:t xml:space="preserve"> al Secretario General que proporcione al Relator Especial toda la información y los recursos necesarios para llevar a cabo su mandato;</w:t>
      </w:r>
    </w:p>
    <w:p w14:paraId="567F9717" w14:textId="77777777" w:rsidR="00B270C7" w:rsidRPr="00B270C7" w:rsidRDefault="00B270C7" w:rsidP="00B270C7">
      <w:pPr>
        <w:pStyle w:val="SingleTxtG"/>
      </w:pPr>
      <w:r w:rsidRPr="00B270C7">
        <w:tab/>
        <w:t>8.</w:t>
      </w:r>
      <w:r w:rsidRPr="00B270C7">
        <w:tab/>
      </w:r>
      <w:r w:rsidRPr="00B270C7">
        <w:rPr>
          <w:i/>
          <w:iCs/>
        </w:rPr>
        <w:t>Decide</w:t>
      </w:r>
      <w:r w:rsidRPr="00B270C7">
        <w:t xml:space="preserve"> seguir ocupándose de la cuestión.</w:t>
      </w:r>
    </w:p>
    <w:p w14:paraId="516DAAFE" w14:textId="482682AE" w:rsidR="00C76F43" w:rsidRPr="00B270C7" w:rsidRDefault="00B270C7" w:rsidP="00B270C7">
      <w:pPr>
        <w:pStyle w:val="SingleTxtG"/>
        <w:suppressAutoHyphens/>
        <w:spacing w:before="240" w:after="0"/>
        <w:jc w:val="center"/>
        <w:rPr>
          <w:u w:val="single"/>
        </w:rPr>
      </w:pPr>
      <w:r>
        <w:rPr>
          <w:u w:val="single"/>
        </w:rPr>
        <w:tab/>
      </w:r>
      <w:r>
        <w:rPr>
          <w:u w:val="single"/>
        </w:rPr>
        <w:tab/>
      </w:r>
      <w:r>
        <w:rPr>
          <w:u w:val="single"/>
        </w:rPr>
        <w:tab/>
      </w:r>
    </w:p>
    <w:sectPr w:rsidR="00C76F43" w:rsidRPr="00B270C7" w:rsidSect="00C76F4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A221" w14:textId="77777777" w:rsidR="00C657CF" w:rsidRPr="00A312BC" w:rsidRDefault="00C657CF" w:rsidP="00A312BC">
      <w:pPr>
        <w:pStyle w:val="Piedepgina"/>
      </w:pPr>
    </w:p>
  </w:endnote>
  <w:endnote w:type="continuationSeparator" w:id="0">
    <w:p w14:paraId="0A11961E" w14:textId="77777777" w:rsidR="00C657CF" w:rsidRPr="00A312BC" w:rsidRDefault="00C657C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DDBB" w14:textId="7BE09949" w:rsidR="00C76F43" w:rsidRPr="00C76F43" w:rsidRDefault="00C76F43" w:rsidP="00C76F43">
    <w:pPr>
      <w:pStyle w:val="Piedepgina"/>
      <w:tabs>
        <w:tab w:val="right" w:pos="9638"/>
      </w:tabs>
    </w:pPr>
    <w:r w:rsidRPr="00C76F43">
      <w:rPr>
        <w:b/>
        <w:sz w:val="18"/>
      </w:rPr>
      <w:fldChar w:fldCharType="begin"/>
    </w:r>
    <w:r w:rsidRPr="00C76F43">
      <w:rPr>
        <w:b/>
        <w:sz w:val="18"/>
      </w:rPr>
      <w:instrText xml:space="preserve"> PAGE  \* MERGEFORMAT </w:instrText>
    </w:r>
    <w:r w:rsidRPr="00C76F43">
      <w:rPr>
        <w:b/>
        <w:sz w:val="18"/>
      </w:rPr>
      <w:fldChar w:fldCharType="separate"/>
    </w:r>
    <w:r w:rsidRPr="00C76F43">
      <w:rPr>
        <w:b/>
        <w:noProof/>
        <w:sz w:val="18"/>
      </w:rPr>
      <w:t>2</w:t>
    </w:r>
    <w:r w:rsidRPr="00C76F43">
      <w:rPr>
        <w:b/>
        <w:sz w:val="18"/>
      </w:rPr>
      <w:fldChar w:fldCharType="end"/>
    </w:r>
    <w:r>
      <w:rPr>
        <w:b/>
        <w:sz w:val="18"/>
      </w:rPr>
      <w:tab/>
    </w:r>
    <w:r>
      <w:t>GE.22-10264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AB9A" w14:textId="28EB1364" w:rsidR="00C76F43" w:rsidRPr="00C76F43" w:rsidRDefault="00C76F43" w:rsidP="00C76F43">
    <w:pPr>
      <w:pStyle w:val="Piedepgina"/>
      <w:tabs>
        <w:tab w:val="right" w:pos="9638"/>
      </w:tabs>
      <w:rPr>
        <w:b/>
        <w:sz w:val="18"/>
      </w:rPr>
    </w:pPr>
    <w:r>
      <w:t>GE.22-10264</w:t>
    </w:r>
    <w:r>
      <w:tab/>
    </w:r>
    <w:r w:rsidRPr="00C76F43">
      <w:rPr>
        <w:b/>
        <w:sz w:val="18"/>
      </w:rPr>
      <w:fldChar w:fldCharType="begin"/>
    </w:r>
    <w:r w:rsidRPr="00C76F43">
      <w:rPr>
        <w:b/>
        <w:sz w:val="18"/>
      </w:rPr>
      <w:instrText xml:space="preserve"> PAGE  \* MERGEFORMAT </w:instrText>
    </w:r>
    <w:r w:rsidRPr="00C76F43">
      <w:rPr>
        <w:b/>
        <w:sz w:val="18"/>
      </w:rPr>
      <w:fldChar w:fldCharType="separate"/>
    </w:r>
    <w:r w:rsidRPr="00C76F43">
      <w:rPr>
        <w:b/>
        <w:noProof/>
        <w:sz w:val="18"/>
      </w:rPr>
      <w:t>3</w:t>
    </w:r>
    <w:r w:rsidRPr="00C76F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524A" w14:textId="17102081" w:rsidR="00042B72" w:rsidRPr="00C76F43" w:rsidRDefault="00C76F43" w:rsidP="00C76F43">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7C97E4A9" wp14:editId="3760F43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22-10264  (S)</w:t>
    </w:r>
    <w:r>
      <w:rPr>
        <w:noProof/>
        <w:sz w:val="20"/>
      </w:rPr>
      <w:drawing>
        <wp:anchor distT="0" distB="0" distL="114300" distR="114300" simplePos="0" relativeHeight="251658752" behindDoc="0" locked="0" layoutInCell="1" allowOverlap="1" wp14:anchorId="53B3D2DF" wp14:editId="052466D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0C7">
      <w:rPr>
        <w:sz w:val="20"/>
      </w:rPr>
      <w:t xml:space="preserve">    010722    010722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A576" w14:textId="77777777" w:rsidR="00C657CF" w:rsidRPr="001075E9" w:rsidRDefault="00C657CF" w:rsidP="001075E9">
      <w:pPr>
        <w:tabs>
          <w:tab w:val="right" w:pos="2155"/>
        </w:tabs>
        <w:spacing w:after="80" w:line="240" w:lineRule="auto"/>
        <w:ind w:left="680"/>
        <w:rPr>
          <w:u w:val="single"/>
        </w:rPr>
      </w:pPr>
      <w:r>
        <w:rPr>
          <w:u w:val="single"/>
        </w:rPr>
        <w:tab/>
      </w:r>
    </w:p>
  </w:footnote>
  <w:footnote w:type="continuationSeparator" w:id="0">
    <w:p w14:paraId="3BFE3D81" w14:textId="77777777" w:rsidR="00C657CF" w:rsidRDefault="00C657CF" w:rsidP="00407B78">
      <w:pPr>
        <w:tabs>
          <w:tab w:val="right" w:pos="2155"/>
        </w:tabs>
        <w:spacing w:after="80"/>
        <w:ind w:left="680"/>
        <w:rPr>
          <w:u w:val="single"/>
        </w:rPr>
      </w:pPr>
      <w:r>
        <w:rPr>
          <w:u w:val="single"/>
        </w:rPr>
        <w:tab/>
      </w:r>
    </w:p>
  </w:footnote>
  <w:footnote w:id="1">
    <w:p w14:paraId="17B1125B" w14:textId="3CD04FB0" w:rsidR="00B270C7" w:rsidRPr="00B270C7" w:rsidRDefault="00B270C7" w:rsidP="00B270C7">
      <w:pPr>
        <w:pStyle w:val="Textonotapie"/>
        <w:rPr>
          <w:sz w:val="20"/>
        </w:rPr>
      </w:pPr>
      <w:r>
        <w:tab/>
      </w:r>
      <w:r w:rsidRPr="00B270C7">
        <w:rPr>
          <w:rStyle w:val="Refdenotaalpie"/>
          <w:sz w:val="20"/>
          <w:vertAlign w:val="baseline"/>
        </w:rPr>
        <w:t>*</w:t>
      </w:r>
      <w:r w:rsidRPr="00B270C7">
        <w:rPr>
          <w:rStyle w:val="Refdenotaalpie"/>
          <w:vertAlign w:val="baseline"/>
        </w:rPr>
        <w:tab/>
      </w:r>
      <w:r w:rsidRPr="00B270C7">
        <w:t>Estado no miembro del Consejo de Derechos Humanos.</w:t>
      </w:r>
    </w:p>
  </w:footnote>
  <w:footnote w:id="2">
    <w:p w14:paraId="77D42757" w14:textId="574B50BB" w:rsidR="00B270C7" w:rsidRPr="00D51AE0" w:rsidRDefault="00B270C7" w:rsidP="00B270C7">
      <w:pPr>
        <w:pStyle w:val="Textonotapie"/>
      </w:pPr>
      <w:r>
        <w:tab/>
      </w:r>
      <w:r w:rsidRPr="00D51AE0">
        <w:rPr>
          <w:rStyle w:val="Refdenotaalpie"/>
        </w:rPr>
        <w:footnoteRef/>
      </w:r>
      <w:r>
        <w:tab/>
      </w:r>
      <w:r w:rsidRPr="00D51AE0">
        <w:t>A/HRC/50/20.</w:t>
      </w:r>
    </w:p>
  </w:footnote>
  <w:footnote w:id="3">
    <w:p w14:paraId="20F63A94" w14:textId="2E44998D" w:rsidR="00B270C7" w:rsidRPr="00D51AE0" w:rsidRDefault="00B270C7" w:rsidP="00B270C7">
      <w:pPr>
        <w:pStyle w:val="Textonotapie"/>
      </w:pPr>
      <w:r>
        <w:tab/>
      </w:r>
      <w:r w:rsidRPr="00D51AE0">
        <w:rPr>
          <w:rStyle w:val="Refdenotaalpie"/>
        </w:rPr>
        <w:footnoteRef/>
      </w:r>
      <w:r>
        <w:tab/>
      </w:r>
      <w:r w:rsidRPr="00D51AE0">
        <w:t>Véase A/HRC/41/53, párrs. 78 a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90E8" w14:textId="7DC286CF" w:rsidR="00C76F43" w:rsidRPr="00C76F43" w:rsidRDefault="00C76F43">
    <w:pPr>
      <w:pStyle w:val="Encabezado"/>
    </w:pPr>
    <w:fldSimple w:instr=" TITLE  \* MERGEFORMAT ">
      <w:r>
        <w:t>A/HRC/50/L.19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82DB" w14:textId="0293E28B" w:rsidR="00C76F43" w:rsidRPr="00C76F43" w:rsidRDefault="00C76F43" w:rsidP="00C76F43">
    <w:pPr>
      <w:pStyle w:val="Encabezado"/>
      <w:jc w:val="right"/>
    </w:pPr>
    <w:fldSimple w:instr=" TITLE  \* MERGEFORMAT ">
      <w:r>
        <w:t>A/HRC/50/L.19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CF"/>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91B91"/>
    <w:rsid w:val="002A2EFC"/>
    <w:rsid w:val="002C0E18"/>
    <w:rsid w:val="002D5AAC"/>
    <w:rsid w:val="002E5067"/>
    <w:rsid w:val="002F405F"/>
    <w:rsid w:val="002F7EEC"/>
    <w:rsid w:val="00301299"/>
    <w:rsid w:val="00307FB6"/>
    <w:rsid w:val="00317339"/>
    <w:rsid w:val="00322004"/>
    <w:rsid w:val="003402C2"/>
    <w:rsid w:val="00381C24"/>
    <w:rsid w:val="003958D0"/>
    <w:rsid w:val="003A0B9C"/>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7B3"/>
    <w:rsid w:val="00A978F1"/>
    <w:rsid w:val="00AB4B51"/>
    <w:rsid w:val="00B10CC7"/>
    <w:rsid w:val="00B270C7"/>
    <w:rsid w:val="00B357BC"/>
    <w:rsid w:val="00B42844"/>
    <w:rsid w:val="00B539E7"/>
    <w:rsid w:val="00B62458"/>
    <w:rsid w:val="00BC18B2"/>
    <w:rsid w:val="00BD33EE"/>
    <w:rsid w:val="00C106D6"/>
    <w:rsid w:val="00C454CB"/>
    <w:rsid w:val="00C60F0C"/>
    <w:rsid w:val="00C657CF"/>
    <w:rsid w:val="00C76F43"/>
    <w:rsid w:val="00C805C9"/>
    <w:rsid w:val="00C92939"/>
    <w:rsid w:val="00CA1679"/>
    <w:rsid w:val="00CB151C"/>
    <w:rsid w:val="00CD0C97"/>
    <w:rsid w:val="00CE5A1A"/>
    <w:rsid w:val="00CF55F6"/>
    <w:rsid w:val="00D33D63"/>
    <w:rsid w:val="00D90138"/>
    <w:rsid w:val="00E728B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DC35E"/>
  <w15:docId w15:val="{28AFF5C7-EF49-4D96-B4BE-8DBC57FE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652</Words>
  <Characters>3580</Characters>
  <Application>Microsoft Office Word</Application>
  <DocSecurity>0</DocSecurity>
  <Lines>72</Lines>
  <Paragraphs>32</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A/HRC/50/L.19</dc:title>
  <dc:subject/>
  <dc:creator>Angel ANGEL-MORENO-TORRES</dc:creator>
  <cp:keywords/>
  <cp:lastModifiedBy>Angel Moreno Torres</cp:lastModifiedBy>
  <cp:revision>2</cp:revision>
  <cp:lastPrinted>2008-01-15T07:58:00Z</cp:lastPrinted>
  <dcterms:created xsi:type="dcterms:W3CDTF">2022-07-01T10:11:00Z</dcterms:created>
  <dcterms:modified xsi:type="dcterms:W3CDTF">2022-07-01T10:11:00Z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