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33232473" w14:textId="77777777" w:rsidTr="00E6618E">
        <w:trPr>
          <w:trHeight w:hRule="exact" w:val="851"/>
        </w:trPr>
        <w:tc>
          <w:tcPr>
            <w:tcW w:w="1276" w:type="dxa"/>
            <w:tcBorders>
              <w:bottom w:val="single" w:sz="4" w:space="0" w:color="auto"/>
            </w:tcBorders>
          </w:tcPr>
          <w:p w14:paraId="715C8C88" w14:textId="77777777" w:rsidR="00A12E20" w:rsidRPr="00DB58B5" w:rsidRDefault="00A12E20" w:rsidP="00692C1A"/>
        </w:tc>
        <w:tc>
          <w:tcPr>
            <w:tcW w:w="2268" w:type="dxa"/>
            <w:tcBorders>
              <w:bottom w:val="single" w:sz="4" w:space="0" w:color="auto"/>
            </w:tcBorders>
            <w:vAlign w:val="bottom"/>
          </w:tcPr>
          <w:p w14:paraId="06883D76"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AA9BAE" w14:textId="2FA1BCEF" w:rsidR="00A12E20" w:rsidRPr="00DB58B5" w:rsidRDefault="00692C1A" w:rsidP="00692C1A">
            <w:pPr>
              <w:jc w:val="right"/>
            </w:pPr>
            <w:r w:rsidRPr="00692C1A">
              <w:rPr>
                <w:sz w:val="40"/>
              </w:rPr>
              <w:t>A</w:t>
            </w:r>
            <w:r>
              <w:t>/HRC/50/L.7</w:t>
            </w:r>
          </w:p>
        </w:tc>
      </w:tr>
      <w:tr w:rsidR="00A12E20" w:rsidRPr="00DB58B5" w14:paraId="25788F14" w14:textId="77777777" w:rsidTr="00E6618E">
        <w:trPr>
          <w:trHeight w:hRule="exact" w:val="2835"/>
        </w:trPr>
        <w:tc>
          <w:tcPr>
            <w:tcW w:w="1276" w:type="dxa"/>
            <w:tcBorders>
              <w:top w:val="single" w:sz="4" w:space="0" w:color="auto"/>
              <w:bottom w:val="single" w:sz="12" w:space="0" w:color="auto"/>
            </w:tcBorders>
          </w:tcPr>
          <w:p w14:paraId="663A1921" w14:textId="77777777" w:rsidR="00A12E20" w:rsidRPr="00DB58B5" w:rsidRDefault="00A12E20" w:rsidP="00E6618E">
            <w:pPr>
              <w:spacing w:before="120"/>
              <w:jc w:val="center"/>
            </w:pPr>
            <w:r>
              <w:rPr>
                <w:noProof/>
                <w:lang w:eastAsia="fr-CH"/>
              </w:rPr>
              <w:drawing>
                <wp:inline distT="0" distB="0" distL="0" distR="0" wp14:anchorId="2A9256B2" wp14:editId="4B14BE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E30085"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28626E0" w14:textId="77777777" w:rsidR="00A12E20" w:rsidRDefault="00692C1A" w:rsidP="00E6618E">
            <w:pPr>
              <w:spacing w:before="240"/>
            </w:pPr>
            <w:r>
              <w:t>Distr. limitée</w:t>
            </w:r>
          </w:p>
          <w:p w14:paraId="4CDD8D1D" w14:textId="0675C2D3" w:rsidR="00692C1A" w:rsidRDefault="00692C1A" w:rsidP="00692C1A">
            <w:pPr>
              <w:spacing w:line="240" w:lineRule="exact"/>
            </w:pPr>
            <w:r>
              <w:t>1</w:t>
            </w:r>
            <w:r w:rsidRPr="00692C1A">
              <w:rPr>
                <w:vertAlign w:val="superscript"/>
              </w:rPr>
              <w:t>er</w:t>
            </w:r>
            <w:r>
              <w:t xml:space="preserve"> juillet 2022</w:t>
            </w:r>
          </w:p>
          <w:p w14:paraId="621C8B84" w14:textId="77777777" w:rsidR="00692C1A" w:rsidRDefault="00692C1A" w:rsidP="00692C1A">
            <w:pPr>
              <w:spacing w:line="240" w:lineRule="exact"/>
            </w:pPr>
            <w:r>
              <w:t>Français</w:t>
            </w:r>
          </w:p>
          <w:p w14:paraId="6897DFFB" w14:textId="213577EA" w:rsidR="00692C1A" w:rsidRPr="00DB58B5" w:rsidRDefault="00692C1A" w:rsidP="00692C1A">
            <w:pPr>
              <w:spacing w:line="240" w:lineRule="exact"/>
            </w:pPr>
            <w:r>
              <w:t>Original : anglais</w:t>
            </w:r>
          </w:p>
        </w:tc>
      </w:tr>
    </w:tbl>
    <w:p w14:paraId="1D15C583" w14:textId="2D6AFC90" w:rsidR="00D45432" w:rsidRDefault="00D45432" w:rsidP="00D45432">
      <w:pPr>
        <w:spacing w:before="120"/>
        <w:rPr>
          <w:b/>
          <w:sz w:val="24"/>
          <w:szCs w:val="24"/>
        </w:rPr>
      </w:pPr>
      <w:r w:rsidRPr="00BA184E">
        <w:rPr>
          <w:b/>
          <w:sz w:val="24"/>
          <w:szCs w:val="24"/>
        </w:rPr>
        <w:t>Conseil des droits de l</w:t>
      </w:r>
      <w:r w:rsidR="00692C1A">
        <w:rPr>
          <w:b/>
          <w:sz w:val="24"/>
          <w:szCs w:val="24"/>
        </w:rPr>
        <w:t>’</w:t>
      </w:r>
      <w:r w:rsidRPr="00BA184E">
        <w:rPr>
          <w:b/>
          <w:sz w:val="24"/>
          <w:szCs w:val="24"/>
        </w:rPr>
        <w:t>homme</w:t>
      </w:r>
    </w:p>
    <w:p w14:paraId="6115D425" w14:textId="77777777" w:rsidR="00692C1A" w:rsidRPr="000B0BCC" w:rsidRDefault="00692C1A" w:rsidP="00692C1A">
      <w:pPr>
        <w:rPr>
          <w:b/>
          <w:lang w:val="fr-FR"/>
        </w:rPr>
      </w:pPr>
      <w:r>
        <w:rPr>
          <w:b/>
          <w:bCs/>
          <w:lang w:val="fr-FR"/>
        </w:rPr>
        <w:t>Cinquantième session</w:t>
      </w:r>
    </w:p>
    <w:p w14:paraId="1D786B3B" w14:textId="77777777" w:rsidR="00692C1A" w:rsidRPr="000B0BCC" w:rsidRDefault="00692C1A" w:rsidP="00692C1A">
      <w:pPr>
        <w:rPr>
          <w:lang w:val="fr-FR"/>
        </w:rPr>
      </w:pPr>
      <w:r>
        <w:rPr>
          <w:lang w:val="fr-FR"/>
        </w:rPr>
        <w:t>13 juin-8 juillet 2022</w:t>
      </w:r>
    </w:p>
    <w:p w14:paraId="2FB67D78" w14:textId="377C6F50" w:rsidR="00692C1A" w:rsidRPr="000B0BCC" w:rsidRDefault="00692C1A" w:rsidP="00692C1A">
      <w:pPr>
        <w:rPr>
          <w:lang w:val="fr-FR"/>
        </w:rPr>
      </w:pPr>
      <w:r>
        <w:rPr>
          <w:lang w:val="fr-FR"/>
        </w:rPr>
        <w:t>Point 3 de l</w:t>
      </w:r>
      <w:r>
        <w:rPr>
          <w:lang w:val="fr-FR"/>
        </w:rPr>
        <w:t>’</w:t>
      </w:r>
      <w:r>
        <w:rPr>
          <w:lang w:val="fr-FR"/>
        </w:rPr>
        <w:t>ordre du jour</w:t>
      </w:r>
    </w:p>
    <w:p w14:paraId="06F81F91" w14:textId="6123E5A9" w:rsidR="00692C1A" w:rsidRPr="000B0BCC" w:rsidRDefault="00692C1A" w:rsidP="00692C1A">
      <w:pPr>
        <w:rPr>
          <w:b/>
          <w:lang w:val="fr-FR"/>
        </w:rPr>
      </w:pPr>
      <w:r>
        <w:rPr>
          <w:b/>
          <w:bCs/>
          <w:lang w:val="fr-FR"/>
        </w:rPr>
        <w:t>Promotion et protection de tous les droits de l</w:t>
      </w:r>
      <w:r>
        <w:rPr>
          <w:b/>
          <w:bCs/>
          <w:lang w:val="fr-FR"/>
        </w:rPr>
        <w:t>’</w:t>
      </w:r>
      <w:r>
        <w:rPr>
          <w:b/>
          <w:bCs/>
          <w:lang w:val="fr-FR"/>
        </w:rPr>
        <w:t xml:space="preserve">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14:paraId="77DFAF46" w14:textId="43D92A59" w:rsidR="00692C1A" w:rsidRPr="00692C1A" w:rsidRDefault="00692C1A" w:rsidP="00692C1A">
      <w:pPr>
        <w:pStyle w:val="H23G"/>
      </w:pPr>
      <w:r>
        <w:rPr>
          <w:lang w:val="fr-FR"/>
        </w:rPr>
        <w:tab/>
      </w:r>
      <w:r>
        <w:rPr>
          <w:lang w:val="fr-FR"/>
        </w:rPr>
        <w:tab/>
      </w:r>
      <w:r w:rsidRPr="00BC228B">
        <w:t>Albanie</w:t>
      </w:r>
      <w:r w:rsidRPr="00BC228B">
        <w:rPr>
          <w:rStyle w:val="Appelnotedebasdep"/>
          <w:rFonts w:eastAsia="Times New Roman"/>
          <w:b w:val="0"/>
          <w:sz w:val="20"/>
          <w:vertAlign w:val="baseline"/>
        </w:rPr>
        <w:footnoteReference w:customMarkFollows="1" w:id="2"/>
        <w:t>*</w:t>
      </w:r>
      <w:r w:rsidRPr="00BC228B">
        <w:t>, Allemagne</w:t>
      </w:r>
      <w:r>
        <w:t xml:space="preserve">, </w:t>
      </w:r>
      <w:r w:rsidRPr="00BC228B">
        <w:t>Andorre</w:t>
      </w:r>
      <w:r w:rsidRPr="00692C1A">
        <w:rPr>
          <w:b w:val="0"/>
          <w:bCs/>
        </w:rPr>
        <w:t>*</w:t>
      </w:r>
      <w:r>
        <w:rPr>
          <w:b w:val="0"/>
          <w:bCs/>
        </w:rPr>
        <w:t>,</w:t>
      </w:r>
      <w:r w:rsidRPr="00BC228B">
        <w:t xml:space="preserve"> Argentine</w:t>
      </w:r>
      <w:r>
        <w:t xml:space="preserve">, </w:t>
      </w:r>
      <w:r w:rsidRPr="00BC228B">
        <w:t>Australie</w:t>
      </w:r>
      <w:r w:rsidRPr="00692C1A">
        <w:rPr>
          <w:b w:val="0"/>
          <w:bCs/>
        </w:rPr>
        <w:t>*</w:t>
      </w:r>
      <w:r w:rsidRPr="00BC228B">
        <w:t>, Autriche</w:t>
      </w:r>
      <w:r w:rsidRPr="00692C1A">
        <w:rPr>
          <w:b w:val="0"/>
          <w:bCs/>
        </w:rPr>
        <w:t>*</w:t>
      </w:r>
      <w:r w:rsidRPr="00BC228B">
        <w:t>,</w:t>
      </w:r>
      <w:r>
        <w:t xml:space="preserve"> </w:t>
      </w:r>
      <w:r w:rsidRPr="00BC228B">
        <w:t>Belgique</w:t>
      </w:r>
      <w:r w:rsidRPr="00692C1A">
        <w:rPr>
          <w:b w:val="0"/>
          <w:bCs/>
        </w:rPr>
        <w:t>*</w:t>
      </w:r>
      <w:r w:rsidRPr="00BC228B">
        <w:t>, Bulgarie</w:t>
      </w:r>
      <w:r w:rsidRPr="00692C1A">
        <w:rPr>
          <w:b w:val="0"/>
          <w:bCs/>
        </w:rPr>
        <w:t>*</w:t>
      </w:r>
      <w:r w:rsidRPr="00BC228B">
        <w:t>, Canada</w:t>
      </w:r>
      <w:r w:rsidRPr="00692C1A">
        <w:rPr>
          <w:b w:val="0"/>
          <w:bCs/>
        </w:rPr>
        <w:t>*</w:t>
      </w:r>
      <w:r w:rsidRPr="00BC228B">
        <w:t>, Chili</w:t>
      </w:r>
      <w:r w:rsidRPr="00692C1A">
        <w:rPr>
          <w:b w:val="0"/>
          <w:bCs/>
        </w:rPr>
        <w:t>*</w:t>
      </w:r>
      <w:r w:rsidRPr="00BC228B">
        <w:t>,</w:t>
      </w:r>
      <w:r>
        <w:t xml:space="preserve"> </w:t>
      </w:r>
      <w:r w:rsidRPr="00BC228B">
        <w:t>Chypre</w:t>
      </w:r>
      <w:r w:rsidRPr="00692C1A">
        <w:rPr>
          <w:b w:val="0"/>
          <w:bCs/>
        </w:rPr>
        <w:t>*</w:t>
      </w:r>
      <w:r w:rsidRPr="00BC228B">
        <w:t>, Costa Rica</w:t>
      </w:r>
      <w:r w:rsidRPr="00692C1A">
        <w:rPr>
          <w:b w:val="0"/>
          <w:bCs/>
        </w:rPr>
        <w:t>*</w:t>
      </w:r>
      <w:r w:rsidRPr="00BC228B">
        <w:t>, Croatie</w:t>
      </w:r>
      <w:r w:rsidRPr="00692C1A">
        <w:rPr>
          <w:b w:val="0"/>
          <w:bCs/>
        </w:rPr>
        <w:t>*</w:t>
      </w:r>
      <w:r w:rsidRPr="00BC228B">
        <w:t>, Équateur</w:t>
      </w:r>
      <w:r w:rsidRPr="00692C1A">
        <w:rPr>
          <w:b w:val="0"/>
          <w:bCs/>
        </w:rPr>
        <w:t>*</w:t>
      </w:r>
      <w:r w:rsidRPr="00BC228B">
        <w:t>, Espagne</w:t>
      </w:r>
      <w:r w:rsidRPr="00692C1A">
        <w:rPr>
          <w:b w:val="0"/>
          <w:bCs/>
        </w:rPr>
        <w:t>*</w:t>
      </w:r>
      <w:r w:rsidRPr="00BC228B">
        <w:t>, Estonie</w:t>
      </w:r>
      <w:r w:rsidRPr="00692C1A">
        <w:rPr>
          <w:b w:val="0"/>
          <w:bCs/>
        </w:rPr>
        <w:t>*</w:t>
      </w:r>
      <w:r w:rsidRPr="00BC228B">
        <w:t>, États-Unis d</w:t>
      </w:r>
      <w:r>
        <w:t>’</w:t>
      </w:r>
      <w:r w:rsidRPr="00BC228B">
        <w:t>Amérique</w:t>
      </w:r>
      <w:r>
        <w:t xml:space="preserve">, </w:t>
      </w:r>
      <w:r w:rsidRPr="00BC228B">
        <w:t>Fidji</w:t>
      </w:r>
      <w:r w:rsidRPr="00692C1A">
        <w:rPr>
          <w:b w:val="0"/>
          <w:bCs/>
        </w:rPr>
        <w:t>*</w:t>
      </w:r>
      <w:r w:rsidRPr="00BC228B">
        <w:t>, Finlande</w:t>
      </w:r>
      <w:r>
        <w:t xml:space="preserve">, </w:t>
      </w:r>
      <w:r w:rsidRPr="00BC228B">
        <w:t>France</w:t>
      </w:r>
      <w:r>
        <w:t xml:space="preserve">, </w:t>
      </w:r>
      <w:r w:rsidRPr="00BC228B">
        <w:t>Géorgie</w:t>
      </w:r>
      <w:r w:rsidRPr="00692C1A">
        <w:rPr>
          <w:b w:val="0"/>
          <w:bCs/>
        </w:rPr>
        <w:t>*</w:t>
      </w:r>
      <w:r w:rsidRPr="00BC228B">
        <w:t>, Grèce</w:t>
      </w:r>
      <w:r w:rsidRPr="00692C1A">
        <w:rPr>
          <w:b w:val="0"/>
          <w:bCs/>
        </w:rPr>
        <w:t>*</w:t>
      </w:r>
      <w:r w:rsidRPr="00BC228B">
        <w:t>, Honduras</w:t>
      </w:r>
      <w:r>
        <w:t xml:space="preserve">, </w:t>
      </w:r>
      <w:r w:rsidRPr="00BC228B">
        <w:t>Hongrie</w:t>
      </w:r>
      <w:r w:rsidRPr="00692C1A">
        <w:rPr>
          <w:b w:val="0"/>
          <w:bCs/>
        </w:rPr>
        <w:t>*</w:t>
      </w:r>
      <w:r w:rsidRPr="00BC228B">
        <w:t>, Irlande</w:t>
      </w:r>
      <w:r w:rsidRPr="00692C1A">
        <w:rPr>
          <w:b w:val="0"/>
          <w:bCs/>
        </w:rPr>
        <w:t>*</w:t>
      </w:r>
      <w:r w:rsidRPr="00BC228B">
        <w:t>, Islande</w:t>
      </w:r>
      <w:r w:rsidRPr="00692C1A">
        <w:rPr>
          <w:b w:val="0"/>
          <w:bCs/>
        </w:rPr>
        <w:t>*</w:t>
      </w:r>
      <w:r w:rsidRPr="00BC228B">
        <w:t>, Israël</w:t>
      </w:r>
      <w:r w:rsidRPr="00692C1A">
        <w:rPr>
          <w:b w:val="0"/>
          <w:bCs/>
        </w:rPr>
        <w:t>*</w:t>
      </w:r>
      <w:r w:rsidRPr="00BC228B">
        <w:t>, Italie</w:t>
      </w:r>
      <w:r w:rsidRPr="00692C1A">
        <w:rPr>
          <w:b w:val="0"/>
          <w:bCs/>
        </w:rPr>
        <w:t>*</w:t>
      </w:r>
      <w:r w:rsidRPr="00BC228B">
        <w:t>, Lettonie</w:t>
      </w:r>
      <w:r w:rsidRPr="00692C1A">
        <w:rPr>
          <w:b w:val="0"/>
          <w:bCs/>
        </w:rPr>
        <w:t>*</w:t>
      </w:r>
      <w:r w:rsidRPr="00BC228B">
        <w:t>, Liechtenstein</w:t>
      </w:r>
      <w:r w:rsidRPr="00692C1A">
        <w:rPr>
          <w:b w:val="0"/>
          <w:bCs/>
        </w:rPr>
        <w:t>*</w:t>
      </w:r>
      <w:r w:rsidRPr="00BC228B">
        <w:t>, Lituanie</w:t>
      </w:r>
      <w:r>
        <w:t xml:space="preserve">, </w:t>
      </w:r>
      <w:r w:rsidRPr="00BC228B">
        <w:t>Luxembourg</w:t>
      </w:r>
      <w:r>
        <w:t xml:space="preserve">, </w:t>
      </w:r>
      <w:r w:rsidRPr="00BC228B">
        <w:t>Malte</w:t>
      </w:r>
      <w:r w:rsidRPr="00692C1A">
        <w:rPr>
          <w:b w:val="0"/>
          <w:bCs/>
        </w:rPr>
        <w:t>*</w:t>
      </w:r>
      <w:r w:rsidRPr="00BC228B">
        <w:t>, Mexique</w:t>
      </w:r>
      <w:r>
        <w:t xml:space="preserve">, </w:t>
      </w:r>
      <w:r w:rsidRPr="00BC228B">
        <w:t>Monaco</w:t>
      </w:r>
      <w:r w:rsidRPr="00692C1A">
        <w:rPr>
          <w:b w:val="0"/>
          <w:bCs/>
        </w:rPr>
        <w:t>*</w:t>
      </w:r>
      <w:r w:rsidRPr="00BC228B">
        <w:t>, Monténégro</w:t>
      </w:r>
      <w:r>
        <w:t xml:space="preserve">, </w:t>
      </w:r>
      <w:r w:rsidRPr="00BC228B">
        <w:t>Népal</w:t>
      </w:r>
      <w:r>
        <w:t xml:space="preserve">, </w:t>
      </w:r>
      <w:r w:rsidRPr="00BC228B">
        <w:t>Norvège</w:t>
      </w:r>
      <w:r w:rsidRPr="00692C1A">
        <w:rPr>
          <w:b w:val="0"/>
          <w:bCs/>
        </w:rPr>
        <w:t>*</w:t>
      </w:r>
      <w:r w:rsidRPr="00BC228B">
        <w:t>,</w:t>
      </w:r>
      <w:r>
        <w:t xml:space="preserve"> </w:t>
      </w:r>
      <w:r w:rsidRPr="00BC228B">
        <w:t>Nouvelle-Zélande</w:t>
      </w:r>
      <w:r w:rsidRPr="00692C1A">
        <w:rPr>
          <w:b w:val="0"/>
          <w:bCs/>
        </w:rPr>
        <w:t>*</w:t>
      </w:r>
      <w:r w:rsidRPr="00BC228B">
        <w:t>, Paraguay</w:t>
      </w:r>
      <w:r>
        <w:t xml:space="preserve">, </w:t>
      </w:r>
      <w:r w:rsidRPr="00BC228B">
        <w:t>Pays-Bas</w:t>
      </w:r>
      <w:r>
        <w:t xml:space="preserve">, </w:t>
      </w:r>
      <w:r w:rsidRPr="00BC228B">
        <w:t>Pérou</w:t>
      </w:r>
      <w:r w:rsidRPr="00692C1A">
        <w:rPr>
          <w:b w:val="0"/>
          <w:bCs/>
        </w:rPr>
        <w:t>*</w:t>
      </w:r>
      <w:r w:rsidRPr="00BC228B">
        <w:t>,</w:t>
      </w:r>
      <w:r>
        <w:t xml:space="preserve"> </w:t>
      </w:r>
      <w:r w:rsidRPr="00BC228B">
        <w:t>Portugal</w:t>
      </w:r>
      <w:r w:rsidRPr="00692C1A">
        <w:rPr>
          <w:b w:val="0"/>
          <w:bCs/>
        </w:rPr>
        <w:t>*</w:t>
      </w:r>
      <w:r w:rsidRPr="00BC228B">
        <w:t>, République de Corée</w:t>
      </w:r>
      <w:r>
        <w:t xml:space="preserve">, </w:t>
      </w:r>
      <w:r w:rsidRPr="00BC228B">
        <w:t>République de Moldova</w:t>
      </w:r>
      <w:r w:rsidRPr="00692C1A">
        <w:rPr>
          <w:b w:val="0"/>
          <w:bCs/>
        </w:rPr>
        <w:t>*</w:t>
      </w:r>
      <w:r w:rsidRPr="00BC228B">
        <w:t>, Roumanie</w:t>
      </w:r>
      <w:r w:rsidRPr="00692C1A">
        <w:rPr>
          <w:b w:val="0"/>
          <w:bCs/>
        </w:rPr>
        <w:t>*</w:t>
      </w:r>
      <w:r w:rsidRPr="00BC228B">
        <w:t xml:space="preserve">, </w:t>
      </w:r>
      <w:r>
        <w:t xml:space="preserve">Royaume-Uni, </w:t>
      </w:r>
      <w:r w:rsidRPr="00BC228B">
        <w:t>Slovaquie</w:t>
      </w:r>
      <w:r w:rsidRPr="00692C1A">
        <w:rPr>
          <w:b w:val="0"/>
          <w:bCs/>
        </w:rPr>
        <w:t>*</w:t>
      </w:r>
      <w:r w:rsidRPr="00BC228B">
        <w:t>, Slovénie</w:t>
      </w:r>
      <w:r w:rsidRPr="00692C1A">
        <w:rPr>
          <w:b w:val="0"/>
          <w:bCs/>
        </w:rPr>
        <w:t>*</w:t>
      </w:r>
      <w:r w:rsidRPr="00BC228B">
        <w:t>, Suède</w:t>
      </w:r>
      <w:r w:rsidRPr="00692C1A">
        <w:rPr>
          <w:b w:val="0"/>
          <w:bCs/>
        </w:rPr>
        <w:t>*</w:t>
      </w:r>
      <w:r w:rsidRPr="00BC228B">
        <w:t>, Suisse</w:t>
      </w:r>
      <w:r w:rsidRPr="00692C1A">
        <w:rPr>
          <w:b w:val="0"/>
          <w:bCs/>
        </w:rPr>
        <w:t>*</w:t>
      </w:r>
      <w:r w:rsidRPr="00BC228B">
        <w:t>, Tchéquie</w:t>
      </w:r>
      <w:r>
        <w:t xml:space="preserve">, </w:t>
      </w:r>
      <w:r w:rsidRPr="00BC228B">
        <w:t>Türkiye</w:t>
      </w:r>
      <w:r w:rsidRPr="00692C1A">
        <w:rPr>
          <w:b w:val="0"/>
          <w:bCs/>
        </w:rPr>
        <w:t>*</w:t>
      </w:r>
      <w:r w:rsidRPr="00BC228B">
        <w:t>, Ukraine</w:t>
      </w:r>
      <w:r>
        <w:t xml:space="preserve"> et</w:t>
      </w:r>
      <w:r>
        <w:t xml:space="preserve"> </w:t>
      </w:r>
      <w:r w:rsidRPr="00BC228B">
        <w:t>Uruguay</w:t>
      </w:r>
      <w:r w:rsidRPr="00692C1A">
        <w:rPr>
          <w:b w:val="0"/>
          <w:bCs/>
        </w:rPr>
        <w:t>*</w:t>
      </w:r>
      <w:r>
        <w:rPr>
          <w:b w:val="0"/>
          <w:bCs/>
        </w:rPr>
        <w:t> </w:t>
      </w:r>
      <w:r>
        <w:rPr>
          <w:bCs/>
          <w:lang w:val="fr-FR"/>
        </w:rPr>
        <w:t xml:space="preserve">: projet de résolution </w:t>
      </w:r>
      <w:bookmarkStart w:id="0" w:name="_Hlk107504199"/>
    </w:p>
    <w:bookmarkEnd w:id="0"/>
    <w:p w14:paraId="5B541A12" w14:textId="50603381" w:rsidR="00692C1A" w:rsidRPr="000B0BCC" w:rsidRDefault="00692C1A" w:rsidP="00692C1A">
      <w:pPr>
        <w:pStyle w:val="H1G"/>
        <w:ind w:left="1814" w:hanging="680"/>
        <w:rPr>
          <w:lang w:val="fr-FR"/>
        </w:rPr>
      </w:pPr>
      <w:r>
        <w:rPr>
          <w:lang w:val="fr-FR"/>
        </w:rPr>
        <w:t>50/…</w:t>
      </w:r>
      <w:r>
        <w:rPr>
          <w:lang w:val="fr-FR"/>
        </w:rPr>
        <w:tab/>
        <w:t xml:space="preserve">Mandat de la Rapporteuse spéciale sur la violence contre </w:t>
      </w:r>
      <w:r>
        <w:rPr>
          <w:lang w:val="fr-FR"/>
        </w:rPr>
        <w:br/>
      </w:r>
      <w:r>
        <w:rPr>
          <w:lang w:val="fr-FR"/>
        </w:rPr>
        <w:t>les femmes et les filles, ses causes et ses conséquences</w:t>
      </w:r>
    </w:p>
    <w:p w14:paraId="4479184E" w14:textId="44CAE436" w:rsidR="00692C1A" w:rsidRPr="000B0BCC" w:rsidRDefault="00692C1A" w:rsidP="00692C1A">
      <w:pPr>
        <w:pStyle w:val="SingleTxtG"/>
        <w:rPr>
          <w:lang w:val="fr-FR"/>
        </w:rPr>
      </w:pPr>
      <w:r>
        <w:rPr>
          <w:lang w:val="fr-FR"/>
        </w:rPr>
        <w:tab/>
      </w:r>
      <w:r w:rsidRPr="00692C1A">
        <w:rPr>
          <w:i/>
          <w:iCs/>
          <w:lang w:val="fr-FR"/>
        </w:rPr>
        <w:t>Le Conseil des droits de l</w:t>
      </w:r>
      <w:r>
        <w:rPr>
          <w:i/>
          <w:iCs/>
          <w:lang w:val="fr-FR"/>
        </w:rPr>
        <w:t>’</w:t>
      </w:r>
      <w:r w:rsidRPr="00692C1A">
        <w:rPr>
          <w:i/>
          <w:iCs/>
          <w:lang w:val="fr-FR"/>
        </w:rPr>
        <w:t>homme</w:t>
      </w:r>
      <w:r>
        <w:rPr>
          <w:lang w:val="fr-FR"/>
        </w:rPr>
        <w:t>,</w:t>
      </w:r>
    </w:p>
    <w:p w14:paraId="74A63429" w14:textId="3A796243" w:rsidR="00692C1A" w:rsidRPr="000B0BCC" w:rsidRDefault="00692C1A" w:rsidP="00692C1A">
      <w:pPr>
        <w:pStyle w:val="SingleTxtG"/>
        <w:ind w:firstLine="567"/>
        <w:rPr>
          <w:lang w:val="fr-FR"/>
        </w:rPr>
      </w:pPr>
      <w:r>
        <w:rPr>
          <w:i/>
          <w:iCs/>
          <w:lang w:val="fr-FR"/>
        </w:rPr>
        <w:t>Réaffirmant</w:t>
      </w:r>
      <w:r>
        <w:rPr>
          <w:lang w:val="fr-FR"/>
        </w:rPr>
        <w:t xml:space="preserve"> l</w:t>
      </w:r>
      <w:r>
        <w:rPr>
          <w:lang w:val="fr-FR"/>
        </w:rPr>
        <w:t>’</w:t>
      </w:r>
      <w:r>
        <w:rPr>
          <w:lang w:val="fr-FR"/>
        </w:rPr>
        <w:t>obligation qu</w:t>
      </w:r>
      <w:r>
        <w:rPr>
          <w:lang w:val="fr-FR"/>
        </w:rPr>
        <w:t>’</w:t>
      </w:r>
      <w:r>
        <w:rPr>
          <w:lang w:val="fr-FR"/>
        </w:rPr>
        <w:t>ont tous les États de respecter, protéger et réaliser tous les droits de l</w:t>
      </w:r>
      <w:r>
        <w:rPr>
          <w:lang w:val="fr-FR"/>
        </w:rPr>
        <w:t>’</w:t>
      </w:r>
      <w:r>
        <w:rPr>
          <w:lang w:val="fr-FR"/>
        </w:rPr>
        <w:t>homme et toutes les libertés fondamentales, réaffirmant aussi la Charte des Nations</w:t>
      </w:r>
      <w:r>
        <w:rPr>
          <w:lang w:val="fr-FR"/>
        </w:rPr>
        <w:t> </w:t>
      </w:r>
      <w:r>
        <w:rPr>
          <w:lang w:val="fr-FR"/>
        </w:rPr>
        <w:t>Unies, la Déclaration universelle des droits de l</w:t>
      </w:r>
      <w:r>
        <w:rPr>
          <w:lang w:val="fr-FR"/>
        </w:rPr>
        <w:t>’</w:t>
      </w:r>
      <w:r>
        <w:rPr>
          <w:lang w:val="fr-FR"/>
        </w:rPr>
        <w:t>homme, le Pacte international relatif aux droits civils et politiques, le Pacte international relatif aux droits économiques, sociaux et culturels, la Convention sur l</w:t>
      </w:r>
      <w:r>
        <w:rPr>
          <w:lang w:val="fr-FR"/>
        </w:rPr>
        <w:t>’</w:t>
      </w:r>
      <w:r>
        <w:rPr>
          <w:lang w:val="fr-FR"/>
        </w:rPr>
        <w:t>élimination de toutes les formes de discrimination à l</w:t>
      </w:r>
      <w:r>
        <w:rPr>
          <w:lang w:val="fr-FR"/>
        </w:rPr>
        <w:t>’</w:t>
      </w:r>
      <w:r>
        <w:rPr>
          <w:lang w:val="fr-FR"/>
        </w:rPr>
        <w:t>égard des femmes, la Convention relative aux droits des personnes handicapées, la Convention relative aux droits de l</w:t>
      </w:r>
      <w:r>
        <w:rPr>
          <w:lang w:val="fr-FR"/>
        </w:rPr>
        <w:t>’</w:t>
      </w:r>
      <w:r>
        <w:rPr>
          <w:lang w:val="fr-FR"/>
        </w:rPr>
        <w:t>enfant, la Convention internationale sur l</w:t>
      </w:r>
      <w:r>
        <w:rPr>
          <w:lang w:val="fr-FR"/>
        </w:rPr>
        <w:t>’</w:t>
      </w:r>
      <w:r>
        <w:rPr>
          <w:lang w:val="fr-FR"/>
        </w:rPr>
        <w:t>élimination de toutes les formes de discrimination raciale et tous les autres instruments internationaux pertinents relatifs aux droits de l</w:t>
      </w:r>
      <w:r>
        <w:rPr>
          <w:lang w:val="fr-FR"/>
        </w:rPr>
        <w:t>’</w:t>
      </w:r>
      <w:r>
        <w:rPr>
          <w:lang w:val="fr-FR"/>
        </w:rPr>
        <w:t>homme, et conscient de l</w:t>
      </w:r>
      <w:r>
        <w:rPr>
          <w:lang w:val="fr-FR"/>
        </w:rPr>
        <w:t>’</w:t>
      </w:r>
      <w:r>
        <w:rPr>
          <w:lang w:val="fr-FR"/>
        </w:rPr>
        <w:t>importance que revêtent les Protocoles facultatifs à la Convention relative aux droits de l</w:t>
      </w:r>
      <w:r>
        <w:rPr>
          <w:lang w:val="fr-FR"/>
        </w:rPr>
        <w:t>’</w:t>
      </w:r>
      <w:r>
        <w:rPr>
          <w:lang w:val="fr-FR"/>
        </w:rPr>
        <w:t xml:space="preserve">enfant, </w:t>
      </w:r>
    </w:p>
    <w:p w14:paraId="272C0235" w14:textId="45212A2F" w:rsidR="00692C1A" w:rsidRPr="000B0BCC" w:rsidRDefault="00692C1A" w:rsidP="00692C1A">
      <w:pPr>
        <w:pStyle w:val="SingleTxtG"/>
        <w:ind w:firstLine="567"/>
        <w:rPr>
          <w:lang w:val="fr-FR"/>
        </w:rPr>
      </w:pPr>
      <w:r>
        <w:rPr>
          <w:i/>
          <w:iCs/>
          <w:lang w:val="fr-FR"/>
        </w:rPr>
        <w:t>Réaffirmant également</w:t>
      </w:r>
      <w:r>
        <w:rPr>
          <w:lang w:val="fr-FR"/>
        </w:rPr>
        <w:t xml:space="preserve"> la Déclaration et le Programme d</w:t>
      </w:r>
      <w:r>
        <w:rPr>
          <w:lang w:val="fr-FR"/>
        </w:rPr>
        <w:t>’</w:t>
      </w:r>
      <w:r>
        <w:rPr>
          <w:lang w:val="fr-FR"/>
        </w:rPr>
        <w:t>action de Vienne, la Déclaration sur l</w:t>
      </w:r>
      <w:r>
        <w:rPr>
          <w:lang w:val="fr-FR"/>
        </w:rPr>
        <w:t>’</w:t>
      </w:r>
      <w:r>
        <w:rPr>
          <w:lang w:val="fr-FR"/>
        </w:rPr>
        <w:t>élimination de la violence à l</w:t>
      </w:r>
      <w:r>
        <w:rPr>
          <w:lang w:val="fr-FR"/>
        </w:rPr>
        <w:t>’</w:t>
      </w:r>
      <w:r>
        <w:rPr>
          <w:lang w:val="fr-FR"/>
        </w:rPr>
        <w:t>égard des femmes, la Déclaration et le Programme d</w:t>
      </w:r>
      <w:r>
        <w:rPr>
          <w:lang w:val="fr-FR"/>
        </w:rPr>
        <w:t>’</w:t>
      </w:r>
      <w:r>
        <w:rPr>
          <w:lang w:val="fr-FR"/>
        </w:rPr>
        <w:t>action de Beijing, le Programme d</w:t>
      </w:r>
      <w:r>
        <w:rPr>
          <w:lang w:val="fr-FR"/>
        </w:rPr>
        <w:t>’</w:t>
      </w:r>
      <w:r>
        <w:rPr>
          <w:lang w:val="fr-FR"/>
        </w:rPr>
        <w:t>action de la Conférence internationale sur la population et le développement et les résultats de leurs conférences d</w:t>
      </w:r>
      <w:r>
        <w:rPr>
          <w:lang w:val="fr-FR"/>
        </w:rPr>
        <w:t>’</w:t>
      </w:r>
      <w:r>
        <w:rPr>
          <w:lang w:val="fr-FR"/>
        </w:rPr>
        <w:t xml:space="preserve">examen, ainsi que la Déclaration des Nations Unies sur les droits des peuples autochtones, </w:t>
      </w:r>
    </w:p>
    <w:p w14:paraId="5E5D61BA" w14:textId="44AB0316" w:rsidR="00692C1A" w:rsidRPr="000B0BCC" w:rsidRDefault="00692C1A" w:rsidP="00692C1A">
      <w:pPr>
        <w:pStyle w:val="SingleTxtG"/>
        <w:ind w:firstLine="567"/>
        <w:rPr>
          <w:lang w:val="fr-FR"/>
        </w:rPr>
      </w:pPr>
      <w:r>
        <w:rPr>
          <w:i/>
          <w:iCs/>
          <w:lang w:val="fr-FR"/>
        </w:rPr>
        <w:t>Rappelant</w:t>
      </w:r>
      <w:r>
        <w:rPr>
          <w:lang w:val="fr-FR"/>
        </w:rPr>
        <w:t xml:space="preserve"> toutes ses résolutions pertinentes et celles de la Commission des droits de l</w:t>
      </w:r>
      <w:r>
        <w:rPr>
          <w:lang w:val="fr-FR"/>
        </w:rPr>
        <w:t>’</w:t>
      </w:r>
      <w:r>
        <w:rPr>
          <w:lang w:val="fr-FR"/>
        </w:rPr>
        <w:t>homme, de l</w:t>
      </w:r>
      <w:r>
        <w:rPr>
          <w:lang w:val="fr-FR"/>
        </w:rPr>
        <w:t>’</w:t>
      </w:r>
      <w:r>
        <w:rPr>
          <w:lang w:val="fr-FR"/>
        </w:rPr>
        <w:t>Assemblée générale et du Conseil de sécurité, ainsi que les résolutions pertinentes et les conclusions concertées de la Commission de la condition de la femme, dans lesquelles il est notamment affirmé que toutes les formes de violence à l</w:t>
      </w:r>
      <w:r>
        <w:rPr>
          <w:lang w:val="fr-FR"/>
        </w:rPr>
        <w:t>’</w:t>
      </w:r>
      <w:r>
        <w:rPr>
          <w:lang w:val="fr-FR"/>
        </w:rPr>
        <w:t>égard des femmes et des filles doivent être prévenues, condamnées, combattues et éliminées, et que l</w:t>
      </w:r>
      <w:r>
        <w:rPr>
          <w:lang w:val="fr-FR"/>
        </w:rPr>
        <w:t>’</w:t>
      </w:r>
      <w:r>
        <w:rPr>
          <w:lang w:val="fr-FR"/>
        </w:rPr>
        <w:t>accès des femmes et des filles à la justice et l</w:t>
      </w:r>
      <w:r>
        <w:rPr>
          <w:lang w:val="fr-FR"/>
        </w:rPr>
        <w:t>’</w:t>
      </w:r>
      <w:r>
        <w:rPr>
          <w:lang w:val="fr-FR"/>
        </w:rPr>
        <w:t xml:space="preserve">engagement de poursuites en cas de violations de leurs droits humains doivent être garantis, </w:t>
      </w:r>
    </w:p>
    <w:p w14:paraId="3F7AF86F" w14:textId="3529F5C9" w:rsidR="00692C1A" w:rsidRPr="000B0BCC" w:rsidRDefault="00692C1A" w:rsidP="00692C1A">
      <w:pPr>
        <w:pStyle w:val="SingleTxtG"/>
        <w:ind w:firstLine="567"/>
        <w:rPr>
          <w:lang w:val="fr-FR"/>
        </w:rPr>
      </w:pPr>
      <w:r>
        <w:rPr>
          <w:i/>
          <w:iCs/>
          <w:lang w:val="fr-FR"/>
        </w:rPr>
        <w:lastRenderedPageBreak/>
        <w:t>Se déclarant profondément préoccupé</w:t>
      </w:r>
      <w:r>
        <w:rPr>
          <w:lang w:val="fr-FR"/>
        </w:rPr>
        <w:t xml:space="preserve"> par la persistance de la violence et de la discrimination, sous toutes leurs formes et dans toutes leurs manifestations, qui s</w:t>
      </w:r>
      <w:r>
        <w:rPr>
          <w:lang w:val="fr-FR"/>
        </w:rPr>
        <w:t>’</w:t>
      </w:r>
      <w:r>
        <w:rPr>
          <w:lang w:val="fr-FR"/>
        </w:rPr>
        <w:t>exercent contre les femmes et les filles à travers le monde, y compris la violence sexuelle et sexiste, et soulignant à nouveau que la violence à l</w:t>
      </w:r>
      <w:r>
        <w:rPr>
          <w:lang w:val="fr-FR"/>
        </w:rPr>
        <w:t>’</w:t>
      </w:r>
      <w:r>
        <w:rPr>
          <w:lang w:val="fr-FR"/>
        </w:rPr>
        <w:t>égard de toutes les femmes et de toutes les filles est un obstacle majeur à la réalisation de l</w:t>
      </w:r>
      <w:r>
        <w:rPr>
          <w:lang w:val="fr-FR"/>
        </w:rPr>
        <w:t>’</w:t>
      </w:r>
      <w:r>
        <w:rPr>
          <w:lang w:val="fr-FR"/>
        </w:rPr>
        <w:t>égalité entre les sexes et à l</w:t>
      </w:r>
      <w:r>
        <w:rPr>
          <w:lang w:val="fr-FR"/>
        </w:rPr>
        <w:t>’</w:t>
      </w:r>
      <w:r>
        <w:rPr>
          <w:lang w:val="fr-FR"/>
        </w:rPr>
        <w:t>autonomisation de toutes les femmes et de toutes les filles, qu</w:t>
      </w:r>
      <w:r>
        <w:rPr>
          <w:lang w:val="fr-FR"/>
        </w:rPr>
        <w:t>’</w:t>
      </w:r>
      <w:r>
        <w:rPr>
          <w:lang w:val="fr-FR"/>
        </w:rPr>
        <w:t>elle porte atteinte à leurs droits humains et les viole, en même temps qu</w:t>
      </w:r>
      <w:r>
        <w:rPr>
          <w:lang w:val="fr-FR"/>
        </w:rPr>
        <w:t>’</w:t>
      </w:r>
      <w:r>
        <w:rPr>
          <w:lang w:val="fr-FR"/>
        </w:rPr>
        <w:t>elle en entrave la jouissance, et qu</w:t>
      </w:r>
      <w:r>
        <w:rPr>
          <w:lang w:val="fr-FR"/>
        </w:rPr>
        <w:t>’</w:t>
      </w:r>
      <w:r>
        <w:rPr>
          <w:lang w:val="fr-FR"/>
        </w:rPr>
        <w:t xml:space="preserve">elle est donc absolument inacceptable, </w:t>
      </w:r>
    </w:p>
    <w:p w14:paraId="6B998852" w14:textId="298962FB" w:rsidR="00692C1A" w:rsidRPr="000B0BCC" w:rsidRDefault="00692C1A" w:rsidP="00692C1A">
      <w:pPr>
        <w:pStyle w:val="SingleTxtG"/>
        <w:ind w:firstLine="567"/>
        <w:rPr>
          <w:i/>
          <w:lang w:val="fr-FR"/>
        </w:rPr>
      </w:pPr>
      <w:r>
        <w:rPr>
          <w:i/>
          <w:iCs/>
          <w:lang w:val="fr-FR"/>
        </w:rPr>
        <w:t>Conscient</w:t>
      </w:r>
      <w:r>
        <w:rPr>
          <w:lang w:val="fr-FR"/>
        </w:rPr>
        <w:t xml:space="preserve"> que les filles risquent souvent davantage d</w:t>
      </w:r>
      <w:r>
        <w:rPr>
          <w:lang w:val="fr-FR"/>
        </w:rPr>
        <w:t>’</w:t>
      </w:r>
      <w:r>
        <w:rPr>
          <w:lang w:val="fr-FR"/>
        </w:rPr>
        <w:t>être exposées à diverses formes de discrimination et de violence, notamment la violence sexuelle et sexiste, et d</w:t>
      </w:r>
      <w:r>
        <w:rPr>
          <w:lang w:val="fr-FR"/>
        </w:rPr>
        <w:t>’</w:t>
      </w:r>
      <w:r>
        <w:rPr>
          <w:lang w:val="fr-FR"/>
        </w:rPr>
        <w:t xml:space="preserve">en être victimes, </w:t>
      </w:r>
    </w:p>
    <w:p w14:paraId="7C0FB55C" w14:textId="2192ACDF" w:rsidR="00692C1A" w:rsidRPr="000B0BCC" w:rsidRDefault="00692C1A" w:rsidP="00692C1A">
      <w:pPr>
        <w:pStyle w:val="SingleTxtG"/>
        <w:ind w:firstLine="567"/>
        <w:rPr>
          <w:lang w:val="fr-FR"/>
        </w:rPr>
      </w:pPr>
      <w:r>
        <w:rPr>
          <w:i/>
          <w:iCs/>
          <w:lang w:val="fr-FR"/>
        </w:rPr>
        <w:t>Rappelant</w:t>
      </w:r>
      <w:r>
        <w:rPr>
          <w:lang w:val="fr-FR"/>
        </w:rPr>
        <w:t xml:space="preserve"> ses résolutions 5/1, sur la mise en place de ses institutions, et 5/2, sur le Code de conduite pour les titulaires de mandat au titre des procédures spéciales, en date du 18 juin 2007, et soulignant que tous les titulaires de mandat doivent s</w:t>
      </w:r>
      <w:r>
        <w:rPr>
          <w:lang w:val="fr-FR"/>
        </w:rPr>
        <w:t>’</w:t>
      </w:r>
      <w:r>
        <w:rPr>
          <w:lang w:val="fr-FR"/>
        </w:rPr>
        <w:t xml:space="preserve">acquitter de leurs fonctions conformément à ces résolutions et à leurs annexes, </w:t>
      </w:r>
    </w:p>
    <w:p w14:paraId="01AD8921" w14:textId="7E1AEE6A" w:rsidR="00692C1A" w:rsidRPr="000B0BCC" w:rsidRDefault="00692C1A" w:rsidP="00692C1A">
      <w:pPr>
        <w:pStyle w:val="SingleTxtG"/>
        <w:ind w:firstLine="567"/>
        <w:rPr>
          <w:lang w:val="fr-FR"/>
        </w:rPr>
      </w:pPr>
      <w:r>
        <w:rPr>
          <w:lang w:val="fr-FR"/>
        </w:rPr>
        <w:t>1.</w:t>
      </w:r>
      <w:r>
        <w:rPr>
          <w:lang w:val="fr-FR"/>
        </w:rPr>
        <w:tab/>
      </w:r>
      <w:r>
        <w:rPr>
          <w:i/>
          <w:iCs/>
          <w:lang w:val="fr-FR"/>
        </w:rPr>
        <w:t>Salue</w:t>
      </w:r>
      <w:r>
        <w:rPr>
          <w:lang w:val="fr-FR"/>
        </w:rPr>
        <w:t xml:space="preserve"> les travaux de la Rapporteuse spéciale sur la violence contre les femmes, ses causes et ses conséquences</w:t>
      </w:r>
      <w:r>
        <w:rPr>
          <w:lang w:val="fr-FR"/>
        </w:rPr>
        <w:t> ;</w:t>
      </w:r>
    </w:p>
    <w:p w14:paraId="79727075" w14:textId="31867879" w:rsidR="00692C1A" w:rsidRPr="000B0BCC" w:rsidRDefault="00692C1A" w:rsidP="00692C1A">
      <w:pPr>
        <w:pStyle w:val="SingleTxtG"/>
        <w:ind w:firstLine="567"/>
        <w:rPr>
          <w:lang w:val="fr-FR"/>
        </w:rPr>
      </w:pPr>
      <w:r>
        <w:rPr>
          <w:lang w:val="fr-FR"/>
        </w:rPr>
        <w:t>2.</w:t>
      </w:r>
      <w:r>
        <w:rPr>
          <w:lang w:val="fr-FR"/>
        </w:rPr>
        <w:tab/>
      </w:r>
      <w:r>
        <w:rPr>
          <w:i/>
          <w:iCs/>
          <w:lang w:val="fr-FR"/>
        </w:rPr>
        <w:t>Décide</w:t>
      </w:r>
      <w:r>
        <w:rPr>
          <w:lang w:val="fr-FR"/>
        </w:rPr>
        <w:t xml:space="preserve"> de proroger le mandat de la Rapporteuse spéciale pour une période de trois ans sous le titre de Rapporteuse spéciale sur la violence contre les femmes et les filles, ses causes et ses conséquences, aux mêmes conditions que celles prévues dans sa résolution</w:t>
      </w:r>
      <w:r>
        <w:rPr>
          <w:lang w:val="fr-FR"/>
        </w:rPr>
        <w:t> </w:t>
      </w:r>
      <w:r>
        <w:rPr>
          <w:lang w:val="fr-FR"/>
        </w:rPr>
        <w:t>41/17 du 12 juillet 2019, et de demander en outre à la Rapporteuse spéciale d</w:t>
      </w:r>
      <w:r>
        <w:rPr>
          <w:lang w:val="fr-FR"/>
        </w:rPr>
        <w:t>’</w:t>
      </w:r>
      <w:r>
        <w:rPr>
          <w:lang w:val="fr-FR"/>
        </w:rPr>
        <w:t>examiner les façons particulières dont les filles sont touchées par la violence, en veillant à éviter le chevauchement d</w:t>
      </w:r>
      <w:r>
        <w:rPr>
          <w:lang w:val="fr-FR"/>
        </w:rPr>
        <w:t>’</w:t>
      </w:r>
      <w:r>
        <w:rPr>
          <w:lang w:val="fr-FR"/>
        </w:rPr>
        <w:t xml:space="preserve">activités, et de continuer à collaborer avec les mécanismes des Nations Unies et les titulaires de mandat au titre des procédures spéciales concernés ; </w:t>
      </w:r>
    </w:p>
    <w:p w14:paraId="36511E8F" w14:textId="3F483161" w:rsidR="00692C1A" w:rsidRPr="000B0BCC" w:rsidRDefault="00692C1A" w:rsidP="00692C1A">
      <w:pPr>
        <w:pStyle w:val="SingleTxtG"/>
        <w:ind w:firstLine="567"/>
        <w:rPr>
          <w:lang w:val="fr-FR"/>
        </w:rPr>
      </w:pPr>
      <w:r>
        <w:rPr>
          <w:lang w:val="fr-FR"/>
        </w:rPr>
        <w:t>3.</w:t>
      </w:r>
      <w:r>
        <w:rPr>
          <w:lang w:val="fr-FR"/>
        </w:rPr>
        <w:tab/>
      </w:r>
      <w:r>
        <w:rPr>
          <w:i/>
          <w:iCs/>
          <w:lang w:val="fr-FR"/>
        </w:rPr>
        <w:t>Demande</w:t>
      </w:r>
      <w:r>
        <w:rPr>
          <w:lang w:val="fr-FR"/>
        </w:rPr>
        <w:t xml:space="preserve"> à tous les États d</w:t>
      </w:r>
      <w:r>
        <w:rPr>
          <w:lang w:val="fr-FR"/>
        </w:rPr>
        <w:t>’</w:t>
      </w:r>
      <w:r>
        <w:rPr>
          <w:lang w:val="fr-FR"/>
        </w:rPr>
        <w:t>apporter toute leur coopération et leur aide à la Rapporteuse spéciale dans l</w:t>
      </w:r>
      <w:r>
        <w:rPr>
          <w:lang w:val="fr-FR"/>
        </w:rPr>
        <w:t>’</w:t>
      </w:r>
      <w:r>
        <w:rPr>
          <w:lang w:val="fr-FR"/>
        </w:rPr>
        <w:t>exercice de ses fonctions, de lui communiquer tous les renseignements nécessaires qu</w:t>
      </w:r>
      <w:r>
        <w:rPr>
          <w:lang w:val="fr-FR"/>
        </w:rPr>
        <w:t>’</w:t>
      </w:r>
      <w:r>
        <w:rPr>
          <w:lang w:val="fr-FR"/>
        </w:rPr>
        <w:t>elle demande et d</w:t>
      </w:r>
      <w:r>
        <w:rPr>
          <w:lang w:val="fr-FR"/>
        </w:rPr>
        <w:t>’</w:t>
      </w:r>
      <w:r>
        <w:rPr>
          <w:lang w:val="fr-FR"/>
        </w:rPr>
        <w:t>envisager favorablement les demandes de visite et d</w:t>
      </w:r>
      <w:r>
        <w:rPr>
          <w:lang w:val="fr-FR"/>
        </w:rPr>
        <w:t>’</w:t>
      </w:r>
      <w:r>
        <w:rPr>
          <w:lang w:val="fr-FR"/>
        </w:rPr>
        <w:t>application des recommandations qu</w:t>
      </w:r>
      <w:r>
        <w:rPr>
          <w:lang w:val="fr-FR"/>
        </w:rPr>
        <w:t>’</w:t>
      </w:r>
      <w:r>
        <w:rPr>
          <w:lang w:val="fr-FR"/>
        </w:rPr>
        <w:t>elle formule</w:t>
      </w:r>
      <w:r>
        <w:rPr>
          <w:lang w:val="fr-FR"/>
        </w:rPr>
        <w:t> </w:t>
      </w:r>
      <w:r>
        <w:rPr>
          <w:lang w:val="fr-FR"/>
        </w:rPr>
        <w:t xml:space="preserve">; </w:t>
      </w:r>
    </w:p>
    <w:p w14:paraId="610E2DA3" w14:textId="2DDF44A3" w:rsidR="00692C1A" w:rsidRPr="000B0BCC" w:rsidRDefault="00692C1A" w:rsidP="00692C1A">
      <w:pPr>
        <w:pStyle w:val="SingleTxtG"/>
        <w:ind w:firstLine="567"/>
        <w:rPr>
          <w:lang w:val="fr-FR"/>
        </w:rPr>
      </w:pPr>
      <w:r>
        <w:rPr>
          <w:lang w:val="fr-FR"/>
        </w:rPr>
        <w:t>4.</w:t>
      </w:r>
      <w:r>
        <w:rPr>
          <w:lang w:val="fr-FR"/>
        </w:rPr>
        <w:tab/>
      </w:r>
      <w:r>
        <w:rPr>
          <w:i/>
          <w:iCs/>
          <w:lang w:val="fr-FR"/>
        </w:rPr>
        <w:t>Encourage</w:t>
      </w:r>
      <w:r>
        <w:rPr>
          <w:lang w:val="fr-FR"/>
        </w:rPr>
        <w:t xml:space="preserve"> les organismes, fonds et programmes compétents des Nations</w:t>
      </w:r>
      <w:r>
        <w:rPr>
          <w:lang w:val="fr-FR"/>
        </w:rPr>
        <w:t> </w:t>
      </w:r>
      <w:r>
        <w:rPr>
          <w:lang w:val="fr-FR"/>
        </w:rPr>
        <w:t>Unies, en particulier l</w:t>
      </w:r>
      <w:r>
        <w:rPr>
          <w:lang w:val="fr-FR"/>
        </w:rPr>
        <w:t>’</w:t>
      </w:r>
      <w:r>
        <w:rPr>
          <w:lang w:val="fr-FR"/>
        </w:rPr>
        <w:t>Entité des Nations Unies pour l</w:t>
      </w:r>
      <w:r>
        <w:rPr>
          <w:lang w:val="fr-FR"/>
        </w:rPr>
        <w:t>’</w:t>
      </w:r>
      <w:r>
        <w:rPr>
          <w:lang w:val="fr-FR"/>
        </w:rPr>
        <w:t>égalité des sexes et l</w:t>
      </w:r>
      <w:r>
        <w:rPr>
          <w:lang w:val="fr-FR"/>
        </w:rPr>
        <w:t>’</w:t>
      </w:r>
      <w:r>
        <w:rPr>
          <w:lang w:val="fr-FR"/>
        </w:rPr>
        <w:t>autonomisation des femmes (ONU-Femmes), le Fonds des Nations Unies pour la population, le Fonds d</w:t>
      </w:r>
      <w:r>
        <w:rPr>
          <w:lang w:val="fr-FR"/>
        </w:rPr>
        <w:t>’</w:t>
      </w:r>
      <w:r>
        <w:rPr>
          <w:lang w:val="fr-FR"/>
        </w:rPr>
        <w:t>affectation spéciale des Nations Unies à l</w:t>
      </w:r>
      <w:r>
        <w:rPr>
          <w:lang w:val="fr-FR"/>
        </w:rPr>
        <w:t>’</w:t>
      </w:r>
      <w:r>
        <w:rPr>
          <w:lang w:val="fr-FR"/>
        </w:rPr>
        <w:t>appui de la lutte contre la violence à l</w:t>
      </w:r>
      <w:r>
        <w:rPr>
          <w:lang w:val="fr-FR"/>
        </w:rPr>
        <w:t>’</w:t>
      </w:r>
      <w:r>
        <w:rPr>
          <w:lang w:val="fr-FR"/>
        </w:rPr>
        <w:t>égard des femmes, la Commission de la condition de la femme, les organes conventionnels et les titulaires de mandat au titre des procédures spéciales, dans le cadre de leurs mandats respectifs, les acteurs de la société civile, notamment les organisations non gouvernementales, ainsi que le secteur privé, à coopérer pleinement avec la Rapporteuse spéciale dans l</w:t>
      </w:r>
      <w:r>
        <w:rPr>
          <w:lang w:val="fr-FR"/>
        </w:rPr>
        <w:t>’</w:t>
      </w:r>
      <w:r>
        <w:rPr>
          <w:lang w:val="fr-FR"/>
        </w:rPr>
        <w:t>exercice du mandat</w:t>
      </w:r>
      <w:r>
        <w:rPr>
          <w:lang w:val="fr-FR"/>
        </w:rPr>
        <w:t> </w:t>
      </w:r>
      <w:r>
        <w:rPr>
          <w:lang w:val="fr-FR"/>
        </w:rPr>
        <w:t xml:space="preserve">; </w:t>
      </w:r>
    </w:p>
    <w:p w14:paraId="77F9B04F" w14:textId="13E0CE11" w:rsidR="00692C1A" w:rsidRPr="000B0BCC" w:rsidRDefault="00692C1A" w:rsidP="00692C1A">
      <w:pPr>
        <w:pStyle w:val="SingleTxtG"/>
        <w:ind w:firstLine="567"/>
        <w:rPr>
          <w:lang w:val="fr-FR"/>
        </w:rPr>
      </w:pPr>
      <w:bookmarkStart w:id="1" w:name="OLE_LINK3"/>
      <w:bookmarkStart w:id="2" w:name="OLE_LINK4"/>
      <w:r>
        <w:rPr>
          <w:lang w:val="fr-FR"/>
        </w:rPr>
        <w:t>5.</w:t>
      </w:r>
      <w:r>
        <w:rPr>
          <w:lang w:val="fr-FR"/>
        </w:rPr>
        <w:tab/>
      </w:r>
      <w:r>
        <w:rPr>
          <w:i/>
          <w:iCs/>
          <w:lang w:val="fr-FR"/>
        </w:rPr>
        <w:t>Prie</w:t>
      </w:r>
      <w:r>
        <w:rPr>
          <w:lang w:val="fr-FR"/>
        </w:rPr>
        <w:t xml:space="preserve"> le Secrétaire général de fournir à la Rapporteuse spéciale l</w:t>
      </w:r>
      <w:r>
        <w:rPr>
          <w:lang w:val="fr-FR"/>
        </w:rPr>
        <w:t>’</w:t>
      </w:r>
      <w:r>
        <w:rPr>
          <w:lang w:val="fr-FR"/>
        </w:rPr>
        <w:t>assistance voulue pour qu</w:t>
      </w:r>
      <w:r>
        <w:rPr>
          <w:lang w:val="fr-FR"/>
        </w:rPr>
        <w:t>’</w:t>
      </w:r>
      <w:r>
        <w:rPr>
          <w:lang w:val="fr-FR"/>
        </w:rPr>
        <w:t>elle puisse s</w:t>
      </w:r>
      <w:r>
        <w:rPr>
          <w:lang w:val="fr-FR"/>
        </w:rPr>
        <w:t>’</w:t>
      </w:r>
      <w:r>
        <w:rPr>
          <w:lang w:val="fr-FR"/>
        </w:rPr>
        <w:t>acquitter efficacement de son mandat, notamment en effectuant des visites de pays, et en particulier de mettre à sa disposition des ressources humaines, financières et matérielles suffisantes</w:t>
      </w:r>
      <w:r>
        <w:rPr>
          <w:lang w:val="fr-FR"/>
        </w:rPr>
        <w:t> </w:t>
      </w:r>
      <w:r>
        <w:rPr>
          <w:lang w:val="fr-FR"/>
        </w:rPr>
        <w:t xml:space="preserve">; </w:t>
      </w:r>
      <w:bookmarkEnd w:id="1"/>
      <w:bookmarkEnd w:id="2"/>
    </w:p>
    <w:p w14:paraId="40EDCEB2" w14:textId="1671C2F5" w:rsidR="00692C1A" w:rsidRPr="000B0BCC" w:rsidRDefault="00692C1A" w:rsidP="00692C1A">
      <w:pPr>
        <w:pStyle w:val="SingleTxtG"/>
        <w:ind w:firstLine="567"/>
        <w:rPr>
          <w:lang w:val="fr-FR"/>
        </w:rPr>
      </w:pPr>
      <w:r>
        <w:rPr>
          <w:lang w:val="fr-FR"/>
        </w:rPr>
        <w:t>6.</w:t>
      </w:r>
      <w:r>
        <w:rPr>
          <w:lang w:val="fr-FR"/>
        </w:rPr>
        <w:tab/>
      </w:r>
      <w:r>
        <w:rPr>
          <w:i/>
          <w:iCs/>
          <w:lang w:val="fr-FR"/>
        </w:rPr>
        <w:t>Réaffirme</w:t>
      </w:r>
      <w:r>
        <w:rPr>
          <w:lang w:val="fr-FR"/>
        </w:rPr>
        <w:t xml:space="preserve"> sa décision de poursuivre l</w:t>
      </w:r>
      <w:r>
        <w:rPr>
          <w:lang w:val="fr-FR"/>
        </w:rPr>
        <w:t>’</w:t>
      </w:r>
      <w:r>
        <w:rPr>
          <w:lang w:val="fr-FR"/>
        </w:rPr>
        <w:t>examen de la question de l</w:t>
      </w:r>
      <w:r>
        <w:rPr>
          <w:lang w:val="fr-FR"/>
        </w:rPr>
        <w:t>’</w:t>
      </w:r>
      <w:r>
        <w:rPr>
          <w:lang w:val="fr-FR"/>
        </w:rPr>
        <w:t>élimination de toutes les formes de violence à l</w:t>
      </w:r>
      <w:r>
        <w:rPr>
          <w:lang w:val="fr-FR"/>
        </w:rPr>
        <w:t>’</w:t>
      </w:r>
      <w:r>
        <w:rPr>
          <w:lang w:val="fr-FR"/>
        </w:rPr>
        <w:t xml:space="preserve">égard des femmes et des filles à titre hautement prioritaire, conformément à son programme de travail, à sa cinquante-troisième session. </w:t>
      </w:r>
    </w:p>
    <w:p w14:paraId="7E1F5036" w14:textId="77777777" w:rsidR="00692C1A" w:rsidRPr="000B0BCC" w:rsidRDefault="00692C1A" w:rsidP="00692C1A">
      <w:pPr>
        <w:pStyle w:val="SingleTxtG"/>
        <w:spacing w:before="240" w:after="0"/>
        <w:jc w:val="center"/>
        <w:rPr>
          <w:u w:val="single"/>
          <w:lang w:val="fr-FR"/>
        </w:rPr>
      </w:pPr>
      <w:r w:rsidRPr="000B0BCC">
        <w:rPr>
          <w:u w:val="single"/>
          <w:lang w:val="fr-FR"/>
        </w:rPr>
        <w:tab/>
      </w:r>
      <w:r w:rsidRPr="000B0BCC">
        <w:rPr>
          <w:u w:val="single"/>
          <w:lang w:val="fr-FR"/>
        </w:rPr>
        <w:tab/>
      </w:r>
      <w:r w:rsidRPr="000B0BCC">
        <w:rPr>
          <w:u w:val="single"/>
          <w:lang w:val="fr-FR"/>
        </w:rPr>
        <w:tab/>
      </w:r>
      <w:r w:rsidRPr="000B0BCC">
        <w:rPr>
          <w:u w:val="single"/>
          <w:lang w:val="fr-FR"/>
        </w:rPr>
        <w:tab/>
      </w:r>
    </w:p>
    <w:p w14:paraId="23CC44B5" w14:textId="77777777" w:rsidR="00552797" w:rsidRPr="00692C1A" w:rsidRDefault="00552797" w:rsidP="002165E2">
      <w:pPr>
        <w:rPr>
          <w:lang w:val="fr-FR"/>
        </w:rPr>
      </w:pPr>
    </w:p>
    <w:sectPr w:rsidR="00552797" w:rsidRPr="00692C1A" w:rsidSect="00692C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7333" w14:textId="77777777" w:rsidR="00E73F5C" w:rsidRPr="00EF7F30" w:rsidRDefault="00E73F5C" w:rsidP="00EF7F30">
      <w:pPr>
        <w:pStyle w:val="Pieddepage"/>
      </w:pPr>
    </w:p>
  </w:endnote>
  <w:endnote w:type="continuationSeparator" w:id="0">
    <w:p w14:paraId="5C272ECA" w14:textId="77777777" w:rsidR="00E73F5C" w:rsidRPr="00EF7F30" w:rsidRDefault="00E73F5C" w:rsidP="00EF7F30">
      <w:pPr>
        <w:pStyle w:val="Pieddepage"/>
      </w:pPr>
    </w:p>
  </w:endnote>
  <w:endnote w:type="continuationNotice" w:id="1">
    <w:p w14:paraId="7A82D855" w14:textId="77777777" w:rsidR="00E73F5C" w:rsidRDefault="00E73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B449" w14:textId="0E693271" w:rsidR="00692C1A" w:rsidRPr="00692C1A" w:rsidRDefault="00692C1A" w:rsidP="00692C1A">
    <w:pPr>
      <w:pStyle w:val="Pieddepage"/>
      <w:tabs>
        <w:tab w:val="right" w:pos="9638"/>
      </w:tabs>
    </w:pPr>
    <w:r w:rsidRPr="00692C1A">
      <w:rPr>
        <w:b/>
        <w:sz w:val="18"/>
      </w:rPr>
      <w:fldChar w:fldCharType="begin"/>
    </w:r>
    <w:r w:rsidRPr="00692C1A">
      <w:rPr>
        <w:b/>
        <w:sz w:val="18"/>
      </w:rPr>
      <w:instrText xml:space="preserve"> PAGE  \* MERGEFORMAT </w:instrText>
    </w:r>
    <w:r w:rsidRPr="00692C1A">
      <w:rPr>
        <w:b/>
        <w:sz w:val="18"/>
      </w:rPr>
      <w:fldChar w:fldCharType="separate"/>
    </w:r>
    <w:r w:rsidRPr="00692C1A">
      <w:rPr>
        <w:b/>
        <w:noProof/>
        <w:sz w:val="18"/>
      </w:rPr>
      <w:t>2</w:t>
    </w:r>
    <w:r w:rsidRPr="00692C1A">
      <w:rPr>
        <w:b/>
        <w:sz w:val="18"/>
      </w:rPr>
      <w:fldChar w:fldCharType="end"/>
    </w:r>
    <w:r>
      <w:rPr>
        <w:b/>
        <w:sz w:val="18"/>
      </w:rPr>
      <w:tab/>
    </w:r>
    <w:r>
      <w:t>GE.22-10215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BE6D" w14:textId="6E824061" w:rsidR="00692C1A" w:rsidRPr="00692C1A" w:rsidRDefault="00692C1A" w:rsidP="00692C1A">
    <w:pPr>
      <w:pStyle w:val="Pieddepage"/>
      <w:tabs>
        <w:tab w:val="right" w:pos="9638"/>
      </w:tabs>
      <w:rPr>
        <w:b/>
        <w:sz w:val="18"/>
      </w:rPr>
    </w:pPr>
    <w:r>
      <w:t>GE.22-10215</w:t>
    </w:r>
    <w:r>
      <w:tab/>
    </w:r>
    <w:r w:rsidRPr="00692C1A">
      <w:rPr>
        <w:b/>
        <w:sz w:val="18"/>
      </w:rPr>
      <w:fldChar w:fldCharType="begin"/>
    </w:r>
    <w:r w:rsidRPr="00692C1A">
      <w:rPr>
        <w:b/>
        <w:sz w:val="18"/>
      </w:rPr>
      <w:instrText xml:space="preserve"> PAGE  \* MERGEFORMAT </w:instrText>
    </w:r>
    <w:r w:rsidRPr="00692C1A">
      <w:rPr>
        <w:b/>
        <w:sz w:val="18"/>
      </w:rPr>
      <w:fldChar w:fldCharType="separate"/>
    </w:r>
    <w:r w:rsidRPr="00692C1A">
      <w:rPr>
        <w:b/>
        <w:noProof/>
        <w:sz w:val="18"/>
      </w:rPr>
      <w:t>3</w:t>
    </w:r>
    <w:r w:rsidRPr="00692C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259F" w14:textId="4849533F" w:rsidR="0094352E" w:rsidRPr="00692C1A" w:rsidRDefault="00692C1A" w:rsidP="00692C1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79670D5" wp14:editId="6132D66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22-10215  (F)</w:t>
    </w:r>
    <w:r>
      <w:rPr>
        <w:noProof/>
        <w:sz w:val="20"/>
      </w:rPr>
      <w:drawing>
        <wp:anchor distT="0" distB="0" distL="114300" distR="114300" simplePos="0" relativeHeight="251660288" behindDoc="0" locked="0" layoutInCell="1" allowOverlap="1" wp14:anchorId="2529E067" wp14:editId="4674588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010722    010722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C544" w14:textId="77777777" w:rsidR="00E73F5C" w:rsidRPr="00EF7F30" w:rsidRDefault="00E73F5C"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77AED970" w14:textId="77777777" w:rsidR="00E73F5C" w:rsidRPr="00EF7F30" w:rsidRDefault="00E73F5C" w:rsidP="000E5ADA">
      <w:pPr>
        <w:pStyle w:val="Pieddepage"/>
        <w:tabs>
          <w:tab w:val="right" w:pos="2155"/>
        </w:tabs>
        <w:spacing w:after="80" w:line="240" w:lineRule="atLeast"/>
        <w:ind w:left="680"/>
      </w:pPr>
      <w:r w:rsidRPr="00EF7F30">
        <w:rPr>
          <w:u w:val="single"/>
        </w:rPr>
        <w:tab/>
      </w:r>
    </w:p>
  </w:footnote>
  <w:footnote w:type="continuationNotice" w:id="1">
    <w:p w14:paraId="53FA9EEC" w14:textId="77777777" w:rsidR="00E73F5C" w:rsidRPr="000F2457" w:rsidRDefault="00E73F5C">
      <w:pPr>
        <w:spacing w:line="240" w:lineRule="auto"/>
        <w:rPr>
          <w:sz w:val="2"/>
          <w:szCs w:val="2"/>
        </w:rPr>
      </w:pPr>
    </w:p>
  </w:footnote>
  <w:footnote w:id="2">
    <w:p w14:paraId="77A68E36" w14:textId="77C9E309" w:rsidR="00692C1A" w:rsidRPr="00BC228B" w:rsidRDefault="00692C1A" w:rsidP="00692C1A">
      <w:pPr>
        <w:pStyle w:val="Notedebasdepage"/>
      </w:pPr>
      <w:r>
        <w:rPr>
          <w:rStyle w:val="Appelnotedebasdep"/>
        </w:rPr>
        <w:tab/>
      </w:r>
      <w:r w:rsidRPr="00BC228B">
        <w:rPr>
          <w:rStyle w:val="Appelnotedebasdep"/>
          <w:sz w:val="20"/>
          <w:vertAlign w:val="baseline"/>
        </w:rPr>
        <w:t>*</w:t>
      </w:r>
      <w:r>
        <w:rPr>
          <w:rStyle w:val="Appelnotedebasdep"/>
          <w:sz w:val="20"/>
          <w:vertAlign w:val="baseline"/>
        </w:rPr>
        <w:tab/>
      </w:r>
      <w:r>
        <w:rPr>
          <w:lang w:val="fr-FR"/>
        </w:rPr>
        <w:t>État non membre du Conseil des droits de l</w:t>
      </w:r>
      <w:r>
        <w:rPr>
          <w:lang w:val="fr-FR"/>
        </w:rPr>
        <w:t>’</w:t>
      </w:r>
      <w:r>
        <w:rPr>
          <w:lang w:val="fr-FR"/>
        </w:rPr>
        <w:t>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661" w14:textId="06CE35E0" w:rsidR="00692C1A" w:rsidRPr="00692C1A" w:rsidRDefault="00692C1A">
    <w:pPr>
      <w:pStyle w:val="En-tte"/>
    </w:pPr>
    <w:fldSimple w:instr=" TITLE  \* MERGEFORMAT ">
      <w:r>
        <w:t>A/HRC/50/L.7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866" w14:textId="08D0599E" w:rsidR="00692C1A" w:rsidRPr="00692C1A" w:rsidRDefault="00692C1A" w:rsidP="00692C1A">
    <w:pPr>
      <w:pStyle w:val="En-tte"/>
      <w:jc w:val="right"/>
    </w:pPr>
    <w:fldSimple w:instr=" TITLE  \* MERGEFORMAT ">
      <w:r>
        <w:t>A/HRC/50/L.7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5C"/>
    <w:rsid w:val="00023842"/>
    <w:rsid w:val="0007796D"/>
    <w:rsid w:val="000E5ADA"/>
    <w:rsid w:val="000F2457"/>
    <w:rsid w:val="000F6A4A"/>
    <w:rsid w:val="00100CA5"/>
    <w:rsid w:val="00111F2F"/>
    <w:rsid w:val="00131E73"/>
    <w:rsid w:val="0014365E"/>
    <w:rsid w:val="00176178"/>
    <w:rsid w:val="001F525A"/>
    <w:rsid w:val="00212168"/>
    <w:rsid w:val="002165E2"/>
    <w:rsid w:val="00260711"/>
    <w:rsid w:val="002E0D9C"/>
    <w:rsid w:val="003547BE"/>
    <w:rsid w:val="00446FE5"/>
    <w:rsid w:val="004D4CB4"/>
    <w:rsid w:val="00552797"/>
    <w:rsid w:val="00573BE5"/>
    <w:rsid w:val="00586ED3"/>
    <w:rsid w:val="00587A52"/>
    <w:rsid w:val="005B4E23"/>
    <w:rsid w:val="00617B29"/>
    <w:rsid w:val="0068446C"/>
    <w:rsid w:val="00692C1A"/>
    <w:rsid w:val="00695AED"/>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D45432"/>
    <w:rsid w:val="00DB1831"/>
    <w:rsid w:val="00DD3BFD"/>
    <w:rsid w:val="00E228A8"/>
    <w:rsid w:val="00E6618E"/>
    <w:rsid w:val="00E73F5C"/>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21700D"/>
  <w15:docId w15:val="{E6E8448A-D5B3-40E9-9D15-B7C55D42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971</Words>
  <Characters>5541</Characters>
  <Application>Microsoft Office Word</Application>
  <DocSecurity>0</DocSecurity>
  <Lines>94</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A/HRC/50/L.7</dc:title>
  <dc:subject/>
  <dc:creator>Sandrine CLERE</dc:creator>
  <cp:keywords/>
  <cp:lastModifiedBy>Sandrine Clere</cp:lastModifiedBy>
  <cp:revision>2</cp:revision>
  <dcterms:created xsi:type="dcterms:W3CDTF">2022-07-01T13:31:00Z</dcterms:created>
  <dcterms:modified xsi:type="dcterms:W3CDTF">2022-07-01T13:31:00Z</dcterms:modified>
</cp:coreProperties>
</file>