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1ADC98DA" w14:textId="77777777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BA6F796" w14:textId="77777777" w:rsidR="002D5AAC" w:rsidRDefault="002D5AAC" w:rsidP="0016412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F74F88E" w14:textId="77777777"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57028DD" w14:textId="7A3F5402" w:rsidR="002D5AAC" w:rsidRDefault="00164126" w:rsidP="00164126">
            <w:pPr>
              <w:jc w:val="right"/>
            </w:pPr>
            <w:r w:rsidRPr="00164126">
              <w:rPr>
                <w:sz w:val="40"/>
              </w:rPr>
              <w:t>A</w:t>
            </w:r>
            <w:r>
              <w:t>/HRC/50/L.2</w:t>
            </w:r>
          </w:p>
        </w:tc>
      </w:tr>
      <w:tr w:rsidR="002D5AAC" w:rsidRPr="00164126" w14:paraId="653B6897" w14:textId="77777777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BE0B29F" w14:textId="77777777"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A0BE28B" wp14:editId="34FEE20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63145EC" w14:textId="77777777"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031D0ED5" w14:textId="77777777" w:rsidR="002D5AAC" w:rsidRDefault="00164126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Limited</w:t>
            </w:r>
          </w:p>
          <w:p w14:paraId="72D3A566" w14:textId="77777777" w:rsidR="00164126" w:rsidRDefault="00164126" w:rsidP="0016412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June 2022</w:t>
            </w:r>
          </w:p>
          <w:p w14:paraId="56C097D6" w14:textId="77777777" w:rsidR="00164126" w:rsidRDefault="00164126" w:rsidP="0016412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B541F22" w14:textId="19DD2141" w:rsidR="00164126" w:rsidRPr="00E71476" w:rsidRDefault="00164126" w:rsidP="0016412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32851D5" w14:textId="77777777" w:rsidR="00DF71B9" w:rsidRPr="00164126" w:rsidRDefault="00DF71B9" w:rsidP="006F0B59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14:paraId="770B748D" w14:textId="77777777" w:rsidR="00164126" w:rsidRPr="002A0381" w:rsidRDefault="00164126" w:rsidP="00164126">
      <w:pPr>
        <w:rPr>
          <w:b/>
        </w:rPr>
      </w:pPr>
      <w:r>
        <w:rPr>
          <w:b/>
          <w:bCs/>
        </w:rPr>
        <w:t>Пятидесятая сессия</w:t>
      </w:r>
    </w:p>
    <w:p w14:paraId="0D833026" w14:textId="77777777" w:rsidR="00164126" w:rsidRPr="002A0381" w:rsidRDefault="00164126" w:rsidP="00164126">
      <w:r>
        <w:t>13 июня — 8 июля 2022 года</w:t>
      </w:r>
    </w:p>
    <w:p w14:paraId="7CDADD12" w14:textId="77777777" w:rsidR="00164126" w:rsidRPr="002A0381" w:rsidRDefault="00164126" w:rsidP="00164126">
      <w:r>
        <w:t>Пункт 3 повестки дня</w:t>
      </w:r>
    </w:p>
    <w:p w14:paraId="735FEF60" w14:textId="5D3C2691" w:rsidR="00164126" w:rsidRPr="002A0381" w:rsidRDefault="00164126" w:rsidP="00164126">
      <w:pPr>
        <w:rPr>
          <w:b/>
        </w:rPr>
      </w:pPr>
      <w:r>
        <w:rPr>
          <w:b/>
          <w:bCs/>
        </w:rPr>
        <w:t xml:space="preserve">Поощрение и защита всех прав человека, </w:t>
      </w:r>
      <w:r>
        <w:rPr>
          <w:b/>
          <w:bCs/>
        </w:rPr>
        <w:br/>
      </w:r>
      <w:r>
        <w:rPr>
          <w:b/>
          <w:bCs/>
        </w:rPr>
        <w:t>гражданских,</w:t>
      </w:r>
      <w:r w:rsidRPr="00164126">
        <w:rPr>
          <w:b/>
          <w:bCs/>
        </w:rPr>
        <w:t xml:space="preserve"> </w:t>
      </w:r>
      <w:r>
        <w:rPr>
          <w:b/>
          <w:bCs/>
        </w:rPr>
        <w:t xml:space="preserve">политических, экономических, </w:t>
      </w:r>
      <w:r>
        <w:rPr>
          <w:b/>
          <w:bCs/>
        </w:rPr>
        <w:br/>
      </w:r>
      <w:r>
        <w:rPr>
          <w:b/>
          <w:bCs/>
        </w:rPr>
        <w:t>социальных и</w:t>
      </w:r>
      <w:r w:rsidRPr="00164126">
        <w:rPr>
          <w:b/>
          <w:bCs/>
        </w:rPr>
        <w:t xml:space="preserve"> </w:t>
      </w:r>
      <w:r>
        <w:rPr>
          <w:b/>
          <w:bCs/>
        </w:rPr>
        <w:t xml:space="preserve">культурных прав, </w:t>
      </w:r>
      <w:r>
        <w:rPr>
          <w:b/>
          <w:bCs/>
        </w:rPr>
        <w:br/>
      </w:r>
      <w:r>
        <w:rPr>
          <w:b/>
          <w:bCs/>
        </w:rPr>
        <w:t>включая право на развитие</w:t>
      </w:r>
    </w:p>
    <w:p w14:paraId="64840D9C" w14:textId="4DB0A37A" w:rsidR="00164126" w:rsidRPr="00164126" w:rsidRDefault="00164126" w:rsidP="00164126">
      <w:pPr>
        <w:pStyle w:val="H23G"/>
      </w:pPr>
      <w:r w:rsidRPr="00164126">
        <w:tab/>
      </w:r>
      <w:r w:rsidRPr="00164126">
        <w:tab/>
        <w:t>Австралия</w:t>
      </w:r>
      <w:r w:rsidRPr="00164126">
        <w:rPr>
          <w:b w:val="0"/>
          <w:bCs/>
        </w:rPr>
        <w:footnoteReference w:customMarkFollows="1" w:id="1"/>
        <w:t>*</w:t>
      </w:r>
      <w:r w:rsidRPr="00164126">
        <w:t>, Австрия</w:t>
      </w:r>
      <w:r w:rsidRPr="00164126">
        <w:rPr>
          <w:b w:val="0"/>
          <w:bCs/>
        </w:rPr>
        <w:t>*</w:t>
      </w:r>
      <w:r w:rsidRPr="00164126">
        <w:t>, Албания</w:t>
      </w:r>
      <w:r w:rsidRPr="00164126">
        <w:rPr>
          <w:b w:val="0"/>
          <w:bCs/>
        </w:rPr>
        <w:t>*</w:t>
      </w:r>
      <w:r w:rsidRPr="00164126">
        <w:t>, Андорра</w:t>
      </w:r>
      <w:r w:rsidRPr="00164126">
        <w:rPr>
          <w:b w:val="0"/>
          <w:bCs/>
        </w:rPr>
        <w:t>*</w:t>
      </w:r>
      <w:r w:rsidRPr="00164126">
        <w:t>, Аргентина, Бельгия</w:t>
      </w:r>
      <w:r w:rsidRPr="00164126">
        <w:rPr>
          <w:b w:val="0"/>
          <w:bCs/>
        </w:rPr>
        <w:t>*</w:t>
      </w:r>
      <w:r w:rsidRPr="00164126">
        <w:t>, Болгария</w:t>
      </w:r>
      <w:r w:rsidRPr="00164126">
        <w:rPr>
          <w:b w:val="0"/>
          <w:bCs/>
        </w:rPr>
        <w:t>*</w:t>
      </w:r>
      <w:r w:rsidRPr="00164126">
        <w:t>, Бразилия, Германия, Греция</w:t>
      </w:r>
      <w:r w:rsidRPr="00164126">
        <w:rPr>
          <w:b w:val="0"/>
          <w:bCs/>
        </w:rPr>
        <w:t>*</w:t>
      </w:r>
      <w:r w:rsidRPr="00164126">
        <w:t>, Грузия</w:t>
      </w:r>
      <w:r w:rsidRPr="00164126">
        <w:rPr>
          <w:b w:val="0"/>
          <w:bCs/>
        </w:rPr>
        <w:t>*</w:t>
      </w:r>
      <w:r w:rsidRPr="00164126">
        <w:t>, Дания</w:t>
      </w:r>
      <w:r w:rsidRPr="00164126">
        <w:rPr>
          <w:b w:val="0"/>
          <w:bCs/>
        </w:rPr>
        <w:t>*</w:t>
      </w:r>
      <w:r w:rsidRPr="00164126">
        <w:t>, Израиль</w:t>
      </w:r>
      <w:r w:rsidRPr="00164126">
        <w:rPr>
          <w:b w:val="0"/>
          <w:bCs/>
        </w:rPr>
        <w:t>*</w:t>
      </w:r>
      <w:r w:rsidRPr="00164126">
        <w:t>, Ирландия</w:t>
      </w:r>
      <w:r w:rsidRPr="00164126">
        <w:rPr>
          <w:b w:val="0"/>
          <w:bCs/>
        </w:rPr>
        <w:t>*</w:t>
      </w:r>
      <w:r w:rsidRPr="00164126">
        <w:t>, Исландия</w:t>
      </w:r>
      <w:r w:rsidRPr="00164126">
        <w:rPr>
          <w:b w:val="0"/>
          <w:bCs/>
        </w:rPr>
        <w:t>*</w:t>
      </w:r>
      <w:r w:rsidRPr="00164126">
        <w:t>, Испания</w:t>
      </w:r>
      <w:r w:rsidRPr="00164126">
        <w:rPr>
          <w:b w:val="0"/>
          <w:bCs/>
        </w:rPr>
        <w:t>*</w:t>
      </w:r>
      <w:r w:rsidRPr="00164126">
        <w:t>, Италия</w:t>
      </w:r>
      <w:r w:rsidRPr="00164126">
        <w:rPr>
          <w:b w:val="0"/>
          <w:bCs/>
        </w:rPr>
        <w:t>*</w:t>
      </w:r>
      <w:r w:rsidRPr="00164126">
        <w:t>, Канада</w:t>
      </w:r>
      <w:r w:rsidRPr="00164126">
        <w:rPr>
          <w:b w:val="0"/>
          <w:bCs/>
        </w:rPr>
        <w:t>*</w:t>
      </w:r>
      <w:r w:rsidRPr="00164126">
        <w:t xml:space="preserve">, </w:t>
      </w:r>
      <w:r w:rsidR="006F766F" w:rsidRPr="00164126">
        <w:t>Кипр</w:t>
      </w:r>
      <w:r w:rsidR="006F766F" w:rsidRPr="00164126">
        <w:rPr>
          <w:b w:val="0"/>
          <w:bCs/>
        </w:rPr>
        <w:t>*</w:t>
      </w:r>
      <w:r w:rsidR="006F766F" w:rsidRPr="00164126">
        <w:t xml:space="preserve">, </w:t>
      </w:r>
      <w:r w:rsidRPr="00164126">
        <w:t>Колумбия</w:t>
      </w:r>
      <w:r w:rsidRPr="00164126">
        <w:rPr>
          <w:b w:val="0"/>
          <w:bCs/>
        </w:rPr>
        <w:t>*</w:t>
      </w:r>
      <w:r w:rsidRPr="00164126">
        <w:t>, Коста-Рика</w:t>
      </w:r>
      <w:r w:rsidRPr="00164126">
        <w:rPr>
          <w:b w:val="0"/>
          <w:bCs/>
        </w:rPr>
        <w:t>*</w:t>
      </w:r>
      <w:r w:rsidRPr="00164126">
        <w:t>, Латвия</w:t>
      </w:r>
      <w:r w:rsidRPr="00164126">
        <w:rPr>
          <w:b w:val="0"/>
          <w:bCs/>
        </w:rPr>
        <w:t>*</w:t>
      </w:r>
      <w:r w:rsidRPr="00164126">
        <w:t>, Литва, Лихтенштейн</w:t>
      </w:r>
      <w:r w:rsidRPr="00164126">
        <w:rPr>
          <w:b w:val="0"/>
          <w:bCs/>
        </w:rPr>
        <w:t>*</w:t>
      </w:r>
      <w:r w:rsidRPr="00164126">
        <w:t>, Люксембург, Мальта</w:t>
      </w:r>
      <w:r w:rsidRPr="00164126">
        <w:rPr>
          <w:b w:val="0"/>
          <w:bCs/>
        </w:rPr>
        <w:t>*</w:t>
      </w:r>
      <w:r w:rsidRPr="00164126">
        <w:t>, Мексика, Нидерланды, Новая Зеландия</w:t>
      </w:r>
      <w:r w:rsidRPr="00164126">
        <w:rPr>
          <w:b w:val="0"/>
          <w:bCs/>
        </w:rPr>
        <w:t>*</w:t>
      </w:r>
      <w:r w:rsidRPr="00164126">
        <w:t>, Норвегия</w:t>
      </w:r>
      <w:r w:rsidRPr="00164126">
        <w:rPr>
          <w:b w:val="0"/>
          <w:bCs/>
        </w:rPr>
        <w:t>*</w:t>
      </w:r>
      <w:r w:rsidRPr="00164126">
        <w:t>, Перу</w:t>
      </w:r>
      <w:r w:rsidRPr="00164126">
        <w:rPr>
          <w:b w:val="0"/>
          <w:bCs/>
        </w:rPr>
        <w:t>*</w:t>
      </w:r>
      <w:r w:rsidRPr="00164126">
        <w:t>, Португалия</w:t>
      </w:r>
      <w:r w:rsidRPr="00164126">
        <w:rPr>
          <w:b w:val="0"/>
          <w:bCs/>
        </w:rPr>
        <w:t>*</w:t>
      </w:r>
      <w:r w:rsidRPr="00164126">
        <w:t>, Румыния</w:t>
      </w:r>
      <w:r w:rsidRPr="00164126">
        <w:rPr>
          <w:b w:val="0"/>
          <w:bCs/>
        </w:rPr>
        <w:t>*</w:t>
      </w:r>
      <w:r w:rsidRPr="00164126">
        <w:t>, Северная Македония</w:t>
      </w:r>
      <w:r w:rsidRPr="00164126">
        <w:rPr>
          <w:b w:val="0"/>
          <w:bCs/>
        </w:rPr>
        <w:t>*</w:t>
      </w:r>
      <w:r w:rsidRPr="00164126">
        <w:t>, Словакия</w:t>
      </w:r>
      <w:r w:rsidRPr="00164126">
        <w:rPr>
          <w:b w:val="0"/>
          <w:bCs/>
        </w:rPr>
        <w:t>*</w:t>
      </w:r>
      <w:r w:rsidRPr="00164126">
        <w:t>, Словения</w:t>
      </w:r>
      <w:r w:rsidRPr="00164126">
        <w:rPr>
          <w:b w:val="0"/>
          <w:bCs/>
        </w:rPr>
        <w:t>*</w:t>
      </w:r>
      <w:r w:rsidRPr="00164126">
        <w:t>, Соединенное Королевство Великобритании и Северной Ирландии, Соединенные Штаты Америки, Украина, Уругвай</w:t>
      </w:r>
      <w:r w:rsidRPr="00164126">
        <w:rPr>
          <w:b w:val="0"/>
          <w:bCs/>
        </w:rPr>
        <w:t>*</w:t>
      </w:r>
      <w:r w:rsidRPr="00164126">
        <w:t xml:space="preserve">, </w:t>
      </w:r>
      <w:r w:rsidR="001A2C0A">
        <w:t>Фиджи</w:t>
      </w:r>
      <w:r w:rsidR="001A2C0A" w:rsidRPr="00164126">
        <w:rPr>
          <w:b w:val="0"/>
          <w:bCs/>
        </w:rPr>
        <w:t>*</w:t>
      </w:r>
      <w:r w:rsidR="001A2C0A">
        <w:t xml:space="preserve">, </w:t>
      </w:r>
      <w:r w:rsidRPr="00164126">
        <w:t>Финляндия, Франция, Хорватия</w:t>
      </w:r>
      <w:r w:rsidRPr="00164126">
        <w:rPr>
          <w:b w:val="0"/>
          <w:bCs/>
        </w:rPr>
        <w:t>*</w:t>
      </w:r>
      <w:r w:rsidRPr="00164126">
        <w:t>, Черногория, Чехия, Чили</w:t>
      </w:r>
      <w:r w:rsidRPr="00164126">
        <w:rPr>
          <w:b w:val="0"/>
          <w:bCs/>
        </w:rPr>
        <w:t>*</w:t>
      </w:r>
      <w:r w:rsidRPr="00164126">
        <w:t>, Швейцария</w:t>
      </w:r>
      <w:r w:rsidRPr="00164126">
        <w:rPr>
          <w:b w:val="0"/>
          <w:bCs/>
        </w:rPr>
        <w:t>*</w:t>
      </w:r>
      <w:r w:rsidRPr="00164126">
        <w:t>, Швеция</w:t>
      </w:r>
      <w:r w:rsidRPr="00164126">
        <w:rPr>
          <w:b w:val="0"/>
          <w:bCs/>
        </w:rPr>
        <w:t>*</w:t>
      </w:r>
      <w:r w:rsidRPr="00164126">
        <w:t>, Эквадор</w:t>
      </w:r>
      <w:r w:rsidRPr="00164126">
        <w:rPr>
          <w:b w:val="0"/>
          <w:bCs/>
        </w:rPr>
        <w:t>*</w:t>
      </w:r>
      <w:r w:rsidRPr="00164126">
        <w:t>, Эстония</w:t>
      </w:r>
      <w:r w:rsidRPr="00164126">
        <w:rPr>
          <w:b w:val="0"/>
          <w:bCs/>
        </w:rPr>
        <w:t>*</w:t>
      </w:r>
      <w:r w:rsidRPr="00164126">
        <w:t xml:space="preserve"> и Южная Африка</w:t>
      </w:r>
      <w:r w:rsidRPr="00164126">
        <w:rPr>
          <w:b w:val="0"/>
          <w:bCs/>
        </w:rPr>
        <w:t>*</w:t>
      </w:r>
      <w:r w:rsidRPr="00164126">
        <w:t>: проект резолюции</w:t>
      </w:r>
    </w:p>
    <w:p w14:paraId="390B0738" w14:textId="378FD115" w:rsidR="00164126" w:rsidRPr="00164126" w:rsidRDefault="00164126" w:rsidP="00164126">
      <w:pPr>
        <w:pStyle w:val="H1G"/>
        <w:tabs>
          <w:tab w:val="left" w:pos="1134"/>
          <w:tab w:val="left" w:pos="1843"/>
          <w:tab w:val="left" w:pos="1985"/>
        </w:tabs>
        <w:ind w:left="1843" w:hanging="1843"/>
      </w:pPr>
      <w:r>
        <w:tab/>
      </w:r>
      <w:r>
        <w:tab/>
      </w:r>
      <w:r w:rsidRPr="00164126">
        <w:t>50/…</w:t>
      </w:r>
      <w:r w:rsidRPr="00164126">
        <w:tab/>
        <w:t>Мандат Независимого эксперта по вопросу о защите от</w:t>
      </w:r>
      <w:r>
        <w:rPr>
          <w:lang w:val="en-US"/>
        </w:rPr>
        <w:t> </w:t>
      </w:r>
      <w:r w:rsidRPr="00164126">
        <w:t>насилия и дискриминации по признаку сексуальной ориентации и гендерной идентичности</w:t>
      </w:r>
    </w:p>
    <w:p w14:paraId="7720B83F" w14:textId="2FBA8956" w:rsidR="00164126" w:rsidRPr="00164126" w:rsidRDefault="00164126" w:rsidP="00164126">
      <w:pPr>
        <w:pStyle w:val="SingleTxtG"/>
      </w:pPr>
      <w:r w:rsidRPr="00164126">
        <w:tab/>
      </w:r>
      <w:r w:rsidRPr="00164126">
        <w:rPr>
          <w:i/>
          <w:iCs/>
        </w:rPr>
        <w:t>Совет по правам человека</w:t>
      </w:r>
      <w:r w:rsidRPr="00164126">
        <w:t>,</w:t>
      </w:r>
    </w:p>
    <w:p w14:paraId="3D493EF9" w14:textId="22336E3A" w:rsidR="00164126" w:rsidRPr="00164126" w:rsidRDefault="00164126" w:rsidP="00164126">
      <w:pPr>
        <w:pStyle w:val="SingleTxtG"/>
      </w:pPr>
      <w:r>
        <w:rPr>
          <w:i/>
          <w:iCs/>
        </w:rPr>
        <w:tab/>
      </w:r>
      <w:r w:rsidRPr="00164126">
        <w:rPr>
          <w:i/>
          <w:iCs/>
        </w:rPr>
        <w:t>вновь подтверждая</w:t>
      </w:r>
      <w:r w:rsidRPr="00164126">
        <w:t xml:space="preserve"> Всеобщую декларацию прав человека,</w:t>
      </w:r>
    </w:p>
    <w:p w14:paraId="3E01BA7D" w14:textId="2A187393" w:rsidR="00164126" w:rsidRPr="00164126" w:rsidRDefault="00164126" w:rsidP="00164126">
      <w:pPr>
        <w:pStyle w:val="SingleTxtG"/>
      </w:pPr>
      <w:r>
        <w:rPr>
          <w:i/>
          <w:iCs/>
        </w:rPr>
        <w:tab/>
      </w:r>
      <w:r w:rsidRPr="00164126">
        <w:rPr>
          <w:i/>
          <w:iCs/>
        </w:rPr>
        <w:t>ссылаясь</w:t>
      </w:r>
      <w:r w:rsidRPr="00164126">
        <w:t xml:space="preserve"> на резолюцию 60/251 Генеральной Ассамблеи от 15 марта 2006 года, в которой Ассамблея заявила, что Совет по правам человека должен отвечать за содействие всеобщему уважению и защите всех прав человека и основных свобод для всех без каких-либо различий и на справедливой и равной основе,</w:t>
      </w:r>
    </w:p>
    <w:p w14:paraId="635C13B1" w14:textId="07169357" w:rsidR="00164126" w:rsidRPr="00164126" w:rsidRDefault="00164126" w:rsidP="00164126">
      <w:pPr>
        <w:pStyle w:val="SingleTxtG"/>
      </w:pPr>
      <w:r>
        <w:rPr>
          <w:i/>
          <w:iCs/>
        </w:rPr>
        <w:tab/>
      </w:r>
      <w:r w:rsidRPr="00164126">
        <w:rPr>
          <w:i/>
          <w:iCs/>
        </w:rPr>
        <w:t>ссылаясь также</w:t>
      </w:r>
      <w:r w:rsidRPr="00164126">
        <w:t xml:space="preserve"> на резолюции Совета по правам человека 17/19 от 17 июня 2011 года, 27/32 от 26 сентября 2014 года, 32/2 от 30 июня 2016 года и 41/18 от 12 июля 2019 года,</w:t>
      </w:r>
    </w:p>
    <w:p w14:paraId="5E6C55AD" w14:textId="081F2848" w:rsidR="00164126" w:rsidRPr="00164126" w:rsidRDefault="00164126" w:rsidP="00164126">
      <w:pPr>
        <w:pStyle w:val="SingleTxtG"/>
      </w:pPr>
      <w:r>
        <w:rPr>
          <w:i/>
          <w:iCs/>
        </w:rPr>
        <w:tab/>
      </w:r>
      <w:r w:rsidRPr="00164126">
        <w:rPr>
          <w:i/>
          <w:iCs/>
        </w:rPr>
        <w:t>ссылаясь далее</w:t>
      </w:r>
      <w:r w:rsidRPr="00164126">
        <w:t xml:space="preserve"> на резолюции Совета по правам человека 5/1 и 5/2 от 18 июня 2007 года,</w:t>
      </w:r>
    </w:p>
    <w:p w14:paraId="7D1FA8A8" w14:textId="2E59040F" w:rsidR="00164126" w:rsidRPr="00164126" w:rsidRDefault="00164126" w:rsidP="00164126">
      <w:pPr>
        <w:pStyle w:val="SingleTxtG"/>
      </w:pPr>
      <w:r>
        <w:rPr>
          <w:i/>
          <w:iCs/>
        </w:rPr>
        <w:tab/>
      </w:r>
      <w:r w:rsidRPr="00164126">
        <w:rPr>
          <w:i/>
          <w:iCs/>
        </w:rPr>
        <w:t>ссылаясь</w:t>
      </w:r>
      <w:r w:rsidRPr="00164126">
        <w:t xml:space="preserve"> на Венскую декларацию и Программу действий, в которых подтверждается, что все права человека универсальны, неделимы, взаимозависимы и взаимосвязаны, что международное сообщество должно относиться к правам человека глобально, на справедливой и равной основе, с одинаковым подходом и одинаковым вниманием и что, хотя значение национальной и региональной специфики и различных исторических, культурных и религиозных особенностей необходимо иметь в виду, государства независимо от их политических, экономических и культурных </w:t>
      </w:r>
      <w:r w:rsidRPr="00164126">
        <w:lastRenderedPageBreak/>
        <w:t>систем несут обязанность поощрять и защищать все права человека и основные свободы,</w:t>
      </w:r>
    </w:p>
    <w:p w14:paraId="42963AEE" w14:textId="46A8CEFF" w:rsidR="00164126" w:rsidRPr="00164126" w:rsidRDefault="00164126" w:rsidP="00164126">
      <w:pPr>
        <w:pStyle w:val="SingleTxtG"/>
      </w:pPr>
      <w:r>
        <w:rPr>
          <w:i/>
          <w:iCs/>
        </w:rPr>
        <w:tab/>
      </w:r>
      <w:r w:rsidRPr="00164126">
        <w:rPr>
          <w:i/>
          <w:iCs/>
        </w:rPr>
        <w:t>признавая</w:t>
      </w:r>
      <w:r w:rsidRPr="00164126">
        <w:t>, что на протяжении всей своей жизни люди могут подвергаться насилию и множественным, перекрестным и системным формам дискриминации по признаку их сексуальной ориентации или гендерной идентичности, а также тот факт, что эти основания усугубляются, в частности, расовой, этнической принадлежностью, социально-экономическим положением, инвалидностью или возрастом, в частном и общественном пространствах как онлайн, так и офлайн,</w:t>
      </w:r>
    </w:p>
    <w:p w14:paraId="185F86B8" w14:textId="5519EA85" w:rsidR="00164126" w:rsidRPr="00164126" w:rsidRDefault="00164126" w:rsidP="00164126">
      <w:pPr>
        <w:pStyle w:val="SingleTxtG"/>
      </w:pPr>
      <w:r>
        <w:rPr>
          <w:i/>
          <w:iCs/>
        </w:rPr>
        <w:tab/>
      </w:r>
      <w:r w:rsidRPr="00164126">
        <w:rPr>
          <w:i/>
          <w:iCs/>
        </w:rPr>
        <w:t>подтверждая</w:t>
      </w:r>
      <w:r w:rsidRPr="00164126">
        <w:t xml:space="preserve"> важность недискриминации, основой которой является международное право в области прав человека, и содействия достижению фактического равенства для лиц, подвергающихся дискриминации по признаку сексуальной ориентации и гендерной идентичности, в том числе путем устранения коренных причин структурной дискриминации в отношении них,</w:t>
      </w:r>
    </w:p>
    <w:p w14:paraId="23BFF48C" w14:textId="5E46E102" w:rsidR="00164126" w:rsidRPr="00164126" w:rsidRDefault="00164126" w:rsidP="00164126">
      <w:pPr>
        <w:pStyle w:val="SingleTxtG"/>
      </w:pPr>
      <w:r>
        <w:rPr>
          <w:i/>
          <w:iCs/>
        </w:rPr>
        <w:tab/>
      </w:r>
      <w:r w:rsidRPr="00164126">
        <w:rPr>
          <w:i/>
          <w:iCs/>
        </w:rPr>
        <w:t>приветствуя</w:t>
      </w:r>
      <w:r w:rsidRPr="00164126">
        <w:t xml:space="preserve"> позитивные изменения на международном, региональном и национальном уровнях в борьбе против насилия и дискриминации по признаку сексуальной ориентации и гендерной идентичности, а также вклад, вносимый на основании мандата Независимого эксперта по вопросу о защите от насилия и дискриминации по признаку сексуальной ориентации и гендерной идентичности в этом отношении,</w:t>
      </w:r>
    </w:p>
    <w:p w14:paraId="16155F13" w14:textId="6032EAC2" w:rsidR="00164126" w:rsidRPr="00164126" w:rsidRDefault="00164126" w:rsidP="00164126">
      <w:pPr>
        <w:pStyle w:val="SingleTxtG"/>
      </w:pPr>
      <w:r>
        <w:rPr>
          <w:i/>
          <w:iCs/>
        </w:rPr>
        <w:tab/>
      </w:r>
      <w:r w:rsidRPr="00164126">
        <w:rPr>
          <w:i/>
          <w:iCs/>
        </w:rPr>
        <w:t>признавая</w:t>
      </w:r>
      <w:r w:rsidRPr="00164126">
        <w:t xml:space="preserve"> позитивный вклад гражданского общества в работу по выполнению мандата Независимого эксперта по вопросу о защите от насилия и дискриминации по признаку сексуальной ориентации и гендерной идентичности и подчеркивая ответственность государств за создание и поддержание безопасной и благоприятной среды, в которой гражданское общество, включая гражданское общество, работающее над решением этих вопросов, может действовать без помех и в безопасных условиях как онлайн, так и офлайн,</w:t>
      </w:r>
    </w:p>
    <w:p w14:paraId="4CED28EE" w14:textId="121608E7" w:rsidR="00164126" w:rsidRPr="00164126" w:rsidRDefault="00164126" w:rsidP="00164126">
      <w:pPr>
        <w:pStyle w:val="SingleTxtG"/>
      </w:pPr>
      <w:r>
        <w:rPr>
          <w:i/>
          <w:iCs/>
        </w:rPr>
        <w:tab/>
      </w:r>
      <w:r w:rsidRPr="00164126">
        <w:rPr>
          <w:i/>
          <w:iCs/>
        </w:rPr>
        <w:t>выражая серь</w:t>
      </w:r>
      <w:r>
        <w:rPr>
          <w:i/>
          <w:iCs/>
        </w:rPr>
        <w:t>е</w:t>
      </w:r>
      <w:r w:rsidRPr="00164126">
        <w:rPr>
          <w:i/>
          <w:iCs/>
        </w:rPr>
        <w:t>зную обеспокоенность</w:t>
      </w:r>
      <w:r w:rsidRPr="00164126">
        <w:t xml:space="preserve"> по поводу существующих законов, политики и практики, устанавливающих уголовную ответственность за однополые отношения и связи по обоюдному согласию и за выражение гендерной идентичности, а также по поводу законов, политики и практики, используемых в целях преследования, произвольного задержания, привлечения к суду и дискриминации лиц по признаку их сексуальной ориентации и гендерной идентичности,</w:t>
      </w:r>
    </w:p>
    <w:p w14:paraId="414801CF" w14:textId="7260327F" w:rsidR="00164126" w:rsidRPr="00164126" w:rsidRDefault="00164126" w:rsidP="00164126">
      <w:pPr>
        <w:pStyle w:val="SingleTxtG"/>
      </w:pPr>
      <w:r>
        <w:tab/>
      </w:r>
      <w:r w:rsidRPr="00164126">
        <w:t>1.</w:t>
      </w:r>
      <w:r w:rsidRPr="00164126">
        <w:tab/>
      </w:r>
      <w:r w:rsidRPr="00164126">
        <w:rPr>
          <w:i/>
          <w:iCs/>
        </w:rPr>
        <w:t>приветствует</w:t>
      </w:r>
      <w:r w:rsidRPr="00164126">
        <w:t xml:space="preserve"> работу, проделанную Независимым экспертом по вопросу о защите от насилия и дискриминации по признаку сексуальной ориентации и гендерной идентичности при осуществлении мандата, всеобъемлющие, транспарентные и всесторонние консультации, проведенные с соответствующими заинтересованными сторонами, тематические доклады и посещения стран в различных регионах</w:t>
      </w:r>
      <w:r w:rsidRPr="00164126">
        <w:rPr>
          <w:sz w:val="18"/>
          <w:szCs w:val="18"/>
          <w:vertAlign w:val="superscript"/>
        </w:rPr>
        <w:footnoteReference w:id="2"/>
      </w:r>
      <w:r w:rsidRPr="00164126">
        <w:t>;</w:t>
      </w:r>
    </w:p>
    <w:p w14:paraId="027A49C1" w14:textId="6F7E3542" w:rsidR="00164126" w:rsidRPr="00164126" w:rsidRDefault="00164126" w:rsidP="00164126">
      <w:pPr>
        <w:pStyle w:val="SingleTxtG"/>
      </w:pPr>
      <w:r>
        <w:tab/>
      </w:r>
      <w:r w:rsidRPr="00164126">
        <w:t>2.</w:t>
      </w:r>
      <w:r w:rsidRPr="00164126">
        <w:tab/>
      </w:r>
      <w:r w:rsidRPr="00164126">
        <w:rPr>
          <w:i/>
          <w:iCs/>
        </w:rPr>
        <w:t>решительно осуждает</w:t>
      </w:r>
      <w:r w:rsidRPr="00164126">
        <w:t xml:space="preserve"> акты насилия и дискриминации во всех регионах мира, совершаемые в отношении отдельных лиц по признаку их сексуальной ориентации или гендерной идентичности;</w:t>
      </w:r>
    </w:p>
    <w:p w14:paraId="286C25A4" w14:textId="07570C86" w:rsidR="00164126" w:rsidRPr="00164126" w:rsidRDefault="00164126" w:rsidP="00164126">
      <w:pPr>
        <w:pStyle w:val="SingleTxtG"/>
      </w:pPr>
      <w:r>
        <w:tab/>
      </w:r>
      <w:r w:rsidRPr="00164126">
        <w:t>3.</w:t>
      </w:r>
      <w:r w:rsidRPr="00164126">
        <w:tab/>
      </w:r>
      <w:r w:rsidRPr="00164126">
        <w:rPr>
          <w:i/>
          <w:iCs/>
        </w:rPr>
        <w:t>призывает</w:t>
      </w:r>
      <w:r w:rsidRPr="00164126">
        <w:t xml:space="preserve"> государства изменить либо отменить законы и политику, дискриминирующие лиц по признаку их сексуальной ориентации и гендерной идентичности, и принять эффективные меры, направленные на предотвращение, проведение расследования и, где это применимо, привлечение к суду за совершение актов насилия и дискриминации по этим признакам как онлайн, так и офлайн;</w:t>
      </w:r>
    </w:p>
    <w:p w14:paraId="57ECC4B8" w14:textId="11C3D559" w:rsidR="00164126" w:rsidRPr="00164126" w:rsidRDefault="00164126" w:rsidP="00164126">
      <w:pPr>
        <w:pStyle w:val="SingleTxtG"/>
      </w:pPr>
      <w:r>
        <w:tab/>
      </w:r>
      <w:r w:rsidRPr="00164126">
        <w:t>4.</w:t>
      </w:r>
      <w:r w:rsidRPr="00164126">
        <w:tab/>
      </w:r>
      <w:r w:rsidRPr="00164126">
        <w:rPr>
          <w:i/>
          <w:iCs/>
        </w:rPr>
        <w:t>постановляет</w:t>
      </w:r>
      <w:r w:rsidRPr="00164126">
        <w:t xml:space="preserve"> продлить мандат Независимого эксперта по вопросу о защите от насилия и дискриминации по признаку сексуальной ориентации и гендерной идентичности на три года, с тем чтобы мандатарий мог продолжить свою работу в соответствии с мандатом, учрежденным Советом по правам человека в его резолюции</w:t>
      </w:r>
      <w:r>
        <w:t> </w:t>
      </w:r>
      <w:r w:rsidRPr="00164126">
        <w:t>32/2;</w:t>
      </w:r>
    </w:p>
    <w:p w14:paraId="3143A3E8" w14:textId="20DC84A9" w:rsidR="00164126" w:rsidRPr="00164126" w:rsidRDefault="00164126" w:rsidP="00164126">
      <w:pPr>
        <w:pStyle w:val="SingleTxtG"/>
      </w:pPr>
      <w:r>
        <w:lastRenderedPageBreak/>
        <w:tab/>
      </w:r>
      <w:r w:rsidRPr="00164126">
        <w:t>5.</w:t>
      </w:r>
      <w:r w:rsidRPr="00164126">
        <w:tab/>
      </w:r>
      <w:r w:rsidRPr="00164126">
        <w:rPr>
          <w:i/>
          <w:iCs/>
        </w:rPr>
        <w:t>просит</w:t>
      </w:r>
      <w:r w:rsidRPr="00164126">
        <w:t xml:space="preserve"> Генерального секретаря и Верховного комиссара Организации Объединенных Наций по правам человека продолжать предоставлять в распоряжение Независимого эксперта все кадровые, технические и финансовые ресурсы, необходимые для продолжения эффективного выполнения мандата;</w:t>
      </w:r>
    </w:p>
    <w:p w14:paraId="0AF3C5B0" w14:textId="46DA0C41" w:rsidR="00164126" w:rsidRPr="00164126" w:rsidRDefault="00164126" w:rsidP="00164126">
      <w:pPr>
        <w:pStyle w:val="SingleTxtG"/>
      </w:pPr>
      <w:r>
        <w:tab/>
      </w:r>
      <w:r w:rsidRPr="00164126">
        <w:t>6.</w:t>
      </w:r>
      <w:r w:rsidRPr="00164126">
        <w:tab/>
      </w:r>
      <w:r w:rsidRPr="00164126">
        <w:rPr>
          <w:i/>
          <w:iCs/>
        </w:rPr>
        <w:t>призывает</w:t>
      </w:r>
      <w:r w:rsidRPr="00164126">
        <w:t xml:space="preserve"> все правительства сотрудничать с Независимым экспертом и оказывать Независимому эксперту помощь, предоставляя всю необходимую информацию, запрашиваемую мандатарием, и положительно реагируя на просьбы Независимого эксперта о посещении их стран для более эффективного выполнения мандата;</w:t>
      </w:r>
    </w:p>
    <w:p w14:paraId="44F3B293" w14:textId="3614F0AE" w:rsidR="00164126" w:rsidRPr="00164126" w:rsidRDefault="00164126" w:rsidP="00164126">
      <w:pPr>
        <w:pStyle w:val="SingleTxtG"/>
      </w:pPr>
      <w:r>
        <w:tab/>
      </w:r>
      <w:r w:rsidRPr="00164126">
        <w:t>7.</w:t>
      </w:r>
      <w:r w:rsidRPr="00164126">
        <w:tab/>
      </w:r>
      <w:r w:rsidRPr="00164126">
        <w:rPr>
          <w:i/>
          <w:iCs/>
        </w:rPr>
        <w:t>просит</w:t>
      </w:r>
      <w:r w:rsidRPr="00164126">
        <w:t xml:space="preserve"> Независимого эксперта продолжать ежегодно представлять доклады о выполнении мандата Совету по правам человека и Генеральной Ассамблее согласно их соответствующим программам работы.</w:t>
      </w:r>
    </w:p>
    <w:p w14:paraId="32C95AD7" w14:textId="19A67218" w:rsidR="00164126" w:rsidRPr="00164126" w:rsidRDefault="00164126" w:rsidP="0016412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64126" w:rsidRPr="00164126" w:rsidSect="0016412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6C824" w14:textId="77777777" w:rsidR="00D7505B" w:rsidRPr="00A312BC" w:rsidRDefault="00D7505B" w:rsidP="00A312BC"/>
  </w:endnote>
  <w:endnote w:type="continuationSeparator" w:id="0">
    <w:p w14:paraId="4F1FA799" w14:textId="77777777" w:rsidR="00D7505B" w:rsidRPr="00A312BC" w:rsidRDefault="00D7505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C37DF" w14:textId="4BFAA964" w:rsidR="00164126" w:rsidRPr="00164126" w:rsidRDefault="00164126">
    <w:pPr>
      <w:pStyle w:val="a8"/>
    </w:pPr>
    <w:r w:rsidRPr="00164126">
      <w:rPr>
        <w:b/>
        <w:sz w:val="18"/>
      </w:rPr>
      <w:fldChar w:fldCharType="begin"/>
    </w:r>
    <w:r w:rsidRPr="00164126">
      <w:rPr>
        <w:b/>
        <w:sz w:val="18"/>
      </w:rPr>
      <w:instrText xml:space="preserve"> PAGE  \* MERGEFORMAT </w:instrText>
    </w:r>
    <w:r w:rsidRPr="00164126">
      <w:rPr>
        <w:b/>
        <w:sz w:val="18"/>
      </w:rPr>
      <w:fldChar w:fldCharType="separate"/>
    </w:r>
    <w:r w:rsidRPr="00164126">
      <w:rPr>
        <w:b/>
        <w:noProof/>
        <w:sz w:val="18"/>
      </w:rPr>
      <w:t>2</w:t>
    </w:r>
    <w:r w:rsidRPr="00164126">
      <w:rPr>
        <w:b/>
        <w:sz w:val="18"/>
      </w:rPr>
      <w:fldChar w:fldCharType="end"/>
    </w:r>
    <w:r>
      <w:rPr>
        <w:b/>
        <w:sz w:val="18"/>
      </w:rPr>
      <w:tab/>
    </w:r>
    <w:r>
      <w:t>GE.22-10182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A47EE" w14:textId="7D972D68" w:rsidR="00164126" w:rsidRPr="00164126" w:rsidRDefault="00164126" w:rsidP="00164126">
    <w:pPr>
      <w:pStyle w:val="a8"/>
      <w:tabs>
        <w:tab w:val="clear" w:pos="9639"/>
        <w:tab w:val="right" w:pos="9638"/>
      </w:tabs>
      <w:rPr>
        <w:b/>
        <w:sz w:val="18"/>
      </w:rPr>
    </w:pPr>
    <w:r>
      <w:t>GE.22-10182</w:t>
    </w:r>
    <w:r>
      <w:tab/>
    </w:r>
    <w:r w:rsidRPr="00164126">
      <w:rPr>
        <w:b/>
        <w:sz w:val="18"/>
      </w:rPr>
      <w:fldChar w:fldCharType="begin"/>
    </w:r>
    <w:r w:rsidRPr="00164126">
      <w:rPr>
        <w:b/>
        <w:sz w:val="18"/>
      </w:rPr>
      <w:instrText xml:space="preserve"> PAGE  \* MERGEFORMAT </w:instrText>
    </w:r>
    <w:r w:rsidRPr="00164126">
      <w:rPr>
        <w:b/>
        <w:sz w:val="18"/>
      </w:rPr>
      <w:fldChar w:fldCharType="separate"/>
    </w:r>
    <w:r w:rsidRPr="00164126">
      <w:rPr>
        <w:b/>
        <w:noProof/>
        <w:sz w:val="18"/>
      </w:rPr>
      <w:t>3</w:t>
    </w:r>
    <w:r w:rsidRPr="0016412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A3C3C" w14:textId="0B0D18ED" w:rsidR="00042B72" w:rsidRPr="00164126" w:rsidRDefault="00164126" w:rsidP="00164126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A07716C" wp14:editId="66311C7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22-10182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E24D8E7" wp14:editId="194A8BD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300622  300622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250B5" w14:textId="77777777" w:rsidR="00D7505B" w:rsidRPr="001075E9" w:rsidRDefault="00D7505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A589E9C" w14:textId="77777777" w:rsidR="00D7505B" w:rsidRDefault="00D7505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4168FBC" w14:textId="77777777" w:rsidR="00164126" w:rsidRPr="002A0381" w:rsidRDefault="00164126" w:rsidP="00164126">
      <w:pPr>
        <w:pStyle w:val="ad"/>
      </w:pPr>
      <w:r>
        <w:tab/>
      </w:r>
      <w:r w:rsidRPr="00164126">
        <w:rPr>
          <w:sz w:val="20"/>
          <w:szCs w:val="22"/>
        </w:rPr>
        <w:t>*</w:t>
      </w:r>
      <w:r>
        <w:tab/>
        <w:t>Государство, не являющееся членом Совета по правам человека.</w:t>
      </w:r>
    </w:p>
  </w:footnote>
  <w:footnote w:id="2">
    <w:p w14:paraId="00951371" w14:textId="77777777" w:rsidR="00164126" w:rsidRPr="00164126" w:rsidRDefault="00164126" w:rsidP="00164126">
      <w:pPr>
        <w:pStyle w:val="ad"/>
        <w:rPr>
          <w:lang w:val="en-US"/>
        </w:rPr>
      </w:pPr>
      <w:r>
        <w:tab/>
      </w:r>
      <w:r>
        <w:rPr>
          <w:rStyle w:val="aa"/>
        </w:rPr>
        <w:footnoteRef/>
      </w:r>
      <w:r w:rsidRPr="002A0381">
        <w:rPr>
          <w:lang w:val="en-US"/>
        </w:rPr>
        <w:tab/>
      </w:r>
      <w:r>
        <w:t>См</w:t>
      </w:r>
      <w:r w:rsidRPr="002A0381">
        <w:rPr>
          <w:lang w:val="en-US"/>
        </w:rPr>
        <w:t xml:space="preserve">. A/HRC/50/27 </w:t>
      </w:r>
      <w:r>
        <w:t>и</w:t>
      </w:r>
      <w:r w:rsidRPr="002A0381">
        <w:rPr>
          <w:lang w:val="en-US"/>
        </w:rPr>
        <w:t xml:space="preserve"> Add.1.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21C4" w14:textId="0FC41878" w:rsidR="00164126" w:rsidRPr="00164126" w:rsidRDefault="00164126">
    <w:pPr>
      <w:pStyle w:val="a5"/>
    </w:pPr>
    <w:fldSimple w:instr=" TITLE  \* MERGEFORMAT ">
      <w:r w:rsidR="00334BF6">
        <w:t>A/HRC/50/L.2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2B34" w14:textId="1103790B" w:rsidR="00164126" w:rsidRPr="00164126" w:rsidRDefault="00164126" w:rsidP="00164126">
    <w:pPr>
      <w:pStyle w:val="a5"/>
      <w:jc w:val="right"/>
    </w:pPr>
    <w:fldSimple w:instr=" TITLE  \* MERGEFORMAT ">
      <w:r w:rsidR="00334BF6">
        <w:t>A/HRC/50/L.2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5B"/>
    <w:rsid w:val="00033EE1"/>
    <w:rsid w:val="00040272"/>
    <w:rsid w:val="00041EA6"/>
    <w:rsid w:val="00042B72"/>
    <w:rsid w:val="000558BD"/>
    <w:rsid w:val="000842B4"/>
    <w:rsid w:val="000B57E7"/>
    <w:rsid w:val="000B6373"/>
    <w:rsid w:val="000F09DF"/>
    <w:rsid w:val="000F61B2"/>
    <w:rsid w:val="001075E9"/>
    <w:rsid w:val="00164126"/>
    <w:rsid w:val="00180183"/>
    <w:rsid w:val="0018024D"/>
    <w:rsid w:val="0018649F"/>
    <w:rsid w:val="00196389"/>
    <w:rsid w:val="001A2C0A"/>
    <w:rsid w:val="001B3EF6"/>
    <w:rsid w:val="001C7A89"/>
    <w:rsid w:val="002501D7"/>
    <w:rsid w:val="00272A35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2B45"/>
    <w:rsid w:val="00317339"/>
    <w:rsid w:val="00322004"/>
    <w:rsid w:val="003334ED"/>
    <w:rsid w:val="00334BF6"/>
    <w:rsid w:val="003402C2"/>
    <w:rsid w:val="00381C24"/>
    <w:rsid w:val="003958D0"/>
    <w:rsid w:val="003B00E5"/>
    <w:rsid w:val="003B3FBC"/>
    <w:rsid w:val="00407B78"/>
    <w:rsid w:val="00424203"/>
    <w:rsid w:val="00452493"/>
    <w:rsid w:val="00454E07"/>
    <w:rsid w:val="00472C5C"/>
    <w:rsid w:val="00484B62"/>
    <w:rsid w:val="0050108D"/>
    <w:rsid w:val="00513081"/>
    <w:rsid w:val="00517901"/>
    <w:rsid w:val="00526683"/>
    <w:rsid w:val="00541726"/>
    <w:rsid w:val="005709E0"/>
    <w:rsid w:val="00572E19"/>
    <w:rsid w:val="005961C8"/>
    <w:rsid w:val="005C48A3"/>
    <w:rsid w:val="005D7914"/>
    <w:rsid w:val="005E2B41"/>
    <w:rsid w:val="005F0B42"/>
    <w:rsid w:val="00681A10"/>
    <w:rsid w:val="006A1ED8"/>
    <w:rsid w:val="006C2031"/>
    <w:rsid w:val="006C6883"/>
    <w:rsid w:val="006D461A"/>
    <w:rsid w:val="006F0B59"/>
    <w:rsid w:val="006F35EE"/>
    <w:rsid w:val="006F766F"/>
    <w:rsid w:val="007021FF"/>
    <w:rsid w:val="00707123"/>
    <w:rsid w:val="00712895"/>
    <w:rsid w:val="00757357"/>
    <w:rsid w:val="00782C09"/>
    <w:rsid w:val="007D3BD5"/>
    <w:rsid w:val="007D5A02"/>
    <w:rsid w:val="00825F8D"/>
    <w:rsid w:val="00834B71"/>
    <w:rsid w:val="00844887"/>
    <w:rsid w:val="0086445C"/>
    <w:rsid w:val="00865660"/>
    <w:rsid w:val="00894693"/>
    <w:rsid w:val="008A08D7"/>
    <w:rsid w:val="008B6909"/>
    <w:rsid w:val="008D261C"/>
    <w:rsid w:val="00906890"/>
    <w:rsid w:val="00911BE4"/>
    <w:rsid w:val="009275CF"/>
    <w:rsid w:val="00936A21"/>
    <w:rsid w:val="0094073F"/>
    <w:rsid w:val="00951972"/>
    <w:rsid w:val="009604DF"/>
    <w:rsid w:val="009608F3"/>
    <w:rsid w:val="009675B6"/>
    <w:rsid w:val="009A24AC"/>
    <w:rsid w:val="00A01942"/>
    <w:rsid w:val="00A10122"/>
    <w:rsid w:val="00A312BC"/>
    <w:rsid w:val="00A84021"/>
    <w:rsid w:val="00A84D35"/>
    <w:rsid w:val="00A917B3"/>
    <w:rsid w:val="00AB4B51"/>
    <w:rsid w:val="00B10CC7"/>
    <w:rsid w:val="00B25BD7"/>
    <w:rsid w:val="00B539E7"/>
    <w:rsid w:val="00B62458"/>
    <w:rsid w:val="00BC18B2"/>
    <w:rsid w:val="00BD33EE"/>
    <w:rsid w:val="00BE0674"/>
    <w:rsid w:val="00C106D6"/>
    <w:rsid w:val="00C60F0C"/>
    <w:rsid w:val="00C805C9"/>
    <w:rsid w:val="00C92939"/>
    <w:rsid w:val="00CA1679"/>
    <w:rsid w:val="00CB0692"/>
    <w:rsid w:val="00CB151C"/>
    <w:rsid w:val="00CE5A1A"/>
    <w:rsid w:val="00CF55F6"/>
    <w:rsid w:val="00D33D63"/>
    <w:rsid w:val="00D7505B"/>
    <w:rsid w:val="00D90028"/>
    <w:rsid w:val="00D90138"/>
    <w:rsid w:val="00DC2121"/>
    <w:rsid w:val="00DD78D1"/>
    <w:rsid w:val="00DF71B9"/>
    <w:rsid w:val="00E71476"/>
    <w:rsid w:val="00E73F76"/>
    <w:rsid w:val="00EA2AAD"/>
    <w:rsid w:val="00EA2C9F"/>
    <w:rsid w:val="00EA420E"/>
    <w:rsid w:val="00EC27E8"/>
    <w:rsid w:val="00EC3F0F"/>
    <w:rsid w:val="00ED0BDA"/>
    <w:rsid w:val="00EF1360"/>
    <w:rsid w:val="00EF3220"/>
    <w:rsid w:val="00F33F75"/>
    <w:rsid w:val="00F43903"/>
    <w:rsid w:val="00F525BC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D056091"/>
  <w15:docId w15:val="{D89CC80B-87E5-4DBA-AD3B-581C4B04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DC212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1</TotalTime>
  <Pages>3</Pages>
  <Words>824</Words>
  <Characters>5653</Characters>
  <Application>Microsoft Office Word</Application>
  <DocSecurity>0</DocSecurity>
  <Lines>628</Lines>
  <Paragraphs>269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A/HRC/50/L.2</vt:lpstr>
      <vt:lpstr>A/</vt:lpstr>
      <vt:lpstr>A/</vt:lpstr>
      <vt:lpstr>A/</vt:lpstr>
    </vt:vector>
  </TitlesOfParts>
  <Company>DCM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A/HRC/50/L.2</dc:title>
  <dc:subject/>
  <dc:creator>Anna PETELINA</dc:creator>
  <cp:keywords/>
  <cp:lastModifiedBy>Anna Petelina</cp:lastModifiedBy>
  <cp:revision>3</cp:revision>
  <cp:lastPrinted>2022-06-30T13:49:00Z</cp:lastPrinted>
  <dcterms:created xsi:type="dcterms:W3CDTF">2022-06-30T13:49:00Z</dcterms:created>
  <dcterms:modified xsi:type="dcterms:W3CDTF">2022-06-30T13:50:00Z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