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309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30968" w:rsidP="00530968">
            <w:pPr>
              <w:jc w:val="right"/>
            </w:pPr>
            <w:r w:rsidRPr="00530968">
              <w:rPr>
                <w:sz w:val="40"/>
              </w:rPr>
              <w:t>A</w:t>
            </w:r>
            <w:r>
              <w:t>/HRC/36/L.18/Rev.1</w:t>
            </w:r>
          </w:p>
        </w:tc>
      </w:tr>
      <w:tr w:rsidR="002D5AAC" w:rsidRPr="00DF7EA8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30968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:rsidR="00530968" w:rsidRDefault="00530968" w:rsidP="005309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September 2017</w:t>
            </w:r>
          </w:p>
          <w:p w:rsidR="00530968" w:rsidRDefault="00530968" w:rsidP="005309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30968" w:rsidRPr="00E71476" w:rsidRDefault="00530968" w:rsidP="005309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EB7153" w:rsidRPr="00475EB9" w:rsidRDefault="00EB7153" w:rsidP="00EB7153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EB7153" w:rsidRPr="00475EB9" w:rsidRDefault="00EB7153" w:rsidP="00EB7153">
      <w:pPr>
        <w:rPr>
          <w:b/>
        </w:rPr>
      </w:pPr>
      <w:r w:rsidRPr="00475EB9">
        <w:rPr>
          <w:b/>
        </w:rPr>
        <w:t>Тридцать шестая сессия</w:t>
      </w:r>
    </w:p>
    <w:p w:rsidR="00EB7153" w:rsidRPr="00475EB9" w:rsidRDefault="00EB7153" w:rsidP="00EB7153">
      <w:r w:rsidRPr="00475EB9">
        <w:t>11–29 сентября 2017 года</w:t>
      </w:r>
    </w:p>
    <w:p w:rsidR="00EB7153" w:rsidRPr="00475EB9" w:rsidRDefault="00EB7153" w:rsidP="00EB7153">
      <w:r w:rsidRPr="00475EB9">
        <w:t>Пункт 10 повестки дня</w:t>
      </w:r>
    </w:p>
    <w:p w:rsidR="00EB7153" w:rsidRPr="00475EB9" w:rsidRDefault="00EB7153" w:rsidP="00EB7153">
      <w:pPr>
        <w:rPr>
          <w:b/>
        </w:rPr>
      </w:pPr>
      <w:r w:rsidRPr="00475EB9">
        <w:rPr>
          <w:b/>
        </w:rPr>
        <w:t>Техническая помощь и создание потенциала</w:t>
      </w:r>
    </w:p>
    <w:p w:rsidR="00EB7153" w:rsidRPr="00475EB9" w:rsidRDefault="00EB7153" w:rsidP="00EB7153">
      <w:pPr>
        <w:pStyle w:val="H23GR"/>
      </w:pPr>
      <w:r w:rsidRPr="00475EB9">
        <w:tab/>
      </w:r>
      <w:r w:rsidRPr="00475EB9">
        <w:tab/>
        <w:t>Бельгия,</w:t>
      </w:r>
      <w:r w:rsidRPr="00475EB9">
        <w:rPr>
          <w:bCs/>
        </w:rPr>
        <w:t xml:space="preserve"> </w:t>
      </w:r>
      <w:r w:rsidRPr="00475EB9">
        <w:t>Венгрия,</w:t>
      </w:r>
      <w:r w:rsidRPr="00475EB9">
        <w:rPr>
          <w:bCs/>
        </w:rPr>
        <w:t xml:space="preserve"> </w:t>
      </w:r>
      <w:r w:rsidRPr="00475EB9">
        <w:t>Германия,</w:t>
      </w:r>
      <w:r w:rsidRPr="00475EB9">
        <w:rPr>
          <w:bCs/>
        </w:rPr>
        <w:t xml:space="preserve"> </w:t>
      </w:r>
      <w:r w:rsidR="00DF7EA8">
        <w:t>Ирландия</w:t>
      </w:r>
      <w:r w:rsidR="00DF7EA8" w:rsidRPr="009C5764">
        <w:rPr>
          <w:b w:val="0"/>
        </w:rPr>
        <w:t>*</w:t>
      </w:r>
      <w:r w:rsidR="00DF7EA8">
        <w:t xml:space="preserve">, </w:t>
      </w:r>
      <w:r w:rsidRPr="00475EB9">
        <w:t>Испания</w:t>
      </w:r>
      <w:r w:rsidRPr="009C5764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475EB9">
        <w:t>, Италия</w:t>
      </w:r>
      <w:r w:rsidRPr="009C5764">
        <w:rPr>
          <w:b w:val="0"/>
        </w:rPr>
        <w:t>*</w:t>
      </w:r>
      <w:r w:rsidRPr="00475EB9">
        <w:t xml:space="preserve">, </w:t>
      </w:r>
      <w:r>
        <w:t>Монако</w:t>
      </w:r>
      <w:r w:rsidRPr="009C5764">
        <w:rPr>
          <w:b w:val="0"/>
        </w:rPr>
        <w:t>*</w:t>
      </w:r>
      <w:r>
        <w:rPr>
          <w:b w:val="0"/>
        </w:rPr>
        <w:t xml:space="preserve">, </w:t>
      </w:r>
      <w:r w:rsidRPr="00475EB9">
        <w:t>Тунис</w:t>
      </w:r>
      <w:r w:rsidRPr="00FC1D85">
        <w:rPr>
          <w:rStyle w:val="aa"/>
          <w:b w:val="0"/>
          <w:sz w:val="20"/>
        </w:rPr>
        <w:footnoteReference w:customMarkFollows="1" w:id="2"/>
        <w:t>†</w:t>
      </w:r>
      <w:r w:rsidRPr="00475EB9">
        <w:t>, Франция</w:t>
      </w:r>
      <w:r w:rsidRPr="009C5764">
        <w:rPr>
          <w:b w:val="0"/>
        </w:rPr>
        <w:t>*</w:t>
      </w:r>
      <w:r w:rsidRPr="00475EB9">
        <w:t>: проект резолюции</w:t>
      </w:r>
      <w:bookmarkStart w:id="0" w:name="_GoBack"/>
      <w:bookmarkEnd w:id="0"/>
    </w:p>
    <w:p w:rsidR="00EB7153" w:rsidRPr="00475EB9" w:rsidRDefault="00EB7153" w:rsidP="00EB7153">
      <w:pPr>
        <w:pStyle w:val="H1GR"/>
        <w:tabs>
          <w:tab w:val="left" w:pos="1985"/>
        </w:tabs>
      </w:pPr>
      <w:r>
        <w:tab/>
      </w:r>
      <w:r>
        <w:tab/>
      </w:r>
      <w:r w:rsidRPr="00475EB9">
        <w:t>36/…</w:t>
      </w:r>
      <w:r w:rsidRPr="00475EB9">
        <w:tab/>
        <w:t>Техническая помощь и создание потенциала в области</w:t>
      </w:r>
      <w:r>
        <w:br/>
      </w:r>
      <w:r>
        <w:tab/>
      </w:r>
      <w:r w:rsidRPr="00475EB9">
        <w:t>прав человека в Центральноафриканской Республике</w:t>
      </w:r>
    </w:p>
    <w:p w:rsidR="00EB7153" w:rsidRPr="00475EB9" w:rsidRDefault="00EB7153" w:rsidP="00EB7153">
      <w:pPr>
        <w:pStyle w:val="SingleTxtGR"/>
      </w:pPr>
      <w:r>
        <w:rPr>
          <w:i/>
        </w:rPr>
        <w:tab/>
      </w:r>
      <w:r w:rsidRPr="00475EB9">
        <w:rPr>
          <w:i/>
        </w:rPr>
        <w:t>Совет по правам человека</w:t>
      </w:r>
      <w:r w:rsidRPr="00475EB9">
        <w:t>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руководствуясь</w:t>
      </w:r>
      <w:r w:rsidRPr="00475EB9">
        <w:t xml:space="preserve"> принципами и целями Устава Организации Объединенных Наций,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вновь подтверждая</w:t>
      </w:r>
      <w:r w:rsidRPr="00475EB9">
        <w:t xml:space="preserve"> Всеобщую декларацию прав человека,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ссылаясь</w:t>
      </w:r>
      <w:r w:rsidRPr="00475EB9">
        <w:t xml:space="preserve"> на Африканскую хартию прав человека и народов и другие международные и африканские инструменты по правам человека,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ссылаясь также</w:t>
      </w:r>
      <w:r w:rsidRPr="00475EB9">
        <w:t xml:space="preserve"> на резолюцию 60/</w:t>
      </w:r>
      <w:r>
        <w:t>251 Генеральной Ассамблеи от 15 </w:t>
      </w:r>
      <w:r w:rsidRPr="00475EB9">
        <w:t xml:space="preserve">марта 2006 года и резолюции Совета по </w:t>
      </w:r>
      <w:r>
        <w:t>правам человека 5/1 и 5/2 от 18</w:t>
      </w:r>
      <w:r>
        <w:rPr>
          <w:lang w:val="en-US"/>
        </w:rPr>
        <w:t> </w:t>
      </w:r>
      <w:r w:rsidRPr="00475EB9">
        <w:t>июня 2007 года, 23/18 от 13 июня 2013 года, 24/34 от 27 сентября 2013 года, S-20/1 от 20 января 2014 года, 27/28 от 26 сентября 2014 года, 30/19 от 2 октября 2015 года и 33/27 от 30 сентября 2016 года,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ссылаясь далее</w:t>
      </w:r>
      <w:r w:rsidRPr="00475EB9">
        <w:t xml:space="preserve"> на резолюции Совета Безопасности 2088 (2013) от 24 января 2013 года, 2121 (2013) от 10 октября 2013 года, 2127 (2013) от 5 декабря 2013 года, 2134 (2014) от 28 января 2014 года, 2149 (2014) от 10 апреля 2014 года, 2217 (2015) от 28 апреля 2015 года, 2281 (201</w:t>
      </w:r>
      <w:r>
        <w:t>6) от 26 апреля 2016 года, 2301 </w:t>
      </w:r>
      <w:r w:rsidRPr="00475EB9">
        <w:t>(2016) от 26 июля 2016 года и 2339 (2017) от 27 января 2017 года,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вновь подтверждая</w:t>
      </w:r>
      <w:r w:rsidRPr="00475EB9">
        <w:t>, что все государства несут главную ответственность за поощрение и защиту прав человека и основных свобод, закрепленных Уставом Организации Объединенных Наций, Всеобщей декларацией прав человека, международными пактами по правам человека и другими международными и африканскими инструментами по правам человека, участниками которых они являются,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напоминая</w:t>
      </w:r>
      <w:r w:rsidRPr="00475EB9">
        <w:t>, что центральноафриканские власти несут главную ответственность за защиту всех групп населения страны от геноцида, военных преступлений, этнических чисток и преступлений против человечности,</w:t>
      </w:r>
    </w:p>
    <w:p w:rsidR="00EB7153" w:rsidRPr="00475EB9" w:rsidRDefault="00EB7153" w:rsidP="00EB7153">
      <w:pPr>
        <w:pStyle w:val="SingleTxtGR"/>
      </w:pPr>
      <w:r w:rsidRPr="00475EB9">
        <w:lastRenderedPageBreak/>
        <w:tab/>
      </w:r>
      <w:r w:rsidRPr="00475EB9">
        <w:rPr>
          <w:i/>
        </w:rPr>
        <w:t>приветствуя</w:t>
      </w:r>
      <w:r w:rsidRPr="00475EB9">
        <w:t xml:space="preserve"> проведение народных консультаций и Бангийского форума по национальному примирению, за чем последовало принятие Республиканского пакта о мире, национальном примирении и восстановлении и подписание представителями основных участников конфликта в Центральноафриканской Республике</w:t>
      </w:r>
      <w:r w:rsidRPr="00673E1D">
        <w:t xml:space="preserve"> </w:t>
      </w:r>
      <w:r w:rsidRPr="00475EB9">
        <w:t>соглашения о разоружении, демобилизации и реинтеграции, и подчеркивая необходимость эффективного осуществления рекомендаций и мер, которые там содержатся,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приветствуя также</w:t>
      </w:r>
      <w:r w:rsidRPr="00475EB9">
        <w:t xml:space="preserve"> мирное проведение конституционного референдума 13 декабря 2015 года и проведение законодательных и президентских выборов в декабре 2015 года и в феврале и марте 2016 года и инаугурацию президента Фостен-Арканжа Туадеры 30 марта 2016 года,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вновь подтверждая</w:t>
      </w:r>
      <w:r w:rsidRPr="00475EB9">
        <w:t xml:space="preserve"> свою приверженность суверенитету, независимости, единству и территориальной целостности Центральноафриканской Республики,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будучи серьезно озабочен</w:t>
      </w:r>
      <w:r w:rsidRPr="003B2613">
        <w:rPr>
          <w:i/>
        </w:rPr>
        <w:t xml:space="preserve"> </w:t>
      </w:r>
      <w:r w:rsidRPr="00475EB9">
        <w:t>ухудшением положения в области безопасности в Центральноафриканской Республике по причине распространения вооруженных группировок по большей части территории и осуждая, в особенности, недавние акты насилия и преступности, а также инциденты внутри страны, которые привели к многочисленным гр</w:t>
      </w:r>
      <w:r>
        <w:t>ажданским жертвам с начала 2017 </w:t>
      </w:r>
      <w:r w:rsidRPr="00475EB9">
        <w:t xml:space="preserve">года и вызвали массовые перемещения населения, </w:t>
      </w:r>
    </w:p>
    <w:p w:rsidR="00EB7153" w:rsidRPr="00475EB9" w:rsidRDefault="00EB7153" w:rsidP="00EB7153">
      <w:pPr>
        <w:pStyle w:val="SingleTxtGR"/>
      </w:pPr>
      <w:r>
        <w:rPr>
          <w:i/>
        </w:rPr>
        <w:tab/>
      </w:r>
      <w:r w:rsidRPr="00475EB9">
        <w:rPr>
          <w:i/>
        </w:rPr>
        <w:t>будучи серьезно озабочен</w:t>
      </w:r>
      <w:r w:rsidRPr="00475EB9">
        <w:t xml:space="preserve"> </w:t>
      </w:r>
      <w:r>
        <w:rPr>
          <w:i/>
        </w:rPr>
        <w:t>также</w:t>
      </w:r>
      <w:r w:rsidRPr="00475EB9">
        <w:t xml:space="preserve"> ухуд</w:t>
      </w:r>
      <w:r>
        <w:t>шением гуманитарной ситуации, в </w:t>
      </w:r>
      <w:r w:rsidRPr="00475EB9">
        <w:t xml:space="preserve">особенности в связи с увеличением числа перемещенных лиц и числа беженцев, спасающихся бегством от насилия, а также в связи с тем, что половина населения страны, т.е. 2,4 миллиона центральноафриканцев, нуждается в гуманитарной помощи, чтобы выжить, и испытывая озабоченность в связи с притоком беженцев и их воздействием на положение в соседних странах и других странах региона, </w:t>
      </w:r>
    </w:p>
    <w:p w:rsidR="00EB7153" w:rsidRPr="00475EB9" w:rsidRDefault="00EB7153" w:rsidP="00EB7153">
      <w:pPr>
        <w:pStyle w:val="SingleTxtGR"/>
      </w:pPr>
      <w:r>
        <w:rPr>
          <w:i/>
        </w:rPr>
        <w:tab/>
      </w:r>
      <w:r w:rsidRPr="00475EB9">
        <w:rPr>
          <w:i/>
        </w:rPr>
        <w:t>принимая к сведению</w:t>
      </w:r>
      <w:r w:rsidRPr="00475EB9">
        <w:t xml:space="preserve"> презентацию 5 декабря 2016 года плана гуманитарного реагирования на 20</w:t>
      </w:r>
      <w:r>
        <w:t>17–</w:t>
      </w:r>
      <w:r w:rsidRPr="00475EB9">
        <w:t>2019 годы и испытывая озабоченность в связи с растущими гуманитарными потребностями Центральноафриканской Республики,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принимая к сведению также</w:t>
      </w:r>
      <w:r w:rsidRPr="00475EB9">
        <w:t xml:space="preserve"> мобилизацию международного сообщества на оказание гуманитарной помощи центральноафриканскому населению, затронутому кризисом, за счет конференции донор</w:t>
      </w:r>
      <w:r>
        <w:t>ов, проведенной в Аддис-Абебе 1 </w:t>
      </w:r>
      <w:r w:rsidRPr="00475EB9">
        <w:t xml:space="preserve">февраля 2014 года, брюссельской конференции, проведенной 26 мая 2015 года, и нескольких встреч на высоком уровне по вопросу о гуманитарной деятельности в Центральноафриканской Республике, таких как </w:t>
      </w:r>
      <w:r>
        <w:t>а</w:t>
      </w:r>
      <w:r w:rsidRPr="00475EB9">
        <w:t>ддис-</w:t>
      </w:r>
      <w:r>
        <w:t>а</w:t>
      </w:r>
      <w:r w:rsidRPr="00475EB9">
        <w:t>беб</w:t>
      </w:r>
      <w:r>
        <w:t xml:space="preserve">ская </w:t>
      </w:r>
      <w:r w:rsidRPr="00475EB9">
        <w:t xml:space="preserve">Конференция Африканского союза </w:t>
      </w:r>
      <w:r>
        <w:t xml:space="preserve">в </w:t>
      </w:r>
      <w:r w:rsidRPr="00475EB9">
        <w:t>феврале 2017 года по солидарности с Центральноафриканской Республикой,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с удовлетворением воспринимая</w:t>
      </w:r>
      <w:r w:rsidRPr="00475EB9">
        <w:t xml:space="preserve"> итоговый документ международной конференции по поддержке, которая состоялась в Брюсселе в ноябре 2016 года, и взносы, которые были объявлены в ходе этой конференции, и призывая государства-члены быстро перечислить их,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напоминая</w:t>
      </w:r>
      <w:r w:rsidRPr="00475EB9">
        <w:t>, что центральноафриканскому правительству, международному сообществу и гуманитарным субъектам необходимо поддерживать добровольное возвращение перемещенных лиц и беженцев и позаботиться о том, чтобы это возвращение носило устойчивый характер,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будучи серьезно озабочен</w:t>
      </w:r>
      <w:r w:rsidRPr="00475EB9">
        <w:t xml:space="preserve"> тяжкими нарушениями и ущемлениями прав человека и международного гуманитарного права, включая </w:t>
      </w:r>
      <w:r>
        <w:t xml:space="preserve">и те, которые сопряжены с </w:t>
      </w:r>
      <w:r w:rsidRPr="00475EB9">
        <w:t>казн</w:t>
      </w:r>
      <w:r>
        <w:t>ям</w:t>
      </w:r>
      <w:r w:rsidRPr="00475EB9">
        <w:t>и без надлежащего судебного разбирательства и внесудебны</w:t>
      </w:r>
      <w:r>
        <w:t>ми</w:t>
      </w:r>
      <w:r w:rsidRPr="00475EB9">
        <w:t xml:space="preserve"> казн</w:t>
      </w:r>
      <w:r>
        <w:t>ям</w:t>
      </w:r>
      <w:r w:rsidRPr="00475EB9">
        <w:t>и, произвольны</w:t>
      </w:r>
      <w:r>
        <w:t>ми</w:t>
      </w:r>
      <w:r w:rsidRPr="00475EB9">
        <w:t xml:space="preserve"> задержания</w:t>
      </w:r>
      <w:r>
        <w:t>ми</w:t>
      </w:r>
      <w:r w:rsidRPr="00475EB9">
        <w:t xml:space="preserve"> и арест</w:t>
      </w:r>
      <w:r>
        <w:t>ами</w:t>
      </w:r>
      <w:r w:rsidRPr="00475EB9">
        <w:t>, насильственны</w:t>
      </w:r>
      <w:r>
        <w:t>ми</w:t>
      </w:r>
      <w:r w:rsidRPr="00475EB9">
        <w:t xml:space="preserve"> исчезновения</w:t>
      </w:r>
      <w:r>
        <w:t>ми</w:t>
      </w:r>
      <w:r w:rsidRPr="00475EB9">
        <w:t>, вербовк</w:t>
      </w:r>
      <w:r>
        <w:t>ой</w:t>
      </w:r>
      <w:r w:rsidRPr="00475EB9">
        <w:t xml:space="preserve"> и использование</w:t>
      </w:r>
      <w:r>
        <w:t>м</w:t>
      </w:r>
      <w:r w:rsidRPr="00475EB9">
        <w:t xml:space="preserve"> детей, изнасилования</w:t>
      </w:r>
      <w:r>
        <w:t>ми</w:t>
      </w:r>
      <w:r w:rsidRPr="00475EB9">
        <w:t xml:space="preserve"> и други</w:t>
      </w:r>
      <w:r>
        <w:t>ми</w:t>
      </w:r>
      <w:r w:rsidRPr="00475EB9">
        <w:t xml:space="preserve"> форм</w:t>
      </w:r>
      <w:r>
        <w:t>ами</w:t>
      </w:r>
      <w:r w:rsidRPr="00475EB9">
        <w:t xml:space="preserve"> сексуальных надругательств, пытк</w:t>
      </w:r>
      <w:r>
        <w:t>ам</w:t>
      </w:r>
      <w:r w:rsidRPr="00475EB9">
        <w:t>и, грабеж</w:t>
      </w:r>
      <w:r>
        <w:t>ам</w:t>
      </w:r>
      <w:r w:rsidRPr="00475EB9">
        <w:t>и, незаконн</w:t>
      </w:r>
      <w:r>
        <w:t>ым</w:t>
      </w:r>
      <w:r w:rsidRPr="00475EB9">
        <w:t xml:space="preserve"> уничтожение</w:t>
      </w:r>
      <w:r>
        <w:t>м</w:t>
      </w:r>
      <w:r w:rsidRPr="00475EB9">
        <w:t xml:space="preserve"> имущества и други</w:t>
      </w:r>
      <w:r>
        <w:t>ми</w:t>
      </w:r>
      <w:r w:rsidRPr="00475EB9">
        <w:t xml:space="preserve"> тяжки</w:t>
      </w:r>
      <w:r>
        <w:t>ми</w:t>
      </w:r>
      <w:r w:rsidRPr="00475EB9">
        <w:t xml:space="preserve"> нарушения</w:t>
      </w:r>
      <w:r>
        <w:t>ми</w:t>
      </w:r>
      <w:r w:rsidRPr="00475EB9">
        <w:t xml:space="preserve"> и ущемления</w:t>
      </w:r>
      <w:r>
        <w:t>ми</w:t>
      </w:r>
      <w:r w:rsidRPr="00475EB9">
        <w:t xml:space="preserve"> международного правозащитного права и международного гуманитарного права,</w:t>
      </w:r>
    </w:p>
    <w:p w:rsidR="00EB7153" w:rsidRPr="00475EB9" w:rsidRDefault="00EB7153" w:rsidP="00EB7153">
      <w:pPr>
        <w:pStyle w:val="SingleTxtGR"/>
      </w:pPr>
      <w:r w:rsidRPr="00475EB9">
        <w:lastRenderedPageBreak/>
        <w:tab/>
      </w:r>
      <w:r w:rsidRPr="00475EB9">
        <w:rPr>
          <w:i/>
        </w:rPr>
        <w:t>подчеркивая</w:t>
      </w:r>
      <w:r w:rsidRPr="00475EB9">
        <w:t xml:space="preserve">, что те, кто предается актам, подрывающим мир, стабильность и безопасность в Центральноафриканской Республике, или поддерживает их, кто ставит под угрозу или тормозит процесс политической стабилизации и примирения и кто направляет свои нападения на гражданских лиц или </w:t>
      </w:r>
      <w:r>
        <w:t>солдат-</w:t>
      </w:r>
      <w:r w:rsidRPr="00475EB9">
        <w:t>миротворцев, должны ответить за свои действия,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подчеркивая также</w:t>
      </w:r>
      <w:r w:rsidRPr="00475EB9">
        <w:t xml:space="preserve"> неотложность налаживания истинных программ разоружения, демобилизации, реинтеграции и репатриации в соответствии с всеобъемлющей стратегией реформы сектора безопасности и приветствуя благополучное развертывание предварительных мероприятий в этой сфере,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приветствуя</w:t>
      </w:r>
      <w:r w:rsidRPr="00475EB9">
        <w:t xml:space="preserve"> действия в рамках Международной миссии по поддержке Центральноафриканской Республики под африканским началом, Африканского союза, французской операции «Сангари», военной операции Европейского союза в Центральноафриканской Республике, военно-консультативной миссии Европейского союза в Центральноафриканской Республике, миссий по неоперативной и оперативной военной подготовке центральноафриканских вооруженных сил, проводимых Европейским союзом, и Многопрофильной комплексной миссии Организации Объединенных Наций по стабилизации в Центральноафриканской Республике,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напоминая</w:t>
      </w:r>
      <w:r w:rsidRPr="00475EB9">
        <w:t>, что при выполнении своих функций международные силы, присутствующие в Центральноафриканской Республике, должны в своих действиях полностью соблюдать применимые положения международного гуманитарного права, международного правозащитного права и международного беженского права, выражая озабоченность в связи с утверждениями о сексуальном насилии и других нарушениях прав человека, которые предположительно совершаются членами международных сил, присутствующих в Центральноафриканской Республике, и напоминая, что эти утверждения должны быть предметом углубленного расследования, а виновные в этих действиях должны быть отданы под суд, и приветствуя проявленную Генеральным секретарем приверженность строгому применению политики непреклонности Организации Объединенных Наций в том, что касается эксплуатации и насилия сексуального свойства,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подчеркивая</w:t>
      </w:r>
      <w:r w:rsidRPr="00475EB9">
        <w:t xml:space="preserve"> экстренную и повелительную необходимость положить конец безнаказанности в Центральноафриканской Республике и отдать под суд исполнителей нарушений и ущемлений прав человека и нарушений международного гуманитарного права и отвергнуть всякую всеобщую амнистию для исполнителей этих нарушений и посягательств и подчеркивая необходимость укрепления национальных механизмов, дабы обеспечить, чтобы эти исполнители ответили за свои действия,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подчеркивая также</w:t>
      </w:r>
      <w:r w:rsidRPr="00475EB9">
        <w:t xml:space="preserve"> главную ответственность национальных властей за создание необходимых условий для эффективного и независимого проведения расследований, возбуждения преследований и вынесения приговоров,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приветствуя</w:t>
      </w:r>
      <w:r w:rsidRPr="00475EB9">
        <w:t xml:space="preserve"> приверженность властей Центральноафриканской Республики восстановлению верховенства права, прекращению безнаказанности и отдаче под суд исполнителей преступлений по Римскому статуту Международного уголовного суда, участницей которого является Центральноафриканская Республика, и принимая к сведению принятые Прокурором Суда решения: 7 февраля 2014 года – предпринять предварительное изучение положения в Центральноафриканской Республике, </w:t>
      </w:r>
      <w:r>
        <w:t xml:space="preserve">а </w:t>
      </w:r>
      <w:r w:rsidRPr="00475EB9">
        <w:t>24 сентября 2014 года – возбудить расследование в русле просьбы, поданной переходными властями,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приветствуя также</w:t>
      </w:r>
      <w:r w:rsidRPr="00475EB9">
        <w:t xml:space="preserve"> принятые правительством меры по вводу в действие Специального уголовного суда, такие как назначение специального прокурора, назначение международных судей и национальных судей и начало процесса отбора сотрудников судебной полиции,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напоминая</w:t>
      </w:r>
      <w:r w:rsidRPr="00475EB9">
        <w:t>, что международная комиссия по расследованию утверждений о нарушениях международного гуманитарного права и международного право</w:t>
      </w:r>
      <w:r w:rsidRPr="00475EB9">
        <w:lastRenderedPageBreak/>
        <w:t>защитного права и посягательств на эти права в Центральноафриканской Республике пришла к выводу, что основные стороны в конфликте совершали с января 2013 года нарушения и злоупотребления, которые могут представлять собой военные преступления и преступления против человечности</w:t>
      </w:r>
      <w:r w:rsidRPr="0043460B">
        <w:rPr>
          <w:rStyle w:val="aa"/>
        </w:rPr>
        <w:footnoteReference w:id="3"/>
      </w:r>
      <w:r w:rsidRPr="00475EB9">
        <w:t>,</w:t>
      </w:r>
    </w:p>
    <w:p w:rsidR="00EB7153" w:rsidRPr="00475EB9" w:rsidRDefault="00EB7153" w:rsidP="00EB7153">
      <w:pPr>
        <w:pStyle w:val="SingleTxtGR"/>
      </w:pPr>
      <w:r w:rsidRPr="00475EB9">
        <w:tab/>
      </w:r>
      <w:r w:rsidRPr="00475EB9">
        <w:rPr>
          <w:i/>
        </w:rPr>
        <w:t>с удовлетворением воспринимая</w:t>
      </w:r>
      <w:r w:rsidRPr="00475EB9">
        <w:t xml:space="preserve"> доклад по проекту картирования нарушений, документирующий серьезные нарушения международного правозащитного права и международного гуманитарного права, совершенные на территории Центральноафриканской Республики с января 2003 по декабрь 2015 года, составленный Многопрофильной комплексной миссией Организации Объединенных Наций по стабилизации в Центральноафриканской Республике и Верховным комиссаром Организации Объединен</w:t>
      </w:r>
      <w:r>
        <w:t>ных Наций по правам человека, и </w:t>
      </w:r>
      <w:r w:rsidRPr="00475EB9">
        <w:t xml:space="preserve">подчеркивая полезность этого доклада для будущей работы Специального уголовного суда по расследованию и преследованию, а также для создания механизмов правосудия переходного периода, будучи глубоко озабочен выводами указанного доклада, включая тяжкие нарушения прав человека и международного гуманитарного права, и в том числе те, которые могут составлять международные преступления, </w:t>
      </w:r>
    </w:p>
    <w:p w:rsidR="00EB7153" w:rsidRPr="00475EB9" w:rsidRDefault="00EB7153" w:rsidP="00EB7153">
      <w:pPr>
        <w:pStyle w:val="SingleTxtGR"/>
      </w:pPr>
      <w:r w:rsidRPr="00475EB9">
        <w:tab/>
        <w:t>1.</w:t>
      </w:r>
      <w:r w:rsidRPr="00475EB9">
        <w:tab/>
      </w:r>
      <w:r w:rsidRPr="00475EB9">
        <w:rPr>
          <w:i/>
        </w:rPr>
        <w:t>твердо осуждает</w:t>
      </w:r>
      <w:r w:rsidRPr="00475EB9">
        <w:t xml:space="preserve"> нарушения прав человека и международного гуманитарного права и посягательства на эти права в связи с усилением нападений со стороны различных вооруженных группировок, таких как убийства, акты пыток и бесчеловечного и унижающего достоинство обращения, сексуальное насилие, похищения, лишение свободы и произвольные аресты, вымогательство и грабежи, вербовка и использование детей, занятие школ и медицинских центров и нападения на них и помехи для гуманитарной помощи, и подчеркивает, что исполнители этих нарушений </w:t>
      </w:r>
      <w:r>
        <w:t xml:space="preserve">и посягательств </w:t>
      </w:r>
      <w:r w:rsidRPr="00475EB9">
        <w:t xml:space="preserve">должны ответить за свои действия и </w:t>
      </w:r>
      <w:r>
        <w:t xml:space="preserve">должны быть отданы под </w:t>
      </w:r>
      <w:r w:rsidRPr="00475EB9">
        <w:t>суд;</w:t>
      </w:r>
    </w:p>
    <w:p w:rsidR="00EB7153" w:rsidRPr="00475EB9" w:rsidRDefault="00EB7153" w:rsidP="00EB7153">
      <w:pPr>
        <w:pStyle w:val="SingleTxtGR"/>
      </w:pPr>
      <w:r w:rsidRPr="00475EB9">
        <w:tab/>
        <w:t>2.</w:t>
      </w:r>
      <w:r w:rsidRPr="00475EB9">
        <w:tab/>
      </w:r>
      <w:r w:rsidRPr="00475EB9">
        <w:rPr>
          <w:i/>
        </w:rPr>
        <w:t>также твердо осуждает</w:t>
      </w:r>
      <w:r w:rsidRPr="00475EB9">
        <w:t xml:space="preserve"> совершаемые вооруженными группировками целенаправленные нападения на гражданских лиц, гуманитарный персонал и имущество и на персонал Организации Объединенных Наций;</w:t>
      </w:r>
    </w:p>
    <w:p w:rsidR="00EB7153" w:rsidRPr="00475EB9" w:rsidRDefault="00EB7153" w:rsidP="00EB7153">
      <w:pPr>
        <w:pStyle w:val="SingleTxtGR"/>
      </w:pPr>
      <w:r w:rsidRPr="00475EB9">
        <w:tab/>
        <w:t>3.</w:t>
      </w:r>
      <w:r w:rsidRPr="00475EB9">
        <w:tab/>
      </w:r>
      <w:r w:rsidRPr="00475EB9">
        <w:rPr>
          <w:i/>
        </w:rPr>
        <w:t>вновь обращается</w:t>
      </w:r>
      <w:r w:rsidRPr="00475EB9">
        <w:t xml:space="preserve"> с призывом немедленно прекратить все нарушения прав человека и посягательства на эти права, а также </w:t>
      </w:r>
      <w:r>
        <w:t>нарушения международного гуманитарного права</w:t>
      </w:r>
      <w:r w:rsidRPr="00475EB9">
        <w:t>, совершаемые всеми сторонами, строго соблюдать все права человека и все основные свободы и восстановить в стране верховенство права;</w:t>
      </w:r>
    </w:p>
    <w:p w:rsidR="00EB7153" w:rsidRPr="00475EB9" w:rsidRDefault="00EB7153" w:rsidP="00EB7153">
      <w:pPr>
        <w:pStyle w:val="SingleTxtGR"/>
      </w:pPr>
      <w:r w:rsidRPr="00475EB9">
        <w:tab/>
        <w:t>4.</w:t>
      </w:r>
      <w:r w:rsidRPr="00475EB9">
        <w:tab/>
      </w:r>
      <w:r w:rsidRPr="00475EB9">
        <w:rPr>
          <w:i/>
        </w:rPr>
        <w:t>с удовлетворением принимает к сведению</w:t>
      </w:r>
      <w:r w:rsidRPr="00475EB9">
        <w:t xml:space="preserve"> доклад Независимого эксперта по вопросу о положении в области прав человека в Центральноафриканской Республике</w:t>
      </w:r>
      <w:r w:rsidRPr="00475EB9">
        <w:rPr>
          <w:vertAlign w:val="superscript"/>
        </w:rPr>
        <w:footnoteReference w:id="4"/>
      </w:r>
      <w:r w:rsidRPr="00475EB9">
        <w:t xml:space="preserve"> и фигурирующие в нем рекомендации;</w:t>
      </w:r>
    </w:p>
    <w:p w:rsidR="00EB7153" w:rsidRPr="00475EB9" w:rsidRDefault="00EB7153" w:rsidP="00EB7153">
      <w:pPr>
        <w:pStyle w:val="SingleTxtGR"/>
      </w:pPr>
      <w:r w:rsidRPr="00475EB9">
        <w:tab/>
        <w:t>5.</w:t>
      </w:r>
      <w:r w:rsidRPr="00475EB9">
        <w:tab/>
      </w:r>
      <w:r w:rsidRPr="00475EB9">
        <w:rPr>
          <w:i/>
        </w:rPr>
        <w:t xml:space="preserve">настоятельно просит </w:t>
      </w:r>
      <w:r w:rsidRPr="00475EB9">
        <w:t>все стороны в Центральноафриканской Республике защищать всех гражданских лиц, и в особенности женщин и детей, от сексуального и гендерного насилия;</w:t>
      </w:r>
    </w:p>
    <w:p w:rsidR="00EB7153" w:rsidRPr="00475EB9" w:rsidRDefault="00EB7153" w:rsidP="00EB7153">
      <w:pPr>
        <w:pStyle w:val="SingleTxtGR"/>
      </w:pPr>
      <w:r w:rsidRPr="00475EB9">
        <w:tab/>
        <w:t>6.</w:t>
      </w:r>
      <w:r w:rsidRPr="00475EB9">
        <w:tab/>
      </w:r>
      <w:r w:rsidRPr="00475EB9">
        <w:rPr>
          <w:i/>
        </w:rPr>
        <w:t>побуждает</w:t>
      </w:r>
      <w:r w:rsidRPr="00475EB9">
        <w:t xml:space="preserve"> Многофункциональную комплексную миссию Организации Объединенных Наций по стабилизации в Центральноафриканской Республике решительно реализовывать динамичный и энергичный подход в интересах защиты гражданских лиц, как установлено в ее мандате, и побуждает ее оказывать необходимое содействие центральноафриканским властям с целью оперативного развертывания работы Специального уголовного суда;</w:t>
      </w:r>
    </w:p>
    <w:p w:rsidR="00EB7153" w:rsidRPr="00475EB9" w:rsidRDefault="00EB7153" w:rsidP="00EB7153">
      <w:pPr>
        <w:pStyle w:val="SingleTxtGR"/>
      </w:pPr>
      <w:r w:rsidRPr="00475EB9">
        <w:tab/>
        <w:t>7.</w:t>
      </w:r>
      <w:r w:rsidRPr="00475EB9">
        <w:tab/>
      </w:r>
      <w:r w:rsidRPr="00475EB9">
        <w:rPr>
          <w:i/>
        </w:rPr>
        <w:t>побуждает</w:t>
      </w:r>
      <w:r w:rsidRPr="00475EB9">
        <w:t xml:space="preserve"> Организацию Объединенных Наций и страны, предоставляющие войска для Многопрофильной комплексной миссии Организации Объединенных Наций по стабилизации в Центральноафриканской Республике, и внешние войска, действующие по мандату Совета Безопасности, принимать необходимые меры с целью гарантировать полное осуществление политики нулевой нетерпимости Организации Объединенных Наций по отношению к зло</w:t>
      </w:r>
      <w:r w:rsidRPr="00475EB9">
        <w:lastRenderedPageBreak/>
        <w:t>употреблениям и эксплуатации сексуального свойства и призывает страны, предоставляющие войска, и внешние войска, действующие по мандату Совета Безопасности, принимать необходимые меры с целью предупреждения всякого акта эксплуатации и посягательств сексуального свойства и пресечения безнаказанности своего персонала;</w:t>
      </w:r>
    </w:p>
    <w:p w:rsidR="00EB7153" w:rsidRPr="00475EB9" w:rsidRDefault="00EB7153" w:rsidP="00EB7153">
      <w:pPr>
        <w:pStyle w:val="SingleTxtGR"/>
      </w:pPr>
      <w:r w:rsidRPr="00475EB9">
        <w:tab/>
        <w:t>8.</w:t>
      </w:r>
      <w:r w:rsidRPr="00475EB9">
        <w:tab/>
      </w:r>
      <w:r w:rsidRPr="00475EB9">
        <w:rPr>
          <w:i/>
        </w:rPr>
        <w:t>призывает</w:t>
      </w:r>
      <w:r w:rsidRPr="00475EB9">
        <w:t xml:space="preserve"> центральноафриканские власти при поддержке со стороны Многопрофильной комплексной миссии Организации Объединенных Наций по стабилизации в Центральноафриканской Республике решительно включиться в процесс разоружения, демобилизации, реинтеграции и репатриации зарубежных комбатантов, укладываясь в рамки всеобъемлющей стратегии реформы сектора безопасности с целью скорейшего ввода в действие созданных ими структур сотрудничества, и внести предложения по разоружению, демобилизации, реинтеграции и репатриации и просит государства-члены и международные организации предоставлять необходимые финансовые средства на разоружение, демобилизацию, реинтеграцию и репатриацию, что внесло бы существенный вклад в безопасность населения и стабилизацию страны;</w:t>
      </w:r>
    </w:p>
    <w:p w:rsidR="00EB7153" w:rsidRPr="00475EB9" w:rsidRDefault="00EB7153" w:rsidP="00EB7153">
      <w:pPr>
        <w:pStyle w:val="SingleTxtGR"/>
      </w:pPr>
      <w:r w:rsidRPr="00475EB9">
        <w:tab/>
        <w:t>9.</w:t>
      </w:r>
      <w:r w:rsidRPr="00475EB9">
        <w:tab/>
      </w:r>
      <w:r w:rsidRPr="00475EB9">
        <w:rPr>
          <w:i/>
        </w:rPr>
        <w:t>настоятельно призывает</w:t>
      </w:r>
      <w:r w:rsidRPr="00475EB9">
        <w:t xml:space="preserve"> центральноафриканские власти при поддержке со стороны Многопрофильной комплексной миссии Организации Объединенных Наций по стабилизации в Центральноафриканской Республике и Миссии Европейского союза по военной подготовке в Центральноафриканской Республике принять и осуществлять национальную политику в области </w:t>
      </w:r>
      <w:r>
        <w:br/>
      </w:r>
      <w:r w:rsidRPr="00475EB9">
        <w:t>безопасности и всеобъемлющую стратегию по реформе сектора безопасности, включая предварительные процедуры проверки со стороны сил обороны и служб безопасности на предмет прав человека;</w:t>
      </w:r>
    </w:p>
    <w:p w:rsidR="00EB7153" w:rsidRPr="00475EB9" w:rsidRDefault="00EB7153" w:rsidP="00EB7153">
      <w:pPr>
        <w:pStyle w:val="SingleTxtGR"/>
      </w:pPr>
      <w:r w:rsidRPr="00475EB9">
        <w:tab/>
        <w:t>10.</w:t>
      </w:r>
      <w:r w:rsidRPr="00475EB9">
        <w:tab/>
      </w:r>
      <w:r w:rsidRPr="00475EB9">
        <w:rPr>
          <w:i/>
        </w:rPr>
        <w:t>испытывает сожаление</w:t>
      </w:r>
      <w:r w:rsidRPr="00475EB9">
        <w:t xml:space="preserve"> в связи с ростом вербовки и использования детей вооруженными группир</w:t>
      </w:r>
      <w:r>
        <w:t>овками в качестве комбатантов, «живых щитов»</w:t>
      </w:r>
      <w:r w:rsidRPr="00475EB9">
        <w:t>, прислуги или сексуальных невольников, а также похищений детей и настоятельно призывает вооруженные группировки освободить детей, зачисленных в их ряды, и прекратить и предотвращать вербовку и использование детей и в этом отношении призывает их блюсти обязательства, принятые несколькими из них в соглашении от 5 мая 2015 года;</w:t>
      </w:r>
    </w:p>
    <w:p w:rsidR="00EB7153" w:rsidRPr="00475EB9" w:rsidRDefault="00EB7153" w:rsidP="00EB7153">
      <w:pPr>
        <w:pStyle w:val="SingleTxtGR"/>
      </w:pPr>
      <w:r w:rsidRPr="00475EB9">
        <w:tab/>
        <w:t>11.</w:t>
      </w:r>
      <w:r w:rsidRPr="00475EB9">
        <w:tab/>
      </w:r>
      <w:r w:rsidRPr="00475EB9">
        <w:rPr>
          <w:i/>
        </w:rPr>
        <w:t>побуждает</w:t>
      </w:r>
      <w:r w:rsidRPr="00475EB9">
        <w:t xml:space="preserve"> правительство подумать о ратификации Факультативного протокола к Конвенции о правах ребенка, касающегося участия детей в вооруженных конфликтах;</w:t>
      </w:r>
    </w:p>
    <w:p w:rsidR="00EB7153" w:rsidRPr="00475EB9" w:rsidRDefault="00EB7153" w:rsidP="00EB7153">
      <w:pPr>
        <w:pStyle w:val="SingleTxtGR"/>
      </w:pPr>
      <w:r w:rsidRPr="00475EB9">
        <w:tab/>
        <w:t>12.</w:t>
      </w:r>
      <w:r w:rsidRPr="00475EB9">
        <w:tab/>
      </w:r>
      <w:r w:rsidRPr="00475EB9">
        <w:rPr>
          <w:i/>
        </w:rPr>
        <w:t>настоятельно призывает</w:t>
      </w:r>
      <w:r w:rsidRPr="00475EB9">
        <w:t xml:space="preserve"> все стороны защищать и рассматривать в качестве потерпевших детей, которые были освобождены или выведены из состава вооруженных сил и вооруженных группировок, и подчеркивает, что надо уделять особое внимание защите, освобождению и реинтеграции всех детей, связанных с вооруженными силами и вооруженными группировками;</w:t>
      </w:r>
    </w:p>
    <w:p w:rsidR="00EB7153" w:rsidRPr="00475EB9" w:rsidRDefault="00EB7153" w:rsidP="00EB7153">
      <w:pPr>
        <w:pStyle w:val="SingleTxtGR"/>
      </w:pPr>
      <w:r w:rsidRPr="00475EB9">
        <w:tab/>
        <w:t>13.</w:t>
      </w:r>
      <w:r w:rsidRPr="00475EB9">
        <w:tab/>
      </w:r>
      <w:r w:rsidRPr="00475EB9">
        <w:rPr>
          <w:i/>
        </w:rPr>
        <w:t>призывает</w:t>
      </w:r>
      <w:r w:rsidRPr="00475EB9">
        <w:t xml:space="preserve"> власти Центральноафриканской Республики позаботиться о соблюдении прав человека и основных свобод всего населения и принять все необходимые меры к тому, чтобы положить конец безнаказанности исполнителей актов насилия, укрепив судебную систему и механизмы, призванные гарантировать обязанность держать ответ;</w:t>
      </w:r>
    </w:p>
    <w:p w:rsidR="00EB7153" w:rsidRPr="00475EB9" w:rsidRDefault="00EB7153" w:rsidP="00EB7153">
      <w:pPr>
        <w:pStyle w:val="SingleTxtGR"/>
        <w:rPr>
          <w:i/>
        </w:rPr>
      </w:pPr>
      <w:r w:rsidRPr="00475EB9">
        <w:tab/>
        <w:t>14.</w:t>
      </w:r>
      <w:r w:rsidRPr="00475EB9">
        <w:tab/>
      </w:r>
      <w:r w:rsidRPr="00475EB9">
        <w:rPr>
          <w:i/>
        </w:rPr>
        <w:t>принимает к сведению</w:t>
      </w:r>
      <w:r w:rsidRPr="00475EB9">
        <w:t xml:space="preserve"> принятое центральноафриканскими властями в июне 2014 года решение просить Прокурора Международного уголовного суда возбудить расследование по преступлениям, которые были предположительно совершены в Центральноафриканской Республике и которые могут входить в компетенцию Суда, и приветствует в этом отношении возбуждение Международным уголовным судом в сентябре 2014 года расследования, которое касается преимущественно военных преступлений и преступлений против человечности, совершенных с 1 августа 2012 года; </w:t>
      </w:r>
    </w:p>
    <w:p w:rsidR="00EB7153" w:rsidRPr="00475EB9" w:rsidRDefault="00EB7153" w:rsidP="00EB7153">
      <w:pPr>
        <w:pStyle w:val="SingleTxtGR"/>
      </w:pPr>
      <w:r w:rsidRPr="00475EB9">
        <w:tab/>
        <w:t>15.</w:t>
      </w:r>
      <w:r w:rsidRPr="00475EB9">
        <w:tab/>
      </w:r>
      <w:r w:rsidRPr="00475EB9">
        <w:rPr>
          <w:i/>
        </w:rPr>
        <w:t>приветствует</w:t>
      </w:r>
      <w:r w:rsidRPr="00475EB9">
        <w:t xml:space="preserve"> прилагаемые центральноафриканскими властями усилия по созданию в рамках национальной судебной системы Специального уголовного суда, обладающего компетенцией по судебному разбирательству </w:t>
      </w:r>
      <w:r w:rsidRPr="00475EB9">
        <w:lastRenderedPageBreak/>
        <w:t>тяжких нарушений прав человека и нарушений международного гуманитарного права, и побуждает правительство принять все необходимые меры с целью как можно скорее гарантировать эффективный ввод в действие и оперативный потенциал Суда при поддержке со стороны международного сообщества и сотрудничать со Специальным прокурором Суда, с тем чтобы виновные в международных преступлениях, вне зависимости от их статуса или принадлежности, были в кратчайшие сроки идентифицированы, арестованы и отданы под суд;</w:t>
      </w:r>
    </w:p>
    <w:p w:rsidR="00EB7153" w:rsidRPr="00475EB9" w:rsidRDefault="00EB7153" w:rsidP="00EB7153">
      <w:pPr>
        <w:pStyle w:val="SingleTxtGR"/>
      </w:pPr>
      <w:r w:rsidRPr="00475EB9">
        <w:tab/>
        <w:t>16.</w:t>
      </w:r>
      <w:r w:rsidRPr="00475EB9">
        <w:tab/>
      </w:r>
      <w:r w:rsidRPr="00475EB9">
        <w:rPr>
          <w:i/>
        </w:rPr>
        <w:t>просит</w:t>
      </w:r>
      <w:r w:rsidRPr="00475EB9">
        <w:t xml:space="preserve"> центральноафриканские власти принять в приоритетном порядке незамедлительные и конкретные меры по укреплению судебной системы и по борьбе с безнаказанностью, с тем чтобы способствовать стабилизации и примирению, в частности восстановив отправление правосудия и укрепив систему уголовной юстиции и пенитенциарную систему, дабы гарантировать эффективное присутствие судебных ведомств во всей стране, позаботившись о том, чтобы каждый имел доступ к справедливому и беспристрастному правосудию;</w:t>
      </w:r>
    </w:p>
    <w:p w:rsidR="00EB7153" w:rsidRPr="00475EB9" w:rsidRDefault="00EB7153" w:rsidP="00EB7153">
      <w:pPr>
        <w:pStyle w:val="SingleTxtGR"/>
      </w:pPr>
      <w:r w:rsidRPr="00475EB9">
        <w:tab/>
        <w:t>17.</w:t>
      </w:r>
      <w:r w:rsidRPr="00475EB9">
        <w:tab/>
      </w:r>
      <w:r w:rsidRPr="00475EB9">
        <w:rPr>
          <w:i/>
        </w:rPr>
        <w:t>просит</w:t>
      </w:r>
      <w:r w:rsidRPr="00475EB9">
        <w:t xml:space="preserve"> центральноафриканские власти продолжать свои усилия по восстановлению эффективной власти государства по всей стране, и в том числе за счет переустройства государственной администрации в провинциях с целью гарантировать стабильное, ответственное, инклюзивное и транспарентное управление;</w:t>
      </w:r>
    </w:p>
    <w:p w:rsidR="00EB7153" w:rsidRPr="00475EB9" w:rsidRDefault="00EB7153" w:rsidP="00EB7153">
      <w:pPr>
        <w:pStyle w:val="SingleTxtGR"/>
      </w:pPr>
      <w:r w:rsidRPr="00475EB9">
        <w:tab/>
        <w:t>18.</w:t>
      </w:r>
      <w:r w:rsidRPr="00475EB9">
        <w:tab/>
      </w:r>
      <w:r w:rsidRPr="00475EB9">
        <w:rPr>
          <w:i/>
        </w:rPr>
        <w:t>просит</w:t>
      </w:r>
      <w:r w:rsidRPr="00475EB9">
        <w:t xml:space="preserve"> государства – члены Организации Объединенных Наций и международные и региональные организации предоставлять центральноафриканским властям экстренную поддержку для проведения вышеупомянутых реформ и восстановления власти государства на всей территории;</w:t>
      </w:r>
    </w:p>
    <w:p w:rsidR="00EB7153" w:rsidRPr="00475EB9" w:rsidRDefault="00EB7153" w:rsidP="00EB7153">
      <w:pPr>
        <w:pStyle w:val="SingleTxtGR"/>
      </w:pPr>
      <w:r w:rsidRPr="00475EB9">
        <w:tab/>
        <w:t>19.</w:t>
      </w:r>
      <w:r w:rsidRPr="00475EB9">
        <w:tab/>
      </w:r>
      <w:r w:rsidRPr="00475EB9">
        <w:rPr>
          <w:i/>
        </w:rPr>
        <w:t>призывает</w:t>
      </w:r>
      <w:r w:rsidRPr="00475EB9">
        <w:t xml:space="preserve"> центральноафриканские власти осуществлять рекомендации, вынесенные на Бангийском форуме в отношении национального примирения, и в том числе в отношении создания комиссии по установлению истины, правосудию, возмещению ущерба и примирению, и побуждает их определить </w:t>
      </w:r>
      <w:r>
        <w:t>«</w:t>
      </w:r>
      <w:r w:rsidRPr="00475EB9">
        <w:t>дорожную карту</w:t>
      </w:r>
      <w:r>
        <w:t>»</w:t>
      </w:r>
      <w:r w:rsidRPr="00475EB9">
        <w:t xml:space="preserve"> по правосудию переходного периода, взяв на вооружение подход, не допускающий никаких исключений, который позволял бы обеспечить подлинное и устойчивое примирение, в том числе путем поддержки субъектов гражданского общества, работающих в интересах предотвращения и разрешения конфликтов, в интересах примирения и в интересах прав человека;</w:t>
      </w:r>
    </w:p>
    <w:p w:rsidR="00EB7153" w:rsidRPr="00475EB9" w:rsidRDefault="00EB7153" w:rsidP="00EB7153">
      <w:pPr>
        <w:pStyle w:val="SingleTxtGR"/>
      </w:pPr>
      <w:r w:rsidRPr="00475EB9">
        <w:tab/>
        <w:t>20.</w:t>
      </w:r>
      <w:r w:rsidRPr="00475EB9">
        <w:tab/>
      </w:r>
      <w:r w:rsidRPr="00475EB9">
        <w:rPr>
          <w:i/>
        </w:rPr>
        <w:t>по-прежнему испытывает серьезную озабоченность</w:t>
      </w:r>
      <w:r w:rsidRPr="00475EB9">
        <w:t xml:space="preserve"> в связи с условиями, в которых находятся перемещенные лица и беженцы, и побуждает международное сообщество помогать национальным властям и принимающим странам предоставлять соответствующую защиту и помощь</w:t>
      </w:r>
      <w:r>
        <w:t xml:space="preserve"> жертвам насилия, и </w:t>
      </w:r>
      <w:r w:rsidRPr="00475EB9">
        <w:t>в особенности женщинам, детям и инвалидам;</w:t>
      </w:r>
    </w:p>
    <w:p w:rsidR="00EB7153" w:rsidRPr="00475EB9" w:rsidRDefault="00EB7153" w:rsidP="00EB7153">
      <w:pPr>
        <w:pStyle w:val="SingleTxtGR"/>
      </w:pPr>
      <w:r w:rsidRPr="00475EB9">
        <w:tab/>
        <w:t>21.</w:t>
      </w:r>
      <w:r w:rsidRPr="00475EB9">
        <w:tab/>
      </w:r>
      <w:r w:rsidRPr="00475EB9">
        <w:rPr>
          <w:i/>
        </w:rPr>
        <w:t>призывает</w:t>
      </w:r>
      <w:r w:rsidRPr="00475EB9">
        <w:t xml:space="preserve"> национальные власти продолжать свои усилия по защите и поощрению права на свободу передвижения для всех, включая лиц, перемещенных внутри страны, без какого бы то ни было различия, и уважать их право выбирать свое место жительства, возвращаться к себе или искать защиту в другом месте;</w:t>
      </w:r>
    </w:p>
    <w:p w:rsidR="00EB7153" w:rsidRPr="00475EB9" w:rsidRDefault="00EB7153" w:rsidP="00EB7153">
      <w:pPr>
        <w:pStyle w:val="SingleTxtGR"/>
      </w:pPr>
      <w:r w:rsidRPr="00475EB9">
        <w:tab/>
        <w:t>22.</w:t>
      </w:r>
      <w:r w:rsidRPr="00475EB9">
        <w:tab/>
      </w:r>
      <w:r w:rsidRPr="00475EB9">
        <w:rPr>
          <w:i/>
        </w:rPr>
        <w:t>приглашает</w:t>
      </w:r>
      <w:r w:rsidRPr="00475EB9">
        <w:t xml:space="preserve"> все заинтересованные стороны и международное сообщество сохранять мобилизованность, чтобы откликаться на чрезвычайные обстоятельства и приоритеты, определенные Центральноафриканской Республикой, в частности за счет финансового и технического содействия и финансирования психотравматического попечения людей, затронутых кризисом;</w:t>
      </w:r>
    </w:p>
    <w:p w:rsidR="00EB7153" w:rsidRPr="00475EB9" w:rsidRDefault="00EB7153" w:rsidP="00EB7153">
      <w:pPr>
        <w:pStyle w:val="SingleTxtGR"/>
      </w:pPr>
      <w:r w:rsidRPr="00475EB9">
        <w:tab/>
        <w:t>23.</w:t>
      </w:r>
      <w:r w:rsidRPr="00475EB9">
        <w:tab/>
      </w:r>
      <w:r w:rsidRPr="00475EB9">
        <w:rPr>
          <w:i/>
        </w:rPr>
        <w:t>просит</w:t>
      </w:r>
      <w:r w:rsidRPr="00475EB9">
        <w:t xml:space="preserve"> все стороны облегчать быстрый доступ гуманитарной помощи, а также гуманитарных субъектов ко всей национальной территории, укрепляя безопасность на дорожных магистралях;</w:t>
      </w:r>
    </w:p>
    <w:p w:rsidR="00EB7153" w:rsidRPr="00475EB9" w:rsidRDefault="00EB7153" w:rsidP="00EB7153">
      <w:pPr>
        <w:pStyle w:val="SingleTxtGR"/>
      </w:pPr>
      <w:r w:rsidRPr="00475EB9">
        <w:tab/>
        <w:t>24.</w:t>
      </w:r>
      <w:r w:rsidRPr="00475EB9">
        <w:tab/>
      </w:r>
      <w:r w:rsidRPr="00475EB9">
        <w:rPr>
          <w:i/>
        </w:rPr>
        <w:t>побуждает</w:t>
      </w:r>
      <w:r w:rsidRPr="00475EB9">
        <w:t xml:space="preserve"> государства – члены Организации Объединенных Наций, в рамках международного сотрудничества, компетентные органы Организации Объединенных Наций, международные финансовые учреждения и другие соответствующие международные организации, а также доноров предо</w:t>
      </w:r>
      <w:r w:rsidRPr="00475EB9">
        <w:lastRenderedPageBreak/>
        <w:t>ставлять Центральноафриканской Республике техническое содействие и помощь в укреплении потенциалов с целью поощрения соблюдения прав человека и реформы секторов юстиции и безопасности;</w:t>
      </w:r>
    </w:p>
    <w:p w:rsidR="00EB7153" w:rsidRPr="00475EB9" w:rsidRDefault="00EB7153" w:rsidP="00EB7153">
      <w:pPr>
        <w:pStyle w:val="SingleTxtGR"/>
      </w:pPr>
      <w:r w:rsidRPr="00475EB9">
        <w:tab/>
        <w:t>25.</w:t>
      </w:r>
      <w:r w:rsidRPr="00475EB9">
        <w:tab/>
      </w:r>
      <w:r w:rsidRPr="00475EB9">
        <w:rPr>
          <w:i/>
        </w:rPr>
        <w:t>побуждает</w:t>
      </w:r>
      <w:r w:rsidRPr="00475EB9">
        <w:t xml:space="preserve"> Многопрофильную комплексную миссию Организации Объединенных Наций по стабилизации в Центральноафриканской Республике в соответствии с ее мандатом публиковать доклады о положении в области прав человека в Центральноафриканской Республике, с тем чтобы позволить международному сообществу отслеживать ситуацию;</w:t>
      </w:r>
    </w:p>
    <w:p w:rsidR="00EB7153" w:rsidRPr="00475EB9" w:rsidRDefault="00EB7153" w:rsidP="00EB7153">
      <w:pPr>
        <w:pStyle w:val="SingleTxtGR"/>
      </w:pPr>
      <w:r w:rsidRPr="00475EB9">
        <w:tab/>
        <w:t>26.</w:t>
      </w:r>
      <w:r w:rsidRPr="00475EB9">
        <w:tab/>
      </w:r>
      <w:r w:rsidRPr="00475EB9">
        <w:rPr>
          <w:i/>
        </w:rPr>
        <w:t>постановляет</w:t>
      </w:r>
      <w:r w:rsidRPr="00475EB9">
        <w:t xml:space="preserve"> продлить на один год мандат Независимого эксперта по вопросу о положении в области прав человека в Центральноафриканской Республике для оценки и отслеживания положения в области прав человека в Центральноафриканской Республике и представления докладов на этот счет с целью составления рекомендаций относительно технической помощи и создания потенциала в области прав человека;</w:t>
      </w:r>
    </w:p>
    <w:p w:rsidR="00EB7153" w:rsidRPr="00475EB9" w:rsidRDefault="00EB7153" w:rsidP="00EB7153">
      <w:pPr>
        <w:pStyle w:val="SingleTxtGR"/>
      </w:pPr>
      <w:r w:rsidRPr="00475EB9">
        <w:tab/>
        <w:t>27.</w:t>
      </w:r>
      <w:r w:rsidRPr="00475EB9">
        <w:tab/>
      </w:r>
      <w:r w:rsidRPr="00475EB9">
        <w:rPr>
          <w:i/>
        </w:rPr>
        <w:t>просит</w:t>
      </w:r>
      <w:r w:rsidRPr="00475EB9">
        <w:t xml:space="preserve"> все стороны в полной мере сотрудничать с Независимым экспертом в осуществлении ее мандата;</w:t>
      </w:r>
    </w:p>
    <w:p w:rsidR="00EB7153" w:rsidRPr="00475EB9" w:rsidRDefault="00EB7153" w:rsidP="00EB7153">
      <w:pPr>
        <w:pStyle w:val="SingleTxtGR"/>
      </w:pPr>
      <w:r w:rsidRPr="00475EB9">
        <w:tab/>
        <w:t>28.</w:t>
      </w:r>
      <w:r w:rsidRPr="00475EB9">
        <w:tab/>
      </w:r>
      <w:r w:rsidRPr="00475EB9">
        <w:rPr>
          <w:i/>
        </w:rPr>
        <w:t>постановляет</w:t>
      </w:r>
      <w:r w:rsidRPr="00475EB9">
        <w:t xml:space="preserve"> организовать в ходе его тридцать седьмой сессии интерактивный диалог на высоком уровне с целью оценки эволюции положения в области прав человека на местах с особым акцентом на воздействие усилий в русле мира и примирения на права человека с участием Независимого эксперта, представителей правительства Центральноафриканской Республики, Организации Объединенных Наций, Африканского союза и гражданского общества;</w:t>
      </w:r>
    </w:p>
    <w:p w:rsidR="00EB7153" w:rsidRPr="00475EB9" w:rsidRDefault="00EB7153" w:rsidP="00EB7153">
      <w:pPr>
        <w:pStyle w:val="SingleTxtGR"/>
      </w:pPr>
      <w:r w:rsidRPr="00475EB9">
        <w:tab/>
        <w:t>29.</w:t>
      </w:r>
      <w:r w:rsidRPr="00475EB9">
        <w:tab/>
      </w:r>
      <w:r w:rsidRPr="00475EB9">
        <w:rPr>
          <w:i/>
        </w:rPr>
        <w:t>просит</w:t>
      </w:r>
      <w:r w:rsidRPr="00475EB9">
        <w:t xml:space="preserve"> Независимого эксперта работать в тесном сотрудничестве со всеми органами Организации Объединенных Наций, Африканским союзом и Экономическим сообществом центральноафриканских государств, а также с другими соответствующими международными организациями, центральноафриканским гражданским обществом и всеми соответствующими правозащитными механизмами;</w:t>
      </w:r>
    </w:p>
    <w:p w:rsidR="00EB7153" w:rsidRPr="00475EB9" w:rsidRDefault="00EB7153" w:rsidP="00EB7153">
      <w:pPr>
        <w:pStyle w:val="SingleTxtGR"/>
      </w:pPr>
      <w:r w:rsidRPr="00475EB9">
        <w:tab/>
        <w:t>30.</w:t>
      </w:r>
      <w:r w:rsidRPr="00475EB9">
        <w:tab/>
      </w:r>
      <w:r w:rsidRPr="00475EB9">
        <w:rPr>
          <w:i/>
        </w:rPr>
        <w:t>просит также</w:t>
      </w:r>
      <w:r w:rsidRPr="00475EB9">
        <w:t xml:space="preserve"> Независимого эксперта представить в устном виде обновление своего доклада относительно технической помощи и создания потенциала в области прав человека в Центральноафриканской Республике на тридцать восьмой сессии Совета по правам человека и представить ему письменный доклад на его тридцать девятой сессии;</w:t>
      </w:r>
    </w:p>
    <w:p w:rsidR="00EB7153" w:rsidRPr="00475EB9" w:rsidRDefault="00EB7153" w:rsidP="00EB7153">
      <w:pPr>
        <w:pStyle w:val="SingleTxtGR"/>
      </w:pPr>
      <w:r w:rsidRPr="00475EB9">
        <w:tab/>
        <w:t>31.</w:t>
      </w:r>
      <w:r w:rsidRPr="00475EB9">
        <w:tab/>
      </w:r>
      <w:r w:rsidRPr="00475EB9">
        <w:rPr>
          <w:i/>
        </w:rPr>
        <w:t>просит</w:t>
      </w:r>
      <w:r w:rsidRPr="00475EB9">
        <w:t xml:space="preserve"> Верховного комиссара Организации Объединенных Наций по правам человека продолжать предоставлять Независимому эксперту все финансовые и кадровые ресурсы, необходимые для полного выполнения ее мандата;</w:t>
      </w:r>
    </w:p>
    <w:p w:rsidR="00EB7153" w:rsidRPr="00475EB9" w:rsidRDefault="00EB7153" w:rsidP="00EB7153">
      <w:pPr>
        <w:pStyle w:val="SingleTxtGR"/>
      </w:pPr>
      <w:r w:rsidRPr="00475EB9">
        <w:tab/>
        <w:t>32.</w:t>
      </w:r>
      <w:r w:rsidRPr="00475EB9">
        <w:tab/>
      </w:r>
      <w:r w:rsidRPr="00475EB9">
        <w:rPr>
          <w:i/>
        </w:rPr>
        <w:t>постановляет</w:t>
      </w:r>
      <w:r w:rsidRPr="00475EB9">
        <w:t xml:space="preserve"> продолжать заниматься этим вопросом.</w:t>
      </w:r>
    </w:p>
    <w:p w:rsidR="00EB7153" w:rsidRPr="003B2613" w:rsidRDefault="00EB7153" w:rsidP="00EB715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0692" w:rsidRPr="00EB7153" w:rsidRDefault="00CB0692" w:rsidP="002E5067"/>
    <w:sectPr w:rsidR="00CB0692" w:rsidRPr="00EB7153" w:rsidSect="005309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6F" w:rsidRPr="00A312BC" w:rsidRDefault="00F3626F" w:rsidP="00A312BC"/>
  </w:endnote>
  <w:endnote w:type="continuationSeparator" w:id="0">
    <w:p w:rsidR="00F3626F" w:rsidRPr="00A312BC" w:rsidRDefault="00F362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68" w:rsidRPr="00530968" w:rsidRDefault="00530968">
    <w:pPr>
      <w:pStyle w:val="a8"/>
    </w:pPr>
    <w:r w:rsidRPr="00530968">
      <w:rPr>
        <w:b/>
        <w:sz w:val="18"/>
      </w:rPr>
      <w:fldChar w:fldCharType="begin"/>
    </w:r>
    <w:r w:rsidRPr="00530968">
      <w:rPr>
        <w:b/>
        <w:sz w:val="18"/>
      </w:rPr>
      <w:instrText xml:space="preserve"> PAGE  \* MERGEFORMAT </w:instrText>
    </w:r>
    <w:r w:rsidRPr="00530968">
      <w:rPr>
        <w:b/>
        <w:sz w:val="18"/>
      </w:rPr>
      <w:fldChar w:fldCharType="separate"/>
    </w:r>
    <w:r w:rsidR="000C6A30">
      <w:rPr>
        <w:b/>
        <w:noProof/>
        <w:sz w:val="18"/>
      </w:rPr>
      <w:t>2</w:t>
    </w:r>
    <w:r w:rsidRPr="00530968">
      <w:rPr>
        <w:b/>
        <w:sz w:val="18"/>
      </w:rPr>
      <w:fldChar w:fldCharType="end"/>
    </w:r>
    <w:r>
      <w:rPr>
        <w:b/>
        <w:sz w:val="18"/>
      </w:rPr>
      <w:tab/>
    </w:r>
    <w:r>
      <w:t>GE.17-16905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68" w:rsidRPr="00530968" w:rsidRDefault="00530968" w:rsidP="00530968">
    <w:pPr>
      <w:pStyle w:val="a8"/>
      <w:tabs>
        <w:tab w:val="clear" w:pos="9639"/>
        <w:tab w:val="right" w:pos="9638"/>
      </w:tabs>
      <w:rPr>
        <w:b/>
        <w:sz w:val="18"/>
      </w:rPr>
    </w:pPr>
    <w:r>
      <w:t>GE.17-16905</w:t>
    </w:r>
    <w:r>
      <w:tab/>
    </w:r>
    <w:r w:rsidRPr="00530968">
      <w:rPr>
        <w:b/>
        <w:sz w:val="18"/>
      </w:rPr>
      <w:fldChar w:fldCharType="begin"/>
    </w:r>
    <w:r w:rsidRPr="00530968">
      <w:rPr>
        <w:b/>
        <w:sz w:val="18"/>
      </w:rPr>
      <w:instrText xml:space="preserve"> PAGE  \* MERGEFORMAT </w:instrText>
    </w:r>
    <w:r w:rsidRPr="00530968">
      <w:rPr>
        <w:b/>
        <w:sz w:val="18"/>
      </w:rPr>
      <w:fldChar w:fldCharType="separate"/>
    </w:r>
    <w:r w:rsidR="000C6A30">
      <w:rPr>
        <w:b/>
        <w:noProof/>
        <w:sz w:val="18"/>
      </w:rPr>
      <w:t>7</w:t>
    </w:r>
    <w:r w:rsidRPr="005309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30968" w:rsidRDefault="00530968" w:rsidP="0053096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17-16905  (R)</w:t>
    </w:r>
    <w:r>
      <w:rPr>
        <w:lang w:val="en-US"/>
      </w:rPr>
      <w:t xml:space="preserve">  270917  270917</w:t>
    </w:r>
    <w:r>
      <w:br/>
    </w:r>
    <w:r w:rsidRPr="00530968">
      <w:rPr>
        <w:rFonts w:ascii="C39T30Lfz" w:hAnsi="C39T30Lfz"/>
        <w:spacing w:val="0"/>
        <w:w w:val="100"/>
        <w:sz w:val="56"/>
      </w:rPr>
      <w:t></w:t>
    </w:r>
    <w:r w:rsidRPr="00530968">
      <w:rPr>
        <w:rFonts w:ascii="C39T30Lfz" w:hAnsi="C39T30Lfz"/>
        <w:spacing w:val="0"/>
        <w:w w:val="100"/>
        <w:sz w:val="56"/>
      </w:rPr>
      <w:t></w:t>
    </w:r>
    <w:r w:rsidRPr="00530968">
      <w:rPr>
        <w:rFonts w:ascii="C39T30Lfz" w:hAnsi="C39T30Lfz"/>
        <w:spacing w:val="0"/>
        <w:w w:val="100"/>
        <w:sz w:val="56"/>
      </w:rPr>
      <w:t></w:t>
    </w:r>
    <w:r w:rsidRPr="00530968">
      <w:rPr>
        <w:rFonts w:ascii="C39T30Lfz" w:hAnsi="C39T30Lfz"/>
        <w:spacing w:val="0"/>
        <w:w w:val="100"/>
        <w:sz w:val="56"/>
      </w:rPr>
      <w:t></w:t>
    </w:r>
    <w:r w:rsidRPr="00530968">
      <w:rPr>
        <w:rFonts w:ascii="C39T30Lfz" w:hAnsi="C39T30Lfz"/>
        <w:spacing w:val="0"/>
        <w:w w:val="100"/>
        <w:sz w:val="56"/>
      </w:rPr>
      <w:t></w:t>
    </w:r>
    <w:r w:rsidRPr="00530968">
      <w:rPr>
        <w:rFonts w:ascii="C39T30Lfz" w:hAnsi="C39T30Lfz"/>
        <w:spacing w:val="0"/>
        <w:w w:val="100"/>
        <w:sz w:val="56"/>
      </w:rPr>
      <w:t></w:t>
    </w:r>
    <w:r w:rsidRPr="00530968">
      <w:rPr>
        <w:rFonts w:ascii="C39T30Lfz" w:hAnsi="C39T30Lfz"/>
        <w:spacing w:val="0"/>
        <w:w w:val="100"/>
        <w:sz w:val="56"/>
      </w:rPr>
      <w:t></w:t>
    </w:r>
    <w:r w:rsidRPr="00530968">
      <w:rPr>
        <w:rFonts w:ascii="C39T30Lfz" w:hAnsi="C39T30Lfz"/>
        <w:spacing w:val="0"/>
        <w:w w:val="100"/>
        <w:sz w:val="56"/>
      </w:rPr>
      <w:t></w:t>
    </w:r>
    <w:r w:rsidRPr="0053096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A/HRC/36/L.18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6/L.18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6F" w:rsidRPr="001075E9" w:rsidRDefault="00F362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626F" w:rsidRDefault="00F362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B7153" w:rsidRPr="009C5764" w:rsidRDefault="00EB7153" w:rsidP="00EB7153">
      <w:pPr>
        <w:pStyle w:val="ad"/>
        <w:rPr>
          <w:sz w:val="20"/>
          <w:lang w:val="ru-RU"/>
        </w:rPr>
      </w:pPr>
      <w:r>
        <w:tab/>
      </w:r>
      <w:r w:rsidRPr="009C5764">
        <w:rPr>
          <w:rStyle w:val="aa"/>
          <w:sz w:val="20"/>
          <w:vertAlign w:val="baseline"/>
          <w:lang w:val="ru-RU"/>
        </w:rPr>
        <w:t>*</w:t>
      </w:r>
      <w:r w:rsidRPr="009C5764">
        <w:rPr>
          <w:rStyle w:val="aa"/>
          <w:vertAlign w:val="baseline"/>
          <w:lang w:val="ru-RU"/>
        </w:rPr>
        <w:tab/>
      </w:r>
      <w:r w:rsidRPr="009C5764">
        <w:rPr>
          <w:lang w:val="ru-RU"/>
        </w:rPr>
        <w:t>Государство, не являющееся членом Совета по правам человека.</w:t>
      </w:r>
    </w:p>
  </w:footnote>
  <w:footnote w:id="2">
    <w:p w:rsidR="00EB7153" w:rsidRPr="00FC1D85" w:rsidRDefault="00EB7153" w:rsidP="00EB7153">
      <w:pPr>
        <w:pStyle w:val="ad"/>
        <w:rPr>
          <w:lang w:val="ru-RU"/>
        </w:rPr>
      </w:pPr>
      <w:r w:rsidRPr="003B2613">
        <w:rPr>
          <w:lang w:val="ru-RU"/>
        </w:rPr>
        <w:tab/>
      </w:r>
      <w:r w:rsidRPr="00FC1D85">
        <w:rPr>
          <w:sz w:val="20"/>
          <w:vertAlign w:val="superscript"/>
          <w:lang w:val="ru-RU"/>
        </w:rPr>
        <w:t>†</w:t>
      </w:r>
      <w:r w:rsidRPr="00FC1D85">
        <w:rPr>
          <w:lang w:val="ru-RU"/>
        </w:rPr>
        <w:t xml:space="preserve"> </w:t>
      </w:r>
      <w:r w:rsidRPr="00FC1D85">
        <w:rPr>
          <w:lang w:val="ru-RU"/>
        </w:rPr>
        <w:tab/>
        <w:t>От имени государств – членов Организации Объединенных Наций, являющихся членами Группы африканских государств.</w:t>
      </w:r>
    </w:p>
  </w:footnote>
  <w:footnote w:id="3">
    <w:p w:rsidR="00EB7153" w:rsidRPr="0043460B" w:rsidRDefault="00EB7153" w:rsidP="00EB7153">
      <w:pPr>
        <w:pStyle w:val="ad"/>
        <w:rPr>
          <w:lang w:val="en-US"/>
        </w:rPr>
      </w:pPr>
      <w:r w:rsidRPr="003B2613">
        <w:rPr>
          <w:lang w:val="ru-RU"/>
        </w:rPr>
        <w:tab/>
      </w:r>
      <w:r>
        <w:rPr>
          <w:rStyle w:val="aa"/>
        </w:rPr>
        <w:footnoteRef/>
      </w:r>
      <w:r>
        <w:tab/>
      </w:r>
      <w:r w:rsidRPr="0043460B">
        <w:rPr>
          <w:lang w:val="ru-RU"/>
        </w:rPr>
        <w:t>См. S/2014/928.</w:t>
      </w:r>
    </w:p>
  </w:footnote>
  <w:footnote w:id="4">
    <w:p w:rsidR="00EB7153" w:rsidRPr="00736F01" w:rsidRDefault="00EB7153" w:rsidP="00EB7153">
      <w:pPr>
        <w:pStyle w:val="ad"/>
      </w:pPr>
      <w:r w:rsidRPr="0043460B">
        <w:tab/>
      </w:r>
      <w:r w:rsidRPr="0043460B">
        <w:rPr>
          <w:vertAlign w:val="superscript"/>
        </w:rPr>
        <w:footnoteRef/>
      </w:r>
      <w:r w:rsidRPr="0043460B">
        <w:tab/>
        <w:t>A/HRC/36/64.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68" w:rsidRPr="00530968" w:rsidRDefault="000C6A3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A/HRC/36/L.18/Rev.1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68" w:rsidRPr="00530968" w:rsidRDefault="000C6A30" w:rsidP="0053096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A/HRC/36/L.18/Rev.1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6F"/>
    <w:rsid w:val="00033EE1"/>
    <w:rsid w:val="00040272"/>
    <w:rsid w:val="00041EA6"/>
    <w:rsid w:val="00042B72"/>
    <w:rsid w:val="000558BD"/>
    <w:rsid w:val="000842B4"/>
    <w:rsid w:val="000B57E7"/>
    <w:rsid w:val="000B6373"/>
    <w:rsid w:val="000C6A30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30968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8F4646"/>
    <w:rsid w:val="00906890"/>
    <w:rsid w:val="00911BE4"/>
    <w:rsid w:val="009275CF"/>
    <w:rsid w:val="00951972"/>
    <w:rsid w:val="00954B84"/>
    <w:rsid w:val="00955BBD"/>
    <w:rsid w:val="009604DF"/>
    <w:rsid w:val="009608F3"/>
    <w:rsid w:val="009675B6"/>
    <w:rsid w:val="009A24AC"/>
    <w:rsid w:val="00A312BC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D78D1"/>
    <w:rsid w:val="00DF71B9"/>
    <w:rsid w:val="00DF7EA8"/>
    <w:rsid w:val="00E71476"/>
    <w:rsid w:val="00E73F76"/>
    <w:rsid w:val="00EA2AAD"/>
    <w:rsid w:val="00EA2C9F"/>
    <w:rsid w:val="00EA420E"/>
    <w:rsid w:val="00EB7153"/>
    <w:rsid w:val="00ED0BDA"/>
    <w:rsid w:val="00EF1360"/>
    <w:rsid w:val="00EF3220"/>
    <w:rsid w:val="00F3626F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FAC97A-A558-4B2A-8094-7648AC70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7</Pages>
  <Words>2703</Words>
  <Characters>19543</Characters>
  <Application>Microsoft Office Word</Application>
  <DocSecurity>0</DocSecurity>
  <Lines>355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A/HRC/36/L.18/Rev.1</vt:lpstr>
      <vt:lpstr>A/</vt:lpstr>
    </vt:vector>
  </TitlesOfParts>
  <Company>DCM</Company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A/HRC/36/L.18/Rev.1</dc:title>
  <dc:subject/>
  <dc:creator>Anna PETELINA</dc:creator>
  <cp:keywords/>
  <cp:lastModifiedBy>Anna PETELINA</cp:lastModifiedBy>
  <cp:revision>3</cp:revision>
  <cp:lastPrinted>2017-09-27T10:35:00Z</cp:lastPrinted>
  <dcterms:created xsi:type="dcterms:W3CDTF">2017-09-27T10:35:00Z</dcterms:created>
  <dcterms:modified xsi:type="dcterms:W3CDTF">2017-09-27T10:35:00Z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