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5E0"/>
      </w:tblPr>
      <w:tblGrid>
        <w:gridCol w:w="5034"/>
        <w:gridCol w:w="5032"/>
      </w:tblGrid>
      <w:tr w:rsidR="007218CA" w:rsidRPr="000F4CB5" w:rsidTr="000F4CB5">
        <w:tc>
          <w:tcPr>
            <w:tcW w:w="5040" w:type="dxa"/>
            <w:shd w:val="clear" w:color="auto" w:fill="auto"/>
          </w:tcPr>
          <w:p w:rsidR="007218CA" w:rsidRPr="000F4CB5" w:rsidRDefault="007218CA" w:rsidP="000F4CB5">
            <w:pPr>
              <w:framePr w:hSpace="180" w:wrap="around" w:vAnchor="page" w:hAnchor="page" w:x="1210" w:y="1743" w:anchorLock="1"/>
              <w:spacing w:line="270" w:lineRule="exact"/>
              <w:rPr>
                <w:sz w:val="24"/>
              </w:rPr>
            </w:pPr>
            <w:r w:rsidRPr="000F4CB5">
              <w:rPr>
                <w:b/>
                <w:sz w:val="24"/>
              </w:rPr>
              <w:t>Генеральная Асса</w:t>
            </w:r>
            <w:r w:rsidRPr="000F4CB5">
              <w:rPr>
                <w:b/>
                <w:sz w:val="24"/>
              </w:rPr>
              <w:t>м</w:t>
            </w:r>
            <w:r w:rsidRPr="000F4CB5">
              <w:rPr>
                <w:b/>
                <w:sz w:val="24"/>
              </w:rPr>
              <w:t>блея</w:t>
            </w:r>
            <w:r w:rsidRPr="000F4CB5">
              <w:rPr>
                <w:b/>
                <w:sz w:val="24"/>
              </w:rPr>
              <w:br/>
            </w:r>
            <w:r w:rsidRPr="000F4CB5">
              <w:rPr>
                <w:sz w:val="24"/>
              </w:rPr>
              <w:t>Официальные отчеты</w:t>
            </w:r>
            <w:r w:rsidRPr="000F4CB5">
              <w:rPr>
                <w:sz w:val="24"/>
              </w:rPr>
              <w:br/>
              <w:t>Шестьдесят девятая сессия</w:t>
            </w:r>
            <w:r w:rsidRPr="000F4CB5">
              <w:rPr>
                <w:sz w:val="24"/>
              </w:rPr>
              <w:br/>
              <w:t>Дополнение № 38</w:t>
            </w:r>
          </w:p>
          <w:p w:rsidR="007218CA" w:rsidRPr="000F4CB5" w:rsidRDefault="007218CA" w:rsidP="000F4CB5">
            <w:pPr>
              <w:framePr w:hSpace="180" w:wrap="around" w:vAnchor="page" w:hAnchor="page" w:x="1210" w:y="1743" w:anchorLock="1"/>
              <w:spacing w:line="270" w:lineRule="exact"/>
              <w:rPr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7218CA" w:rsidRPr="007218CA" w:rsidRDefault="007218CA" w:rsidP="000F4CB5">
            <w:pPr>
              <w:framePr w:hSpace="180" w:wrap="around" w:vAnchor="page" w:hAnchor="page" w:x="1210" w:y="1743" w:anchorLock="1"/>
              <w:spacing w:line="270" w:lineRule="exact"/>
              <w:jc w:val="right"/>
            </w:pPr>
            <w:r>
              <w:t>A/69/38</w:t>
            </w:r>
          </w:p>
        </w:tc>
      </w:tr>
    </w:tbl>
    <w:p w:rsidR="007218CA" w:rsidRPr="007218CA" w:rsidRDefault="007218CA" w:rsidP="007218CA">
      <w:pPr>
        <w:framePr w:w="9864" w:h="1440" w:hSpace="180" w:wrap="around" w:vAnchor="page" w:hAnchor="page" w:x="1210" w:y="11808" w:anchorLock="1"/>
        <w:spacing w:before="600"/>
        <w:ind w:left="1267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.75pt">
            <v:imagedata r:id="rId7" o:title="_unlogo"/>
          </v:shape>
        </w:pict>
      </w:r>
      <w:r>
        <w:br/>
      </w:r>
      <w:r>
        <w:rPr>
          <w:sz w:val="28"/>
        </w:rPr>
        <w:t xml:space="preserve">Организация Объединенных Наций </w:t>
      </w:r>
      <w:r>
        <w:rPr>
          <w:sz w:val="28"/>
        </w:rPr>
        <w:sym w:font="Symbol" w:char="F0B7"/>
      </w:r>
      <w:r>
        <w:rPr>
          <w:sz w:val="28"/>
        </w:rPr>
        <w:t xml:space="preserve"> Нью-Йорк, 2014</w:t>
      </w:r>
    </w:p>
    <w:p w:rsidR="00A96C80" w:rsidRDefault="007218CA" w:rsidP="007218CA">
      <w:pPr>
        <w:spacing w:after="800"/>
      </w:pPr>
      <w:r>
        <w:rPr>
          <w:rStyle w:val="CommentReference"/>
        </w:rPr>
        <w:commentReference w:id="0"/>
      </w:r>
    </w:p>
    <w:p w:rsidR="007218CA" w:rsidRDefault="009F6F3E" w:rsidP="009F6F3E">
      <w:pPr>
        <w:pStyle w:val="SM"/>
      </w:pPr>
      <w:r>
        <w:t>Доклад Комитета по ликвидации дискриминации в отношении женщин</w:t>
      </w:r>
    </w:p>
    <w:p w:rsidR="007218CA" w:rsidRDefault="007218CA" w:rsidP="007218CA">
      <w:pPr>
        <w:spacing w:line="240" w:lineRule="auto"/>
        <w:ind w:left="1260"/>
        <w:rPr>
          <w:sz w:val="12"/>
        </w:rPr>
      </w:pPr>
    </w:p>
    <w:p w:rsidR="007218CA" w:rsidRDefault="007218CA" w:rsidP="007218CA">
      <w:pPr>
        <w:spacing w:line="240" w:lineRule="auto"/>
        <w:ind w:left="1260"/>
        <w:rPr>
          <w:sz w:val="12"/>
        </w:rPr>
      </w:pPr>
    </w:p>
    <w:p w:rsidR="007218CA" w:rsidRDefault="007218CA" w:rsidP="007218CA">
      <w:pPr>
        <w:spacing w:line="240" w:lineRule="auto"/>
        <w:ind w:left="1260"/>
        <w:rPr>
          <w:sz w:val="12"/>
        </w:rPr>
      </w:pPr>
    </w:p>
    <w:p w:rsidR="009F6F3E" w:rsidRDefault="009F6F3E" w:rsidP="009F6F3E">
      <w:pPr>
        <w:pStyle w:val="SS"/>
      </w:pPr>
      <w:r>
        <w:t>Пятьдесят пятая сессия</w:t>
      </w:r>
    </w:p>
    <w:p w:rsidR="007218CA" w:rsidRDefault="009F6F3E" w:rsidP="009F6F3E">
      <w:pPr>
        <w:pStyle w:val="SS"/>
      </w:pPr>
      <w:r>
        <w:t>(8–26 июля 2013 года)</w:t>
      </w:r>
    </w:p>
    <w:p w:rsidR="007218CA" w:rsidRDefault="007218CA" w:rsidP="007218CA">
      <w:pPr>
        <w:spacing w:line="240" w:lineRule="auto"/>
        <w:ind w:left="1260"/>
        <w:rPr>
          <w:sz w:val="12"/>
        </w:rPr>
      </w:pPr>
    </w:p>
    <w:p w:rsidR="007218CA" w:rsidRDefault="007218CA" w:rsidP="007218CA">
      <w:pPr>
        <w:spacing w:line="240" w:lineRule="auto"/>
        <w:ind w:left="1260"/>
        <w:rPr>
          <w:sz w:val="12"/>
        </w:rPr>
      </w:pPr>
    </w:p>
    <w:p w:rsidR="007218CA" w:rsidRDefault="007218CA" w:rsidP="007218CA">
      <w:pPr>
        <w:spacing w:line="240" w:lineRule="auto"/>
        <w:ind w:left="1260"/>
        <w:rPr>
          <w:sz w:val="12"/>
        </w:rPr>
      </w:pPr>
    </w:p>
    <w:p w:rsidR="007218CA" w:rsidRDefault="009F6F3E" w:rsidP="009F6F3E">
      <w:pPr>
        <w:pStyle w:val="SS"/>
      </w:pPr>
      <w:r>
        <w:t>Пятьдесят шестая сессия</w:t>
      </w:r>
    </w:p>
    <w:p w:rsidR="009F6F3E" w:rsidRDefault="009F6F3E" w:rsidP="009F6F3E">
      <w:pPr>
        <w:pStyle w:val="SS"/>
      </w:pPr>
      <w:r>
        <w:t>(30 сентября — 18 октября 2013 года)</w:t>
      </w:r>
    </w:p>
    <w:p w:rsidR="009F6F3E" w:rsidRPr="009F6F3E" w:rsidRDefault="009F6F3E" w:rsidP="009F6F3E">
      <w:pPr>
        <w:pStyle w:val="SingleTxt"/>
        <w:spacing w:after="0" w:line="120" w:lineRule="exact"/>
        <w:rPr>
          <w:sz w:val="10"/>
        </w:rPr>
      </w:pPr>
    </w:p>
    <w:p w:rsidR="009F6F3E" w:rsidRPr="009F6F3E" w:rsidRDefault="009F6F3E" w:rsidP="009F6F3E">
      <w:pPr>
        <w:pStyle w:val="SingleTxt"/>
        <w:spacing w:after="0" w:line="120" w:lineRule="exact"/>
        <w:rPr>
          <w:sz w:val="10"/>
        </w:rPr>
      </w:pPr>
    </w:p>
    <w:p w:rsidR="009F6F3E" w:rsidRPr="009F6F3E" w:rsidRDefault="009F6F3E" w:rsidP="009F6F3E">
      <w:pPr>
        <w:pStyle w:val="SingleTxt"/>
        <w:spacing w:after="0" w:line="120" w:lineRule="exact"/>
        <w:rPr>
          <w:sz w:val="10"/>
        </w:rPr>
      </w:pPr>
    </w:p>
    <w:p w:rsidR="009F6F3E" w:rsidRDefault="009F6F3E" w:rsidP="009F6F3E">
      <w:pPr>
        <w:pStyle w:val="SS"/>
      </w:pPr>
      <w:r>
        <w:t>Пятьдесят седьмая сессия</w:t>
      </w:r>
    </w:p>
    <w:p w:rsidR="009F6F3E" w:rsidRDefault="009F6F3E" w:rsidP="009F6F3E">
      <w:pPr>
        <w:pStyle w:val="SS"/>
      </w:pPr>
      <w:r>
        <w:t>(10–28 февраля 2014 года)</w:t>
      </w:r>
    </w:p>
    <w:p w:rsidR="007218CA" w:rsidRDefault="007218CA" w:rsidP="007218CA">
      <w:pPr>
        <w:spacing w:line="240" w:lineRule="auto"/>
        <w:ind w:left="1260"/>
      </w:pPr>
      <w:r>
        <w:br w:type="page"/>
      </w:r>
    </w:p>
    <w:p w:rsidR="007218CA" w:rsidRDefault="007218CA" w:rsidP="007218CA">
      <w:pPr>
        <w:spacing w:before="1400" w:line="240" w:lineRule="auto"/>
        <w:ind w:left="1260"/>
        <w:rPr>
          <w:i/>
        </w:rPr>
      </w:pPr>
      <w:r>
        <w:rPr>
          <w:i/>
        </w:rPr>
        <w:t>Примечание</w:t>
      </w:r>
    </w:p>
    <w:p w:rsidR="009F6F3E" w:rsidRDefault="007218CA" w:rsidP="007218CA">
      <w:pPr>
        <w:spacing w:before="240" w:line="240" w:lineRule="auto"/>
        <w:ind w:left="1260" w:right="1260" w:firstLine="475"/>
        <w:jc w:val="both"/>
      </w:pPr>
      <w:r>
        <w:t>Условные обозначения документов Организации Объединенных Наций состоят из прописных букв и цифр. Когда такое обозначение встречается в те</w:t>
      </w:r>
      <w:r>
        <w:t>к</w:t>
      </w:r>
      <w:r>
        <w:t>сте, оно служит указанием на соответствующий документ Организации Об</w:t>
      </w:r>
      <w:r>
        <w:t>ъ</w:t>
      </w:r>
      <w:r>
        <w:t>единенных Наций.</w:t>
      </w:r>
    </w:p>
    <w:p w:rsidR="009F6F3E" w:rsidRDefault="009F6F3E" w:rsidP="007218CA">
      <w:pPr>
        <w:spacing w:before="240" w:line="240" w:lineRule="auto"/>
        <w:ind w:left="1260" w:right="1260" w:firstLine="475"/>
        <w:jc w:val="both"/>
      </w:pPr>
      <w:r w:rsidRPr="009F6F3E">
        <w:t>Употребляемые обозначения и изложение материала в настоящем док</w:t>
      </w:r>
      <w:r w:rsidRPr="009F6F3E">
        <w:t>у</w:t>
      </w:r>
      <w:r w:rsidRPr="009F6F3E">
        <w:t>менте не означают выражения со стороны Секретариата Организации Объед</w:t>
      </w:r>
      <w:r w:rsidRPr="009F6F3E">
        <w:t>и</w:t>
      </w:r>
      <w:r w:rsidRPr="009F6F3E">
        <w:t>ненных Наций какого-либо мнения относительно правового статуса той или иной страны, территории, города или района или их властей, или относительно делимитации их границ.</w:t>
      </w:r>
    </w:p>
    <w:p w:rsidR="009F6F3E" w:rsidRDefault="009F6F3E" w:rsidP="007218CA">
      <w:pPr>
        <w:spacing w:before="240" w:line="240" w:lineRule="auto"/>
        <w:ind w:left="1260" w:right="1260" w:firstLine="475"/>
        <w:jc w:val="both"/>
      </w:pPr>
    </w:p>
    <w:p w:rsidR="009F6F3E" w:rsidRDefault="009F6F3E" w:rsidP="007218CA">
      <w:pPr>
        <w:spacing w:before="240" w:line="240" w:lineRule="auto"/>
        <w:ind w:left="1260" w:right="1260" w:firstLine="475"/>
        <w:jc w:val="both"/>
      </w:pPr>
    </w:p>
    <w:p w:rsidR="009F6F3E" w:rsidRDefault="009F6F3E" w:rsidP="007218CA">
      <w:pPr>
        <w:spacing w:before="240" w:line="240" w:lineRule="auto"/>
        <w:ind w:left="1260" w:right="1260" w:firstLine="475"/>
        <w:jc w:val="both"/>
        <w:sectPr w:rsidR="009F6F3E" w:rsidSect="007218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7218CA" w:rsidRDefault="007218CA" w:rsidP="007218CA">
      <w:pPr>
        <w:spacing w:before="240" w:line="240" w:lineRule="auto"/>
        <w:ind w:left="1260" w:right="1260" w:firstLine="475"/>
        <w:jc w:val="both"/>
      </w:pPr>
    </w:p>
    <w:p w:rsidR="009F6F3E" w:rsidRDefault="009F6F3E" w:rsidP="009F6F3E">
      <w:pPr>
        <w:jc w:val="right"/>
        <w:rPr>
          <w:lang w:val="en-US"/>
        </w:rPr>
      </w:pPr>
      <w:r>
        <w:rPr>
          <w:lang w:val="en-US"/>
        </w:rPr>
        <w:t>[</w:t>
      </w:r>
      <w:r>
        <w:t>31 марта 2014 года</w:t>
      </w:r>
      <w:r>
        <w:rPr>
          <w:lang w:val="en-US"/>
        </w:rPr>
        <w:t>]</w:t>
      </w:r>
    </w:p>
    <w:p w:rsidR="009F6F3E" w:rsidRPr="00FE50F8" w:rsidRDefault="009F6F3E" w:rsidP="009F6F3E">
      <w:pPr>
        <w:pStyle w:val="HCh"/>
        <w:spacing w:before="880" w:after="100"/>
        <w:rPr>
          <w:b w:val="0"/>
        </w:rPr>
      </w:pPr>
      <w:r>
        <w:rPr>
          <w:b w:val="0"/>
          <w:lang w:val="en-US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7056"/>
        <w:gridCol w:w="994"/>
        <w:gridCol w:w="720"/>
      </w:tblGrid>
      <w:tr w:rsidR="009F6F3E" w:rsidRPr="00525612" w:rsidTr="000F4CB5">
        <w:tblPrEx>
          <w:tblCellMar>
            <w:top w:w="0" w:type="dxa"/>
            <w:bottom w:w="0" w:type="dxa"/>
          </w:tblCellMar>
        </w:tblPrEx>
        <w:tc>
          <w:tcPr>
            <w:tcW w:w="1060" w:type="dxa"/>
            <w:shd w:val="clear" w:color="auto" w:fill="auto"/>
          </w:tcPr>
          <w:p w:rsidR="009F6F3E" w:rsidRPr="00525612" w:rsidRDefault="009F6F3E" w:rsidP="000F4CB5">
            <w:pPr>
              <w:spacing w:after="12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Глава</w:t>
            </w:r>
          </w:p>
        </w:tc>
        <w:tc>
          <w:tcPr>
            <w:tcW w:w="7056" w:type="dxa"/>
            <w:shd w:val="clear" w:color="auto" w:fill="auto"/>
          </w:tcPr>
          <w:p w:rsidR="009F6F3E" w:rsidRPr="00525612" w:rsidRDefault="009F6F3E" w:rsidP="000F4CB5">
            <w:pPr>
              <w:spacing w:after="120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9F6F3E" w:rsidRPr="00525612" w:rsidRDefault="009F6F3E" w:rsidP="000F4CB5">
            <w:pPr>
              <w:spacing w:after="120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F6F3E" w:rsidRPr="00525612" w:rsidRDefault="009F6F3E" w:rsidP="000F4CB5">
            <w:pPr>
              <w:spacing w:after="12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Стр.</w:t>
            </w:r>
          </w:p>
        </w:tc>
      </w:tr>
      <w:tr w:rsidR="009F6F3E" w:rsidRPr="00525612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Pr="00107E7A" w:rsidRDefault="009F6F3E" w:rsidP="00107E7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</w:r>
            <w:r w:rsidR="00107E7A" w:rsidRPr="00107E7A">
              <w:t>Препроводительное письмо</w:t>
            </w:r>
            <w:r w:rsidR="00107E7A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Default="00EF0683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07E7A" w:rsidRPr="00107E7A" w:rsidRDefault="009F6F3E" w:rsidP="000A639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296" w:hanging="1296"/>
              <w:rPr>
                <w:b/>
                <w:spacing w:val="60"/>
                <w:sz w:val="17"/>
              </w:rPr>
            </w:pPr>
            <w:r>
              <w:tab/>
            </w:r>
            <w:r>
              <w:tab/>
            </w:r>
            <w:r w:rsidR="00107E7A" w:rsidRPr="00107E7A">
              <w:rPr>
                <w:b/>
              </w:rPr>
              <w:t>Часть первая</w:t>
            </w:r>
            <w:r w:rsidR="00107E7A" w:rsidRPr="00107E7A">
              <w:rPr>
                <w:b/>
              </w:rPr>
              <w:br/>
              <w:t>Доклад Комитета по ликвидации дискриминации в отношении женщин</w:t>
            </w:r>
            <w:r w:rsidR="000A6390" w:rsidRPr="000A6390">
              <w:rPr>
                <w:b/>
              </w:rPr>
              <w:br/>
            </w:r>
            <w:r w:rsidR="00107E7A" w:rsidRPr="00107E7A">
              <w:rPr>
                <w:b/>
              </w:rPr>
              <w:t>о работе его пятьдесят пятой сессии</w:t>
            </w:r>
            <w:r w:rsidR="00107E7A" w:rsidRPr="00107E7A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0A6390" w:rsidRDefault="00EF0683" w:rsidP="00EF0683">
            <w:pPr>
              <w:spacing w:after="120"/>
              <w:ind w:right="40"/>
              <w:jc w:val="right"/>
            </w:pPr>
            <w:r>
              <w:rPr>
                <w:lang w:val="en-US"/>
              </w:rPr>
              <w:t>8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07E7A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07E7A" w:rsidRPr="00107E7A">
              <w:t xml:space="preserve">Вопросы, доведенные до сведения государств — участников Конвенции </w:t>
            </w:r>
            <w:r w:rsidR="00107E7A">
              <w:br/>
              <w:t>о</w:t>
            </w:r>
            <w:r w:rsidR="00107E7A" w:rsidRPr="00107E7A">
              <w:t xml:space="preserve"> ликвидации всех форм дискриминации в отношении женщин</w:t>
            </w:r>
            <w:r w:rsidR="00107E7A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07E7A" w:rsidRDefault="00EF0683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EB40EE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07E7A">
              <w:t>Организационные и прочие вопросы</w:t>
            </w:r>
            <w:r w:rsidR="00EB40EE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07E7A" w:rsidRDefault="00EF0683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107E7A" w:rsidP="00107E7A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Государства — участники Конвенции и Факультативного протокола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07E7A" w:rsidRDefault="00107E7A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1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107E7A" w:rsidP="00107E7A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Открытие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07E7A" w:rsidRDefault="00107E7A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1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107E7A" w:rsidP="00107E7A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Утверждение повестки дня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07E7A" w:rsidRDefault="00107E7A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2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107E7A" w:rsidP="00107E7A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>Доклад предсессионной рабочей группы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07E7A" w:rsidRDefault="00107E7A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2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107E7A" w:rsidP="00107E7A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Организация работы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07E7A" w:rsidRDefault="00107E7A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2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107E7A" w:rsidP="00107E7A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Членский состав Комитета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07E7A" w:rsidRDefault="00107E7A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3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EB40EE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EB40EE" w:rsidRPr="00EB40EE">
              <w:t>Доклад Председателя о мероприятиях, проведенных в период между пятьдесят четвертой и пятьдесят пятой сессиями Комитета</w:t>
            </w:r>
            <w:r w:rsidR="00EB40EE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EB40EE" w:rsidRDefault="00EB40EE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4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EB40EE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EB40EE">
              <w:t>Рассмотрение докладов, представленных государствами-участниками в соответствии со статьей 18 Конвенции</w:t>
            </w:r>
            <w:r w:rsidR="00EB40EE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EB40EE" w:rsidRDefault="00EB40EE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5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EB40EE" w:rsidP="00345A16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 w:rsidRPr="00345A16">
              <w:tab/>
            </w:r>
            <w:r>
              <w:t>Деятельность, осуществляемая в рамках Факультативного протокола к Конвенции</w:t>
            </w:r>
            <w:r w:rsidR="00345A16" w:rsidRPr="00345A16">
              <w:br/>
            </w:r>
            <w:r>
              <w:t>о ликвидации всех форм дискриминации в отношении женщин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345A16" w:rsidRDefault="00EB40EE" w:rsidP="00EF0683">
            <w:pPr>
              <w:spacing w:after="120"/>
              <w:ind w:right="40"/>
              <w:jc w:val="right"/>
            </w:pPr>
            <w:r w:rsidRPr="00345A16">
              <w:t>1</w:t>
            </w:r>
            <w:r w:rsidR="00EF0683" w:rsidRPr="00345A16">
              <w:t>7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EB40EE" w:rsidP="00EB40EE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Решения, принятые Комитетом в отношении вопросов, вытекающих из статьи 2 Факультативного протокола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345A16" w:rsidRDefault="00EB40EE" w:rsidP="00EF0683">
            <w:pPr>
              <w:spacing w:after="120"/>
              <w:ind w:right="40"/>
              <w:jc w:val="right"/>
            </w:pPr>
            <w:r w:rsidRPr="00345A16">
              <w:t>1</w:t>
            </w:r>
            <w:r w:rsidR="00EF0683" w:rsidRPr="00345A16">
              <w:t>7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EB40EE" w:rsidP="000A6390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>Последующая деятельность в связи с мнениями Комитета по</w:t>
            </w:r>
            <w:r w:rsidRPr="00EB40EE">
              <w:t xml:space="preserve"> </w:t>
            </w:r>
            <w:r>
              <w:t>индивидуальным сообщениям</w:t>
            </w:r>
            <w:r w:rsidR="000A6390"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EB40EE" w:rsidRDefault="00EB40EE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7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EB40EE" w:rsidP="00EB40EE">
            <w:pPr>
              <w:numPr>
                <w:ilvl w:val="1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Решения, принятые Комитетом в отношении вопросов, вытекающих из статьи 8 Факультативного протокола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EB40EE" w:rsidRDefault="00EB40EE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7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9410C3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9410C3">
              <w:t>Пути и средства повышения оперативности работы Комитета</w:t>
            </w:r>
            <w:r w:rsidR="009410C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9410C3" w:rsidRDefault="009410C3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0683">
              <w:rPr>
                <w:lang w:val="en-US"/>
              </w:rPr>
              <w:t>9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9410C3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9410C3">
              <w:t>Осуществление статьи</w:t>
            </w:r>
            <w:r w:rsidR="009410C3">
              <w:rPr>
                <w:lang w:val="en-US"/>
              </w:rPr>
              <w:t> </w:t>
            </w:r>
            <w:r w:rsidR="009410C3">
              <w:t>21 Конвенции</w:t>
            </w:r>
            <w:r w:rsidR="009410C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9410C3" w:rsidRDefault="009410C3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0683">
              <w:rPr>
                <w:lang w:val="en-US"/>
              </w:rPr>
              <w:t>1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9410C3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1080" w:firstLine="0"/>
            </w:pPr>
            <w:r>
              <w:tab/>
            </w:r>
            <w:r w:rsidR="009410C3">
              <w:t>Предварительная повестка дня пятьдесят шестой сессии</w:t>
            </w:r>
            <w:r w:rsidR="009410C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9410C3" w:rsidRDefault="009410C3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0683">
              <w:rPr>
                <w:lang w:val="en-US"/>
              </w:rPr>
              <w:t>3</w:t>
            </w:r>
          </w:p>
        </w:tc>
      </w:tr>
      <w:tr w:rsidR="009F6F3E" w:rsidRPr="00107E7A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9410C3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9410C3">
              <w:t>Утверждение доклада</w:t>
            </w:r>
            <w:r w:rsidR="009410C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9410C3" w:rsidRDefault="009410C3" w:rsidP="00EF068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0683">
              <w:rPr>
                <w:lang w:val="en-US"/>
              </w:rPr>
              <w:t>4</w:t>
            </w:r>
          </w:p>
        </w:tc>
      </w:tr>
      <w:tr w:rsidR="009F6F3E" w:rsidRPr="00525612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5B3CA9">
            <w:pPr>
              <w:pageBreakBefore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</w:pPr>
            <w:r>
              <w:t>Приложения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Default="009F6F3E" w:rsidP="000F4CB5">
            <w:pPr>
              <w:spacing w:after="120"/>
              <w:ind w:right="40"/>
              <w:jc w:val="right"/>
              <w:rPr>
                <w:lang w:val="en-US"/>
              </w:rPr>
            </w:pP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5B3CA9">
            <w:pPr>
              <w:numPr>
                <w:ilvl w:val="0"/>
                <w:numId w:val="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5B3CA9">
              <w:t>Решение 55</w:t>
            </w:r>
            <w:r w:rsidR="005B3CA9" w:rsidRPr="005B3CA9">
              <w:t>/</w:t>
            </w:r>
            <w:r w:rsidR="005B3CA9">
              <w:rPr>
                <w:lang w:val="en-US"/>
              </w:rPr>
              <w:t>I</w:t>
            </w:r>
            <w:r w:rsidR="005B3CA9" w:rsidRPr="005B3CA9">
              <w:t xml:space="preserve">. </w:t>
            </w:r>
            <w:r w:rsidR="005B3CA9" w:rsidRPr="00BC6B85">
              <w:t>Заявление Комитета по ликвидации дискриминации</w:t>
            </w:r>
            <w:r w:rsidR="005B3CA9" w:rsidRPr="005B3CA9">
              <w:t xml:space="preserve"> </w:t>
            </w:r>
            <w:r w:rsidR="005B3CA9" w:rsidRPr="00BC6B85">
              <w:t>в отношении женщин по вопросу о роли женщин</w:t>
            </w:r>
            <w:r w:rsidR="005B3CA9" w:rsidRPr="005B3CA9">
              <w:t xml:space="preserve"> </w:t>
            </w:r>
            <w:r w:rsidR="005B3CA9" w:rsidRPr="00BC6B85">
              <w:t>в условиях политических преобразований в</w:t>
            </w:r>
            <w:r w:rsidR="005B3CA9">
              <w:t> </w:t>
            </w:r>
            <w:r w:rsidR="005B3CA9" w:rsidRPr="00BC6B85">
              <w:t>Египте, Ливии и Тунисе</w:t>
            </w:r>
            <w:r w:rsidR="005B3CA9">
              <w:rPr>
                <w:spacing w:val="60"/>
                <w:sz w:val="17"/>
              </w:rPr>
              <w:tab/>
            </w:r>
            <w:r w:rsidR="005B3CA9" w:rsidRPr="005B3CA9"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5B3CA9" w:rsidRDefault="005B3CA9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C2EB6">
              <w:rPr>
                <w:lang w:val="en-US"/>
              </w:rPr>
              <w:t>5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5B3CA9">
            <w:pPr>
              <w:numPr>
                <w:ilvl w:val="0"/>
                <w:numId w:val="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5B3CA9">
              <w:t>Решение 55</w:t>
            </w:r>
            <w:r w:rsidR="005B3CA9" w:rsidRPr="005B3CA9">
              <w:t>/</w:t>
            </w:r>
            <w:r w:rsidR="005B3CA9">
              <w:rPr>
                <w:lang w:val="en-US"/>
              </w:rPr>
              <w:t>II</w:t>
            </w:r>
            <w:r w:rsidR="005B3CA9" w:rsidRPr="005B3CA9">
              <w:t xml:space="preserve">. </w:t>
            </w:r>
            <w:r w:rsidR="005B3CA9" w:rsidRPr="00BC6B85">
              <w:t>Заявление Комитета по ликвидации дискриминации</w:t>
            </w:r>
            <w:r w:rsidR="005B3CA9" w:rsidRPr="005B3CA9">
              <w:t xml:space="preserve"> </w:t>
            </w:r>
            <w:r w:rsidR="005B3CA9" w:rsidRPr="00BC6B85">
              <w:t>в отношении женщин об укреплении сотрудничества</w:t>
            </w:r>
            <w:r w:rsidR="005B3CA9" w:rsidRPr="005B3CA9">
              <w:t xml:space="preserve"> </w:t>
            </w:r>
            <w:r w:rsidR="005B3CA9" w:rsidRPr="00BC6B85">
              <w:t xml:space="preserve">со </w:t>
            </w:r>
            <w:r w:rsidR="005B3CA9">
              <w:t>С</w:t>
            </w:r>
            <w:r w:rsidR="005B3CA9" w:rsidRPr="00BC6B85">
              <w:t>труктурой «ООН-женщины»</w:t>
            </w:r>
            <w:r w:rsidR="005B3CA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5B3CA9" w:rsidRDefault="005B3CA9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C2EB6">
              <w:rPr>
                <w:lang w:val="en-US"/>
              </w:rPr>
              <w:t>6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5B3CA9">
            <w:pPr>
              <w:numPr>
                <w:ilvl w:val="0"/>
                <w:numId w:val="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5B3CA9" w:rsidRPr="00BC6B85">
              <w:t>Документы, представленные Комитету на его пятьдесят пятой сессии</w:t>
            </w:r>
            <w:r w:rsidR="005B3CA9">
              <w:rPr>
                <w:spacing w:val="60"/>
                <w:sz w:val="17"/>
              </w:rPr>
              <w:tab/>
            </w:r>
            <w:r w:rsidR="005B3CA9"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5B3CA9" w:rsidRDefault="005B3CA9" w:rsidP="00DC2EB6">
            <w:pPr>
              <w:spacing w:after="120"/>
              <w:ind w:right="40"/>
              <w:jc w:val="right"/>
            </w:pPr>
            <w:r>
              <w:t>2</w:t>
            </w:r>
            <w:r w:rsidR="00DC2EB6">
              <w:rPr>
                <w:lang w:val="en-US"/>
              </w:rPr>
              <w:t>8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5B3CA9" w:rsidP="005B3CA9">
            <w:pPr>
              <w:numPr>
                <w:ilvl w:val="0"/>
                <w:numId w:val="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BC6B85">
              <w:t xml:space="preserve">Доклад Рабочей группы по сообщениям </w:t>
            </w:r>
            <w:r>
              <w:t xml:space="preserve">в соответствии с </w:t>
            </w:r>
            <w:r w:rsidRPr="00BC6B85">
              <w:t>Факультативн</w:t>
            </w:r>
            <w:r>
              <w:t>ым</w:t>
            </w:r>
            <w:r w:rsidRPr="00BC6B85">
              <w:t xml:space="preserve"> протокол</w:t>
            </w:r>
            <w:r>
              <w:t>ом</w:t>
            </w:r>
            <w:r w:rsidRPr="00BC6B85">
              <w:t xml:space="preserve"> к</w:t>
            </w:r>
            <w:r w:rsidRPr="00300FCF">
              <w:t xml:space="preserve"> </w:t>
            </w:r>
            <w:r w:rsidRPr="00BC6B85">
              <w:t>Конвенции о</w:t>
            </w:r>
            <w:r w:rsidRPr="00BC6B85">
              <w:rPr>
                <w:lang w:val="en-US"/>
              </w:rPr>
              <w:t> </w:t>
            </w:r>
            <w:r w:rsidRPr="00BC6B85">
              <w:t>ликвидации всех форм дискриминации в</w:t>
            </w:r>
            <w:r>
              <w:t xml:space="preserve"> </w:t>
            </w:r>
            <w:r w:rsidRPr="00BC6B85">
              <w:t>отношении женщин о работе ее двадцать шестой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5B3CA9" w:rsidRDefault="005B3CA9" w:rsidP="00DC2EB6">
            <w:pPr>
              <w:spacing w:after="120"/>
              <w:ind w:right="40"/>
              <w:jc w:val="right"/>
            </w:pPr>
            <w:r>
              <w:t>2</w:t>
            </w:r>
            <w:r w:rsidR="00DC2EB6">
              <w:rPr>
                <w:lang w:val="en-US"/>
              </w:rPr>
              <w:t>9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4D379F" w:rsidRPr="004D379F" w:rsidRDefault="009F6F3E" w:rsidP="004D379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296" w:hanging="1296"/>
              <w:rPr>
                <w:b/>
                <w:spacing w:val="60"/>
                <w:sz w:val="17"/>
              </w:rPr>
            </w:pPr>
            <w:r>
              <w:tab/>
            </w:r>
            <w:r>
              <w:tab/>
            </w:r>
            <w:r w:rsidR="004D379F" w:rsidRPr="004D379F">
              <w:rPr>
                <w:b/>
              </w:rPr>
              <w:t>Часть вторая</w:t>
            </w:r>
            <w:r w:rsidR="004D379F" w:rsidRPr="004D379F">
              <w:rPr>
                <w:b/>
              </w:rPr>
              <w:br/>
              <w:t>Доклад Комитета по ликвидации дискриминации в отношении женщин</w:t>
            </w:r>
            <w:r w:rsidR="004D379F">
              <w:rPr>
                <w:b/>
              </w:rPr>
              <w:br/>
            </w:r>
            <w:r w:rsidR="004D379F" w:rsidRPr="004D379F">
              <w:rPr>
                <w:b/>
              </w:rPr>
              <w:t>о работе его пятьдесят шестой сессии</w:t>
            </w:r>
            <w:r w:rsidR="004D379F" w:rsidRPr="004D379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5B3CA9" w:rsidRDefault="004D379F" w:rsidP="00DC2EB6">
            <w:pPr>
              <w:spacing w:after="120"/>
              <w:ind w:right="40"/>
              <w:jc w:val="right"/>
            </w:pPr>
            <w:r>
              <w:t>3</w:t>
            </w:r>
            <w:r w:rsidR="00DC2EB6">
              <w:rPr>
                <w:lang w:val="en-US"/>
              </w:rPr>
              <w:t>3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4D379F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4D379F">
              <w:t>Вопросы, доведенные до сведения государств — участников Конвенции</w:t>
            </w:r>
            <w:r w:rsidR="004D379F">
              <w:br/>
              <w:t>о ликвидации всех форм дискриминации в отношении женщин</w:t>
            </w:r>
            <w:r w:rsidR="004D379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D379F" w:rsidRDefault="004D379F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C2EB6">
              <w:rPr>
                <w:lang w:val="en-US"/>
              </w:rPr>
              <w:t>4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4D379F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4D379F">
              <w:t>Организационные и прочие вопросы</w:t>
            </w:r>
            <w:r w:rsidR="004D379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D379F" w:rsidRDefault="004D379F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C2EB6">
              <w:rPr>
                <w:lang w:val="en-US"/>
              </w:rPr>
              <w:t>6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4D379F" w:rsidP="004D379F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Государства — участники Конвенции и Факультативного протокола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D379F" w:rsidRDefault="004D379F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C2EB6">
              <w:rPr>
                <w:lang w:val="en-US"/>
              </w:rPr>
              <w:t>6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4D379F" w:rsidP="004D379F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Открытие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D379F" w:rsidRDefault="004D379F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C2EB6">
              <w:rPr>
                <w:lang w:val="en-US"/>
              </w:rPr>
              <w:t>6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4D379F" w:rsidP="004D379F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Утверждение повестки дня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D379F" w:rsidRDefault="004D379F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C2EB6">
              <w:rPr>
                <w:lang w:val="en-US"/>
              </w:rPr>
              <w:t>6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4D379F" w:rsidP="004D379F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>Доклад предсессионной рабочей группы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D379F" w:rsidRDefault="004D379F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C2EB6">
              <w:rPr>
                <w:lang w:val="en-US"/>
              </w:rPr>
              <w:t>7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4D379F" w:rsidP="004D379F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Организация работы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D379F" w:rsidRDefault="004D379F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C2EB6">
              <w:rPr>
                <w:lang w:val="en-US"/>
              </w:rPr>
              <w:t>7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4D379F" w:rsidP="004D379F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Членский состав Комитета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D379F" w:rsidRDefault="004D379F" w:rsidP="00DC2EB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C2EB6">
              <w:rPr>
                <w:lang w:val="en-US"/>
              </w:rPr>
              <w:t>7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675052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071636">
              <w:t>Доклад Председателя о мероприятиях, проведенных</w:t>
            </w:r>
            <w:r w:rsidR="00675052" w:rsidRPr="00675052">
              <w:t xml:space="preserve"> </w:t>
            </w:r>
            <w:r w:rsidR="00071636">
              <w:t>в период между пятьдесят пятой и пятьдесят шестой сессиями Комитета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675052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071636">
              <w:t>Рассмотрение докладов, представленных государствами-участниками в соответствии</w:t>
            </w:r>
            <w:r w:rsidR="00071636">
              <w:br/>
              <w:t>со статьей 18 Конвенции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675052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071636">
              <w:t>Деятельность, осуществляемая в рамках Факультативного протокола к Конвенции о ликвидации всех форм дискриминации в отношении женщин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071636" w:rsidP="00675052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Решения, принятые Комитетом в отношении вопросов, вытекающих из статьи 2 Факультативного протокола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071636" w:rsidP="00675052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>Последующая деятельность в связи с мнениями Комитета</w:t>
            </w:r>
            <w:r w:rsidR="00675052" w:rsidRPr="00675052">
              <w:t xml:space="preserve"> </w:t>
            </w:r>
            <w:r>
              <w:t>по индивидуальным сообщениям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675052" w:rsidP="00675052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Решения, принятые Комитетом в отношении вопросов, вытекающих из статьи 8 Факультативного протокола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675052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071636">
              <w:t>Пути и средства повышения оперативности работы Комитета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675052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071636">
              <w:t>Осуществление статьи 21 Конвенции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675052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071636">
              <w:t>Предварительная повестка дня пятьдесят седьмой сессии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F6F3E" w:rsidRPr="005B3CA9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675052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071636">
              <w:t>Утверждение доклада</w:t>
            </w:r>
            <w:r w:rsidR="0067505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675052" w:rsidRDefault="00675052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9F6F3E" w:rsidRPr="00525612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0F4CB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</w:pPr>
            <w:r>
              <w:t>Приложения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Default="009F6F3E" w:rsidP="000F4CB5">
            <w:pPr>
              <w:spacing w:after="120"/>
              <w:ind w:right="40"/>
              <w:jc w:val="right"/>
              <w:rPr>
                <w:lang w:val="en-US"/>
              </w:rPr>
            </w:pP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4067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>Решение 56/IV</w:t>
            </w:r>
            <w:r w:rsidR="00140676" w:rsidRPr="00140676">
              <w:t xml:space="preserve">. </w:t>
            </w:r>
            <w:r w:rsidR="00140676">
              <w:t>Решение Комитета по ликвидации дискриминации</w:t>
            </w:r>
            <w:r w:rsidR="00140676" w:rsidRPr="00140676">
              <w:t xml:space="preserve"> </w:t>
            </w:r>
            <w:r w:rsidR="00140676">
              <w:t>в отношении женщин о продолжении Интернет-трансляций</w:t>
            </w:r>
            <w:r w:rsidR="0014067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40676" w:rsidRDefault="00140676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4067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>Заявление Наилы Габр по мотивам голосования после голосования по общей рекомендации № 30 (2013), касающейся положения женщин в условиях предотвращения конфликтов, в конфликтных и постконфликтных ситуациях</w:t>
            </w:r>
            <w:r w:rsidR="0014067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40676" w:rsidRDefault="00140676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4067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>Заявление Нур Аль-Джехани по мотивам голосования после голосования по поправке к пункту 57(b) общей рекомендации № 30 (2013), касающейся положения женщин в условиях предотвращения конфликтов, в конфликтных и постконфликтных ситуациях</w:t>
            </w:r>
            <w:r w:rsidR="0014067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40676" w:rsidRDefault="00140676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4067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 xml:space="preserve">Заявление Наилы Габр по мотивам голосования после голосования по поправке </w:t>
            </w:r>
            <w:r w:rsidR="00140676" w:rsidRPr="00140676">
              <w:br/>
            </w:r>
            <w:r w:rsidR="00140676">
              <w:t xml:space="preserve">к пункту 57(b) общей рекомендации № 30 (2013), касающейся положения женщин </w:t>
            </w:r>
            <w:r w:rsidR="00140676" w:rsidRPr="00140676">
              <w:br/>
            </w:r>
            <w:r w:rsidR="00140676">
              <w:t>в условиях предотвращения конфликтов, в конфликтных и постконфликтных ситуациях</w:t>
            </w:r>
            <w:r w:rsidR="0014067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40676" w:rsidRDefault="00140676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4067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 xml:space="preserve">Заявление Исмат Джахан по мотивам голосования после голосования по поправке </w:t>
            </w:r>
            <w:r w:rsidR="00140676" w:rsidRPr="00140676">
              <w:br/>
            </w:r>
            <w:r w:rsidR="00140676">
              <w:t xml:space="preserve">к пункту 57(b) общей рекомендации № 30 (2013), касающейся положения женщин </w:t>
            </w:r>
            <w:r w:rsidR="00140676" w:rsidRPr="00140676">
              <w:br/>
            </w:r>
            <w:r w:rsidR="00140676">
              <w:t>в условиях предотвращения конфликтов, в конфликтных и постконфликтных ситуациях</w:t>
            </w:r>
            <w:r w:rsidR="0014067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40676" w:rsidRDefault="00140676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4067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>Оценка процедуры последующей деятельности в связи с заключительными замечаниями</w:t>
            </w:r>
            <w:r w:rsidR="0014067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40676" w:rsidRDefault="00140676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705F7E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>Документы, находившиеся на рассмотрении Комитета на его пятьдесят шестой сессии</w:t>
            </w:r>
            <w:r w:rsidR="00705F7E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40676" w:rsidRDefault="00140676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345A1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>Членский состав Комитета по ликвидации дискриминации в отношении женщин</w:t>
            </w:r>
            <w:r w:rsidR="00345A16" w:rsidRPr="00345A16">
              <w:br/>
            </w:r>
            <w:r w:rsidR="00140676">
              <w:t>по состоянию на 18 октября 2013 года</w:t>
            </w:r>
            <w:r w:rsidR="0014067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345A16" w:rsidRDefault="00140676" w:rsidP="000F4CB5">
            <w:pPr>
              <w:spacing w:after="120"/>
              <w:ind w:right="40"/>
              <w:jc w:val="right"/>
            </w:pPr>
            <w:r w:rsidRPr="00345A16">
              <w:t>63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4067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140676">
              <w:t>Доклад Рабочей группы по сообщениям в соответствии с Факультативным протоколом к Конвенции о ликвидации всех форм дискриминации в отношении женщин о работе ее двадцать седьмой сессии</w:t>
            </w:r>
            <w:r w:rsidR="00140676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40676" w:rsidRDefault="00140676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Pr="00225FDB" w:rsidRDefault="009F6F3E" w:rsidP="00225FD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296" w:hanging="1296"/>
              <w:rPr>
                <w:b/>
                <w:spacing w:val="60"/>
                <w:sz w:val="17"/>
              </w:rPr>
            </w:pPr>
            <w:r>
              <w:tab/>
            </w:r>
            <w:r>
              <w:tab/>
            </w:r>
            <w:r w:rsidR="00225FDB" w:rsidRPr="00225FDB">
              <w:rPr>
                <w:b/>
              </w:rPr>
              <w:t>Часть третья</w:t>
            </w:r>
            <w:r w:rsidR="00225FDB" w:rsidRPr="00225FDB">
              <w:rPr>
                <w:b/>
              </w:rPr>
              <w:br/>
              <w:t>Доклад Комитета по ликвидации дискриминации в</w:t>
            </w:r>
            <w:r w:rsidR="00225FDB" w:rsidRPr="00225FDB">
              <w:rPr>
                <w:b/>
                <w:lang w:val="en-US"/>
              </w:rPr>
              <w:t> </w:t>
            </w:r>
            <w:r w:rsidR="00225FDB" w:rsidRPr="00225FDB">
              <w:rPr>
                <w:b/>
              </w:rPr>
              <w:t xml:space="preserve">отношении женщин </w:t>
            </w:r>
            <w:r w:rsidR="00225FDB" w:rsidRPr="00225FDB">
              <w:rPr>
                <w:b/>
              </w:rPr>
              <w:br/>
              <w:t>о работе его пятьдесят седьмой сессии</w:t>
            </w:r>
            <w:r w:rsidR="00225FDB" w:rsidRPr="00225FD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225FDB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225FDB">
              <w:t>Вопросы, доведенные до сведения государств — участников Конвенции</w:t>
            </w:r>
            <w:r w:rsidR="00225FDB" w:rsidRPr="00225FDB">
              <w:br/>
            </w:r>
            <w:r w:rsidR="00225FDB">
              <w:t>о ликвидации всех форм дискриминации в отношении женщин</w:t>
            </w:r>
            <w:r w:rsidR="00225FD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225FDB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225FDB">
              <w:t>Организационные и прочие вопросы</w:t>
            </w:r>
            <w:r w:rsidR="00225FD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225FDB" w:rsidP="00225FDB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Государства — участники Конвенции и Факультативного протокола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225FDB" w:rsidP="00225FDB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Открытие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225FDB" w:rsidP="00225FDB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Утверждение повестки дня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225FDB" w:rsidP="00225FDB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>Доклад предсессионной рабочей группы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225FDB" w:rsidP="00225FDB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Организация работы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225FDB" w:rsidP="00225FDB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Членский состав Комитета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225FDB">
            <w:pPr>
              <w:pageBreakBefore/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225FDB">
              <w:t>Доклад Председателя о мероприятиях, проведенных в</w:t>
            </w:r>
            <w:r w:rsidR="00225FDB" w:rsidRPr="00225FDB">
              <w:t xml:space="preserve"> </w:t>
            </w:r>
            <w:r w:rsidR="00225FDB">
              <w:t>период между пятьдесят шестой и пятьдесят седьмой сессиями Комитета</w:t>
            </w:r>
            <w:r w:rsidR="00225FD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225FDB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225FDB">
              <w:t>Рассмотрение докладов, представляемых государствами-участниками в соответствии со статьей 18 Конвенции</w:t>
            </w:r>
            <w:r w:rsidR="00225FD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225FDB" w:rsidRDefault="00225FD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83E69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F113C1">
              <w:t>Деятельность, осуществляемая в соответствии</w:t>
            </w:r>
            <w:r w:rsidR="00183E69" w:rsidRPr="00183E69">
              <w:t xml:space="preserve"> </w:t>
            </w:r>
            <w:r w:rsidR="00F113C1">
              <w:t>с Факультативным протоколом</w:t>
            </w:r>
            <w:r w:rsidR="00183E69" w:rsidRPr="00183E69">
              <w:br/>
            </w:r>
            <w:r w:rsidR="00F113C1">
              <w:t>к Конвенции</w:t>
            </w:r>
            <w:r w:rsidR="00183E69" w:rsidRPr="00183E69">
              <w:t xml:space="preserve"> </w:t>
            </w:r>
            <w:r w:rsidR="00F113C1">
              <w:t>о ликвидации всех форм дискриминации в отношении женщин</w:t>
            </w:r>
            <w:r w:rsidR="00183E6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83E69" w:rsidRDefault="00183E6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F113C1" w:rsidP="00183E69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Решения, принятые Комитетом в отношении вопросов, вытекающих из статьи</w:t>
            </w:r>
            <w:r w:rsidR="00183E69">
              <w:rPr>
                <w:lang w:val="en-US"/>
              </w:rPr>
              <w:t> </w:t>
            </w:r>
            <w:r>
              <w:t>2 Факультативного протокола</w:t>
            </w:r>
            <w:r w:rsidR="00183E6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83E69" w:rsidRDefault="00183E6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F113C1" w:rsidP="00183E69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>Последующая деятельность в связи с мнениями Комитета</w:t>
            </w:r>
            <w:r w:rsidR="00183E69" w:rsidRPr="00183E69">
              <w:t xml:space="preserve"> </w:t>
            </w:r>
            <w:r>
              <w:t>по индивидуальным сообщениям</w:t>
            </w:r>
            <w:r w:rsidR="00183E6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83E69" w:rsidRDefault="00183E6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F113C1" w:rsidP="00183E69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Решения, принятые Комитетом в отношении вопросов, вытекающих из статьи</w:t>
            </w:r>
            <w:r w:rsidR="00183E69">
              <w:rPr>
                <w:lang w:val="en-US"/>
              </w:rPr>
              <w:t> </w:t>
            </w:r>
            <w:r>
              <w:t>8 Факультативного протокола</w:t>
            </w:r>
            <w:r w:rsidR="00183E6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83E69" w:rsidRDefault="00183E6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83E69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F113C1">
              <w:t>Пути и средства повышения оперативности работы Комитета</w:t>
            </w:r>
            <w:r w:rsidR="00183E6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83E69" w:rsidRDefault="00183E6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83E69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F113C1">
              <w:t>Осуществление статьи 21 Конвенции</w:t>
            </w:r>
            <w:r w:rsidR="00183E6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83E69" w:rsidRDefault="00183E6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83E69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F113C1">
              <w:t>Предварительная повестка дня пятьдесят восьмой сессии</w:t>
            </w:r>
            <w:r w:rsidR="00183E6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83E69" w:rsidRDefault="00183E6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9F6F3E" w:rsidRPr="00140676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183E69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F113C1">
              <w:t>Утверждение доклада</w:t>
            </w:r>
            <w:r w:rsidR="00183E6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183E69" w:rsidRDefault="00183E6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9F6F3E" w:rsidRPr="00525612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0F4CB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</w:pPr>
            <w:r>
              <w:t>Приложения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Default="009F6F3E" w:rsidP="000F4CB5">
            <w:pPr>
              <w:spacing w:after="120"/>
              <w:ind w:right="40"/>
              <w:jc w:val="right"/>
              <w:rPr>
                <w:lang w:val="en-US"/>
              </w:rPr>
            </w:pPr>
          </w:p>
        </w:tc>
      </w:tr>
      <w:tr w:rsidR="009F6F3E" w:rsidRPr="007F6947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48798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7F6947">
              <w:t>Решение 57/</w:t>
            </w:r>
            <w:r w:rsidR="007F6947">
              <w:rPr>
                <w:lang w:val="en-GB"/>
              </w:rPr>
              <w:t>I</w:t>
            </w:r>
            <w:r w:rsidR="007F6947" w:rsidRPr="007F6947">
              <w:t xml:space="preserve">. </w:t>
            </w:r>
            <w:r w:rsidR="007F6947">
              <w:t>Заявление Комитета по ликвидации дискриминации</w:t>
            </w:r>
            <w:r w:rsidR="00487989" w:rsidRPr="00487989">
              <w:t xml:space="preserve"> </w:t>
            </w:r>
            <w:r w:rsidR="007F6947">
              <w:t>в отношении женщин по вопросу о повестке дня</w:t>
            </w:r>
            <w:r w:rsidR="00487989" w:rsidRPr="00487989">
              <w:t xml:space="preserve"> </w:t>
            </w:r>
            <w:r w:rsidR="007F6947">
              <w:t>в области развития на период после 2015 года</w:t>
            </w:r>
            <w:r w:rsidR="007F6947">
              <w:br/>
              <w:t>и ликвидации дискриминации в отношении женщин</w:t>
            </w:r>
            <w:r w:rsidR="0048798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87989" w:rsidRDefault="0048798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9F6F3E" w:rsidRPr="007F6947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48798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7F6947">
              <w:t>Решение 57/</w:t>
            </w:r>
            <w:r w:rsidR="007F6947">
              <w:rPr>
                <w:lang w:val="en-GB"/>
              </w:rPr>
              <w:t>II</w:t>
            </w:r>
            <w:r w:rsidR="007F6947" w:rsidRPr="007F6947">
              <w:t xml:space="preserve">. </w:t>
            </w:r>
            <w:r w:rsidR="007F6947">
              <w:t>Заявление Комитета по ликвидации дискриминации</w:t>
            </w:r>
            <w:r w:rsidR="00487989" w:rsidRPr="00487989">
              <w:t xml:space="preserve"> </w:t>
            </w:r>
            <w:r w:rsidR="007F6947">
              <w:t>в отношении женщин по вопросу «Сексуальное</w:t>
            </w:r>
            <w:r w:rsidR="00487989" w:rsidRPr="00487989">
              <w:t xml:space="preserve"> </w:t>
            </w:r>
            <w:r w:rsidR="007F6947">
              <w:t>и репродуктивное здоровье: обзор последующей деятельности в связи с Международной конференцией по народонаселению и развитию в период после 2014 года»</w:t>
            </w:r>
            <w:r w:rsidR="0048798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87989" w:rsidRDefault="0048798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9F6F3E" w:rsidRPr="007F6947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48798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7F6947">
              <w:t>Решение 57/</w:t>
            </w:r>
            <w:r w:rsidR="007F6947">
              <w:rPr>
                <w:lang w:val="en-GB"/>
              </w:rPr>
              <w:t>V</w:t>
            </w:r>
            <w:r w:rsidR="007F6947" w:rsidRPr="007F6947">
              <w:t xml:space="preserve">. </w:t>
            </w:r>
            <w:r w:rsidR="007F6947">
              <w:t>Решение Комитета по ликвидации дискриминации в</w:t>
            </w:r>
            <w:r w:rsidR="00487989" w:rsidRPr="00487989">
              <w:t xml:space="preserve"> </w:t>
            </w:r>
            <w:r w:rsidR="007F6947">
              <w:t>отношении женщин об обслуживании своей работы в соответствии со статьей</w:t>
            </w:r>
            <w:r w:rsidR="007F6947">
              <w:rPr>
                <w:lang w:val="en-US"/>
              </w:rPr>
              <w:t> </w:t>
            </w:r>
            <w:r w:rsidR="007F6947">
              <w:t>8 Факультативного протокола</w:t>
            </w:r>
            <w:r w:rsidR="0048798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87989" w:rsidRDefault="00487989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E564AB" w:rsidRPr="007F6947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564AB" w:rsidRDefault="00E564AB" w:rsidP="0048798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 w:rsidR="007D5D6B" w:rsidRPr="000C1651">
              <w:t>Документы, имевшиеся в распоряжении Комитета на его пятьдесят сед</w:t>
            </w:r>
            <w:r w:rsidR="007D5D6B" w:rsidRPr="000C1651">
              <w:t>ь</w:t>
            </w:r>
            <w:r w:rsidR="007D5D6B" w:rsidRPr="000C1651">
              <w:t>мой сессии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564AB" w:rsidRPr="007D5D6B" w:rsidRDefault="007D5D6B" w:rsidP="000F4CB5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9F6F3E" w:rsidRPr="007F6947" w:rsidTr="000F4CB5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9F6F3E" w:rsidRDefault="009F6F3E" w:rsidP="0048798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7F6947">
              <w:t>Доклад Рабочей группы по сообщениям в соответствии с Факультативным протоколом к Конвенции о</w:t>
            </w:r>
            <w:r w:rsidR="00487989" w:rsidRPr="00487989">
              <w:t xml:space="preserve"> </w:t>
            </w:r>
            <w:r w:rsidR="007F6947">
              <w:t>ликвидации всех форм дискриминации в отношении женщин о работе ее двадцать восьмой сессии</w:t>
            </w:r>
            <w:r w:rsidR="0048798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F3E" w:rsidRPr="00487989" w:rsidRDefault="00487989" w:rsidP="007D5D6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D5D6B">
              <w:rPr>
                <w:lang w:val="en-US"/>
              </w:rPr>
              <w:t>8</w:t>
            </w:r>
          </w:p>
        </w:tc>
      </w:tr>
    </w:tbl>
    <w:p w:rsidR="009F6F3E" w:rsidRPr="00417285" w:rsidRDefault="009F6F3E" w:rsidP="009F6F3E">
      <w:pPr>
        <w:tabs>
          <w:tab w:val="righ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</w:pPr>
      <w:r>
        <w:tab/>
      </w:r>
    </w:p>
    <w:p w:rsidR="007218CA" w:rsidRPr="007F6947" w:rsidRDefault="007218CA" w:rsidP="007218CA"/>
    <w:p w:rsidR="007218CA" w:rsidRPr="00D14930" w:rsidRDefault="007218CA" w:rsidP="007218CA">
      <w:r w:rsidRPr="00D14930">
        <w:br w:type="page"/>
      </w:r>
    </w:p>
    <w:p w:rsidR="00F54D9F" w:rsidRDefault="00F54D9F" w:rsidP="00F54D9F">
      <w:pPr>
        <w:framePr w:w="3961" w:h="1195" w:hSpace="180" w:wrap="notBeside" w:vAnchor="page" w:hAnchor="page" w:x="2463" w:y="12385" w:anchorLock="1"/>
      </w:pPr>
      <w:r>
        <w:t xml:space="preserve">Его Превосходительству г-ну Пан Ги Муну </w:t>
      </w:r>
    </w:p>
    <w:p w:rsidR="00F54D9F" w:rsidRDefault="00F54D9F" w:rsidP="00F54D9F">
      <w:pPr>
        <w:framePr w:w="3961" w:h="1195" w:hSpace="180" w:wrap="notBeside" w:vAnchor="page" w:hAnchor="page" w:x="2463" w:y="12385" w:anchorLock="1"/>
      </w:pPr>
      <w:r>
        <w:t>Генеральному секретарю О</w:t>
      </w:r>
      <w:r>
        <w:t>р</w:t>
      </w:r>
      <w:r>
        <w:t xml:space="preserve">ганизации </w:t>
      </w:r>
    </w:p>
    <w:p w:rsidR="00F54D9F" w:rsidRDefault="00F54D9F" w:rsidP="00F54D9F">
      <w:pPr>
        <w:framePr w:w="3961" w:h="1195" w:hSpace="180" w:wrap="notBeside" w:vAnchor="page" w:hAnchor="page" w:x="2463" w:y="12385" w:anchorLock="1"/>
      </w:pPr>
      <w:r>
        <w:t xml:space="preserve">   Объединенных Наций</w:t>
      </w:r>
    </w:p>
    <w:p w:rsidR="007218CA" w:rsidRPr="007218CA" w:rsidRDefault="00F54D9F" w:rsidP="00F54D9F">
      <w:pPr>
        <w:framePr w:w="3961" w:h="1195" w:hSpace="180" w:wrap="notBeside" w:vAnchor="page" w:hAnchor="page" w:x="2463" w:y="12385" w:anchorLock="1"/>
      </w:pPr>
      <w:r>
        <w:t>Нью-Йорк</w:t>
      </w:r>
    </w:p>
    <w:p w:rsidR="007218CA" w:rsidRPr="00D14930" w:rsidRDefault="007218CA" w:rsidP="007218CA">
      <w:pPr>
        <w:spacing w:before="1360" w:after="240"/>
        <w:rPr>
          <w:sz w:val="28"/>
        </w:rPr>
      </w:pPr>
      <w:r w:rsidRPr="00D14930">
        <w:rPr>
          <w:sz w:val="28"/>
        </w:rPr>
        <w:t>Препроводительное письмо</w:t>
      </w:r>
    </w:p>
    <w:p w:rsidR="007218CA" w:rsidRPr="00D14930" w:rsidRDefault="007218CA" w:rsidP="007218CA">
      <w:pPr>
        <w:spacing w:after="240"/>
        <w:jc w:val="right"/>
      </w:pPr>
      <w:r w:rsidRPr="00D14930">
        <w:t>[</w:t>
      </w:r>
      <w:r w:rsidR="000F2089">
        <w:t>31 марта 2014 года</w:t>
      </w:r>
      <w:r w:rsidRPr="00D14930">
        <w:t>]</w:t>
      </w:r>
    </w:p>
    <w:p w:rsidR="00D14930" w:rsidRPr="00864BFB" w:rsidRDefault="00D14930" w:rsidP="00D14930">
      <w:pPr>
        <w:pStyle w:val="SingleTxt"/>
      </w:pPr>
      <w:r>
        <w:tab/>
      </w:r>
      <w:r w:rsidRPr="00864BFB">
        <w:t>Имею честь сослаться на статью 21 Конвенции о ликвидации всех форм дискриминации в отношении женщин, согласно которой Комитет по ликвид</w:t>
      </w:r>
      <w:r w:rsidRPr="00864BFB">
        <w:t>а</w:t>
      </w:r>
      <w:r w:rsidRPr="00864BFB">
        <w:t>ции дискриминации в отношении женщин, созданный в соответствии с Ко</w:t>
      </w:r>
      <w:r w:rsidRPr="00864BFB">
        <w:t>н</w:t>
      </w:r>
      <w:r w:rsidRPr="00864BFB">
        <w:t>венцией, «ежегодно через Экономический и Социальный Совет представляет доклад Генеральной Ассамблее Организации Объединенных Наций о своей д</w:t>
      </w:r>
      <w:r w:rsidRPr="00864BFB">
        <w:t>е</w:t>
      </w:r>
      <w:r w:rsidRPr="00864BFB">
        <w:t>ятельн</w:t>
      </w:r>
      <w:r w:rsidRPr="00864BFB">
        <w:t>о</w:t>
      </w:r>
      <w:r w:rsidRPr="00864BFB">
        <w:t>сти».</w:t>
      </w:r>
    </w:p>
    <w:p w:rsidR="00D14930" w:rsidRDefault="00D14930" w:rsidP="00D14930">
      <w:pPr>
        <w:pStyle w:val="SingleTxt"/>
      </w:pPr>
      <w:r>
        <w:tab/>
      </w:r>
      <w:r w:rsidRPr="00864BFB">
        <w:t>Комитет по ликвидации дискриминации в отношении женщин провел свою пятьдесят пятую сессию 8</w:t>
      </w:r>
      <w:r>
        <w:t xml:space="preserve"> — </w:t>
      </w:r>
      <w:r w:rsidRPr="00864BFB">
        <w:t>26 июля 2013 года, свою пятьдесят ш</w:t>
      </w:r>
      <w:r w:rsidRPr="00864BFB">
        <w:t>е</w:t>
      </w:r>
      <w:r w:rsidRPr="00864BFB">
        <w:t>стую сессию 30 сентября</w:t>
      </w:r>
      <w:r>
        <w:t xml:space="preserve"> — </w:t>
      </w:r>
      <w:r w:rsidRPr="00864BFB">
        <w:t>18 октября 2013 года и свою пятьдесят седьмую се</w:t>
      </w:r>
      <w:r w:rsidRPr="00864BFB">
        <w:t>с</w:t>
      </w:r>
      <w:r w:rsidRPr="00864BFB">
        <w:t>сию 10</w:t>
      </w:r>
      <w:r w:rsidR="002315B1">
        <w:t>–</w:t>
      </w:r>
      <w:r w:rsidRPr="00864BFB">
        <w:t>28 февраля 2014 года в Отделении Организации Объединенных Наций в Женеве. Он утвердил свои доклады о работе этих сессий на 1156-м заседании 26</w:t>
      </w:r>
      <w:r>
        <w:t> </w:t>
      </w:r>
      <w:r w:rsidRPr="00864BFB">
        <w:t>июля 2013 года, 1184-м заседании 18 октября 2013 года и 1214-м заседании 28</w:t>
      </w:r>
      <w:r>
        <w:t> </w:t>
      </w:r>
      <w:r w:rsidRPr="00864BFB">
        <w:t>февраля 2014</w:t>
      </w:r>
      <w:r>
        <w:t> </w:t>
      </w:r>
      <w:r w:rsidRPr="00864BFB">
        <w:t>года</w:t>
      </w:r>
      <w:r w:rsidR="002315B1">
        <w:t>,</w:t>
      </w:r>
      <w:r w:rsidRPr="00864BFB">
        <w:t xml:space="preserve"> соответственно. Эти три доклада Комитета настоящим представляются Вам для препровождения Генеральной Ассамблее на ее шест</w:t>
      </w:r>
      <w:r w:rsidRPr="00864BFB">
        <w:t>ь</w:t>
      </w:r>
      <w:r w:rsidRPr="00864BFB">
        <w:t>десят девятой сессии.</w:t>
      </w:r>
    </w:p>
    <w:p w:rsidR="00F54D9F" w:rsidRPr="00F54D9F" w:rsidRDefault="00F54D9F" w:rsidP="00F54D9F">
      <w:pPr>
        <w:pStyle w:val="SingleTxt"/>
        <w:spacing w:after="0" w:line="120" w:lineRule="exact"/>
        <w:rPr>
          <w:sz w:val="10"/>
        </w:rPr>
      </w:pPr>
    </w:p>
    <w:p w:rsidR="00F54D9F" w:rsidRPr="00F54D9F" w:rsidRDefault="00F54D9F" w:rsidP="00F54D9F">
      <w:pPr>
        <w:pStyle w:val="SingleTxt"/>
        <w:spacing w:after="0" w:line="120" w:lineRule="exact"/>
        <w:rPr>
          <w:sz w:val="10"/>
        </w:rPr>
      </w:pPr>
    </w:p>
    <w:p w:rsidR="007218CA" w:rsidRPr="00D14930" w:rsidRDefault="00D14930" w:rsidP="000F2089">
      <w:pPr>
        <w:pStyle w:val="SingleTxt"/>
        <w:jc w:val="right"/>
      </w:pPr>
      <w:r w:rsidRPr="00864BFB">
        <w:t>(</w:t>
      </w:r>
      <w:r w:rsidRPr="00864BFB">
        <w:rPr>
          <w:i/>
        </w:rPr>
        <w:t>Подпись</w:t>
      </w:r>
      <w:r w:rsidRPr="00864BFB">
        <w:t xml:space="preserve">) Николь </w:t>
      </w:r>
      <w:r w:rsidRPr="00864BFB">
        <w:rPr>
          <w:b/>
        </w:rPr>
        <w:t>Амелин</w:t>
      </w:r>
      <w:r>
        <w:rPr>
          <w:b/>
        </w:rPr>
        <w:br/>
      </w:r>
      <w:r w:rsidRPr="00864BFB">
        <w:t>Председатель</w:t>
      </w:r>
      <w:r w:rsidRPr="00D14930">
        <w:t xml:space="preserve"> </w:t>
      </w:r>
    </w:p>
    <w:p w:rsidR="007218CA" w:rsidRPr="00D14930" w:rsidRDefault="007218CA" w:rsidP="007218CA">
      <w:pPr>
        <w:pStyle w:val="SingleTxt"/>
      </w:pPr>
    </w:p>
    <w:p w:rsidR="007218CA" w:rsidRPr="00D14930" w:rsidRDefault="007218CA" w:rsidP="007218CA">
      <w:pPr>
        <w:pStyle w:val="SingleTxt"/>
        <w:jc w:val="right"/>
      </w:pPr>
    </w:p>
    <w:p w:rsidR="007218CA" w:rsidRPr="00F54D9F" w:rsidRDefault="007218CA" w:rsidP="007218CA">
      <w:pPr>
        <w:pStyle w:val="SingleTxt"/>
      </w:pPr>
    </w:p>
    <w:p w:rsidR="007218CA" w:rsidRPr="00F54D9F" w:rsidRDefault="007218CA" w:rsidP="007218CA">
      <w:pPr>
        <w:pStyle w:val="SingleTxt"/>
        <w:sectPr w:rsidR="007218CA" w:rsidRPr="00F54D9F" w:rsidSect="007218CA">
          <w:headerReference w:type="even" r:id="rId15"/>
          <w:headerReference w:type="default" r:id="rId16"/>
          <w:footerReference w:type="even" r:id="rId17"/>
          <w:footerReference w:type="default" r:id="rId18"/>
          <w:endnotePr>
            <w:numFmt w:val="decimal"/>
          </w:endnotePr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C62420" w:rsidRDefault="009F6F3E" w:rsidP="00C624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4D9F">
        <w:br w:type="page"/>
      </w:r>
      <w:r w:rsidR="00F301F0">
        <w:rPr>
          <w:lang w:val="en-US"/>
        </w:rPr>
        <w:tab/>
      </w:r>
      <w:r w:rsidR="00F301F0">
        <w:rPr>
          <w:lang w:val="en-US"/>
        </w:rPr>
        <w:tab/>
      </w:r>
      <w:r w:rsidR="00F301F0" w:rsidRPr="00BD5A63">
        <w:t>Часть первая</w:t>
      </w:r>
    </w:p>
    <w:p w:rsidR="00F301F0" w:rsidRPr="00BD5A63" w:rsidRDefault="00C62420" w:rsidP="00F30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301F0" w:rsidRPr="00BD5A63">
        <w:t>Доклад Комитета по ликвидации дискриминации в</w:t>
      </w:r>
      <w:r w:rsidR="00F301F0">
        <w:rPr>
          <w:lang w:val="en-US"/>
        </w:rPr>
        <w:t> </w:t>
      </w:r>
      <w:r w:rsidR="00F301F0" w:rsidRPr="00BD5A63">
        <w:t>отношении женщин о работе его пятьдесят пятой сессии</w:t>
      </w:r>
    </w:p>
    <w:p w:rsidR="00F301F0" w:rsidRPr="00BD5A63" w:rsidRDefault="00F301F0" w:rsidP="00F301F0">
      <w:pPr>
        <w:pStyle w:val="SingleTxt"/>
        <w:spacing w:after="0" w:line="120" w:lineRule="exact"/>
        <w:rPr>
          <w:sz w:val="10"/>
        </w:rPr>
      </w:pPr>
    </w:p>
    <w:p w:rsidR="00F301F0" w:rsidRPr="00BD5A63" w:rsidRDefault="00F301F0" w:rsidP="00F301F0">
      <w:pPr>
        <w:pStyle w:val="SingleTxt"/>
        <w:spacing w:after="0" w:line="120" w:lineRule="exact"/>
        <w:rPr>
          <w:sz w:val="10"/>
        </w:rPr>
      </w:pPr>
    </w:p>
    <w:p w:rsidR="009F6F3E" w:rsidRDefault="00F301F0" w:rsidP="00C624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F301F0">
        <w:tab/>
      </w:r>
      <w:r w:rsidRPr="00F301F0">
        <w:tab/>
      </w:r>
      <w:r w:rsidRPr="00BD5A63">
        <w:t>8</w:t>
      </w:r>
      <w:r>
        <w:rPr>
          <w:lang w:val="en-US"/>
        </w:rPr>
        <w:t>–</w:t>
      </w:r>
      <w:r w:rsidRPr="00BD5A63">
        <w:t>26 июля 2013 года</w:t>
      </w:r>
    </w:p>
    <w:p w:rsidR="00F301F0" w:rsidRPr="00F301F0" w:rsidRDefault="00F301F0" w:rsidP="00F301F0">
      <w:pPr>
        <w:pStyle w:val="SingleTxt"/>
        <w:rPr>
          <w:lang w:val="en-US"/>
        </w:rPr>
      </w:pPr>
    </w:p>
    <w:p w:rsidR="00F301F0" w:rsidRPr="00F301F0" w:rsidRDefault="00F301F0" w:rsidP="00F301F0">
      <w:pPr>
        <w:pStyle w:val="SingleTxt"/>
        <w:spacing w:after="0" w:line="120" w:lineRule="exact"/>
        <w:rPr>
          <w:sz w:val="10"/>
          <w:lang w:val="en-US"/>
        </w:rPr>
      </w:pPr>
    </w:p>
    <w:p w:rsidR="00F301F0" w:rsidRDefault="00F301F0" w:rsidP="00F301F0">
      <w:pPr>
        <w:pStyle w:val="SingleTxt"/>
        <w:rPr>
          <w:lang w:val="en-US"/>
        </w:rPr>
        <w:sectPr w:rsidR="00F301F0" w:rsidSect="007218CA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39550E" w:rsidRPr="0039550E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5A63">
        <w:t xml:space="preserve">Глава </w:t>
      </w:r>
      <w:r w:rsidRPr="00BD5A63">
        <w:rPr>
          <w:lang w:val="en-US"/>
        </w:rPr>
        <w:t>I</w:t>
      </w: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2C1A3C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550E">
        <w:tab/>
      </w:r>
      <w:r w:rsidRPr="0039550E">
        <w:tab/>
      </w:r>
      <w:r w:rsidRPr="00BD5A63">
        <w:t>Вопросы, доведенные до сведения государств</w:t>
      </w:r>
      <w:r>
        <w:t xml:space="preserve"> — </w:t>
      </w:r>
      <w:r w:rsidRPr="00BD5A63">
        <w:t>участников Конвенции о ликвидации всех форм дискриминации в отношении женщин</w:t>
      </w:r>
    </w:p>
    <w:p w:rsidR="0039550E" w:rsidRPr="002C1A3C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2C1A3C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39550E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C1A3C">
        <w:tab/>
      </w:r>
      <w:r w:rsidRPr="002C1A3C">
        <w:tab/>
      </w:r>
      <w:r w:rsidRPr="00BD5A63">
        <w:t>Решения</w:t>
      </w: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550E">
        <w:tab/>
      </w:r>
      <w:r w:rsidRPr="0039550E">
        <w:tab/>
      </w:r>
      <w:r w:rsidRPr="00BD5A63">
        <w:t>Решение 55/</w:t>
      </w:r>
      <w:r w:rsidRPr="00BD5A63">
        <w:rPr>
          <w:lang w:val="en-US"/>
        </w:rPr>
        <w:t>I</w:t>
      </w: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39550E" w:rsidRDefault="0039550E" w:rsidP="0039550E">
      <w:pPr>
        <w:pStyle w:val="SingleTxt"/>
      </w:pPr>
      <w:r w:rsidRPr="0039550E">
        <w:tab/>
      </w:r>
      <w:r w:rsidRPr="00BD5A63">
        <w:t>26</w:t>
      </w:r>
      <w:r>
        <w:rPr>
          <w:lang w:val="en-US"/>
        </w:rPr>
        <w:t> </w:t>
      </w:r>
      <w:r w:rsidRPr="00BD5A63">
        <w:t>июля 2013</w:t>
      </w:r>
      <w:r>
        <w:rPr>
          <w:lang w:val="en-US"/>
        </w:rPr>
        <w:t> </w:t>
      </w:r>
      <w:r w:rsidRPr="00BD5A63">
        <w:t>года Комитет утвердил заявление по вопросу о роли же</w:t>
      </w:r>
      <w:r w:rsidRPr="00BD5A63">
        <w:t>н</w:t>
      </w:r>
      <w:r w:rsidRPr="00BD5A63">
        <w:t>щин в условиях политических преобразований в Египте, Ливии и Тунисе. (См.</w:t>
      </w:r>
      <w:r>
        <w:rPr>
          <w:lang w:val="en-US"/>
        </w:rPr>
        <w:t> </w:t>
      </w:r>
      <w:r w:rsidRPr="00BD5A63">
        <w:t xml:space="preserve">приложение </w:t>
      </w:r>
      <w:r w:rsidRPr="00BD5A63">
        <w:rPr>
          <w:lang w:val="en-US"/>
        </w:rPr>
        <w:t>I</w:t>
      </w:r>
      <w:r w:rsidRPr="00BD5A63">
        <w:t xml:space="preserve"> к части первой настоящего доклада). </w:t>
      </w: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550E">
        <w:tab/>
      </w:r>
      <w:r w:rsidRPr="0039550E">
        <w:tab/>
      </w:r>
      <w:r w:rsidRPr="00BD5A63">
        <w:t>Решение 55/</w:t>
      </w:r>
      <w:r w:rsidRPr="00BD5A63">
        <w:rPr>
          <w:lang w:val="en-US"/>
        </w:rPr>
        <w:t>II</w:t>
      </w: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39550E" w:rsidRDefault="0039550E" w:rsidP="0039550E">
      <w:pPr>
        <w:pStyle w:val="SingleTxt"/>
      </w:pPr>
      <w:r w:rsidRPr="0039550E">
        <w:tab/>
      </w:r>
      <w:r w:rsidRPr="00BD5A63">
        <w:t>26</w:t>
      </w:r>
      <w:r>
        <w:rPr>
          <w:lang w:val="en-US"/>
        </w:rPr>
        <w:t> </w:t>
      </w:r>
      <w:r w:rsidRPr="00BD5A63">
        <w:t>июля 2013</w:t>
      </w:r>
      <w:r>
        <w:rPr>
          <w:lang w:val="en-US"/>
        </w:rPr>
        <w:t> </w:t>
      </w:r>
      <w:r w:rsidRPr="00BD5A63">
        <w:t>года Комитет утвердил заявление об укреплении сотрудн</w:t>
      </w:r>
      <w:r w:rsidRPr="00BD5A63">
        <w:t>и</w:t>
      </w:r>
      <w:r w:rsidRPr="00BD5A63">
        <w:t>чества со Структурой «ООН-женщины» (См.</w:t>
      </w:r>
      <w:r>
        <w:rPr>
          <w:lang w:val="en-US"/>
        </w:rPr>
        <w:t> </w:t>
      </w:r>
      <w:r w:rsidRPr="00BD5A63">
        <w:t>приложение</w:t>
      </w:r>
      <w:r>
        <w:rPr>
          <w:lang w:val="en-US"/>
        </w:rPr>
        <w:t> </w:t>
      </w:r>
      <w:r w:rsidRPr="00BD5A63">
        <w:rPr>
          <w:lang w:val="en-US"/>
        </w:rPr>
        <w:t>II</w:t>
      </w:r>
      <w:r w:rsidRPr="00BD5A63">
        <w:t xml:space="preserve"> к части первой настоящ</w:t>
      </w:r>
      <w:r w:rsidRPr="00BD5A63">
        <w:t>е</w:t>
      </w:r>
      <w:r w:rsidRPr="00BD5A63">
        <w:t xml:space="preserve">го доклада). </w:t>
      </w: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550E">
        <w:tab/>
      </w:r>
      <w:r w:rsidRPr="0039550E">
        <w:tab/>
      </w:r>
      <w:r w:rsidRPr="00BD5A63">
        <w:t>Решение 55/</w:t>
      </w:r>
      <w:r w:rsidRPr="00BD5A63">
        <w:rPr>
          <w:lang w:val="en-US"/>
        </w:rPr>
        <w:t>III</w:t>
      </w: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39550E">
        <w:tab/>
      </w:r>
      <w:r w:rsidRPr="00BD5A63">
        <w:t>Комитет постановил завершить в ходе своей пятьдесят шестой сессии утверждение проекта общей рекомендации, касающейся положения женщин в условиях предотвращения конфликтов, в конфликт</w:t>
      </w:r>
      <w:r>
        <w:t xml:space="preserve">ных и </w:t>
      </w:r>
      <w:r w:rsidRPr="00BD5A63">
        <w:t>постконфликтных с</w:t>
      </w:r>
      <w:r w:rsidRPr="00BD5A63">
        <w:t>и</w:t>
      </w:r>
      <w:r w:rsidRPr="00BD5A63">
        <w:t>туациях.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IV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>
        <w:tab/>
      </w:r>
      <w:r w:rsidRPr="00BD5A63">
        <w:t>Комитет постановил посвятить в ходе своей пятьдесят шестой сессии по крайней мере одно полное заседание первому чтению своего проекта общей рекомендации, касающейся гендерного равенства в контексте убежища, статуса беженца и безгражданства.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V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>
        <w:tab/>
      </w:r>
      <w:r w:rsidRPr="00BD5A63">
        <w:t>26</w:t>
      </w:r>
      <w:r>
        <w:t> </w:t>
      </w:r>
      <w:r w:rsidRPr="00BD5A63">
        <w:t>июля 2013</w:t>
      </w:r>
      <w:r>
        <w:t> </w:t>
      </w:r>
      <w:r w:rsidRPr="00BD5A63">
        <w:t>года Комитет постановил преобразовать координационное подразделение по Структуре «ООН-женщины» в постоянную рабочую группу под председательством Николь Амелин, в состав которой дополнительно вкл</w:t>
      </w:r>
      <w:r w:rsidRPr="00BD5A63">
        <w:t>ю</w:t>
      </w:r>
      <w:r w:rsidRPr="00BD5A63">
        <w:t>чить по одному представителю от каждого региона, а именно: Фериде А</w:t>
      </w:r>
      <w:r>
        <w:t>дж</w:t>
      </w:r>
      <w:r w:rsidRPr="00BD5A63">
        <w:t>ар, На</w:t>
      </w:r>
      <w:r>
        <w:t>и</w:t>
      </w:r>
      <w:r w:rsidRPr="00BD5A63">
        <w:t>лу Габр, Силвию Пиментел, Дубравку Шимонович и Цзоу Сяоцяо, и во</w:t>
      </w:r>
      <w:r w:rsidRPr="00BD5A63">
        <w:t>з</w:t>
      </w:r>
      <w:r w:rsidRPr="00BD5A63">
        <w:t>ложить на нее функции по разработке совместного со Структурой «ООН-женщины» плана действий на 2014</w:t>
      </w:r>
      <w:r>
        <w:t>–</w:t>
      </w:r>
      <w:r w:rsidRPr="00BD5A63">
        <w:t>2015 годы.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VI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BD5A63">
        <w:tab/>
        <w:t>Комитет постановил учредить под председательством Николь Амелин п</w:t>
      </w:r>
      <w:r w:rsidRPr="00BD5A63">
        <w:t>о</w:t>
      </w:r>
      <w:r w:rsidRPr="00BD5A63">
        <w:t>стоянную рабочую группу по вопросам Межпарламентского союза и дополн</w:t>
      </w:r>
      <w:r w:rsidRPr="00BD5A63">
        <w:t>и</w:t>
      </w:r>
      <w:r w:rsidRPr="00BD5A63">
        <w:t xml:space="preserve">тельно включить в ее состав Налу Хайдар, Исмат Джахан, Далю Лейнарте, Прамилу Паттен и Патрицию Шульц. 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VII</w:t>
      </w:r>
    </w:p>
    <w:p w:rsidR="0039550E" w:rsidRPr="00BD5A63" w:rsidRDefault="0039550E" w:rsidP="0039550E">
      <w:pPr>
        <w:pStyle w:val="SingleTxt"/>
        <w:keepNext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BD5A63">
        <w:tab/>
        <w:t>Комитет подтвердил кандидатуры Нур аль-Джехани, Патриции Шульц и Олинды Барейро-Бобадиль</w:t>
      </w:r>
      <w:r>
        <w:t>и</w:t>
      </w:r>
      <w:r w:rsidRPr="00BD5A63">
        <w:t xml:space="preserve"> в качестве членов Рабочей группы Комитета по ликвидации дискриминации в отношении женщин/Комитета по правам челов</w:t>
      </w:r>
      <w:r w:rsidRPr="00BD5A63">
        <w:t>е</w:t>
      </w:r>
      <w:r w:rsidRPr="00BD5A63">
        <w:t xml:space="preserve">ка. 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VIII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BD5A63">
        <w:tab/>
        <w:t>Комитет постановил назначить Виолету Нойбауэр координатором по в</w:t>
      </w:r>
      <w:r w:rsidRPr="00BD5A63">
        <w:t>о</w:t>
      </w:r>
      <w:r w:rsidRPr="00BD5A63">
        <w:t>просам сексуальных и репродуктивных прав, а Теодору Оби Нванкво и Патр</w:t>
      </w:r>
      <w:r w:rsidRPr="00BD5A63">
        <w:t>и</w:t>
      </w:r>
      <w:r w:rsidRPr="00BD5A63">
        <w:t>цию Шульц ее заместителями.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IX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BD5A63">
        <w:tab/>
        <w:t>Комитет постановил, что каждый эксперт за сессию должен входить в с</w:t>
      </w:r>
      <w:r w:rsidRPr="00BD5A63">
        <w:t>о</w:t>
      </w:r>
      <w:r w:rsidRPr="00BD5A63">
        <w:t>став по меньшей мере четырех страновых целевых групп, за исключением д</w:t>
      </w:r>
      <w:r w:rsidRPr="00BD5A63">
        <w:t>о</w:t>
      </w:r>
      <w:r w:rsidRPr="00BD5A63">
        <w:t>кладчиков по странам, и что до начала каждой сессии секретариат должен ра</w:t>
      </w:r>
      <w:r w:rsidRPr="00BD5A63">
        <w:t>с</w:t>
      </w:r>
      <w:r w:rsidRPr="00BD5A63">
        <w:t>пространять список членов каждой страновой целевой группы, с тем чтобы обеспечить, чтобы в состав каждой страновой целевой группы в соответствии с решением</w:t>
      </w:r>
      <w:r>
        <w:t> </w:t>
      </w:r>
      <w:r w:rsidRPr="00BD5A63">
        <w:t>52/</w:t>
      </w:r>
      <w:r w:rsidRPr="00BD5A63">
        <w:rPr>
          <w:lang w:val="en-US"/>
        </w:rPr>
        <w:t>VII</w:t>
      </w:r>
      <w:r w:rsidRPr="00BD5A63">
        <w:t xml:space="preserve"> входило не менее 10 экспертов.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X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BD5A63">
        <w:tab/>
        <w:t>Комитет постановил рассмотреть вопрос о создании межсессионного м</w:t>
      </w:r>
      <w:r w:rsidRPr="00BD5A63">
        <w:t>е</w:t>
      </w:r>
      <w:r w:rsidRPr="00BD5A63">
        <w:t>ханизма для рассмотрения срочных вопросов и просил секретариат подгот</w:t>
      </w:r>
      <w:r w:rsidRPr="00BD5A63">
        <w:t>о</w:t>
      </w:r>
      <w:r w:rsidRPr="00BD5A63">
        <w:t>вить для пятьдесят шестой сессии рабочий документ о практике других дог</w:t>
      </w:r>
      <w:r w:rsidRPr="00BD5A63">
        <w:t>о</w:t>
      </w:r>
      <w:r w:rsidRPr="00BD5A63">
        <w:t>ворных органов в этом отношении, в том числе о процедуре раннего пред</w:t>
      </w:r>
      <w:r w:rsidRPr="00BD5A63">
        <w:t>у</w:t>
      </w:r>
      <w:r w:rsidRPr="00BD5A63">
        <w:t>преждения и незамедлительных действий Комитета по ликвидации расовой дискриминации.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XI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BD5A63">
        <w:tab/>
        <w:t>Комитет постановил, что окончательный вариант таблицы с просьбами о проведении брифингов и заседаний, получаемых секретариатом от неправ</w:t>
      </w:r>
      <w:r w:rsidRPr="00BD5A63">
        <w:t>и</w:t>
      </w:r>
      <w:r w:rsidRPr="00BD5A63">
        <w:t>тельственных организаций и других внешних партнеров, долж</w:t>
      </w:r>
      <w:r>
        <w:t>ен</w:t>
      </w:r>
      <w:r w:rsidRPr="00BD5A63">
        <w:t xml:space="preserve"> напра</w:t>
      </w:r>
      <w:r w:rsidRPr="00BD5A63">
        <w:t>в</w:t>
      </w:r>
      <w:r w:rsidRPr="00BD5A63">
        <w:t>ляться членам Бюро за месяц до начала сессии, с тем чтобы Бюро могло установить очередность для этих просьб, одновременно сохраняя некоторую ги</w:t>
      </w:r>
      <w:r w:rsidRPr="00BD5A63">
        <w:t>б</w:t>
      </w:r>
      <w:r w:rsidRPr="00BD5A63">
        <w:t>кость для обеспечения возможности рассмотрения срочных и важных просьб, получа</w:t>
      </w:r>
      <w:r w:rsidRPr="00BD5A63">
        <w:t>е</w:t>
      </w:r>
      <w:r w:rsidRPr="00BD5A63">
        <w:t xml:space="preserve">мых секретариатом после закрытия списка. 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D5A63">
        <w:t>Решение 55/</w:t>
      </w:r>
      <w:r w:rsidRPr="00BD5A63">
        <w:rPr>
          <w:lang w:val="en-US"/>
        </w:rPr>
        <w:t>XII</w:t>
      </w:r>
    </w:p>
    <w:p w:rsidR="0039550E" w:rsidRPr="00BD5A63" w:rsidRDefault="0039550E" w:rsidP="0039550E">
      <w:pPr>
        <w:pStyle w:val="SingleTxt"/>
        <w:spacing w:after="0" w:line="120" w:lineRule="exact"/>
        <w:rPr>
          <w:sz w:val="10"/>
        </w:rPr>
      </w:pPr>
    </w:p>
    <w:p w:rsidR="00F301F0" w:rsidRDefault="0039550E" w:rsidP="0039550E">
      <w:pPr>
        <w:pStyle w:val="SingleTxt"/>
        <w:rPr>
          <w:lang w:val="en-US"/>
        </w:rPr>
      </w:pPr>
      <w:r w:rsidRPr="00BD5A63">
        <w:tab/>
        <w:t>Рабочая группа по вопросам доступа к правосудию была расширена за счет включения в ее состав Теодоры Оби Нванкво в дополнение к действу</w:t>
      </w:r>
      <w:r w:rsidRPr="00BD5A63">
        <w:t>ю</w:t>
      </w:r>
      <w:r w:rsidRPr="00BD5A63">
        <w:t>щим членам Фериде А</w:t>
      </w:r>
      <w:r>
        <w:t>дж</w:t>
      </w:r>
      <w:r w:rsidRPr="00BD5A63">
        <w:t>ар, Барбаре Бейли, М</w:t>
      </w:r>
      <w:r>
        <w:t>а</w:t>
      </w:r>
      <w:r w:rsidRPr="00BD5A63">
        <w:t>р</w:t>
      </w:r>
      <w:r>
        <w:t>ья</w:t>
      </w:r>
      <w:r w:rsidRPr="00BD5A63">
        <w:t>м Бельмихуб-Зердани, Олинде Барейро-Бобадилье, Хилари Гбедеме, Руфи Гальперин-Каддари, Пр</w:t>
      </w:r>
      <w:r w:rsidRPr="00BD5A63">
        <w:t>а</w:t>
      </w:r>
      <w:r w:rsidRPr="00BD5A63">
        <w:t>миле Паттен, Силвии Пиментел (Председатель), Патриции Шульц, Дубравке Шимонович и Цзоу Сяоцяо.</w:t>
      </w:r>
    </w:p>
    <w:p w:rsidR="0039550E" w:rsidRDefault="0039550E" w:rsidP="0039550E">
      <w:pPr>
        <w:pStyle w:val="SingleTxt"/>
        <w:rPr>
          <w:lang w:val="en-US"/>
        </w:rPr>
      </w:pPr>
    </w:p>
    <w:p w:rsidR="0039550E" w:rsidRDefault="0039550E" w:rsidP="0039550E">
      <w:pPr>
        <w:pStyle w:val="SingleTxt"/>
        <w:rPr>
          <w:lang w:val="en-US"/>
        </w:rPr>
        <w:sectPr w:rsidR="0039550E" w:rsidSect="00F301F0"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39550E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0BDA">
        <w:t>Глава II</w:t>
      </w:r>
    </w:p>
    <w:p w:rsidR="0039550E" w:rsidRPr="001F7131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9550E" w:rsidRPr="008F0BDA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" w:name="_Toc356303419"/>
      <w:r>
        <w:tab/>
      </w:r>
      <w:r>
        <w:tab/>
      </w:r>
      <w:r w:rsidRPr="008F0BDA">
        <w:t>Организационные и прочие вопросы</w:t>
      </w:r>
      <w:bookmarkEnd w:id="1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0BDA">
        <w:tab/>
      </w:r>
      <w:bookmarkStart w:id="2" w:name="_Toc356303420"/>
      <w:r w:rsidRPr="008F0BDA">
        <w:t>A.</w:t>
      </w:r>
      <w:r w:rsidRPr="008F0BDA">
        <w:tab/>
        <w:t>Государства</w:t>
      </w:r>
      <w:r>
        <w:t xml:space="preserve"> — </w:t>
      </w:r>
      <w:r w:rsidRPr="008F0BDA">
        <w:t>участники Конвенции и Факультативного протокола</w:t>
      </w:r>
      <w:bookmarkEnd w:id="2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>
        <w:t>1.</w:t>
      </w:r>
      <w:r>
        <w:tab/>
      </w:r>
      <w:r w:rsidRPr="008F0BDA">
        <w:t>По состоянию на 26</w:t>
      </w:r>
      <w:r>
        <w:t> июля</w:t>
      </w:r>
      <w:r w:rsidRPr="008F0BDA">
        <w:t xml:space="preserve"> 2013</w:t>
      </w:r>
      <w:r>
        <w:t> года</w:t>
      </w:r>
      <w:r w:rsidRPr="008F0BDA">
        <w:t>, когда</w:t>
      </w:r>
      <w:r>
        <w:t xml:space="preserve"> завершила </w:t>
      </w:r>
      <w:r w:rsidRPr="008F0BDA">
        <w:t>свою работу пят</w:t>
      </w:r>
      <w:r w:rsidRPr="008F0BDA">
        <w:t>ь</w:t>
      </w:r>
      <w:r w:rsidRPr="008F0BDA">
        <w:t>десят пятая сессия Комитета по ликвидации дискриминации в отношении женщин, насчитывалось 187 государств</w:t>
      </w:r>
      <w:r>
        <w:t xml:space="preserve"> — </w:t>
      </w:r>
      <w:r w:rsidRPr="008F0BDA">
        <w:t>участников Конвенции о ликвид</w:t>
      </w:r>
      <w:r w:rsidRPr="008F0BDA">
        <w:t>а</w:t>
      </w:r>
      <w:r w:rsidRPr="008F0BDA">
        <w:t>ции всех форм дискриминации в отношении женщин</w:t>
      </w:r>
      <w:r w:rsidRPr="00C62420">
        <w:rPr>
          <w:rStyle w:val="FootnoteReference"/>
        </w:rPr>
        <w:footnoteReference w:id="1"/>
      </w:r>
      <w:r w:rsidRPr="008F0BDA">
        <w:t xml:space="preserve">, которая была принята </w:t>
      </w:r>
      <w:r>
        <w:t xml:space="preserve">Генеральной Ассамблеей </w:t>
      </w:r>
      <w:r w:rsidRPr="008F0BDA">
        <w:t xml:space="preserve">в </w:t>
      </w:r>
      <w:r>
        <w:t xml:space="preserve">ее </w:t>
      </w:r>
      <w:r w:rsidRPr="008F0BDA">
        <w:t>резолюции </w:t>
      </w:r>
      <w:hyperlink r:id="rId23" w:history="1">
        <w:r w:rsidRPr="008F0BDA">
          <w:rPr>
            <w:rStyle w:val="Hyperlink"/>
          </w:rPr>
          <w:t>34/180</w:t>
        </w:r>
      </w:hyperlink>
      <w:r>
        <w:t xml:space="preserve"> </w:t>
      </w:r>
      <w:r w:rsidRPr="008F0BDA">
        <w:t>и открыт</w:t>
      </w:r>
      <w:r>
        <w:t>а</w:t>
      </w:r>
      <w:r w:rsidRPr="008F0BDA">
        <w:t xml:space="preserve"> для подписания, р</w:t>
      </w:r>
      <w:r w:rsidRPr="008F0BDA">
        <w:t>а</w:t>
      </w:r>
      <w:r w:rsidRPr="008F0BDA">
        <w:t>тификации и присоединения</w:t>
      </w:r>
      <w:r>
        <w:t xml:space="preserve"> </w:t>
      </w:r>
      <w:r w:rsidRPr="008F0BDA">
        <w:t>1 марта 1980</w:t>
      </w:r>
      <w:r>
        <w:t> года</w:t>
      </w:r>
      <w:r w:rsidRPr="008F0BDA">
        <w:t xml:space="preserve"> в Нью-Йорке. В соответствии со статьей 27 Конвенци</w:t>
      </w:r>
      <w:r>
        <w:t>и она</w:t>
      </w:r>
      <w:r w:rsidRPr="008F0BDA">
        <w:t xml:space="preserve"> вступила в силу 3</w:t>
      </w:r>
      <w:r>
        <w:t> сентября</w:t>
      </w:r>
      <w:r w:rsidRPr="008F0BDA">
        <w:t xml:space="preserve"> 1981</w:t>
      </w:r>
      <w:r>
        <w:t> года</w:t>
      </w:r>
      <w:r w:rsidRPr="008F0BDA">
        <w:t xml:space="preserve">. Кроме того, 68 государств-участников приняли поправку к </w:t>
      </w:r>
      <w:r>
        <w:t>пункту </w:t>
      </w:r>
      <w:r w:rsidRPr="008F0BDA">
        <w:t>1 статьи</w:t>
      </w:r>
      <w:r>
        <w:t> </w:t>
      </w:r>
      <w:r w:rsidRPr="008F0BDA">
        <w:t>20</w:t>
      </w:r>
      <w:r>
        <w:t xml:space="preserve"> </w:t>
      </w:r>
      <w:r w:rsidRPr="008F0BDA">
        <w:t>Конвенции, касающемуся сроков проведения заседаний Комитета. Согласно положениям Конвенции, чтобы эта поправка вступила в силу, ее должны принять в общей сложности 125 государств</w:t>
      </w:r>
      <w:r>
        <w:t xml:space="preserve"> — </w:t>
      </w:r>
      <w:r w:rsidRPr="008F0BDA">
        <w:t>участников Конвенции.</w:t>
      </w:r>
    </w:p>
    <w:p w:rsidR="0039550E" w:rsidRPr="008F0BDA" w:rsidRDefault="0039550E" w:rsidP="0039550E">
      <w:pPr>
        <w:pStyle w:val="SingleTxt"/>
      </w:pPr>
      <w:r w:rsidRPr="008F0BDA">
        <w:t>2.</w:t>
      </w:r>
      <w:r>
        <w:tab/>
      </w:r>
      <w:r w:rsidRPr="008F0BDA">
        <w:t>На ту же дату насчитывалось 104 государства</w:t>
      </w:r>
      <w:r>
        <w:t xml:space="preserve"> — </w:t>
      </w:r>
      <w:r w:rsidRPr="008F0BDA">
        <w:t>участника Факультати</w:t>
      </w:r>
      <w:r w:rsidRPr="008F0BDA">
        <w:t>в</w:t>
      </w:r>
      <w:r w:rsidRPr="008F0BDA">
        <w:t>ного протокола к Конвенции</w:t>
      </w:r>
      <w:r w:rsidRPr="00C62420">
        <w:rPr>
          <w:rStyle w:val="FootnoteReference"/>
        </w:rPr>
        <w:footnoteReference w:id="2"/>
      </w:r>
      <w:r w:rsidRPr="008F0BDA">
        <w:t xml:space="preserve">, который был принят </w:t>
      </w:r>
      <w:r>
        <w:t xml:space="preserve">Генеральной Ассамблеей </w:t>
      </w:r>
      <w:r w:rsidRPr="008F0BDA">
        <w:t xml:space="preserve">в </w:t>
      </w:r>
      <w:r>
        <w:t xml:space="preserve">ее </w:t>
      </w:r>
      <w:r w:rsidRPr="008F0BDA">
        <w:t>резолюции </w:t>
      </w:r>
      <w:hyperlink r:id="rId24" w:history="1">
        <w:r w:rsidRPr="008F0BDA">
          <w:rPr>
            <w:rStyle w:val="Hyperlink"/>
          </w:rPr>
          <w:t>54/4</w:t>
        </w:r>
      </w:hyperlink>
      <w:r w:rsidRPr="008F0BDA">
        <w:t xml:space="preserve"> и открыт для подписания, ратификации и присоединения</w:t>
      </w:r>
      <w:r>
        <w:t xml:space="preserve"> </w:t>
      </w:r>
      <w:r w:rsidRPr="008F0BDA">
        <w:t>10 декабря 1999</w:t>
      </w:r>
      <w:r>
        <w:t> года</w:t>
      </w:r>
      <w:r w:rsidRPr="008F0BDA">
        <w:t xml:space="preserve"> в Нью-Йорке. В соответствии со статьей 16 Факультати</w:t>
      </w:r>
      <w:r w:rsidRPr="008F0BDA">
        <w:t>в</w:t>
      </w:r>
      <w:r w:rsidRPr="008F0BDA">
        <w:t>н</w:t>
      </w:r>
      <w:r>
        <w:t xml:space="preserve">ого </w:t>
      </w:r>
      <w:r w:rsidRPr="008F0BDA">
        <w:t>протокол</w:t>
      </w:r>
      <w:r>
        <w:t>а он</w:t>
      </w:r>
      <w:r w:rsidRPr="008F0BDA">
        <w:t xml:space="preserve"> вступил в силу 22 декабря 2000</w:t>
      </w:r>
      <w:r>
        <w:t> года</w:t>
      </w:r>
      <w:r w:rsidRPr="008F0BDA">
        <w:t>.</w:t>
      </w:r>
    </w:p>
    <w:p w:rsidR="0039550E" w:rsidRPr="008F0BDA" w:rsidRDefault="0039550E" w:rsidP="0039550E">
      <w:pPr>
        <w:pStyle w:val="SingleTxt"/>
      </w:pPr>
      <w:r w:rsidRPr="008F0BDA">
        <w:t>3.</w:t>
      </w:r>
      <w:r>
        <w:tab/>
      </w:r>
      <w:r w:rsidRPr="008F0BDA">
        <w:t>Ознакомиться с обновленной информацией о Конвенции, поправке к Ко</w:t>
      </w:r>
      <w:r w:rsidRPr="008F0BDA">
        <w:t>н</w:t>
      </w:r>
      <w:r w:rsidRPr="008F0BDA">
        <w:t xml:space="preserve">венции и Факультативном протоколе к Конвенции, </w:t>
      </w:r>
      <w:r>
        <w:t xml:space="preserve">с также </w:t>
      </w:r>
      <w:r w:rsidRPr="008F0BDA">
        <w:t>со списком гос</w:t>
      </w:r>
      <w:r w:rsidRPr="008F0BDA">
        <w:t>у</w:t>
      </w:r>
      <w:r w:rsidRPr="008F0BDA">
        <w:t xml:space="preserve">дарств, подписавших Конвенцию и являющихся ее участниками, и с текстами деклараций, оговорок, возражений и другой соответствующей информацией можно на веб-сайте </w:t>
      </w:r>
      <w:r>
        <w:t>«</w:t>
      </w:r>
      <w:r w:rsidRPr="008F0BDA">
        <w:t>Собрание договоров Организации Объединенных Наций</w:t>
      </w:r>
      <w:r>
        <w:t>»</w:t>
      </w:r>
      <w:r w:rsidRPr="008F0BDA">
        <w:t xml:space="preserve"> (</w:t>
      </w:r>
      <w:r w:rsidRPr="008F0BDA">
        <w:rPr>
          <w:lang w:val="en-GB"/>
        </w:rPr>
        <w:t>http</w:t>
      </w:r>
      <w:r w:rsidRPr="008F0BDA">
        <w:t>://</w:t>
      </w:r>
      <w:r w:rsidRPr="008F0BDA">
        <w:rPr>
          <w:lang w:val="en-GB"/>
        </w:rPr>
        <w:t>treaties</w:t>
      </w:r>
      <w:r w:rsidRPr="008F0BDA">
        <w:t>.</w:t>
      </w:r>
      <w:r w:rsidRPr="008F0BDA">
        <w:rPr>
          <w:lang w:val="en-GB"/>
        </w:rPr>
        <w:t>un</w:t>
      </w:r>
      <w:r w:rsidRPr="008F0BDA">
        <w:t>.</w:t>
      </w:r>
      <w:r w:rsidRPr="008F0BDA">
        <w:rPr>
          <w:lang w:val="en-GB"/>
        </w:rPr>
        <w:t>org</w:t>
      </w:r>
      <w:r w:rsidRPr="008F0BDA">
        <w:t>), которы</w:t>
      </w:r>
      <w:r>
        <w:t xml:space="preserve">й обслуживает </w:t>
      </w:r>
      <w:r w:rsidRPr="008F0BDA">
        <w:t>Договорная секция Управления по правовым вопросам, выполняющая депозитарные функции Генерального се</w:t>
      </w:r>
      <w:r w:rsidRPr="008F0BDA">
        <w:t>к</w:t>
      </w:r>
      <w:r w:rsidRPr="008F0BDA">
        <w:t>ретаря.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" w:name="_Toc356303421"/>
      <w:r>
        <w:tab/>
      </w:r>
      <w:r w:rsidRPr="008F0BDA">
        <w:t>B.</w:t>
      </w:r>
      <w:r w:rsidRPr="008F0BDA">
        <w:tab/>
        <w:t>Открытие сессии</w:t>
      </w:r>
      <w:bookmarkEnd w:id="3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4.</w:t>
      </w:r>
      <w:r>
        <w:tab/>
        <w:t>П</w:t>
      </w:r>
      <w:r w:rsidRPr="008F0BDA">
        <w:t>ятьдесят пятая сессия Комитета</w:t>
      </w:r>
      <w:r>
        <w:t xml:space="preserve"> проходила </w:t>
      </w:r>
      <w:r w:rsidRPr="008F0BDA">
        <w:t>в Отделении Организации Объединенных Наций в Женеве</w:t>
      </w:r>
      <w:r>
        <w:t xml:space="preserve"> </w:t>
      </w:r>
      <w:r w:rsidRPr="008F0BDA">
        <w:t>8</w:t>
      </w:r>
      <w:r w:rsidRPr="008F0BDA">
        <w:rPr>
          <w:bCs/>
        </w:rPr>
        <w:t>–26</w:t>
      </w:r>
      <w:r>
        <w:t> июля</w:t>
      </w:r>
      <w:r w:rsidRPr="008F0BDA">
        <w:t xml:space="preserve"> 2013</w:t>
      </w:r>
      <w:r>
        <w:t> года</w:t>
      </w:r>
      <w:r w:rsidRPr="008F0BDA">
        <w:t>. Для обсуждения пун</w:t>
      </w:r>
      <w:r w:rsidRPr="008F0BDA">
        <w:t>к</w:t>
      </w:r>
      <w:r w:rsidRPr="008F0BDA">
        <w:t xml:space="preserve">тов 5, 6, 7 и 8 повестки дня </w:t>
      </w:r>
      <w:r>
        <w:t xml:space="preserve">Комитет провел </w:t>
      </w:r>
      <w:r w:rsidRPr="008F0BDA">
        <w:t xml:space="preserve">23 пленарных </w:t>
      </w:r>
      <w:r>
        <w:t xml:space="preserve">заседания </w:t>
      </w:r>
      <w:r w:rsidRPr="008F0BDA">
        <w:t>и 21 заседание. В приложении</w:t>
      </w:r>
      <w:r>
        <w:t> </w:t>
      </w:r>
      <w:r w:rsidRPr="008F0BDA">
        <w:rPr>
          <w:lang w:val="en-GB"/>
        </w:rPr>
        <w:t>III</w:t>
      </w:r>
      <w:r w:rsidRPr="008F0BDA">
        <w:t xml:space="preserve"> к части первой настоящего доклада содержится перечень представленных Комитету докуме</w:t>
      </w:r>
      <w:r w:rsidRPr="008F0BDA">
        <w:t>н</w:t>
      </w:r>
      <w:r w:rsidRPr="008F0BDA">
        <w:t>тов.</w:t>
      </w:r>
    </w:p>
    <w:p w:rsidR="0039550E" w:rsidRPr="008F0BDA" w:rsidRDefault="0039550E" w:rsidP="0039550E">
      <w:pPr>
        <w:pStyle w:val="SingleTxt"/>
      </w:pPr>
      <w:r w:rsidRPr="008F0BDA">
        <w:t>5.</w:t>
      </w:r>
      <w:r>
        <w:tab/>
      </w:r>
      <w:r w:rsidRPr="008F0BDA">
        <w:t xml:space="preserve">Сессия была открыта </w:t>
      </w:r>
      <w:r>
        <w:t>П</w:t>
      </w:r>
      <w:r w:rsidRPr="008F0BDA">
        <w:t>редседателем Комитета Николь Амелин 8</w:t>
      </w:r>
      <w:r>
        <w:t> июля</w:t>
      </w:r>
      <w:r w:rsidRPr="008F0BDA">
        <w:t xml:space="preserve"> 2013</w:t>
      </w:r>
      <w:r>
        <w:t> года</w:t>
      </w:r>
      <w:r w:rsidRPr="008F0BDA">
        <w:t xml:space="preserve"> на его 1128</w:t>
      </w:r>
      <w:r>
        <w:noBreakHyphen/>
        <w:t>м </w:t>
      </w:r>
      <w:r w:rsidRPr="008F0BDA">
        <w:t>заседании.</w:t>
      </w: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39550E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4" w:name="_Toc356303422"/>
      <w:r>
        <w:br w:type="page"/>
      </w:r>
      <w:r>
        <w:tab/>
      </w:r>
      <w:r w:rsidRPr="008F0BDA">
        <w:t>C.</w:t>
      </w:r>
      <w:r w:rsidRPr="008F0BDA">
        <w:tab/>
        <w:t>Утверждение повестки дня</w:t>
      </w:r>
      <w:bookmarkEnd w:id="4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6.</w:t>
      </w:r>
      <w:r>
        <w:tab/>
      </w:r>
      <w:r w:rsidRPr="008F0BDA">
        <w:t>На своем 1128</w:t>
      </w:r>
      <w:r>
        <w:noBreakHyphen/>
        <w:t>м </w:t>
      </w:r>
      <w:r w:rsidRPr="008F0BDA">
        <w:t>заседании Комитет утвердил предварительную повестку дня (</w:t>
      </w:r>
      <w:hyperlink r:id="rId25" w:history="1">
        <w:r w:rsidRPr="008F0BDA">
          <w:rPr>
            <w:rStyle w:val="Hyperlink"/>
            <w:lang w:val="en-GB"/>
          </w:rPr>
          <w:t>CEDAW</w:t>
        </w:r>
        <w:r w:rsidRPr="008F0BDA">
          <w:rPr>
            <w:rStyle w:val="Hyperlink"/>
          </w:rPr>
          <w:t>/</w:t>
        </w:r>
        <w:r w:rsidRPr="008F0BDA">
          <w:rPr>
            <w:rStyle w:val="Hyperlink"/>
            <w:lang w:val="en-GB"/>
          </w:rPr>
          <w:t>C</w:t>
        </w:r>
        <w:r w:rsidRPr="008F0BDA">
          <w:rPr>
            <w:rStyle w:val="Hyperlink"/>
          </w:rPr>
          <w:t>/55/1</w:t>
        </w:r>
      </w:hyperlink>
      <w:r w:rsidRPr="008F0BDA">
        <w:t>).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5" w:name="_Toc356303423"/>
      <w:r>
        <w:tab/>
      </w:r>
      <w:r w:rsidRPr="008F0BDA">
        <w:t>D.</w:t>
      </w:r>
      <w:r w:rsidRPr="008F0BDA">
        <w:tab/>
        <w:t>Доклад предсессионной рабочей группы</w:t>
      </w:r>
      <w:bookmarkEnd w:id="5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7.</w:t>
      </w:r>
      <w:r>
        <w:tab/>
      </w:r>
      <w:r w:rsidRPr="008F0BDA">
        <w:t>Доклад предсессионной рабочей группы (</w:t>
      </w:r>
      <w:hyperlink r:id="rId26" w:history="1">
        <w:r w:rsidRPr="008F0BDA">
          <w:rPr>
            <w:rStyle w:val="Hyperlink"/>
            <w:lang w:val="en-GB"/>
          </w:rPr>
          <w:t>CEDAW</w:t>
        </w:r>
        <w:r w:rsidRPr="008F0BDA">
          <w:rPr>
            <w:rStyle w:val="Hyperlink"/>
          </w:rPr>
          <w:t>/</w:t>
        </w:r>
        <w:r w:rsidRPr="008F0BDA">
          <w:rPr>
            <w:rStyle w:val="Hyperlink"/>
            <w:lang w:val="en-GB"/>
          </w:rPr>
          <w:t>PSWG</w:t>
        </w:r>
        <w:r w:rsidRPr="008F0BDA">
          <w:rPr>
            <w:rStyle w:val="Hyperlink"/>
          </w:rPr>
          <w:t>/55/1</w:t>
        </w:r>
      </w:hyperlink>
      <w:r w:rsidRPr="008F0BDA">
        <w:t>), которая провела свои заседания 22</w:t>
      </w:r>
      <w:r w:rsidRPr="008F0BDA">
        <w:rPr>
          <w:bCs/>
        </w:rPr>
        <w:t>–25</w:t>
      </w:r>
      <w:r>
        <w:t> октября</w:t>
      </w:r>
      <w:r w:rsidRPr="008F0BDA">
        <w:t xml:space="preserve"> 2012</w:t>
      </w:r>
      <w:r>
        <w:t> года</w:t>
      </w:r>
      <w:r w:rsidRPr="008F0BDA">
        <w:t xml:space="preserve">, был представлен </w:t>
      </w:r>
      <w:r>
        <w:t>П</w:t>
      </w:r>
      <w:r w:rsidRPr="008F0BDA">
        <w:t>редседат</w:t>
      </w:r>
      <w:r w:rsidRPr="008F0BDA">
        <w:t>е</w:t>
      </w:r>
      <w:r w:rsidRPr="008F0BDA">
        <w:t>лем Комитета Николь Амелин на 1128</w:t>
      </w:r>
      <w:r>
        <w:noBreakHyphen/>
        <w:t>м </w:t>
      </w:r>
      <w:r w:rsidRPr="008F0BDA">
        <w:t>заседании.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6" w:name="_Toc356303352"/>
      <w:r>
        <w:tab/>
      </w:r>
      <w:r w:rsidRPr="008F0BDA">
        <w:rPr>
          <w:lang w:val="en-GB"/>
        </w:rPr>
        <w:t>E</w:t>
      </w:r>
      <w:r w:rsidRPr="008F0BDA">
        <w:t>.</w:t>
      </w:r>
      <w:r>
        <w:tab/>
      </w:r>
      <w:r w:rsidRPr="008F0BDA">
        <w:t>Организация работы</w:t>
      </w:r>
      <w:bookmarkEnd w:id="6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8.</w:t>
      </w:r>
      <w:r>
        <w:tab/>
      </w:r>
      <w:r w:rsidRPr="008F0BDA">
        <w:t>8</w:t>
      </w:r>
      <w:r>
        <w:rPr>
          <w:lang w:val="en-GB"/>
        </w:rPr>
        <w:t> </w:t>
      </w:r>
      <w:r w:rsidRPr="008F0BDA">
        <w:t>июля 2013</w:t>
      </w:r>
      <w:r>
        <w:rPr>
          <w:lang w:val="en-GB"/>
        </w:rPr>
        <w:t> </w:t>
      </w:r>
      <w:r w:rsidRPr="008F0BDA">
        <w:t>года Комитет провел закрытое заседание с представителями различных специализированных учреждений, фондов и программ системы О</w:t>
      </w:r>
      <w:r w:rsidRPr="008F0BDA">
        <w:t>р</w:t>
      </w:r>
      <w:r w:rsidRPr="008F0BDA">
        <w:t>ганизации Объединенных Наций, а также други</w:t>
      </w:r>
      <w:r>
        <w:t xml:space="preserve">х </w:t>
      </w:r>
      <w:r w:rsidRPr="008F0BDA">
        <w:t>межправительственны</w:t>
      </w:r>
      <w:r>
        <w:t>х</w:t>
      </w:r>
      <w:r w:rsidRPr="008F0BDA">
        <w:t xml:space="preserve"> орг</w:t>
      </w:r>
      <w:r w:rsidRPr="008F0BDA">
        <w:t>а</w:t>
      </w:r>
      <w:r w:rsidRPr="008F0BDA">
        <w:t>низаци</w:t>
      </w:r>
      <w:r>
        <w:t>й</w:t>
      </w:r>
      <w:r w:rsidRPr="008F0BDA">
        <w:t>, в ходе которого эти органы представили данные по конкретным стр</w:t>
      </w:r>
      <w:r w:rsidRPr="008F0BDA">
        <w:t>а</w:t>
      </w:r>
      <w:r w:rsidRPr="008F0BDA">
        <w:t xml:space="preserve">нам, а также информацию о предпринимаемых </w:t>
      </w:r>
      <w:r>
        <w:t xml:space="preserve">ими </w:t>
      </w:r>
      <w:r w:rsidRPr="008F0BDA">
        <w:t>усилиях по содействию осуществлению Конвенции.</w:t>
      </w:r>
    </w:p>
    <w:p w:rsidR="0039550E" w:rsidRPr="008F0BDA" w:rsidRDefault="0039550E" w:rsidP="0039550E">
      <w:pPr>
        <w:pStyle w:val="SingleTxt"/>
      </w:pPr>
      <w:r w:rsidRPr="008F0BDA">
        <w:t>9.</w:t>
      </w:r>
      <w:r w:rsidRPr="008F0BDA">
        <w:tab/>
        <w:t>8 и 15</w:t>
      </w:r>
      <w:r>
        <w:rPr>
          <w:lang w:val="en-US"/>
        </w:rPr>
        <w:t> </w:t>
      </w:r>
      <w:r w:rsidRPr="008F0BDA">
        <w:t>июля 2013</w:t>
      </w:r>
      <w:r>
        <w:rPr>
          <w:lang w:val="en-US"/>
        </w:rPr>
        <w:t> </w:t>
      </w:r>
      <w:r w:rsidRPr="008F0BDA">
        <w:t>года Комитет провел неофициальные открытые засед</w:t>
      </w:r>
      <w:r w:rsidRPr="008F0BDA">
        <w:t>а</w:t>
      </w:r>
      <w:r w:rsidRPr="008F0BDA">
        <w:t>ния с представителями неправительственных организаций и тре</w:t>
      </w:r>
      <w:r>
        <w:t xml:space="preserve">х </w:t>
      </w:r>
      <w:r w:rsidRPr="008F0BDA">
        <w:t>национал</w:t>
      </w:r>
      <w:r w:rsidRPr="008F0BDA">
        <w:t>ь</w:t>
      </w:r>
      <w:r w:rsidRPr="008F0BDA">
        <w:t>ны</w:t>
      </w:r>
      <w:r>
        <w:t>х</w:t>
      </w:r>
      <w:r w:rsidRPr="008F0BDA">
        <w:t xml:space="preserve"> учреждени</w:t>
      </w:r>
      <w:r>
        <w:t>й</w:t>
      </w:r>
      <w:r w:rsidRPr="008F0BDA">
        <w:t xml:space="preserve"> по правам человека, которые представили информацию об осуществлении Конвенции государства</w:t>
      </w:r>
      <w:r>
        <w:t>ми</w:t>
      </w:r>
      <w:r w:rsidRPr="008F0BDA">
        <w:t>-участника</w:t>
      </w:r>
      <w:r>
        <w:t>ми</w:t>
      </w:r>
      <w:r w:rsidRPr="008F0BDA">
        <w:t xml:space="preserve">, </w:t>
      </w:r>
      <w:r>
        <w:t xml:space="preserve">доклады которых </w:t>
      </w:r>
      <w:r w:rsidRPr="008F0BDA">
        <w:t>К</w:t>
      </w:r>
      <w:r w:rsidRPr="008F0BDA">
        <w:t>о</w:t>
      </w:r>
      <w:r w:rsidRPr="008F0BDA">
        <w:t>митет</w:t>
      </w:r>
      <w:r>
        <w:t xml:space="preserve"> рассмотрел на своей </w:t>
      </w:r>
      <w:r w:rsidRPr="008F0BDA">
        <w:t>пятьдесят пятой сессии.</w:t>
      </w:r>
    </w:p>
    <w:p w:rsidR="0039550E" w:rsidRPr="008F0BDA" w:rsidRDefault="0039550E" w:rsidP="0039550E">
      <w:pPr>
        <w:pStyle w:val="SingleTxt"/>
      </w:pPr>
      <w:r w:rsidRPr="008F0BDA">
        <w:t>10.</w:t>
      </w:r>
      <w:r w:rsidRPr="008F0BDA">
        <w:tab/>
        <w:t>22</w:t>
      </w:r>
      <w:r>
        <w:t> июля</w:t>
      </w:r>
      <w:r w:rsidRPr="008F0BDA">
        <w:t xml:space="preserve"> 2013</w:t>
      </w:r>
      <w:r>
        <w:t> года</w:t>
      </w:r>
      <w:r w:rsidRPr="008F0BDA">
        <w:t xml:space="preserve"> Комитет провел встречу с Карин </w:t>
      </w:r>
      <w:r>
        <w:t>Джэбре</w:t>
      </w:r>
      <w:r w:rsidRPr="008F0BDA">
        <w:t>, которая явл</w:t>
      </w:r>
      <w:r w:rsidRPr="008F0BDA">
        <w:t>я</w:t>
      </w:r>
      <w:r w:rsidRPr="008F0BDA">
        <w:t>ется руководителем Программы партнерства по гендерным вопросам</w:t>
      </w:r>
      <w:r>
        <w:t xml:space="preserve"> </w:t>
      </w:r>
      <w:r w:rsidRPr="008F0BDA">
        <w:t>Межпа</w:t>
      </w:r>
      <w:r w:rsidRPr="008F0BDA">
        <w:t>р</w:t>
      </w:r>
      <w:r w:rsidRPr="008F0BDA">
        <w:t>ламентского союза, чтобы обсудить тему будущего сотрудничества между К</w:t>
      </w:r>
      <w:r w:rsidRPr="008F0BDA">
        <w:t>о</w:t>
      </w:r>
      <w:r w:rsidRPr="008F0BDA">
        <w:t>митетом и Межпарламентским союзом в деле ос</w:t>
      </w:r>
      <w:r w:rsidRPr="008F0BDA">
        <w:t>у</w:t>
      </w:r>
      <w:r w:rsidRPr="008F0BDA">
        <w:t>ществления Конвенции.</w:t>
      </w:r>
    </w:p>
    <w:p w:rsidR="0039550E" w:rsidRPr="008F0BDA" w:rsidRDefault="0039550E" w:rsidP="0039550E">
      <w:pPr>
        <w:pStyle w:val="SingleTxt"/>
      </w:pPr>
      <w:r w:rsidRPr="008F0BDA">
        <w:t>11.</w:t>
      </w:r>
      <w:r w:rsidRPr="008F0BDA">
        <w:tab/>
        <w:t>25</w:t>
      </w:r>
      <w:r>
        <w:t> июля</w:t>
      </w:r>
      <w:r w:rsidRPr="008F0BDA">
        <w:t xml:space="preserve"> 2013</w:t>
      </w:r>
      <w:r>
        <w:t> года</w:t>
      </w:r>
      <w:r w:rsidRPr="008F0BDA">
        <w:t xml:space="preserve"> в Комитете состоялся дискуссионный форум высокого уровня по ВИЧ/СПИДу и правам женщин, который был организован Управл</w:t>
      </w:r>
      <w:r w:rsidRPr="008F0BDA">
        <w:t>е</w:t>
      </w:r>
      <w:r w:rsidRPr="008F0BDA">
        <w:t>нием Верховного комиссара Организации Объединенных Наций по правам ч</w:t>
      </w:r>
      <w:r w:rsidRPr="008F0BDA">
        <w:t>е</w:t>
      </w:r>
      <w:r w:rsidRPr="008F0BDA">
        <w:t>ловека (УВКПЧ), Объединенной программой Организации Объединенных Наций по ВИЧ/СПИДу (ЮНЭЙДС), Программой развития Организации Об</w:t>
      </w:r>
      <w:r w:rsidRPr="008F0BDA">
        <w:t>ъ</w:t>
      </w:r>
      <w:r w:rsidRPr="008F0BDA">
        <w:t>единенных Наций</w:t>
      </w:r>
      <w:r>
        <w:t xml:space="preserve"> </w:t>
      </w:r>
      <w:r w:rsidRPr="008F0BDA">
        <w:t>(ПРООН), Структурой Организации Объединенных Наций по вопросам гендерного равенства и расширения прав и возможностей женщин (</w:t>
      </w:r>
      <w:r>
        <w:t>С</w:t>
      </w:r>
      <w:r w:rsidRPr="008F0BDA">
        <w:t xml:space="preserve">труктура </w:t>
      </w:r>
      <w:r>
        <w:t>«</w:t>
      </w:r>
      <w:r w:rsidRPr="008F0BDA">
        <w:t>ООН-женщины</w:t>
      </w:r>
      <w:r>
        <w:t>»</w:t>
      </w:r>
      <w:r w:rsidRPr="008F0BDA">
        <w:t>) и Постоянным представительством Нидерла</w:t>
      </w:r>
      <w:r w:rsidRPr="008F0BDA">
        <w:t>н</w:t>
      </w:r>
      <w:r w:rsidRPr="008F0BDA">
        <w:t>дов при Отделении Организации Объединенных Наций в Женеве. Работой ди</w:t>
      </w:r>
      <w:r w:rsidRPr="008F0BDA">
        <w:t>с</w:t>
      </w:r>
      <w:r w:rsidRPr="008F0BDA">
        <w:t>куссионного форума руководила директор представительства ПРООН в Женеве Петра Ланц, открыла это мероприятие Председатель Комитета</w:t>
      </w:r>
      <w:r>
        <w:t xml:space="preserve"> </w:t>
      </w:r>
      <w:r w:rsidRPr="008F0BDA">
        <w:t>Николь Ам</w:t>
      </w:r>
      <w:r w:rsidRPr="008F0BDA">
        <w:t>е</w:t>
      </w:r>
      <w:r w:rsidRPr="008F0BDA">
        <w:t>лин, а за</w:t>
      </w:r>
      <w:r>
        <w:t xml:space="preserve">крыла — </w:t>
      </w:r>
      <w:r w:rsidRPr="008F0BDA">
        <w:t xml:space="preserve">заместитель Директора-исполнителя </w:t>
      </w:r>
      <w:r>
        <w:t>С</w:t>
      </w:r>
      <w:r w:rsidRPr="008F0BDA">
        <w:t xml:space="preserve">труктуры </w:t>
      </w:r>
      <w:r>
        <w:t>«</w:t>
      </w:r>
      <w:r w:rsidRPr="008F0BDA">
        <w:t>ООН-женщины</w:t>
      </w:r>
      <w:r>
        <w:t>»</w:t>
      </w:r>
      <w:r w:rsidRPr="008F0BDA">
        <w:t xml:space="preserve"> Лакшми Пури, временно исполнявшая обязанности руководителя этой </w:t>
      </w:r>
      <w:r>
        <w:t>С</w:t>
      </w:r>
      <w:r w:rsidRPr="008F0BDA">
        <w:t>тру</w:t>
      </w:r>
      <w:r w:rsidRPr="008F0BDA">
        <w:t>к</w:t>
      </w:r>
      <w:r w:rsidRPr="008F0BDA">
        <w:t>туры. В дискуссионном форуме приняли участие Директор-исполнитель Пр</w:t>
      </w:r>
      <w:r w:rsidRPr="008F0BDA">
        <w:t>о</w:t>
      </w:r>
      <w:r w:rsidRPr="008F0BDA">
        <w:t>екта по законодательству в области борьбы со СПИДом в К</w:t>
      </w:r>
      <w:r w:rsidRPr="008F0BDA">
        <w:t>е</w:t>
      </w:r>
      <w:r w:rsidRPr="008F0BDA">
        <w:t>нии Якинта Ньяче, заместитель Верховного комиссара по правам человека Флавия Пансиери, з</w:t>
      </w:r>
      <w:r w:rsidRPr="008F0BDA">
        <w:t>а</w:t>
      </w:r>
      <w:r w:rsidRPr="008F0BDA">
        <w:t>меститель Директора-исполнителя ЮНЭЙДС Ян Бигл и член Комитета Теод</w:t>
      </w:r>
      <w:r w:rsidRPr="008F0BDA">
        <w:t>о</w:t>
      </w:r>
      <w:r w:rsidRPr="008F0BDA">
        <w:t>ра Оби Н</w:t>
      </w:r>
      <w:r>
        <w:t>в</w:t>
      </w:r>
      <w:r w:rsidRPr="008F0BDA">
        <w:t>анк</w:t>
      </w:r>
      <w:r>
        <w:t>в</w:t>
      </w:r>
      <w:r w:rsidRPr="008F0BDA">
        <w:t xml:space="preserve">о. 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7" w:name="_Toc356303353"/>
      <w:r>
        <w:tab/>
      </w:r>
      <w:r w:rsidRPr="008F0BDA">
        <w:t>F.</w:t>
      </w:r>
      <w:r w:rsidRPr="008F0BDA">
        <w:tab/>
        <w:t>Членский состав Комитета</w:t>
      </w:r>
      <w:bookmarkEnd w:id="7"/>
    </w:p>
    <w:p w:rsidR="0039550E" w:rsidRPr="008F0BDA" w:rsidRDefault="0039550E" w:rsidP="0039550E">
      <w:pPr>
        <w:pStyle w:val="SingleTxt"/>
        <w:spacing w:after="0" w:line="120" w:lineRule="exact"/>
        <w:rPr>
          <w:b/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b/>
          <w:sz w:val="10"/>
        </w:rPr>
      </w:pPr>
    </w:p>
    <w:p w:rsidR="0039550E" w:rsidRDefault="0039550E" w:rsidP="0039550E">
      <w:pPr>
        <w:pStyle w:val="SingleTxt"/>
        <w:rPr>
          <w:lang w:val="en-US"/>
        </w:rPr>
      </w:pPr>
      <w:r w:rsidRPr="008F0BDA">
        <w:t>1</w:t>
      </w:r>
      <w:r>
        <w:t>2</w:t>
      </w:r>
      <w:r w:rsidRPr="008F0BDA">
        <w:t>.</w:t>
      </w:r>
      <w:r w:rsidRPr="008F0BDA">
        <w:tab/>
        <w:t>В работе пятьдесят пятой сессии приняли участие все члены Комитета. Мария-Элена Пиреш не принимала участия в ее работе в течение первых трех дней, М</w:t>
      </w:r>
      <w:r>
        <w:t>а</w:t>
      </w:r>
      <w:r w:rsidRPr="008F0BDA">
        <w:t>р</w:t>
      </w:r>
      <w:r>
        <w:t>ья</w:t>
      </w:r>
      <w:r w:rsidRPr="008F0BDA">
        <w:t>м Бельмихуб-Зердани</w:t>
      </w:r>
      <w:r>
        <w:t xml:space="preserve"> — </w:t>
      </w:r>
      <w:r w:rsidRPr="008F0BDA">
        <w:t>в течение последних двух недель, а Никлас Брун</w:t>
      </w:r>
      <w:r>
        <w:t xml:space="preserve"> — </w:t>
      </w:r>
      <w:r w:rsidRPr="008F0BDA">
        <w:t>в течение последних трех дней. В приложении</w:t>
      </w:r>
      <w:r>
        <w:t> </w:t>
      </w:r>
      <w:r w:rsidRPr="008F0BDA">
        <w:rPr>
          <w:lang w:val="en-US"/>
        </w:rPr>
        <w:t>VIII</w:t>
      </w:r>
      <w:r w:rsidRPr="008F0BDA">
        <w:t xml:space="preserve"> к части второй настоящего доклада содержится список членов Комитета с указанием срока их полномочий. </w:t>
      </w:r>
    </w:p>
    <w:p w:rsidR="00326EF4" w:rsidRPr="00326EF4" w:rsidRDefault="00326EF4" w:rsidP="0039550E">
      <w:pPr>
        <w:pStyle w:val="SingleTxt"/>
        <w:rPr>
          <w:lang w:val="en-US"/>
        </w:rPr>
      </w:pPr>
    </w:p>
    <w:p w:rsidR="00326EF4" w:rsidRDefault="00326EF4" w:rsidP="0039550E">
      <w:pPr>
        <w:pStyle w:val="SingleTxt"/>
        <w:spacing w:after="0" w:line="120" w:lineRule="exact"/>
        <w:rPr>
          <w:sz w:val="10"/>
        </w:rPr>
        <w:sectPr w:rsidR="00326EF4" w:rsidSect="0039550E"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39550E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8" w:name="_Toc356303354"/>
      <w:r>
        <w:t>Г</w:t>
      </w:r>
      <w:r w:rsidRPr="008F0BDA">
        <w:t>лава III</w:t>
      </w:r>
      <w:bookmarkEnd w:id="8"/>
    </w:p>
    <w:p w:rsidR="0039550E" w:rsidRPr="001F7131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9550E" w:rsidRPr="008F0BDA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9" w:name="_Toc356303355"/>
      <w:r>
        <w:tab/>
      </w:r>
      <w:r>
        <w:tab/>
      </w:r>
      <w:r w:rsidRPr="008F0BDA">
        <w:t>Доклад Председателя о мероприятиях, проведенных в период между пят</w:t>
      </w:r>
      <w:r w:rsidRPr="008F0BDA">
        <w:t>ь</w:t>
      </w:r>
      <w:r w:rsidRPr="008F0BDA">
        <w:t>десят четвертой и пятьдесят пятой сессиями Комитета</w:t>
      </w:r>
      <w:bookmarkEnd w:id="9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13.</w:t>
      </w:r>
      <w:r>
        <w:tab/>
      </w:r>
      <w:r w:rsidRPr="008F0BDA">
        <w:t>На 1128</w:t>
      </w:r>
      <w:r>
        <w:noBreakHyphen/>
        <w:t>м </w:t>
      </w:r>
      <w:r w:rsidRPr="008F0BDA">
        <w:t>заседании Председатель представила свой доклад о деятельн</w:t>
      </w:r>
      <w:r w:rsidRPr="008F0BDA">
        <w:t>о</w:t>
      </w:r>
      <w:r w:rsidRPr="008F0BDA">
        <w:t>сти, которую она осуществила после пятьдесят четвертой сессии Комитета.</w:t>
      </w:r>
    </w:p>
    <w:p w:rsidR="0039550E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10" w:name="_Toc356303356"/>
      <w:r w:rsidRPr="008F0BDA">
        <w:t>Глава IV</w:t>
      </w:r>
      <w:bookmarkEnd w:id="10"/>
    </w:p>
    <w:p w:rsidR="0039550E" w:rsidRPr="001F7131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9550E" w:rsidRPr="008F0BDA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1" w:name="_Toc356303357"/>
      <w:r>
        <w:tab/>
      </w:r>
      <w:r>
        <w:tab/>
      </w:r>
      <w:r w:rsidRPr="008F0BDA">
        <w:t>Рассмотрение докладов, представленных государствами-участниками в соответствии со статьей 18 Конвенции</w:t>
      </w:r>
      <w:bookmarkEnd w:id="11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14.</w:t>
      </w:r>
      <w:r>
        <w:tab/>
      </w:r>
      <w:r w:rsidRPr="008F0BDA">
        <w:t xml:space="preserve">На своей пятьдесят пятой сессии Комитет рассмотрел </w:t>
      </w:r>
      <w:r w:rsidRPr="008F0BDA">
        <w:rPr>
          <w:bCs/>
        </w:rPr>
        <w:t>доклады восьми государств-участников, представленные в соответствии со статьей</w:t>
      </w:r>
      <w:r w:rsidRPr="008F0BDA">
        <w:rPr>
          <w:bCs/>
          <w:lang w:val="en-US"/>
        </w:rPr>
        <w:t> </w:t>
      </w:r>
      <w:r w:rsidRPr="008F0BDA">
        <w:rPr>
          <w:bCs/>
        </w:rPr>
        <w:t>18 Конве</w:t>
      </w:r>
      <w:r w:rsidRPr="008F0BDA">
        <w:rPr>
          <w:bCs/>
        </w:rPr>
        <w:t>н</w:t>
      </w:r>
      <w:r w:rsidRPr="008F0BDA">
        <w:rPr>
          <w:bCs/>
        </w:rPr>
        <w:t xml:space="preserve">ции: </w:t>
      </w:r>
      <w:r w:rsidRPr="008F0BDA">
        <w:t>объединенный первоначальный и</w:t>
      </w:r>
      <w:r w:rsidRPr="008F0BDA">
        <w:rPr>
          <w:bCs/>
        </w:rPr>
        <w:t xml:space="preserve"> второй периодический доклад Афган</w:t>
      </w:r>
      <w:r w:rsidRPr="008F0BDA">
        <w:rPr>
          <w:bCs/>
        </w:rPr>
        <w:t>и</w:t>
      </w:r>
      <w:r w:rsidRPr="008F0BDA">
        <w:rPr>
          <w:bCs/>
        </w:rPr>
        <w:t xml:space="preserve">стана; объединенный четвертый </w:t>
      </w:r>
      <w:r w:rsidRPr="008F0BDA">
        <w:t>и пятый периодический доклад Боснии и Ге</w:t>
      </w:r>
      <w:r w:rsidRPr="008F0BDA">
        <w:t>р</w:t>
      </w:r>
      <w:r w:rsidRPr="008F0BDA">
        <w:t>цегов</w:t>
      </w:r>
      <w:r w:rsidRPr="008F0BDA">
        <w:t>и</w:t>
      </w:r>
      <w:r w:rsidRPr="008F0BDA">
        <w:t>ны</w:t>
      </w:r>
      <w:r w:rsidRPr="008F0BDA">
        <w:rPr>
          <w:bCs/>
        </w:rPr>
        <w:t xml:space="preserve">; объединенный седьмой и восьмой периодический доклад </w:t>
      </w:r>
      <w:r>
        <w:rPr>
          <w:bCs/>
        </w:rPr>
        <w:br/>
      </w:r>
      <w:r w:rsidRPr="008F0BDA">
        <w:rPr>
          <w:bCs/>
        </w:rPr>
        <w:t>Кабо-Верде; объединенный седьмой и восьмой периодический доклад Кубы; объединенный шестой и седьмой периодический доклад Демократической Ре</w:t>
      </w:r>
      <w:r w:rsidRPr="008F0BDA">
        <w:rPr>
          <w:bCs/>
        </w:rPr>
        <w:t>с</w:t>
      </w:r>
      <w:r w:rsidRPr="008F0BDA">
        <w:rPr>
          <w:bCs/>
        </w:rPr>
        <w:t>публики Конго; объединенный шестой и седьмой периодический доклад Дом</w:t>
      </w:r>
      <w:r w:rsidRPr="008F0BDA">
        <w:rPr>
          <w:bCs/>
        </w:rPr>
        <w:t>и</w:t>
      </w:r>
      <w:r w:rsidRPr="008F0BDA">
        <w:rPr>
          <w:bCs/>
        </w:rPr>
        <w:t>никанской Республики; объединенный второй и третий периодический доклад Сербии; и седьмой периодический доклад Соединенного Королевства.</w:t>
      </w:r>
    </w:p>
    <w:p w:rsidR="0039550E" w:rsidRDefault="0039550E" w:rsidP="0039550E">
      <w:pPr>
        <w:pStyle w:val="SingleTxt"/>
        <w:rPr>
          <w:bCs/>
          <w:lang w:val="en-US"/>
        </w:rPr>
      </w:pPr>
      <w:r w:rsidRPr="008F0BDA">
        <w:t>15.</w:t>
      </w:r>
      <w:r>
        <w:tab/>
      </w:r>
      <w:r w:rsidRPr="008F0BDA">
        <w:t>Комитет подготовил заключительные замечания по каждому из рассмо</w:t>
      </w:r>
      <w:r w:rsidRPr="008F0BDA">
        <w:t>т</w:t>
      </w:r>
      <w:r w:rsidRPr="008F0BDA">
        <w:t>ренных докладов</w:t>
      </w:r>
      <w:r w:rsidRPr="008F0BDA">
        <w:rPr>
          <w:bCs/>
        </w:rPr>
        <w:t>.</w:t>
      </w:r>
      <w:r>
        <w:rPr>
          <w:bCs/>
        </w:rPr>
        <w:t xml:space="preserve"> Эти з</w:t>
      </w:r>
      <w:r w:rsidRPr="008F0BDA">
        <w:rPr>
          <w:bCs/>
        </w:rPr>
        <w:t xml:space="preserve">аключительные замечания </w:t>
      </w:r>
      <w:r w:rsidRPr="008F0BDA">
        <w:t xml:space="preserve">размещены на веб-сайте </w:t>
      </w:r>
      <w:r>
        <w:t>с</w:t>
      </w:r>
      <w:r>
        <w:t>и</w:t>
      </w:r>
      <w:r>
        <w:t xml:space="preserve">стемы </w:t>
      </w:r>
      <w:r w:rsidRPr="008F0BDA">
        <w:t>официальн</w:t>
      </w:r>
      <w:r>
        <w:t>ой</w:t>
      </w:r>
      <w:r w:rsidRPr="008F0BDA">
        <w:t xml:space="preserve"> документ</w:t>
      </w:r>
      <w:r>
        <w:t xml:space="preserve">ации </w:t>
      </w:r>
      <w:r w:rsidRPr="008F0BDA">
        <w:t>Организации Объединенных Наций (http://documents.un.org) с указанием условных обозначений документов, кот</w:t>
      </w:r>
      <w:r w:rsidRPr="008F0BDA">
        <w:t>о</w:t>
      </w:r>
      <w:r w:rsidRPr="008F0BDA">
        <w:t>рые приведены ниже</w:t>
      </w:r>
      <w:r w:rsidRPr="008F0BDA">
        <w:rPr>
          <w:bCs/>
        </w:rPr>
        <w:t>:</w:t>
      </w:r>
    </w:p>
    <w:p w:rsidR="00326EF4" w:rsidRPr="00326EF4" w:rsidRDefault="00326EF4" w:rsidP="00326EF4">
      <w:pPr>
        <w:pStyle w:val="SingleTxt"/>
        <w:spacing w:after="0" w:line="120" w:lineRule="exact"/>
        <w:rPr>
          <w:bCs/>
          <w:sz w:val="10"/>
          <w:lang w:val="en-US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5"/>
        <w:gridCol w:w="2686"/>
      </w:tblGrid>
      <w:tr w:rsidR="0039550E" w:rsidTr="000F4CB5">
        <w:tblPrEx>
          <w:tblCellMar>
            <w:top w:w="0" w:type="dxa"/>
            <w:bottom w:w="0" w:type="dxa"/>
          </w:tblCellMar>
        </w:tblPrEx>
        <w:tc>
          <w:tcPr>
            <w:tcW w:w="4185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>Афганистан</w:t>
            </w:r>
          </w:p>
        </w:tc>
        <w:tc>
          <w:tcPr>
            <w:tcW w:w="2686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 w:rsidRPr="008F0BDA">
              <w:rPr>
                <w:lang w:val="en-GB"/>
              </w:rPr>
              <w:t>(</w:t>
            </w:r>
            <w:hyperlink r:id="rId27" w:history="1">
              <w:r w:rsidRPr="001A175D">
                <w:rPr>
                  <w:rStyle w:val="Hyperlink"/>
                  <w:lang w:val="en-GB"/>
                </w:rPr>
                <w:t>CEDAW/C/AFG/CO/1-2</w:t>
              </w:r>
            </w:hyperlink>
            <w:r w:rsidRPr="008F0BDA">
              <w:rPr>
                <w:lang w:val="en-GB"/>
              </w:rPr>
              <w:t>)</w:t>
            </w:r>
          </w:p>
        </w:tc>
      </w:tr>
      <w:tr w:rsidR="0039550E" w:rsidTr="000F4CB5">
        <w:tblPrEx>
          <w:tblCellMar>
            <w:top w:w="0" w:type="dxa"/>
            <w:bottom w:w="0" w:type="dxa"/>
          </w:tblCellMar>
        </w:tblPrEx>
        <w:tc>
          <w:tcPr>
            <w:tcW w:w="4185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 xml:space="preserve">Босния и Герцеговина </w:t>
            </w:r>
          </w:p>
        </w:tc>
        <w:tc>
          <w:tcPr>
            <w:tcW w:w="2686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 w:rsidRPr="008F0BDA">
              <w:rPr>
                <w:lang w:val="en-GB"/>
              </w:rPr>
              <w:t>(</w:t>
            </w:r>
            <w:hyperlink r:id="rId28" w:history="1">
              <w:r w:rsidRPr="001A175D">
                <w:rPr>
                  <w:rStyle w:val="Hyperlink"/>
                  <w:lang w:val="en-GB"/>
                </w:rPr>
                <w:t>CEDAW/C/BIH/CO/4-5</w:t>
              </w:r>
            </w:hyperlink>
            <w:r w:rsidRPr="008F0BDA">
              <w:rPr>
                <w:lang w:val="en-GB"/>
              </w:rPr>
              <w:t>)</w:t>
            </w:r>
          </w:p>
        </w:tc>
      </w:tr>
      <w:tr w:rsidR="0039550E" w:rsidTr="000F4CB5">
        <w:tblPrEx>
          <w:tblCellMar>
            <w:top w:w="0" w:type="dxa"/>
            <w:bottom w:w="0" w:type="dxa"/>
          </w:tblCellMar>
        </w:tblPrEx>
        <w:tc>
          <w:tcPr>
            <w:tcW w:w="4185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>Кабо-Верде</w:t>
            </w:r>
          </w:p>
        </w:tc>
        <w:tc>
          <w:tcPr>
            <w:tcW w:w="2686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 w:rsidRPr="008F0BDA">
              <w:rPr>
                <w:lang w:val="en-GB"/>
              </w:rPr>
              <w:t>(</w:t>
            </w:r>
            <w:hyperlink r:id="rId29" w:history="1">
              <w:r w:rsidRPr="001A175D">
                <w:rPr>
                  <w:rStyle w:val="Hyperlink"/>
                  <w:lang w:val="en-GB"/>
                </w:rPr>
                <w:t>CEDAW/C/CPV/CO/7-8</w:t>
              </w:r>
            </w:hyperlink>
            <w:r w:rsidRPr="008F0BDA">
              <w:rPr>
                <w:lang w:val="en-GB"/>
              </w:rPr>
              <w:t>)</w:t>
            </w:r>
          </w:p>
        </w:tc>
      </w:tr>
      <w:tr w:rsidR="0039550E" w:rsidTr="000F4CB5">
        <w:tblPrEx>
          <w:tblCellMar>
            <w:top w:w="0" w:type="dxa"/>
            <w:bottom w:w="0" w:type="dxa"/>
          </w:tblCellMar>
        </w:tblPrEx>
        <w:tc>
          <w:tcPr>
            <w:tcW w:w="4185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>Куба</w:t>
            </w:r>
          </w:p>
        </w:tc>
        <w:tc>
          <w:tcPr>
            <w:tcW w:w="2686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 w:rsidRPr="008F0BDA">
              <w:rPr>
                <w:lang w:val="en-GB"/>
              </w:rPr>
              <w:t>(</w:t>
            </w:r>
            <w:hyperlink r:id="rId30" w:history="1">
              <w:r w:rsidRPr="001A175D">
                <w:rPr>
                  <w:rStyle w:val="Hyperlink"/>
                  <w:lang w:val="en-GB"/>
                </w:rPr>
                <w:t>CEDAW/C/CUB/CO/7-8</w:t>
              </w:r>
            </w:hyperlink>
            <w:r w:rsidRPr="008F0BDA">
              <w:rPr>
                <w:lang w:val="en-GB"/>
              </w:rPr>
              <w:t>)</w:t>
            </w:r>
          </w:p>
        </w:tc>
      </w:tr>
      <w:tr w:rsidR="0039550E" w:rsidTr="000F4CB5">
        <w:tblPrEx>
          <w:tblCellMar>
            <w:top w:w="0" w:type="dxa"/>
            <w:bottom w:w="0" w:type="dxa"/>
          </w:tblCellMar>
        </w:tblPrEx>
        <w:tc>
          <w:tcPr>
            <w:tcW w:w="4185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 xml:space="preserve">Демократическая Республика Конго </w:t>
            </w:r>
          </w:p>
        </w:tc>
        <w:tc>
          <w:tcPr>
            <w:tcW w:w="2686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 w:rsidRPr="008F0BDA">
              <w:rPr>
                <w:lang w:val="en-GB"/>
              </w:rPr>
              <w:t>(</w:t>
            </w:r>
            <w:hyperlink r:id="rId31" w:history="1">
              <w:r w:rsidRPr="001A175D">
                <w:rPr>
                  <w:rStyle w:val="Hyperlink"/>
                  <w:lang w:val="en-GB"/>
                </w:rPr>
                <w:t>CEDAW/C/COD/CO/6-7</w:t>
              </w:r>
            </w:hyperlink>
            <w:r w:rsidRPr="008F0BDA">
              <w:rPr>
                <w:lang w:val="en-GB"/>
              </w:rPr>
              <w:t>)</w:t>
            </w:r>
          </w:p>
        </w:tc>
      </w:tr>
      <w:tr w:rsidR="0039550E" w:rsidTr="000F4CB5">
        <w:tblPrEx>
          <w:tblCellMar>
            <w:top w:w="0" w:type="dxa"/>
            <w:bottom w:w="0" w:type="dxa"/>
          </w:tblCellMar>
        </w:tblPrEx>
        <w:tc>
          <w:tcPr>
            <w:tcW w:w="4185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>Доминиканская Республика</w:t>
            </w:r>
          </w:p>
        </w:tc>
        <w:tc>
          <w:tcPr>
            <w:tcW w:w="2686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 w:rsidRPr="008F0BDA">
              <w:rPr>
                <w:lang w:val="es-ES"/>
              </w:rPr>
              <w:t>(</w:t>
            </w:r>
            <w:hyperlink r:id="rId32" w:history="1">
              <w:r w:rsidRPr="001A175D">
                <w:rPr>
                  <w:rStyle w:val="Hyperlink"/>
                  <w:lang w:val="es-ES"/>
                </w:rPr>
                <w:t>CEDAW/C/DOM/CO/6-7</w:t>
              </w:r>
            </w:hyperlink>
            <w:r w:rsidRPr="008F0BDA">
              <w:rPr>
                <w:lang w:val="es-ES"/>
              </w:rPr>
              <w:t>)</w:t>
            </w:r>
          </w:p>
        </w:tc>
      </w:tr>
      <w:tr w:rsidR="0039550E" w:rsidTr="000F4CB5">
        <w:tblPrEx>
          <w:tblCellMar>
            <w:top w:w="0" w:type="dxa"/>
            <w:bottom w:w="0" w:type="dxa"/>
          </w:tblCellMar>
        </w:tblPrEx>
        <w:tc>
          <w:tcPr>
            <w:tcW w:w="4185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 xml:space="preserve">Сербия </w:t>
            </w:r>
          </w:p>
        </w:tc>
        <w:tc>
          <w:tcPr>
            <w:tcW w:w="2686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 w:rsidRPr="008F0BDA">
              <w:rPr>
                <w:lang w:val="en-GB"/>
              </w:rPr>
              <w:t>(</w:t>
            </w:r>
            <w:hyperlink r:id="rId33" w:history="1">
              <w:r w:rsidRPr="001A175D">
                <w:rPr>
                  <w:rStyle w:val="Hyperlink"/>
                  <w:lang w:val="en-GB"/>
                </w:rPr>
                <w:t>CEDAW/C/SRB/CO/2-3</w:t>
              </w:r>
            </w:hyperlink>
            <w:r w:rsidRPr="008F0BDA">
              <w:rPr>
                <w:lang w:val="en-GB"/>
              </w:rPr>
              <w:t>)</w:t>
            </w:r>
          </w:p>
        </w:tc>
      </w:tr>
      <w:tr w:rsidR="0039550E" w:rsidTr="000F4CB5">
        <w:tblPrEx>
          <w:tblCellMar>
            <w:top w:w="0" w:type="dxa"/>
            <w:bottom w:w="0" w:type="dxa"/>
          </w:tblCellMar>
        </w:tblPrEx>
        <w:tc>
          <w:tcPr>
            <w:tcW w:w="4185" w:type="dxa"/>
            <w:shd w:val="clear" w:color="auto" w:fill="auto"/>
          </w:tcPr>
          <w:p w:rsidR="0039550E" w:rsidRDefault="0039550E" w:rsidP="000F4CB5">
            <w:pPr>
              <w:pStyle w:val="DualTxt"/>
              <w:jc w:val="left"/>
            </w:pPr>
            <w:r>
              <w:t>Соединенное Королевство Великобритании</w:t>
            </w:r>
            <w:r>
              <w:br/>
              <w:t xml:space="preserve">и Северной Ирландии </w:t>
            </w:r>
          </w:p>
        </w:tc>
        <w:tc>
          <w:tcPr>
            <w:tcW w:w="2686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 w:rsidRPr="008F0BDA">
              <w:t>(</w:t>
            </w:r>
            <w:hyperlink r:id="rId34" w:history="1">
              <w:r w:rsidRPr="001A175D">
                <w:rPr>
                  <w:rStyle w:val="Hyperlink"/>
                  <w:lang w:val="en-GB"/>
                </w:rPr>
                <w:t>CEDAW</w:t>
              </w:r>
              <w:r w:rsidRPr="001A175D">
                <w:rPr>
                  <w:rStyle w:val="Hyperlink"/>
                </w:rPr>
                <w:t>/</w:t>
              </w:r>
              <w:r w:rsidRPr="001A175D">
                <w:rPr>
                  <w:rStyle w:val="Hyperlink"/>
                  <w:lang w:val="en-GB"/>
                </w:rPr>
                <w:t>C</w:t>
              </w:r>
              <w:r w:rsidRPr="001A175D">
                <w:rPr>
                  <w:rStyle w:val="Hyperlink"/>
                </w:rPr>
                <w:t>/</w:t>
              </w:r>
              <w:r w:rsidRPr="001A175D">
                <w:rPr>
                  <w:rStyle w:val="Hyperlink"/>
                  <w:lang w:val="en-GB"/>
                </w:rPr>
                <w:t>GBR</w:t>
              </w:r>
              <w:r w:rsidRPr="001A175D">
                <w:rPr>
                  <w:rStyle w:val="Hyperlink"/>
                </w:rPr>
                <w:t>/</w:t>
              </w:r>
              <w:r w:rsidRPr="001A175D">
                <w:rPr>
                  <w:rStyle w:val="Hyperlink"/>
                  <w:lang w:val="en-GB"/>
                </w:rPr>
                <w:t>CO</w:t>
              </w:r>
              <w:r w:rsidRPr="001A175D">
                <w:rPr>
                  <w:rStyle w:val="Hyperlink"/>
                </w:rPr>
                <w:t>/7</w:t>
              </w:r>
            </w:hyperlink>
            <w:r w:rsidRPr="008F0BDA">
              <w:t>)</w:t>
            </w:r>
          </w:p>
        </w:tc>
      </w:tr>
    </w:tbl>
    <w:p w:rsidR="0039550E" w:rsidRPr="008F0BDA" w:rsidRDefault="0039550E" w:rsidP="0039550E">
      <w:pPr>
        <w:pStyle w:val="SingleTxt"/>
        <w:spacing w:after="0" w:line="120" w:lineRule="exact"/>
        <w:rPr>
          <w:bCs/>
          <w:sz w:val="10"/>
        </w:rPr>
      </w:pPr>
    </w:p>
    <w:p w:rsidR="0039550E" w:rsidRPr="008F0BDA" w:rsidRDefault="0039550E" w:rsidP="0039550E">
      <w:pPr>
        <w:pStyle w:val="SingleTxt"/>
        <w:rPr>
          <w:bCs/>
        </w:rPr>
      </w:pPr>
      <w:r w:rsidRPr="008F0BDA">
        <w:t>Отмечается, что рассмотрение объединенного второго и третьего периодич</w:t>
      </w:r>
      <w:r w:rsidRPr="008F0BDA">
        <w:t>е</w:t>
      </w:r>
      <w:r w:rsidRPr="008F0BDA">
        <w:t>ского доклада Сербии первоначально планировалось осуществить в ходе пят</w:t>
      </w:r>
      <w:r w:rsidRPr="008F0BDA">
        <w:t>ь</w:t>
      </w:r>
      <w:r w:rsidRPr="008F0BDA">
        <w:t xml:space="preserve">десят третьей сессии, </w:t>
      </w:r>
      <w:r>
        <w:t xml:space="preserve">однако </w:t>
      </w:r>
      <w:r w:rsidRPr="008F0BDA">
        <w:t>по просьбе этого государства-участника его ра</w:t>
      </w:r>
      <w:r w:rsidRPr="008F0BDA">
        <w:t>с</w:t>
      </w:r>
      <w:r w:rsidRPr="008F0BDA">
        <w:t xml:space="preserve">смотрение было перенесено на </w:t>
      </w:r>
      <w:r>
        <w:t>пятьдесят пятую сессию</w:t>
      </w:r>
      <w:r w:rsidRPr="008F0BDA">
        <w:t>.</w:t>
      </w:r>
    </w:p>
    <w:p w:rsidR="0039550E" w:rsidRPr="008F0BDA" w:rsidRDefault="0039550E" w:rsidP="0039550E">
      <w:pPr>
        <w:pStyle w:val="SingleTxt"/>
        <w:spacing w:after="0" w:line="120" w:lineRule="exact"/>
        <w:rPr>
          <w:bCs/>
          <w:sz w:val="10"/>
        </w:rPr>
      </w:pPr>
    </w:p>
    <w:p w:rsidR="0039550E" w:rsidRPr="008F0BDA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F0BDA">
        <w:t>П</w:t>
      </w:r>
      <w:r>
        <w:t>роцедуры п</w:t>
      </w:r>
      <w:r w:rsidRPr="008F0BDA">
        <w:t>оследующ</w:t>
      </w:r>
      <w:r>
        <w:t>ей</w:t>
      </w:r>
      <w:r w:rsidRPr="008F0BDA">
        <w:t xml:space="preserve"> деятельност</w:t>
      </w:r>
      <w:r>
        <w:t xml:space="preserve">и в отношении </w:t>
      </w:r>
      <w:r w:rsidRPr="008F0BDA">
        <w:t>заключительны</w:t>
      </w:r>
      <w:r>
        <w:t>х</w:t>
      </w:r>
      <w:r w:rsidRPr="008F0BDA">
        <w:t xml:space="preserve"> замечани</w:t>
      </w:r>
      <w:r>
        <w:t>й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16.</w:t>
      </w:r>
      <w:r>
        <w:tab/>
      </w:r>
      <w:r w:rsidRPr="008F0BDA">
        <w:t xml:space="preserve">На своей пятьдесят пятой сессии Комитет утвердил доклад </w:t>
      </w:r>
      <w:r>
        <w:t>Д</w:t>
      </w:r>
      <w:r w:rsidRPr="008F0BDA">
        <w:t>окладчика по последующ</w:t>
      </w:r>
      <w:r>
        <w:t xml:space="preserve">ей деятельности в связи с </w:t>
      </w:r>
      <w:r w:rsidRPr="008F0BDA">
        <w:t>заключительн</w:t>
      </w:r>
      <w:r>
        <w:t>ыми</w:t>
      </w:r>
      <w:r w:rsidRPr="008F0BDA">
        <w:t xml:space="preserve"> замечани</w:t>
      </w:r>
      <w:r>
        <w:t>ями</w:t>
      </w:r>
      <w:r w:rsidRPr="008F0BDA">
        <w:t xml:space="preserve"> и ра</w:t>
      </w:r>
      <w:r w:rsidRPr="008F0BDA">
        <w:t>с</w:t>
      </w:r>
      <w:r w:rsidRPr="008F0BDA">
        <w:t>смотрел доклады о последующей деятельности следующих государств-участников: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2821"/>
      </w:tblGrid>
      <w:tr w:rsidR="0039550E" w:rsidRPr="008F0BDA" w:rsidTr="000F4CB5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 xml:space="preserve">Аргентина </w:t>
            </w:r>
          </w:p>
        </w:tc>
        <w:tc>
          <w:tcPr>
            <w:tcW w:w="2821" w:type="dxa"/>
            <w:shd w:val="clear" w:color="auto" w:fill="auto"/>
          </w:tcPr>
          <w:p w:rsidR="0039550E" w:rsidRPr="008F0BDA" w:rsidRDefault="0039550E" w:rsidP="000F4CB5">
            <w:pPr>
              <w:pStyle w:val="DualTxt"/>
              <w:rPr>
                <w:lang w:val="en-US"/>
              </w:rPr>
            </w:pPr>
            <w:r w:rsidRPr="008F0BDA">
              <w:rPr>
                <w:lang w:val="en-US"/>
              </w:rPr>
              <w:t>(</w:t>
            </w:r>
            <w:hyperlink r:id="rId35" w:history="1">
              <w:r w:rsidRPr="001A175D">
                <w:rPr>
                  <w:rStyle w:val="Hyperlink"/>
                  <w:lang w:val="en-US"/>
                </w:rPr>
                <w:t>CEDAW/C/ARG/CO/6/Add.1</w:t>
              </w:r>
            </w:hyperlink>
            <w:r w:rsidRPr="008F0BDA">
              <w:rPr>
                <w:lang w:val="en-US"/>
              </w:rPr>
              <w:t>)</w:t>
            </w:r>
          </w:p>
        </w:tc>
      </w:tr>
      <w:tr w:rsidR="0039550E" w:rsidRPr="008F0BDA" w:rsidTr="000F4CB5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 xml:space="preserve">Австралия </w:t>
            </w:r>
          </w:p>
        </w:tc>
        <w:tc>
          <w:tcPr>
            <w:tcW w:w="2821" w:type="dxa"/>
            <w:shd w:val="clear" w:color="auto" w:fill="auto"/>
          </w:tcPr>
          <w:p w:rsidR="0039550E" w:rsidRPr="008F0BDA" w:rsidRDefault="0039550E" w:rsidP="000F4CB5">
            <w:pPr>
              <w:pStyle w:val="DualTxt"/>
              <w:rPr>
                <w:lang w:val="en-US"/>
              </w:rPr>
            </w:pPr>
            <w:r w:rsidRPr="008F0BDA">
              <w:rPr>
                <w:lang w:val="en-US"/>
              </w:rPr>
              <w:t>(</w:t>
            </w:r>
            <w:hyperlink r:id="rId36" w:history="1">
              <w:r w:rsidRPr="001A175D">
                <w:rPr>
                  <w:rStyle w:val="Hyperlink"/>
                  <w:lang w:val="en-US"/>
                </w:rPr>
                <w:t>CEDAW/C/AUL/CO/7/Add.1</w:t>
              </w:r>
            </w:hyperlink>
            <w:r w:rsidRPr="008F0BDA">
              <w:rPr>
                <w:lang w:val="en-US"/>
              </w:rPr>
              <w:t>)</w:t>
            </w:r>
          </w:p>
        </w:tc>
      </w:tr>
      <w:tr w:rsidR="0039550E" w:rsidRPr="008F0BDA" w:rsidTr="000F4CB5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>Чешская Республика</w:t>
            </w:r>
          </w:p>
        </w:tc>
        <w:tc>
          <w:tcPr>
            <w:tcW w:w="2821" w:type="dxa"/>
            <w:shd w:val="clear" w:color="auto" w:fill="auto"/>
          </w:tcPr>
          <w:p w:rsidR="0039550E" w:rsidRPr="008F0BDA" w:rsidRDefault="0039550E" w:rsidP="000F4CB5">
            <w:pPr>
              <w:pStyle w:val="DualTxt"/>
              <w:rPr>
                <w:lang w:val="en-US"/>
              </w:rPr>
            </w:pPr>
            <w:r w:rsidRPr="008F0BDA">
              <w:rPr>
                <w:lang w:val="en-US"/>
              </w:rPr>
              <w:t>(</w:t>
            </w:r>
            <w:hyperlink r:id="rId37" w:history="1">
              <w:r w:rsidRPr="001A175D">
                <w:rPr>
                  <w:rStyle w:val="Hyperlink"/>
                  <w:lang w:val="en-US"/>
                </w:rPr>
                <w:t>CEDAW/C/CZE/CO/5/Add.1</w:t>
              </w:r>
            </w:hyperlink>
            <w:r w:rsidRPr="008F0BDA">
              <w:rPr>
                <w:lang w:val="en-US"/>
              </w:rPr>
              <w:t>)</w:t>
            </w:r>
          </w:p>
        </w:tc>
      </w:tr>
    </w:tbl>
    <w:p w:rsidR="0039550E" w:rsidRPr="008F0BDA" w:rsidRDefault="0039550E" w:rsidP="0039550E">
      <w:pPr>
        <w:pStyle w:val="SingleTxt"/>
        <w:spacing w:after="0" w:line="120" w:lineRule="exact"/>
        <w:rPr>
          <w:sz w:val="10"/>
          <w:lang w:val="en-US"/>
        </w:rPr>
      </w:pPr>
    </w:p>
    <w:p w:rsidR="0039550E" w:rsidRDefault="0039550E" w:rsidP="0039550E">
      <w:pPr>
        <w:pStyle w:val="SingleTxt"/>
      </w:pPr>
      <w:r w:rsidRPr="008F0BDA">
        <w:t>17.</w:t>
      </w:r>
      <w:r>
        <w:tab/>
        <w:t>К</w:t>
      </w:r>
      <w:r w:rsidRPr="008F0BDA">
        <w:t>омитет рассмотрел дополнительную информацию о</w:t>
      </w:r>
      <w:r>
        <w:t xml:space="preserve"> </w:t>
      </w:r>
      <w:r w:rsidRPr="008F0BDA">
        <w:t>последующей де</w:t>
      </w:r>
      <w:r w:rsidRPr="008F0BDA">
        <w:t>я</w:t>
      </w:r>
      <w:r w:rsidRPr="008F0BDA">
        <w:t>тельности</w:t>
      </w:r>
      <w:r>
        <w:t xml:space="preserve"> </w:t>
      </w:r>
      <w:r w:rsidRPr="008F0BDA">
        <w:t>следующих государств-участников:</w:t>
      </w:r>
    </w:p>
    <w:p w:rsidR="0039550E" w:rsidRDefault="0039550E" w:rsidP="0039550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2821"/>
      </w:tblGrid>
      <w:tr w:rsidR="0039550E" w:rsidRPr="008F0BDA" w:rsidTr="000F4CB5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 xml:space="preserve">Гватемала </w:t>
            </w:r>
          </w:p>
        </w:tc>
        <w:tc>
          <w:tcPr>
            <w:tcW w:w="2821" w:type="dxa"/>
            <w:shd w:val="clear" w:color="auto" w:fill="auto"/>
          </w:tcPr>
          <w:p w:rsidR="0039550E" w:rsidRPr="008F0BDA" w:rsidRDefault="0039550E" w:rsidP="000F4CB5">
            <w:pPr>
              <w:pStyle w:val="DualTxt"/>
              <w:rPr>
                <w:lang w:val="en-US"/>
              </w:rPr>
            </w:pPr>
            <w:r w:rsidRPr="008F0BDA">
              <w:rPr>
                <w:lang w:val="en-GB"/>
              </w:rPr>
              <w:t>(</w:t>
            </w:r>
            <w:hyperlink r:id="rId38" w:history="1">
              <w:r w:rsidRPr="001A175D">
                <w:rPr>
                  <w:rStyle w:val="Hyperlink"/>
                  <w:lang w:val="en-GB"/>
                </w:rPr>
                <w:t>CEDAW/C/GTM/CO/7/Add.2</w:t>
              </w:r>
            </w:hyperlink>
            <w:r w:rsidRPr="008F0BDA">
              <w:rPr>
                <w:lang w:val="en-GB"/>
              </w:rPr>
              <w:t>)</w:t>
            </w:r>
          </w:p>
        </w:tc>
      </w:tr>
      <w:tr w:rsidR="0039550E" w:rsidRPr="008F0BDA" w:rsidTr="000F4CB5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</w:tcPr>
          <w:p w:rsidR="0039550E" w:rsidRDefault="0039550E" w:rsidP="000F4CB5">
            <w:pPr>
              <w:pStyle w:val="DualTxt"/>
            </w:pPr>
            <w:r>
              <w:t>Япония</w:t>
            </w:r>
          </w:p>
        </w:tc>
        <w:tc>
          <w:tcPr>
            <w:tcW w:w="2821" w:type="dxa"/>
            <w:shd w:val="clear" w:color="auto" w:fill="auto"/>
          </w:tcPr>
          <w:p w:rsidR="0039550E" w:rsidRPr="008F0BDA" w:rsidRDefault="0039550E" w:rsidP="000F4CB5">
            <w:pPr>
              <w:pStyle w:val="DualTxt"/>
              <w:rPr>
                <w:lang w:val="en-US"/>
              </w:rPr>
            </w:pPr>
            <w:r w:rsidRPr="008F0BDA">
              <w:rPr>
                <w:lang w:val="en-GB"/>
              </w:rPr>
              <w:t>(</w:t>
            </w:r>
            <w:hyperlink r:id="rId39" w:history="1">
              <w:r w:rsidRPr="001A175D">
                <w:rPr>
                  <w:rStyle w:val="Hyperlink"/>
                  <w:lang w:val="en-GB"/>
                </w:rPr>
                <w:t>CEDAW/C/JPN/CO/6/Add.2</w:t>
              </w:r>
            </w:hyperlink>
            <w:r w:rsidRPr="008F0BDA">
              <w:rPr>
                <w:lang w:val="en-GB"/>
              </w:rPr>
              <w:t>)</w:t>
            </w:r>
          </w:p>
        </w:tc>
      </w:tr>
    </w:tbl>
    <w:p w:rsidR="0039550E" w:rsidRPr="008F0BDA" w:rsidRDefault="0039550E" w:rsidP="0039550E">
      <w:pPr>
        <w:pStyle w:val="SingleTxt"/>
        <w:spacing w:after="0" w:line="120" w:lineRule="exact"/>
        <w:rPr>
          <w:sz w:val="10"/>
          <w:lang w:val="en-US"/>
        </w:rPr>
      </w:pPr>
    </w:p>
    <w:p w:rsidR="0039550E" w:rsidRPr="008F0BDA" w:rsidRDefault="0039550E" w:rsidP="0039550E">
      <w:pPr>
        <w:pStyle w:val="SingleTxt"/>
      </w:pPr>
      <w:r w:rsidRPr="008F0BDA">
        <w:t xml:space="preserve">Доклады и дополнительные сведения о последующей деятельности государств-участников и ответы Комитета размещены на веб-сайте </w:t>
      </w:r>
      <w:r>
        <w:t xml:space="preserve">Системы </w:t>
      </w:r>
      <w:r w:rsidRPr="008F0BDA">
        <w:t>официал</w:t>
      </w:r>
      <w:r w:rsidRPr="008F0BDA">
        <w:t>ь</w:t>
      </w:r>
      <w:r w:rsidRPr="008F0BDA">
        <w:t>н</w:t>
      </w:r>
      <w:r>
        <w:t>ой</w:t>
      </w:r>
      <w:r w:rsidRPr="008F0BDA">
        <w:t xml:space="preserve"> документ</w:t>
      </w:r>
      <w:r>
        <w:t>ации</w:t>
      </w:r>
      <w:r w:rsidRPr="008F0BDA">
        <w:t xml:space="preserve"> Организации Объединенных Наций (http://documents.un.org) с указанием условных обозначений документов, которые приведены выше.</w:t>
      </w:r>
    </w:p>
    <w:p w:rsidR="0039550E" w:rsidRDefault="0039550E" w:rsidP="0039550E">
      <w:pPr>
        <w:pStyle w:val="SingleTxt"/>
      </w:pPr>
      <w:r w:rsidRPr="008F0BDA">
        <w:t>18.</w:t>
      </w:r>
      <w:r>
        <w:tab/>
      </w:r>
      <w:r w:rsidRPr="008F0BDA">
        <w:t>Кроме того, Комитет направил первые напоминания следующим госуда</w:t>
      </w:r>
      <w:r w:rsidRPr="008F0BDA">
        <w:t>р</w:t>
      </w:r>
      <w:r w:rsidRPr="008F0BDA">
        <w:t>ствам-участникам, которые задержали представление своих докладов о посл</w:t>
      </w:r>
      <w:r w:rsidRPr="008F0BDA">
        <w:t>е</w:t>
      </w:r>
      <w:r w:rsidRPr="008F0BDA">
        <w:t>дующей деятельности: Албания</w:t>
      </w:r>
      <w:r>
        <w:t xml:space="preserve">, </w:t>
      </w:r>
      <w:r w:rsidRPr="008F0BDA">
        <w:t>Бангладеш</w:t>
      </w:r>
      <w:r>
        <w:t xml:space="preserve">, </w:t>
      </w:r>
      <w:r w:rsidRPr="008F0BDA">
        <w:t>Беларусь</w:t>
      </w:r>
      <w:r>
        <w:t xml:space="preserve">, </w:t>
      </w:r>
      <w:r w:rsidRPr="008F0BDA">
        <w:t>Кения</w:t>
      </w:r>
      <w:r>
        <w:t xml:space="preserve">, </w:t>
      </w:r>
      <w:r w:rsidRPr="008F0BDA">
        <w:t>Лихтенштейн</w:t>
      </w:r>
      <w:r>
        <w:t xml:space="preserve">, </w:t>
      </w:r>
      <w:r w:rsidRPr="008F0BDA">
        <w:t>Мальта</w:t>
      </w:r>
      <w:r>
        <w:t xml:space="preserve">, </w:t>
      </w:r>
      <w:r w:rsidRPr="008F0BDA">
        <w:t>Тунис</w:t>
      </w:r>
      <w:r>
        <w:t xml:space="preserve">, </w:t>
      </w:r>
      <w:r w:rsidRPr="008F0BDA">
        <w:t>Уганда</w:t>
      </w:r>
      <w:r>
        <w:t xml:space="preserve">, </w:t>
      </w:r>
      <w:r w:rsidRPr="008F0BDA">
        <w:t>Шри-Ланка и Южная Африка</w:t>
      </w:r>
      <w:r>
        <w:t xml:space="preserve">. </w:t>
      </w:r>
    </w:p>
    <w:p w:rsidR="0039550E" w:rsidRPr="008F0BDA" w:rsidRDefault="0039550E" w:rsidP="0039550E">
      <w:pPr>
        <w:pStyle w:val="SingleTxt"/>
      </w:pPr>
      <w:r w:rsidRPr="008F0BDA">
        <w:t>19.</w:t>
      </w:r>
      <w:r>
        <w:tab/>
      </w:r>
      <w:r w:rsidRPr="008F0BDA">
        <w:t>Комитет направил повторные напоминания следующим государствам-участникам, которые заде</w:t>
      </w:r>
      <w:r w:rsidRPr="008F0BDA">
        <w:t>р</w:t>
      </w:r>
      <w:r w:rsidRPr="008F0BDA">
        <w:t>жали представление своих докладов о последующей деятельности</w:t>
      </w:r>
      <w:r>
        <w:t>: Ливия и Папуа — Новая Гвинея.</w:t>
      </w:r>
      <w:r w:rsidRPr="008F0BDA">
        <w:t xml:space="preserve"> </w:t>
      </w:r>
    </w:p>
    <w:p w:rsidR="0039550E" w:rsidRPr="008F0BDA" w:rsidRDefault="0039550E" w:rsidP="0039550E">
      <w:pPr>
        <w:pStyle w:val="SingleTxt"/>
      </w:pPr>
      <w:r w:rsidRPr="008F0BDA">
        <w:t>20.</w:t>
      </w:r>
      <w:r>
        <w:tab/>
      </w:r>
      <w:r w:rsidRPr="008F0BDA">
        <w:t xml:space="preserve">Комитет направил </w:t>
      </w:r>
      <w:r>
        <w:t xml:space="preserve">еще одно </w:t>
      </w:r>
      <w:r w:rsidRPr="008F0BDA">
        <w:t xml:space="preserve">приглашение </w:t>
      </w:r>
      <w:r>
        <w:t xml:space="preserve">с просьбой </w:t>
      </w:r>
      <w:r w:rsidRPr="008F0BDA">
        <w:t>о проведении встр</w:t>
      </w:r>
      <w:r w:rsidRPr="008F0BDA">
        <w:t>е</w:t>
      </w:r>
      <w:r w:rsidRPr="008F0BDA">
        <w:t xml:space="preserve">чи с представителями Либерии, которая не представила доклад о последующей деятельности, несмотря на два напоминания Комитета, и не ответила на два письма, направленные ей соответственно на пятьдесят третьей и пятьдесят четвертой сессиях и касающиеся вопроса </w:t>
      </w:r>
      <w:r>
        <w:t xml:space="preserve">об организации </w:t>
      </w:r>
      <w:r w:rsidRPr="008F0BDA">
        <w:t>встречи с ее предст</w:t>
      </w:r>
      <w:r w:rsidRPr="008F0BDA">
        <w:t>а</w:t>
      </w:r>
      <w:r w:rsidRPr="008F0BDA">
        <w:t xml:space="preserve">вителями. В ходе пятьдесят пятой сессии представители Либерии не </w:t>
      </w:r>
      <w:r>
        <w:t>нашли возможности для встречи</w:t>
      </w:r>
      <w:r w:rsidRPr="008F0BDA">
        <w:t>. Тем не менее накануне пятьдесят пятой сессии это государство-участник обратилось к</w:t>
      </w:r>
      <w:r>
        <w:t xml:space="preserve"> с</w:t>
      </w:r>
      <w:r w:rsidRPr="008F0BDA">
        <w:t>екретариату с просьбой об оказании ко</w:t>
      </w:r>
      <w:r w:rsidRPr="008F0BDA">
        <w:t>н</w:t>
      </w:r>
      <w:r w:rsidRPr="008F0BDA">
        <w:t>сультативной помощи в подготовке доклада о последующей деятельн</w:t>
      </w:r>
      <w:r w:rsidRPr="008F0BDA">
        <w:t>о</w:t>
      </w:r>
      <w:r w:rsidRPr="008F0BDA">
        <w:t>сти.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12" w:name="_Toc356303358"/>
      <w:r>
        <w:t>Г</w:t>
      </w:r>
      <w:r w:rsidRPr="008F0BDA">
        <w:t>лава V</w:t>
      </w:r>
      <w:bookmarkEnd w:id="12"/>
    </w:p>
    <w:p w:rsidR="0039550E" w:rsidRPr="001F7131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9550E" w:rsidRPr="008F0BDA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3" w:name="_Toc356303359"/>
      <w:r>
        <w:tab/>
      </w:r>
      <w:r>
        <w:tab/>
      </w:r>
      <w:r w:rsidRPr="008F0BDA">
        <w:t>Деятельность, осуществляемая в рамках Факультативного протокола к Конвенции о ликвидации всех форм дискриминации в отношении женщин</w:t>
      </w:r>
      <w:bookmarkEnd w:id="13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21.</w:t>
      </w:r>
      <w:r>
        <w:tab/>
      </w:r>
      <w:r w:rsidRPr="008F0BDA">
        <w:t xml:space="preserve">В </w:t>
      </w:r>
      <w:r>
        <w:t>статье </w:t>
      </w:r>
      <w:r w:rsidRPr="008F0BDA">
        <w:t xml:space="preserve">12 Факультативного протокола к Конвенции предусматривается, что, согласно </w:t>
      </w:r>
      <w:r>
        <w:t>статье </w:t>
      </w:r>
      <w:r w:rsidRPr="008F0BDA">
        <w:t>21 Конвенции, Комитет включа</w:t>
      </w:r>
      <w:r>
        <w:t xml:space="preserve">ет </w:t>
      </w:r>
      <w:r w:rsidRPr="008F0BDA">
        <w:t xml:space="preserve">в ежегодный доклад краткий отчет о </w:t>
      </w:r>
      <w:r>
        <w:t xml:space="preserve">своей </w:t>
      </w:r>
      <w:r w:rsidRPr="008F0BDA">
        <w:t>деятельности</w:t>
      </w:r>
      <w:r>
        <w:t xml:space="preserve"> в рамках </w:t>
      </w:r>
      <w:r w:rsidRPr="008F0BDA">
        <w:t>Факультативн</w:t>
      </w:r>
      <w:r>
        <w:t>ого</w:t>
      </w:r>
      <w:r w:rsidRPr="008F0BDA">
        <w:t xml:space="preserve"> проток</w:t>
      </w:r>
      <w:r w:rsidRPr="008F0BDA">
        <w:t>о</w:t>
      </w:r>
      <w:r w:rsidRPr="008F0BDA">
        <w:t>л</w:t>
      </w:r>
      <w:r>
        <w:t>а</w:t>
      </w:r>
      <w:r w:rsidRPr="008F0BDA">
        <w:t>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4" w:name="_Toc356303360"/>
      <w:r>
        <w:tab/>
      </w:r>
      <w:r w:rsidRPr="008F0BDA">
        <w:t>A.</w:t>
      </w:r>
      <w:r w:rsidRPr="008F0BDA">
        <w:tab/>
        <w:t>Решения</w:t>
      </w:r>
      <w:r>
        <w:t xml:space="preserve">, принятые </w:t>
      </w:r>
      <w:r w:rsidRPr="008F0BDA">
        <w:t>Комитет</w:t>
      </w:r>
      <w:r>
        <w:t>ом</w:t>
      </w:r>
      <w:r w:rsidRPr="008F0BDA">
        <w:t xml:space="preserve"> в отношении вопросов, </w:t>
      </w:r>
      <w:r>
        <w:t xml:space="preserve">вытекающих из </w:t>
      </w:r>
      <w:r w:rsidRPr="008F0BDA">
        <w:t>стать</w:t>
      </w:r>
      <w:r>
        <w:t>и</w:t>
      </w:r>
      <w:r w:rsidRPr="008F0BDA">
        <w:t> 2 Факультативного протокола</w:t>
      </w:r>
      <w:bookmarkEnd w:id="14"/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22.</w:t>
      </w:r>
      <w:r>
        <w:tab/>
      </w:r>
      <w:r w:rsidRPr="008F0BDA">
        <w:t xml:space="preserve">Комитет обсудил деятельность </w:t>
      </w:r>
      <w:r>
        <w:t xml:space="preserve">в рамках </w:t>
      </w:r>
      <w:r w:rsidRPr="008F0BDA">
        <w:t>Факультативн</w:t>
      </w:r>
      <w:r>
        <w:t>ого</w:t>
      </w:r>
      <w:r w:rsidRPr="008F0BDA">
        <w:t xml:space="preserve"> протокол</w:t>
      </w:r>
      <w:r>
        <w:t>а 15, 22 и 26 июля 2013 года.</w:t>
      </w:r>
    </w:p>
    <w:p w:rsidR="0039550E" w:rsidRPr="008F0BDA" w:rsidRDefault="0039550E" w:rsidP="0039550E">
      <w:pPr>
        <w:pStyle w:val="SingleTxt"/>
      </w:pPr>
      <w:r w:rsidRPr="008F0BDA">
        <w:t>23.</w:t>
      </w:r>
      <w:r>
        <w:tab/>
      </w:r>
      <w:r w:rsidRPr="008F0BDA">
        <w:t>Комитет одобрил доклад Рабочей группы по сообщениям</w:t>
      </w:r>
      <w:r>
        <w:t xml:space="preserve"> </w:t>
      </w:r>
      <w:r w:rsidRPr="008F0BDA">
        <w:t>в соответствии с Факультативным протоколом</w:t>
      </w:r>
      <w:r>
        <w:t xml:space="preserve"> о </w:t>
      </w:r>
      <w:r w:rsidRPr="008F0BDA">
        <w:t>работ</w:t>
      </w:r>
      <w:r>
        <w:t>е</w:t>
      </w:r>
      <w:r w:rsidRPr="008F0BDA">
        <w:t xml:space="preserve"> ее двадцать пятой (см. приложение</w:t>
      </w:r>
      <w:r w:rsidRPr="008F0BDA">
        <w:rPr>
          <w:lang w:val="en-US"/>
        </w:rPr>
        <w:t> </w:t>
      </w:r>
      <w:r w:rsidRPr="008F0BDA">
        <w:t>I</w:t>
      </w:r>
      <w:r w:rsidRPr="008F0BDA">
        <w:rPr>
          <w:lang w:val="en-US"/>
        </w:rPr>
        <w:t>X</w:t>
      </w:r>
      <w:r w:rsidRPr="008F0BDA">
        <w:t xml:space="preserve"> к части третьей документа </w:t>
      </w:r>
      <w:hyperlink r:id="rId40" w:history="1">
        <w:r w:rsidRPr="008F0BDA">
          <w:rPr>
            <w:rStyle w:val="Hyperlink"/>
          </w:rPr>
          <w:t>А/68/38</w:t>
        </w:r>
      </w:hyperlink>
      <w:r w:rsidRPr="008F0BDA">
        <w:t>) и двадцать шестой сессий (см.</w:t>
      </w:r>
      <w:r>
        <w:t> </w:t>
      </w:r>
      <w:r w:rsidRPr="008F0BDA">
        <w:t>прило</w:t>
      </w:r>
      <w:r>
        <w:softHyphen/>
      </w:r>
      <w:r w:rsidRPr="008F0BDA">
        <w:t>жение</w:t>
      </w:r>
      <w:r w:rsidRPr="008F0BDA">
        <w:rPr>
          <w:lang w:val="en-US"/>
        </w:rPr>
        <w:t> </w:t>
      </w:r>
      <w:r w:rsidRPr="008F0BDA">
        <w:t>I</w:t>
      </w:r>
      <w:r w:rsidRPr="008F0BDA">
        <w:rPr>
          <w:lang w:val="en-US"/>
        </w:rPr>
        <w:t>V</w:t>
      </w:r>
      <w:r w:rsidRPr="008F0BDA">
        <w:t xml:space="preserve"> к части первой насто</w:t>
      </w:r>
      <w:r w:rsidRPr="008F0BDA">
        <w:t>я</w:t>
      </w:r>
      <w:r w:rsidRPr="008F0BDA">
        <w:t xml:space="preserve">щего доклада). </w:t>
      </w:r>
    </w:p>
    <w:p w:rsidR="0039550E" w:rsidRPr="008F0BDA" w:rsidRDefault="0039550E" w:rsidP="0039550E">
      <w:pPr>
        <w:pStyle w:val="SingleTxt"/>
      </w:pPr>
      <w:r w:rsidRPr="008F0BDA">
        <w:t>24.</w:t>
      </w:r>
      <w:r>
        <w:tab/>
      </w:r>
      <w:r w:rsidRPr="008F0BDA">
        <w:t xml:space="preserve">Комитет принял окончательные решения относительно трех </w:t>
      </w:r>
      <w:r>
        <w:t>индивид</w:t>
      </w:r>
      <w:r>
        <w:t>у</w:t>
      </w:r>
      <w:r>
        <w:t xml:space="preserve">альных </w:t>
      </w:r>
      <w:r w:rsidRPr="008F0BDA">
        <w:t>сообщений, представленных в соответствии со статьей 2 Факультати</w:t>
      </w:r>
      <w:r w:rsidRPr="008F0BDA">
        <w:t>в</w:t>
      </w:r>
      <w:r w:rsidRPr="008F0BDA">
        <w:t>ного протокола. Комитет принял решени</w:t>
      </w:r>
      <w:r>
        <w:t>я</w:t>
      </w:r>
      <w:r w:rsidRPr="008F0BDA">
        <w:t xml:space="preserve"> о неприемлемости </w:t>
      </w:r>
      <w:r>
        <w:t xml:space="preserve">в отношении </w:t>
      </w:r>
      <w:r w:rsidRPr="008F0BDA">
        <w:t>с</w:t>
      </w:r>
      <w:r w:rsidRPr="008F0BDA">
        <w:t>о</w:t>
      </w:r>
      <w:r w:rsidRPr="008F0BDA">
        <w:t>общения</w:t>
      </w:r>
      <w:r>
        <w:t> </w:t>
      </w:r>
      <w:r w:rsidRPr="008F0BDA">
        <w:t>№</w:t>
      </w:r>
      <w:r>
        <w:t> </w:t>
      </w:r>
      <w:hyperlink r:id="rId41" w:history="1">
        <w:r w:rsidRPr="008F0BDA">
          <w:rPr>
            <w:rStyle w:val="Hyperlink"/>
          </w:rPr>
          <w:t>33/201</w:t>
        </w:r>
      </w:hyperlink>
      <w:r w:rsidRPr="008F0BDA">
        <w:t>1 (</w:t>
      </w:r>
      <w:r w:rsidRPr="008F0BDA">
        <w:rPr>
          <w:i/>
          <w:lang w:val="en-US"/>
        </w:rPr>
        <w:t>M</w:t>
      </w:r>
      <w:r w:rsidRPr="008F0BDA">
        <w:rPr>
          <w:i/>
        </w:rPr>
        <w:t>.</w:t>
      </w:r>
      <w:r w:rsidRPr="008F0BDA">
        <w:rPr>
          <w:i/>
          <w:lang w:val="en-US"/>
        </w:rPr>
        <w:t>N</w:t>
      </w:r>
      <w:r w:rsidRPr="008F0BDA">
        <w:rPr>
          <w:i/>
        </w:rPr>
        <w:t>.</w:t>
      </w:r>
      <w:r w:rsidRPr="008F0BDA">
        <w:t xml:space="preserve"> </w:t>
      </w:r>
      <w:r w:rsidRPr="008F0BDA">
        <w:rPr>
          <w:i/>
          <w:lang w:val="en-US"/>
        </w:rPr>
        <w:t>v</w:t>
      </w:r>
      <w:r w:rsidRPr="008F0BDA">
        <w:rPr>
          <w:i/>
        </w:rPr>
        <w:t xml:space="preserve">. </w:t>
      </w:r>
      <w:r w:rsidRPr="008F0BDA">
        <w:rPr>
          <w:i/>
          <w:lang w:val="en-US"/>
        </w:rPr>
        <w:t>Denmark</w:t>
      </w:r>
      <w:r w:rsidRPr="008F0BDA">
        <w:t>)</w:t>
      </w:r>
      <w:r>
        <w:t xml:space="preserve"> путем голосования и </w:t>
      </w:r>
      <w:r w:rsidRPr="008F0BDA">
        <w:t>в отношении соо</w:t>
      </w:r>
      <w:r w:rsidRPr="008F0BDA">
        <w:t>б</w:t>
      </w:r>
      <w:r w:rsidRPr="008F0BDA">
        <w:t>щений</w:t>
      </w:r>
      <w:r>
        <w:t> </w:t>
      </w:r>
      <w:r w:rsidRPr="008F0BDA">
        <w:t>№</w:t>
      </w:r>
      <w:r>
        <w:t> </w:t>
      </w:r>
      <w:hyperlink r:id="rId42" w:history="1">
        <w:r w:rsidRPr="008F0BDA">
          <w:rPr>
            <w:rStyle w:val="Hyperlink"/>
          </w:rPr>
          <w:t>35/201</w:t>
        </w:r>
      </w:hyperlink>
      <w:r w:rsidRPr="008F0BDA">
        <w:t>1 (</w:t>
      </w:r>
      <w:r w:rsidRPr="008F0BDA">
        <w:rPr>
          <w:i/>
          <w:lang w:val="en-US"/>
        </w:rPr>
        <w:t>E</w:t>
      </w:r>
      <w:r w:rsidRPr="008F0BDA">
        <w:rPr>
          <w:i/>
        </w:rPr>
        <w:t>.</w:t>
      </w:r>
      <w:r w:rsidRPr="008F0BDA">
        <w:rPr>
          <w:i/>
          <w:lang w:val="en-US"/>
        </w:rPr>
        <w:t>N</w:t>
      </w:r>
      <w:r w:rsidRPr="008F0BDA">
        <w:rPr>
          <w:i/>
        </w:rPr>
        <w:t>.</w:t>
      </w:r>
      <w:r w:rsidRPr="008F0BDA">
        <w:t xml:space="preserve"> </w:t>
      </w:r>
      <w:r w:rsidRPr="008F0BDA">
        <w:rPr>
          <w:i/>
          <w:lang w:val="en-US"/>
        </w:rPr>
        <w:t>v</w:t>
      </w:r>
      <w:r w:rsidRPr="008F0BDA">
        <w:rPr>
          <w:i/>
        </w:rPr>
        <w:t xml:space="preserve">. </w:t>
      </w:r>
      <w:r w:rsidRPr="008F0BDA">
        <w:rPr>
          <w:i/>
          <w:lang w:val="en-US"/>
        </w:rPr>
        <w:t>Denmark</w:t>
      </w:r>
      <w:r w:rsidRPr="008F0BDA">
        <w:t>) и №</w:t>
      </w:r>
      <w:r>
        <w:t> </w:t>
      </w:r>
      <w:hyperlink r:id="rId43" w:history="1">
        <w:r w:rsidRPr="008F0BDA">
          <w:rPr>
            <w:rStyle w:val="Hyperlink"/>
          </w:rPr>
          <w:t>40/201</w:t>
        </w:r>
      </w:hyperlink>
      <w:r w:rsidRPr="008F0BDA">
        <w:t>2</w:t>
      </w:r>
      <w:r>
        <w:t xml:space="preserve"> </w:t>
      </w:r>
      <w:r w:rsidRPr="008F0BDA">
        <w:t>(</w:t>
      </w:r>
      <w:r w:rsidRPr="008F0BDA">
        <w:rPr>
          <w:i/>
          <w:lang w:val="en-US"/>
        </w:rPr>
        <w:t>M</w:t>
      </w:r>
      <w:r w:rsidRPr="008F0BDA">
        <w:rPr>
          <w:i/>
        </w:rPr>
        <w:t>.</w:t>
      </w:r>
      <w:r w:rsidRPr="008F0BDA">
        <w:rPr>
          <w:i/>
          <w:lang w:val="en-US"/>
        </w:rPr>
        <w:t>S</w:t>
      </w:r>
      <w:r w:rsidRPr="008F0BDA">
        <w:rPr>
          <w:i/>
        </w:rPr>
        <w:t xml:space="preserve">. </w:t>
      </w:r>
      <w:r w:rsidRPr="008F0BDA">
        <w:rPr>
          <w:i/>
          <w:lang w:val="en-US"/>
        </w:rPr>
        <w:t>v</w:t>
      </w:r>
      <w:r w:rsidRPr="008F0BDA">
        <w:rPr>
          <w:i/>
        </w:rPr>
        <w:t xml:space="preserve">. </w:t>
      </w:r>
      <w:r w:rsidRPr="008F0BDA">
        <w:rPr>
          <w:i/>
          <w:lang w:val="en-US"/>
        </w:rPr>
        <w:t>Denmark</w:t>
      </w:r>
      <w:r w:rsidRPr="008F0BDA">
        <w:t>)</w:t>
      </w:r>
      <w:r>
        <w:t xml:space="preserve"> на основе консенсуса</w:t>
      </w:r>
      <w:r w:rsidRPr="008F0BDA">
        <w:t xml:space="preserve">. Кроме того, одно сообщение было признано </w:t>
      </w:r>
      <w:r>
        <w:t xml:space="preserve">Комитетом </w:t>
      </w:r>
      <w:r w:rsidRPr="008F0BDA">
        <w:t>приемл</w:t>
      </w:r>
      <w:r w:rsidRPr="008F0BDA">
        <w:t>е</w:t>
      </w:r>
      <w:r w:rsidRPr="008F0BDA">
        <w:t>мым</w:t>
      </w:r>
      <w:r>
        <w:t xml:space="preserve"> на основе консенсуса</w:t>
      </w:r>
      <w:r w:rsidRPr="008F0BDA">
        <w:t xml:space="preserve">. Решения размещены на веб-сайте </w:t>
      </w:r>
      <w:r>
        <w:t xml:space="preserve">Системы </w:t>
      </w:r>
      <w:r w:rsidRPr="008F0BDA">
        <w:t>офиц</w:t>
      </w:r>
      <w:r w:rsidRPr="008F0BDA">
        <w:t>и</w:t>
      </w:r>
      <w:r w:rsidRPr="008F0BDA">
        <w:t>альн</w:t>
      </w:r>
      <w:r>
        <w:t xml:space="preserve">ой </w:t>
      </w:r>
      <w:r w:rsidRPr="008F0BDA">
        <w:t>документ</w:t>
      </w:r>
      <w:r>
        <w:t xml:space="preserve">ации </w:t>
      </w:r>
      <w:r w:rsidRPr="008F0BDA">
        <w:t xml:space="preserve">Организации Объединенных Наций (http://documents.un.org) соответственно под условными обозначениями </w:t>
      </w:r>
      <w:hyperlink r:id="rId44" w:history="1">
        <w:r w:rsidRPr="008F0BDA">
          <w:rPr>
            <w:rStyle w:val="Hyperlink"/>
            <w:lang w:val="en-US"/>
          </w:rPr>
          <w:t>CEDAW</w:t>
        </w:r>
        <w:r w:rsidRPr="008F0BDA">
          <w:rPr>
            <w:rStyle w:val="Hyperlink"/>
          </w:rPr>
          <w:t>/</w:t>
        </w:r>
        <w:r w:rsidRPr="008F0BDA">
          <w:rPr>
            <w:rStyle w:val="Hyperlink"/>
            <w:lang w:val="en-US"/>
          </w:rPr>
          <w:t>C</w:t>
        </w:r>
        <w:r w:rsidRPr="008F0BDA">
          <w:rPr>
            <w:rStyle w:val="Hyperlink"/>
          </w:rPr>
          <w:t>/</w:t>
        </w:r>
        <w:r w:rsidRPr="008F0BDA">
          <w:rPr>
            <w:rStyle w:val="Hyperlink"/>
            <w:lang w:val="en-US"/>
          </w:rPr>
          <w:t>D</w:t>
        </w:r>
        <w:r w:rsidRPr="008F0BDA">
          <w:rPr>
            <w:rStyle w:val="Hyperlink"/>
          </w:rPr>
          <w:t>/33/2011</w:t>
        </w:r>
      </w:hyperlink>
      <w:r w:rsidRPr="008F0BDA">
        <w:t xml:space="preserve">, </w:t>
      </w:r>
      <w:hyperlink r:id="rId45" w:history="1">
        <w:r w:rsidRPr="008F0BDA">
          <w:rPr>
            <w:rStyle w:val="Hyperlink"/>
            <w:lang w:val="en-US"/>
          </w:rPr>
          <w:t>CEDAW</w:t>
        </w:r>
        <w:r w:rsidRPr="008F0BDA">
          <w:rPr>
            <w:rStyle w:val="Hyperlink"/>
          </w:rPr>
          <w:t>/</w:t>
        </w:r>
        <w:r w:rsidRPr="008F0BDA">
          <w:rPr>
            <w:rStyle w:val="Hyperlink"/>
            <w:lang w:val="en-US"/>
          </w:rPr>
          <w:t>C</w:t>
        </w:r>
        <w:r w:rsidRPr="008F0BDA">
          <w:rPr>
            <w:rStyle w:val="Hyperlink"/>
          </w:rPr>
          <w:t>/55/</w:t>
        </w:r>
        <w:r w:rsidRPr="008F0BDA">
          <w:rPr>
            <w:rStyle w:val="Hyperlink"/>
            <w:lang w:val="en-US"/>
          </w:rPr>
          <w:t>D</w:t>
        </w:r>
        <w:r w:rsidRPr="008F0BDA">
          <w:rPr>
            <w:rStyle w:val="Hyperlink"/>
          </w:rPr>
          <w:t>/35/2011</w:t>
        </w:r>
      </w:hyperlink>
      <w:r w:rsidRPr="008F0BDA">
        <w:t xml:space="preserve"> и </w:t>
      </w:r>
      <w:hyperlink r:id="rId46" w:history="1">
        <w:r w:rsidRPr="008F0BDA">
          <w:rPr>
            <w:rStyle w:val="Hyperlink"/>
            <w:lang w:val="en-US"/>
          </w:rPr>
          <w:t>CEDAW</w:t>
        </w:r>
        <w:r w:rsidRPr="008F0BDA">
          <w:rPr>
            <w:rStyle w:val="Hyperlink"/>
          </w:rPr>
          <w:t>/</w:t>
        </w:r>
        <w:r w:rsidRPr="008F0BDA">
          <w:rPr>
            <w:rStyle w:val="Hyperlink"/>
            <w:lang w:val="en-US"/>
          </w:rPr>
          <w:t>C</w:t>
        </w:r>
        <w:r w:rsidRPr="008F0BDA">
          <w:rPr>
            <w:rStyle w:val="Hyperlink"/>
          </w:rPr>
          <w:t>/55/</w:t>
        </w:r>
        <w:r w:rsidRPr="008F0BDA">
          <w:rPr>
            <w:rStyle w:val="Hyperlink"/>
            <w:lang w:val="en-US"/>
          </w:rPr>
          <w:t>D</w:t>
        </w:r>
        <w:r w:rsidRPr="008F0BDA">
          <w:rPr>
            <w:rStyle w:val="Hyperlink"/>
          </w:rPr>
          <w:t>/40/2012</w:t>
        </w:r>
      </w:hyperlink>
      <w:r w:rsidRPr="008F0BDA">
        <w:t>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F0BDA">
        <w:rPr>
          <w:lang w:val="en-US"/>
        </w:rPr>
        <w:t>B</w:t>
      </w:r>
      <w:r w:rsidRPr="008F0BDA">
        <w:t>.</w:t>
      </w:r>
      <w:r>
        <w:tab/>
      </w:r>
      <w:r w:rsidRPr="008F0BDA">
        <w:t>Последующая деятельность в связи с мнениями Комитета по</w:t>
      </w:r>
      <w:r>
        <w:t xml:space="preserve"> индивидуальным </w:t>
      </w:r>
      <w:r w:rsidRPr="008F0BDA">
        <w:t>сообщениям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8F0BDA">
        <w:t>25.</w:t>
      </w:r>
      <w:r>
        <w:tab/>
      </w:r>
      <w:r w:rsidRPr="008F0BDA">
        <w:t xml:space="preserve">Для пятьдесят пятой сессии </w:t>
      </w:r>
      <w:r>
        <w:t xml:space="preserve">очередной </w:t>
      </w:r>
      <w:r w:rsidRPr="008F0BDA">
        <w:t>доклад о последующей деятельн</w:t>
      </w:r>
      <w:r w:rsidRPr="008F0BDA">
        <w:t>о</w:t>
      </w:r>
      <w:r w:rsidRPr="008F0BDA">
        <w:t>сти</w:t>
      </w:r>
      <w:r>
        <w:t xml:space="preserve"> </w:t>
      </w:r>
      <w:r w:rsidRPr="008F0BDA">
        <w:t>подготовлен не был.</w:t>
      </w:r>
      <w:r>
        <w:t xml:space="preserve"> </w:t>
      </w:r>
      <w:r w:rsidRPr="008F0BDA">
        <w:t xml:space="preserve">Комитет </w:t>
      </w:r>
      <w:r>
        <w:t>высказался против прекращения последу</w:t>
      </w:r>
      <w:r>
        <w:t>ю</w:t>
      </w:r>
      <w:r>
        <w:t xml:space="preserve">щего диалога в отношении проводимых в настоящее время расследований. Из </w:t>
      </w:r>
      <w:r w:rsidRPr="008F0BDA">
        <w:t xml:space="preserve">девяти </w:t>
      </w:r>
      <w:r>
        <w:t xml:space="preserve">дел, в отношении которых в настоящее время проводится последующее расследование, одно касается Беларуси, одно — Бразилии, три — Болгарии, одно — Канады, одно — Перу, одно — Филиппин и одно — Турции. 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F0BDA">
        <w:rPr>
          <w:lang w:val="en-US"/>
        </w:rPr>
        <w:t>C</w:t>
      </w:r>
      <w:r w:rsidRPr="008F0BDA">
        <w:t>.</w:t>
      </w:r>
      <w:r>
        <w:tab/>
      </w:r>
      <w:r w:rsidRPr="008F0BDA">
        <w:t>Решения</w:t>
      </w:r>
      <w:r>
        <w:t xml:space="preserve">, принятые </w:t>
      </w:r>
      <w:r w:rsidRPr="008F0BDA">
        <w:t>Комитет</w:t>
      </w:r>
      <w:r>
        <w:t>ом</w:t>
      </w:r>
      <w:r w:rsidRPr="008F0BDA">
        <w:t xml:space="preserve"> в отношении вопросов, </w:t>
      </w:r>
      <w:r>
        <w:t xml:space="preserve">вытекающих из </w:t>
      </w:r>
      <w:r w:rsidRPr="008F0BDA">
        <w:t>стать</w:t>
      </w:r>
      <w:r>
        <w:t>и</w:t>
      </w:r>
      <w:r w:rsidRPr="008F0BDA">
        <w:t> 8 Факультативного протокола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8F0BDA">
        <w:t>26.</w:t>
      </w:r>
      <w:r>
        <w:tab/>
      </w:r>
      <w:r w:rsidRPr="008F0BDA">
        <w:t xml:space="preserve">Комитет был проинформирован </w:t>
      </w:r>
      <w:r>
        <w:t xml:space="preserve">о положении дел в отношении всех еще не рассмотренных </w:t>
      </w:r>
      <w:r w:rsidRPr="008F0BDA">
        <w:t>сообщени</w:t>
      </w:r>
      <w:r>
        <w:t>й и незавершенных разбирательств в рамках пр</w:t>
      </w:r>
      <w:r>
        <w:t>о</w:t>
      </w:r>
      <w:r>
        <w:t xml:space="preserve">цедуры расследования. </w:t>
      </w:r>
    </w:p>
    <w:p w:rsidR="0039550E" w:rsidRPr="008F0BDA" w:rsidRDefault="0039550E" w:rsidP="0039550E">
      <w:pPr>
        <w:pStyle w:val="SingleTxt"/>
      </w:pPr>
      <w:r w:rsidRPr="008F0BDA">
        <w:t>27.</w:t>
      </w:r>
      <w:r>
        <w:tab/>
      </w:r>
      <w:r w:rsidRPr="008F0BDA">
        <w:t>24</w:t>
      </w:r>
      <w:r>
        <w:t> июля</w:t>
      </w:r>
      <w:r w:rsidRPr="008F0BDA">
        <w:t xml:space="preserve"> 2013</w:t>
      </w:r>
      <w:r>
        <w:t> года</w:t>
      </w:r>
      <w:r w:rsidRPr="008F0BDA">
        <w:t xml:space="preserve"> Комитет </w:t>
      </w:r>
      <w:r>
        <w:t>принял свои выводы</w:t>
      </w:r>
      <w:r w:rsidRPr="008F0BDA">
        <w:t>, замечания и рекоменд</w:t>
      </w:r>
      <w:r w:rsidRPr="008F0BDA">
        <w:t>а</w:t>
      </w:r>
      <w:r w:rsidRPr="008F0BDA">
        <w:t>ции в связи с запросом №</w:t>
      </w:r>
      <w:r>
        <w:t> </w:t>
      </w:r>
      <w:r w:rsidRPr="008F0BDA">
        <w:t>2010/1 и постановил препроводить их соответств</w:t>
      </w:r>
      <w:r w:rsidRPr="008F0BDA">
        <w:t>у</w:t>
      </w:r>
      <w:r w:rsidRPr="008F0BDA">
        <w:t>ющему государству-участнику.</w:t>
      </w:r>
    </w:p>
    <w:p w:rsidR="0039550E" w:rsidRPr="008F0BDA" w:rsidRDefault="0039550E" w:rsidP="0039550E">
      <w:pPr>
        <w:pStyle w:val="SingleTxt"/>
      </w:pPr>
      <w:r w:rsidRPr="008F0BDA">
        <w:t>28.</w:t>
      </w:r>
      <w:r>
        <w:tab/>
      </w:r>
      <w:r w:rsidRPr="008F0BDA">
        <w:t xml:space="preserve">Члены, назначенные Комитетом для </w:t>
      </w:r>
      <w:r>
        <w:t xml:space="preserve">проведения расследования </w:t>
      </w:r>
      <w:r w:rsidRPr="008F0BDA">
        <w:t>№</w:t>
      </w:r>
      <w:r>
        <w:t> </w:t>
      </w:r>
      <w:r w:rsidRPr="008F0BDA">
        <w:t>2011/1, провели с представителями соответствующего государства-участника совещ</w:t>
      </w:r>
      <w:r w:rsidRPr="008F0BDA">
        <w:t>а</w:t>
      </w:r>
      <w:r w:rsidRPr="008F0BDA">
        <w:t>ние, чтобы подготовиться к поездке в эту страну.</w:t>
      </w:r>
    </w:p>
    <w:p w:rsidR="0039550E" w:rsidRPr="008F0BDA" w:rsidRDefault="0039550E" w:rsidP="0039550E">
      <w:pPr>
        <w:pStyle w:val="SingleTxt"/>
      </w:pPr>
      <w:r w:rsidRPr="008F0BDA">
        <w:t>29.</w:t>
      </w:r>
      <w:r>
        <w:tab/>
      </w:r>
      <w:r w:rsidRPr="008F0BDA">
        <w:t xml:space="preserve">Что касается </w:t>
      </w:r>
      <w:r>
        <w:t xml:space="preserve">сообщения </w:t>
      </w:r>
      <w:r w:rsidRPr="008F0BDA">
        <w:t>№</w:t>
      </w:r>
      <w:r>
        <w:t> </w:t>
      </w:r>
      <w:r w:rsidRPr="008F0BDA">
        <w:t>2011/3, то Комитет решил обратиться к соо</w:t>
      </w:r>
      <w:r w:rsidRPr="008F0BDA">
        <w:t>т</w:t>
      </w:r>
      <w:r w:rsidRPr="008F0BDA">
        <w:t>ветствующему государству-участнику с просьбой представить свои з</w:t>
      </w:r>
      <w:r w:rsidRPr="008F0BDA">
        <w:t>а</w:t>
      </w:r>
      <w:r w:rsidRPr="008F0BDA">
        <w:t>мечания по информации, полученной в соответствии со статьей 8 Факультативного пр</w:t>
      </w:r>
      <w:r w:rsidRPr="008F0BDA">
        <w:t>о</w:t>
      </w:r>
      <w:r w:rsidRPr="008F0BDA">
        <w:t>токола.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F0BDA">
        <w:t xml:space="preserve">Глава </w:t>
      </w:r>
      <w:r w:rsidRPr="008F0BDA">
        <w:rPr>
          <w:lang w:val="en-US"/>
        </w:rPr>
        <w:t>VI</w:t>
      </w:r>
      <w:r w:rsidRPr="008F0BDA">
        <w:t xml:space="preserve"> </w:t>
      </w:r>
    </w:p>
    <w:p w:rsidR="0039550E" w:rsidRPr="001F7131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9550E" w:rsidRPr="008F0BDA" w:rsidRDefault="0039550E" w:rsidP="003955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F0BDA">
        <w:t xml:space="preserve">Пути и средства повышения оперативности работы Комитета 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30.</w:t>
      </w:r>
      <w:r>
        <w:tab/>
      </w:r>
      <w:r w:rsidRPr="008F0BDA">
        <w:t xml:space="preserve">На своей пятьдесят пятой сессии Комитет рассмотрел </w:t>
      </w:r>
      <w:r>
        <w:t>пункт </w:t>
      </w:r>
      <w:r w:rsidRPr="008F0BDA">
        <w:t>7 повестки дня относительно</w:t>
      </w:r>
      <w:r>
        <w:t xml:space="preserve"> </w:t>
      </w:r>
      <w:r w:rsidRPr="008F0BDA">
        <w:t>путей и средств повышения оперативности работы Комит</w:t>
      </w:r>
      <w:r w:rsidRPr="008F0BDA">
        <w:t>е</w:t>
      </w:r>
      <w:r w:rsidRPr="008F0BDA">
        <w:t>та. Комитет был проинформирован о ходе межправительственного процесса, осуществляемого в рамках Генеральной Ассамблеи и направленного на укре</w:t>
      </w:r>
      <w:r w:rsidRPr="008F0BDA">
        <w:t>п</w:t>
      </w:r>
      <w:r w:rsidRPr="008F0BDA">
        <w:t>ление и повышение эффективности функционирования системы договорных органов по правам человека</w:t>
      </w:r>
      <w:r>
        <w:t xml:space="preserve"> </w:t>
      </w:r>
      <w:r w:rsidRPr="008F0BDA">
        <w:t>(</w:t>
      </w:r>
      <w:r>
        <w:t>резолюция </w:t>
      </w:r>
      <w:hyperlink r:id="rId47" w:history="1">
        <w:r w:rsidRPr="008F0BDA">
          <w:rPr>
            <w:rStyle w:val="Hyperlink"/>
          </w:rPr>
          <w:t>66/254</w:t>
        </w:r>
      </w:hyperlink>
      <w:r w:rsidRPr="008F0BDA">
        <w:t xml:space="preserve"> Генеральной Ассамблеи). Председатель Николь Амелин проинформировала Комитет о результатах дв</w:t>
      </w:r>
      <w:r w:rsidRPr="008F0BDA">
        <w:t>а</w:t>
      </w:r>
      <w:r w:rsidRPr="008F0BDA">
        <w:t xml:space="preserve">дцать пятого ежегодного совещания председателей договорных органов по правам человека, которое </w:t>
      </w:r>
      <w:r>
        <w:t xml:space="preserve">проводилось </w:t>
      </w:r>
      <w:r w:rsidRPr="008F0BDA">
        <w:t>в Нью-Йорке 20</w:t>
      </w:r>
      <w:r>
        <w:t>–</w:t>
      </w:r>
      <w:r w:rsidRPr="008F0BDA">
        <w:t>24 мая 2013</w:t>
      </w:r>
      <w:r>
        <w:t> года</w:t>
      </w:r>
      <w:r w:rsidRPr="008F0BDA">
        <w:t>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F0BDA">
        <w:t>Решения</w:t>
      </w:r>
      <w:r>
        <w:t xml:space="preserve">, принятые </w:t>
      </w:r>
      <w:r w:rsidRPr="008F0BDA">
        <w:t>Комитет</w:t>
      </w:r>
      <w:r>
        <w:t>ом</w:t>
      </w:r>
      <w:r w:rsidRPr="008F0BDA">
        <w:t xml:space="preserve"> по </w:t>
      </w:r>
      <w:r>
        <w:t>пункту </w:t>
      </w:r>
      <w:r w:rsidRPr="008F0BDA">
        <w:t>7 повестки дня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F0BDA">
        <w:t>Сроки проведения будущих сессий Комитета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SingleTxt"/>
      </w:pPr>
      <w:r w:rsidRPr="008F0BDA">
        <w:t>31.</w:t>
      </w:r>
      <w:r>
        <w:tab/>
      </w:r>
      <w:r w:rsidRPr="008F0BDA">
        <w:t>В соответствии с графиком организации конференций были утверждены следующие сроки проведения пятьдесят шестой и пятьдесят седьмой сессий Комитета и связанных с ними совещаний:</w:t>
      </w:r>
    </w:p>
    <w:p w:rsidR="0039550E" w:rsidRPr="008F0BDA" w:rsidRDefault="0039550E" w:rsidP="0039550E">
      <w:pPr>
        <w:pStyle w:val="SingleTxt"/>
      </w:pPr>
      <w:r>
        <w:tab/>
      </w:r>
      <w:r w:rsidRPr="008F0BDA">
        <w:t>Пятьдесят шестая сессия (Женева)</w:t>
      </w:r>
    </w:p>
    <w:p w:rsidR="0039550E" w:rsidRPr="008F0BDA" w:rsidRDefault="0039550E" w:rsidP="0039550E">
      <w:pPr>
        <w:pStyle w:val="SingleTxt"/>
        <w:ind w:left="2693" w:hanging="951"/>
      </w:pPr>
      <w:r>
        <w:tab/>
      </w:r>
      <w:r w:rsidRPr="008F0BDA">
        <w:t>а)</w:t>
      </w:r>
      <w:r>
        <w:tab/>
        <w:t>д</w:t>
      </w:r>
      <w:r w:rsidRPr="008F0BDA">
        <w:t>вадцать седьмая сессия Рабочей группы по сообщениям в с</w:t>
      </w:r>
      <w:r w:rsidRPr="008F0BDA">
        <w:t>о</w:t>
      </w:r>
      <w:r w:rsidRPr="008F0BDA">
        <w:t>ответствии с Факультативным протоколом</w:t>
      </w:r>
      <w:r>
        <w:t xml:space="preserve"> к Конвенции</w:t>
      </w:r>
      <w:r w:rsidRPr="008F0BDA">
        <w:t xml:space="preserve">: </w:t>
      </w:r>
      <w:r>
        <w:br/>
      </w:r>
      <w:r w:rsidRPr="008F0BDA">
        <w:t>24</w:t>
      </w:r>
      <w:r>
        <w:t>–</w:t>
      </w:r>
      <w:r w:rsidRPr="008F0BDA">
        <w:t>27</w:t>
      </w:r>
      <w:r>
        <w:t> сентября</w:t>
      </w:r>
      <w:r w:rsidRPr="008F0BDA">
        <w:t xml:space="preserve"> 2013</w:t>
      </w:r>
      <w:r>
        <w:t> года</w:t>
      </w:r>
      <w:r w:rsidRPr="008F0BDA">
        <w:t>;</w:t>
      </w:r>
    </w:p>
    <w:p w:rsidR="0039550E" w:rsidRPr="008F0BDA" w:rsidRDefault="0039550E" w:rsidP="0039550E">
      <w:pPr>
        <w:pStyle w:val="SingleTxt"/>
        <w:ind w:left="2693" w:hanging="951"/>
      </w:pPr>
      <w:r>
        <w:tab/>
      </w:r>
      <w:r w:rsidRPr="008F0BDA">
        <w:rPr>
          <w:lang w:val="en-US"/>
        </w:rPr>
        <w:t>b</w:t>
      </w:r>
      <w:r w:rsidRPr="008F0BDA">
        <w:t>)</w:t>
      </w:r>
      <w:r>
        <w:tab/>
        <w:t>п</w:t>
      </w:r>
      <w:r w:rsidRPr="008F0BDA">
        <w:t>ятьдесят шестая сессия:</w:t>
      </w:r>
      <w:r>
        <w:t xml:space="preserve"> </w:t>
      </w:r>
      <w:r w:rsidRPr="008F0BDA">
        <w:t>30</w:t>
      </w:r>
      <w:r>
        <w:t xml:space="preserve"> сентября — </w:t>
      </w:r>
      <w:r w:rsidRPr="008F0BDA">
        <w:t>18</w:t>
      </w:r>
      <w:r>
        <w:t> октября</w:t>
      </w:r>
      <w:r w:rsidRPr="008F0BDA">
        <w:t xml:space="preserve"> 2013</w:t>
      </w:r>
      <w:r>
        <w:t> года</w:t>
      </w:r>
      <w:r w:rsidRPr="008F0BDA">
        <w:t>;</w:t>
      </w:r>
    </w:p>
    <w:p w:rsidR="0039550E" w:rsidRPr="008F0BDA" w:rsidRDefault="0039550E" w:rsidP="0039550E">
      <w:pPr>
        <w:pStyle w:val="SingleTxt"/>
        <w:ind w:left="2693" w:hanging="951"/>
      </w:pPr>
      <w:r>
        <w:tab/>
      </w:r>
      <w:r w:rsidRPr="008F0BDA">
        <w:t>с)</w:t>
      </w:r>
      <w:r>
        <w:tab/>
      </w:r>
      <w:r w:rsidRPr="008F0BDA">
        <w:t xml:space="preserve">предсессионная рабочая группа для пятьдесят восьмой сессии: </w:t>
      </w:r>
      <w:r>
        <w:br/>
      </w:r>
      <w:r w:rsidRPr="008F0BDA">
        <w:t>21</w:t>
      </w:r>
      <w:r>
        <w:t>–</w:t>
      </w:r>
      <w:r w:rsidRPr="008F0BDA">
        <w:t>25</w:t>
      </w:r>
      <w:r>
        <w:t> октября</w:t>
      </w:r>
      <w:r w:rsidRPr="008F0BDA">
        <w:t xml:space="preserve"> 2013</w:t>
      </w:r>
      <w:r>
        <w:t> года</w:t>
      </w:r>
      <w:r w:rsidRPr="008F0BDA">
        <w:t>.</w:t>
      </w:r>
    </w:p>
    <w:p w:rsidR="0039550E" w:rsidRPr="008F0BDA" w:rsidRDefault="0039550E" w:rsidP="0039550E">
      <w:pPr>
        <w:pStyle w:val="SingleTxt"/>
      </w:pPr>
      <w:r>
        <w:tab/>
      </w:r>
      <w:r w:rsidRPr="008F0BDA">
        <w:t>Пятьдесят седьмая сессия (Женева)</w:t>
      </w:r>
    </w:p>
    <w:p w:rsidR="0039550E" w:rsidRPr="008F0BDA" w:rsidRDefault="0039550E" w:rsidP="0039550E">
      <w:pPr>
        <w:pStyle w:val="SingleTxt"/>
        <w:ind w:left="2693" w:hanging="951"/>
      </w:pPr>
      <w:r>
        <w:tab/>
      </w:r>
      <w:r w:rsidRPr="008F0BDA">
        <w:rPr>
          <w:lang w:val="en-US"/>
        </w:rPr>
        <w:t>d</w:t>
      </w:r>
      <w:r w:rsidRPr="008F0BDA">
        <w:t>)</w:t>
      </w:r>
      <w:r>
        <w:tab/>
        <w:t>д</w:t>
      </w:r>
      <w:r w:rsidRPr="008F0BDA">
        <w:t>вадцать восьмая сессия Рабочей группы по сообщениям в с</w:t>
      </w:r>
      <w:r w:rsidRPr="008F0BDA">
        <w:t>о</w:t>
      </w:r>
      <w:r w:rsidRPr="008F0BDA">
        <w:t>ответствии с Факультативным протоколом</w:t>
      </w:r>
      <w:r>
        <w:t xml:space="preserve"> к Конвенции</w:t>
      </w:r>
      <w:r w:rsidRPr="008F0BDA">
        <w:t xml:space="preserve">: </w:t>
      </w:r>
      <w:r>
        <w:br/>
      </w:r>
      <w:r w:rsidRPr="008F0BDA">
        <w:t>4</w:t>
      </w:r>
      <w:r>
        <w:t>–</w:t>
      </w:r>
      <w:r w:rsidRPr="008F0BDA">
        <w:t>7</w:t>
      </w:r>
      <w:r>
        <w:t> февраля</w:t>
      </w:r>
      <w:r w:rsidRPr="008F0BDA">
        <w:t xml:space="preserve"> 2014</w:t>
      </w:r>
      <w:r>
        <w:t> года</w:t>
      </w:r>
      <w:r w:rsidRPr="008F0BDA">
        <w:t>;</w:t>
      </w:r>
    </w:p>
    <w:p w:rsidR="0039550E" w:rsidRPr="008F0BDA" w:rsidRDefault="0039550E" w:rsidP="0039550E">
      <w:pPr>
        <w:pStyle w:val="SingleTxt"/>
        <w:ind w:left="2693" w:hanging="951"/>
      </w:pPr>
      <w:r>
        <w:tab/>
      </w:r>
      <w:r w:rsidRPr="008F0BDA">
        <w:t>е)</w:t>
      </w:r>
      <w:r>
        <w:tab/>
        <w:t>п</w:t>
      </w:r>
      <w:r w:rsidRPr="008F0BDA">
        <w:t>ятьдесят седьмая сессия: 10</w:t>
      </w:r>
      <w:r>
        <w:t>–</w:t>
      </w:r>
      <w:r w:rsidRPr="008F0BDA">
        <w:t>28</w:t>
      </w:r>
      <w:r>
        <w:t> февраля</w:t>
      </w:r>
      <w:r w:rsidRPr="008F0BDA">
        <w:t xml:space="preserve"> 2014</w:t>
      </w:r>
      <w:r>
        <w:t> года</w:t>
      </w:r>
      <w:r w:rsidRPr="008F0BDA">
        <w:t>;</w:t>
      </w:r>
    </w:p>
    <w:p w:rsidR="0039550E" w:rsidRPr="008F0BDA" w:rsidRDefault="0039550E" w:rsidP="0039550E">
      <w:pPr>
        <w:pStyle w:val="SingleTxt"/>
        <w:ind w:left="2693" w:hanging="951"/>
      </w:pPr>
      <w:r>
        <w:tab/>
      </w:r>
      <w:r w:rsidRPr="008F0BDA">
        <w:rPr>
          <w:lang w:val="en-US"/>
        </w:rPr>
        <w:t>f</w:t>
      </w:r>
      <w:r w:rsidRPr="008F0BDA">
        <w:t>)</w:t>
      </w:r>
      <w:r>
        <w:tab/>
        <w:t>п</w:t>
      </w:r>
      <w:r w:rsidRPr="008F0BDA">
        <w:t xml:space="preserve">редсессионная рабочая группа для пятьдесят девятой сессии: </w:t>
      </w:r>
      <w:r w:rsidRPr="008F0BDA">
        <w:br/>
        <w:t>3</w:t>
      </w:r>
      <w:r>
        <w:t>–</w:t>
      </w:r>
      <w:r w:rsidRPr="008F0BDA">
        <w:t>7</w:t>
      </w:r>
      <w:r>
        <w:t> </w:t>
      </w:r>
      <w:r w:rsidRPr="008F0BDA">
        <w:t>марта 2014</w:t>
      </w:r>
      <w:r>
        <w:t> года</w:t>
      </w:r>
      <w:r w:rsidRPr="008F0BDA">
        <w:t>.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Default="0039550E" w:rsidP="003955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F0BDA">
        <w:t>Доклады, которые будут рассматриваться на будущих сессиях Комитета</w:t>
      </w:r>
    </w:p>
    <w:p w:rsidR="0039550E" w:rsidRPr="008F0BDA" w:rsidRDefault="0039550E" w:rsidP="0039550E">
      <w:pPr>
        <w:pStyle w:val="SingleTxt"/>
        <w:spacing w:after="0" w:line="120" w:lineRule="exact"/>
        <w:rPr>
          <w:sz w:val="10"/>
        </w:rPr>
      </w:pPr>
    </w:p>
    <w:p w:rsidR="0039550E" w:rsidRPr="008F0BDA" w:rsidRDefault="0039550E" w:rsidP="0039550E">
      <w:pPr>
        <w:pStyle w:val="SingleTxt"/>
      </w:pPr>
      <w:r w:rsidRPr="008F0BDA">
        <w:t>32.</w:t>
      </w:r>
      <w:r>
        <w:tab/>
      </w:r>
      <w:r w:rsidRPr="008F0BDA">
        <w:t>Комитет подтвердил, что на своих пятьдесят шестой и пятьдесят седьмой сессиях он рассмотрит доклады следующих государств-участников:</w:t>
      </w:r>
    </w:p>
    <w:p w:rsidR="0039550E" w:rsidRPr="008F0BDA" w:rsidRDefault="0039550E" w:rsidP="0039550E">
      <w:pPr>
        <w:pStyle w:val="SingleTxt"/>
      </w:pPr>
      <w:r>
        <w:tab/>
      </w:r>
      <w:r w:rsidRPr="008F0BDA">
        <w:t>Пятьдесят шестая сессия:</w:t>
      </w:r>
    </w:p>
    <w:p w:rsidR="0039550E" w:rsidRPr="008F0BDA" w:rsidRDefault="0039550E" w:rsidP="0039550E">
      <w:pPr>
        <w:pStyle w:val="SingleTxt"/>
        <w:ind w:left="2218"/>
      </w:pPr>
      <w:r w:rsidRPr="008F0BDA">
        <w:t>Андорра</w:t>
      </w:r>
    </w:p>
    <w:p w:rsidR="0039550E" w:rsidRPr="008F0BDA" w:rsidRDefault="0039550E" w:rsidP="0039550E">
      <w:pPr>
        <w:pStyle w:val="SingleTxt"/>
        <w:ind w:left="2218"/>
      </w:pPr>
      <w:r w:rsidRPr="008F0BDA">
        <w:t>Бенин</w:t>
      </w:r>
    </w:p>
    <w:p w:rsidR="0039550E" w:rsidRPr="008F0BDA" w:rsidRDefault="0039550E" w:rsidP="0039550E">
      <w:pPr>
        <w:pStyle w:val="SingleTxt"/>
        <w:ind w:left="2218"/>
      </w:pPr>
      <w:r w:rsidRPr="008F0BDA">
        <w:t>Камбоджа</w:t>
      </w:r>
    </w:p>
    <w:p w:rsidR="0039550E" w:rsidRPr="008F0BDA" w:rsidRDefault="0039550E" w:rsidP="0039550E">
      <w:pPr>
        <w:pStyle w:val="SingleTxt"/>
        <w:ind w:left="2218"/>
      </w:pPr>
      <w:r w:rsidRPr="008F0BDA">
        <w:t>Республика Молдова</w:t>
      </w:r>
    </w:p>
    <w:p w:rsidR="0039550E" w:rsidRPr="008F0BDA" w:rsidRDefault="0039550E" w:rsidP="0039550E">
      <w:pPr>
        <w:pStyle w:val="SingleTxt"/>
        <w:ind w:left="2218"/>
      </w:pPr>
      <w:r w:rsidRPr="008F0BDA">
        <w:t xml:space="preserve">Сейшельские </w:t>
      </w:r>
      <w:r>
        <w:t>О</w:t>
      </w:r>
      <w:r w:rsidRPr="008F0BDA">
        <w:t>строва</w:t>
      </w:r>
    </w:p>
    <w:p w:rsidR="0039550E" w:rsidRPr="008F0BDA" w:rsidRDefault="0039550E" w:rsidP="0039550E">
      <w:pPr>
        <w:pStyle w:val="SingleTxt"/>
        <w:ind w:left="2218"/>
      </w:pPr>
      <w:r w:rsidRPr="008F0BDA">
        <w:t>Таджикистан</w:t>
      </w:r>
    </w:p>
    <w:p w:rsidR="0039550E" w:rsidRPr="008F0BDA" w:rsidRDefault="0039550E" w:rsidP="00326EF4">
      <w:pPr>
        <w:pStyle w:val="SingleTxt"/>
      </w:pPr>
      <w:r w:rsidRPr="008F0BDA">
        <w:t>Следует отметить, что на пятьдесят шестой сессии также планировалось ра</w:t>
      </w:r>
      <w:r w:rsidRPr="008F0BDA">
        <w:t>с</w:t>
      </w:r>
      <w:r w:rsidRPr="008F0BDA">
        <w:t>смотреть</w:t>
      </w:r>
      <w:r>
        <w:t xml:space="preserve"> </w:t>
      </w:r>
      <w:r w:rsidRPr="008F0BDA">
        <w:t>вопрос о Сент-Винсенте и Гренадин</w:t>
      </w:r>
      <w:r>
        <w:t>ах</w:t>
      </w:r>
      <w:r w:rsidRPr="008F0BDA">
        <w:t xml:space="preserve">. </w:t>
      </w:r>
      <w:r>
        <w:t>Э</w:t>
      </w:r>
      <w:r w:rsidRPr="008F0BDA">
        <w:t>то государство представило свой объединенный четвертый</w:t>
      </w:r>
      <w:r>
        <w:t>–</w:t>
      </w:r>
      <w:r w:rsidRPr="008F0BDA">
        <w:t>восьмой периодический доклад</w:t>
      </w:r>
      <w:r>
        <w:t xml:space="preserve"> </w:t>
      </w:r>
      <w:r w:rsidRPr="008F0BDA">
        <w:t>13</w:t>
      </w:r>
      <w:r>
        <w:t> августа</w:t>
      </w:r>
      <w:r w:rsidRPr="008F0BDA">
        <w:t xml:space="preserve"> 2013</w:t>
      </w:r>
      <w:r>
        <w:t xml:space="preserve"> года, и его </w:t>
      </w:r>
      <w:r w:rsidRPr="008F0BDA">
        <w:t>рассмотрение было</w:t>
      </w:r>
      <w:r>
        <w:t xml:space="preserve"> </w:t>
      </w:r>
      <w:r w:rsidRPr="008F0BDA">
        <w:t>впоследствии перенесено на одну из буд</w:t>
      </w:r>
      <w:r w:rsidRPr="008F0BDA">
        <w:t>у</w:t>
      </w:r>
      <w:r w:rsidRPr="008F0BDA">
        <w:t>щих сессий Комитета, чтобы осуществить его перевод и силами предсессио</w:t>
      </w:r>
      <w:r w:rsidRPr="008F0BDA">
        <w:t>н</w:t>
      </w:r>
      <w:r w:rsidRPr="008F0BDA">
        <w:t>ной рабочей группы подготовить новый и/или обновленный перечень вопр</w:t>
      </w:r>
      <w:r w:rsidRPr="008F0BDA">
        <w:t>о</w:t>
      </w:r>
      <w:r w:rsidRPr="008F0BDA">
        <w:t>сов.</w:t>
      </w:r>
    </w:p>
    <w:p w:rsidR="0039550E" w:rsidRPr="008F0BDA" w:rsidRDefault="0039550E" w:rsidP="0039550E">
      <w:pPr>
        <w:pStyle w:val="SingleTxt"/>
      </w:pPr>
      <w:r>
        <w:tab/>
      </w:r>
      <w:r w:rsidRPr="008F0BDA">
        <w:t>Пятьдесят седьмая сессия:</w:t>
      </w:r>
    </w:p>
    <w:p w:rsidR="0039550E" w:rsidRPr="008F0BDA" w:rsidRDefault="0039550E" w:rsidP="0039550E">
      <w:pPr>
        <w:pStyle w:val="SingleTxt"/>
        <w:ind w:left="2218"/>
      </w:pPr>
      <w:r w:rsidRPr="008F0BDA">
        <w:t>Бахрейн</w:t>
      </w:r>
    </w:p>
    <w:p w:rsidR="0039550E" w:rsidRPr="008F0BDA" w:rsidRDefault="0039550E" w:rsidP="0039550E">
      <w:pPr>
        <w:pStyle w:val="SingleTxt"/>
        <w:ind w:left="2218"/>
      </w:pPr>
      <w:r w:rsidRPr="008F0BDA">
        <w:t>Камерун</w:t>
      </w:r>
    </w:p>
    <w:p w:rsidR="0039550E" w:rsidRPr="008F0BDA" w:rsidRDefault="0039550E" w:rsidP="0039550E">
      <w:pPr>
        <w:pStyle w:val="SingleTxt"/>
        <w:ind w:left="2218"/>
      </w:pPr>
      <w:r w:rsidRPr="008F0BDA">
        <w:t>Финляндия</w:t>
      </w:r>
    </w:p>
    <w:p w:rsidR="0039550E" w:rsidRPr="008F0BDA" w:rsidRDefault="0039550E" w:rsidP="0039550E">
      <w:pPr>
        <w:pStyle w:val="SingleTxt"/>
        <w:ind w:left="2218"/>
      </w:pPr>
      <w:r w:rsidRPr="008F0BDA">
        <w:t>Ирак</w:t>
      </w:r>
    </w:p>
    <w:p w:rsidR="0039550E" w:rsidRPr="008F0BDA" w:rsidRDefault="0039550E" w:rsidP="0039550E">
      <w:pPr>
        <w:pStyle w:val="SingleTxt"/>
        <w:ind w:left="2218"/>
      </w:pPr>
      <w:r w:rsidRPr="008F0BDA">
        <w:t>Казахстан</w:t>
      </w:r>
    </w:p>
    <w:p w:rsidR="0039550E" w:rsidRPr="008F0BDA" w:rsidRDefault="0039550E" w:rsidP="0039550E">
      <w:pPr>
        <w:pStyle w:val="SingleTxt"/>
        <w:ind w:left="2218"/>
      </w:pPr>
      <w:r w:rsidRPr="008F0BDA">
        <w:t>Катар</w:t>
      </w:r>
    </w:p>
    <w:p w:rsidR="0039550E" w:rsidRPr="008F0BDA" w:rsidRDefault="0039550E" w:rsidP="0039550E">
      <w:pPr>
        <w:pStyle w:val="SingleTxt"/>
        <w:ind w:left="2218"/>
      </w:pPr>
      <w:r w:rsidRPr="008F0BDA">
        <w:t>Сьерра-Леоне</w:t>
      </w:r>
    </w:p>
    <w:p w:rsidR="0039550E" w:rsidRDefault="0039550E" w:rsidP="0039550E">
      <w:pPr>
        <w:pStyle w:val="SingleTxt"/>
        <w:rPr>
          <w:lang w:val="en-US"/>
        </w:rPr>
      </w:pPr>
      <w:r w:rsidRPr="008F0BDA">
        <w:t>Следует отметить, что на пятьдесят седьмой сессии в отсутстви</w:t>
      </w:r>
      <w:r>
        <w:t>е</w:t>
      </w:r>
      <w:r w:rsidRPr="008F0BDA">
        <w:t xml:space="preserve"> доклада та</w:t>
      </w:r>
      <w:r w:rsidRPr="008F0BDA">
        <w:t>к</w:t>
      </w:r>
      <w:r w:rsidRPr="008F0BDA">
        <w:t>же планировалось рассмотреть вопрос о Сенегале. Сенегал представил</w:t>
      </w:r>
      <w:r>
        <w:t xml:space="preserve"> </w:t>
      </w:r>
      <w:r w:rsidRPr="008F0BDA">
        <w:t>свой объединенный третий-седьмой периодический доклад</w:t>
      </w:r>
      <w:r>
        <w:t xml:space="preserve"> </w:t>
      </w:r>
      <w:r w:rsidRPr="008F0BDA">
        <w:t>31</w:t>
      </w:r>
      <w:r>
        <w:t> июля</w:t>
      </w:r>
      <w:r w:rsidRPr="008F0BDA">
        <w:t xml:space="preserve"> 2013</w:t>
      </w:r>
      <w:r>
        <w:t xml:space="preserve"> года, и его </w:t>
      </w:r>
      <w:r w:rsidRPr="008F0BDA">
        <w:t>рассмотрение было впоследствии перенесено на шестьдесят первую сессию, чтобы осуществить его перевод и силами предсессионной рабочей группы по</w:t>
      </w:r>
      <w:r w:rsidRPr="008F0BDA">
        <w:t>д</w:t>
      </w:r>
      <w:r w:rsidRPr="008F0BDA">
        <w:t xml:space="preserve">готовить </w:t>
      </w:r>
      <w:r>
        <w:t xml:space="preserve">соответствующий </w:t>
      </w:r>
      <w:r w:rsidRPr="008F0BDA">
        <w:t>п</w:t>
      </w:r>
      <w:r w:rsidRPr="008F0BDA">
        <w:t>е</w:t>
      </w:r>
      <w:r w:rsidRPr="008F0BDA">
        <w:t>речень вопросов.</w:t>
      </w:r>
    </w:p>
    <w:p w:rsidR="00F449B5" w:rsidRDefault="00F449B5" w:rsidP="0039550E">
      <w:pPr>
        <w:pStyle w:val="SingleTxt"/>
        <w:rPr>
          <w:lang w:val="en-US"/>
        </w:rPr>
      </w:pPr>
    </w:p>
    <w:p w:rsidR="00F449B5" w:rsidRDefault="00F449B5" w:rsidP="0039550E">
      <w:pPr>
        <w:pStyle w:val="SingleTxt"/>
        <w:rPr>
          <w:lang w:val="en-US"/>
        </w:rPr>
        <w:sectPr w:rsidR="00F449B5" w:rsidSect="00326EF4"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F449B5" w:rsidRPr="00BC6B8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6B85">
        <w:t>Глава</w:t>
      </w:r>
      <w:r>
        <w:rPr>
          <w:lang w:val="en-US"/>
        </w:rPr>
        <w:t> </w:t>
      </w:r>
      <w:r w:rsidRPr="00BC6B85">
        <w:rPr>
          <w:lang w:val="en-US"/>
        </w:rPr>
        <w:t>VII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1D2404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2404">
        <w:tab/>
      </w:r>
      <w:r w:rsidRPr="001D2404">
        <w:tab/>
      </w:r>
      <w:r w:rsidRPr="00BC6B85">
        <w:t>Осуществление статьи</w:t>
      </w:r>
      <w:r>
        <w:rPr>
          <w:lang w:val="en-US"/>
        </w:rPr>
        <w:t> </w:t>
      </w:r>
      <w:r w:rsidRPr="00BC6B85">
        <w:t>21 Конвенции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BC6B85" w:rsidRDefault="00F449B5" w:rsidP="00F449B5">
      <w:pPr>
        <w:pStyle w:val="SingleTxt"/>
      </w:pPr>
      <w:r w:rsidRPr="00BC6B85">
        <w:t>33.</w:t>
      </w:r>
      <w:r w:rsidRPr="00BC6B85">
        <w:tab/>
        <w:t>В ходе пятьдесят пятой сессии Комитет рассмотрел пункт</w:t>
      </w:r>
      <w:r>
        <w:rPr>
          <w:lang w:val="en-US"/>
        </w:rPr>
        <w:t> </w:t>
      </w:r>
      <w:r w:rsidRPr="00BC6B85">
        <w:t>6 повестки дня об осуществлении статьи</w:t>
      </w:r>
      <w:r>
        <w:rPr>
          <w:lang w:val="en-US"/>
        </w:rPr>
        <w:t> </w:t>
      </w:r>
      <w:r w:rsidRPr="00BC6B85">
        <w:t>21 Конвенции.</w:t>
      </w:r>
    </w:p>
    <w:p w:rsidR="00F449B5" w:rsidRPr="0069182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69182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BC6B8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1824">
        <w:tab/>
      </w:r>
      <w:r w:rsidRPr="00691824">
        <w:tab/>
      </w:r>
      <w:r w:rsidRPr="00BC6B85">
        <w:t>Решения, принятые Комитетом</w:t>
      </w:r>
      <w:r>
        <w:t xml:space="preserve"> </w:t>
      </w:r>
      <w:r w:rsidRPr="00BC6B85">
        <w:t>по пункту</w:t>
      </w:r>
      <w:r>
        <w:rPr>
          <w:lang w:val="en-US"/>
        </w:rPr>
        <w:t> </w:t>
      </w:r>
      <w:r w:rsidRPr="00BC6B85">
        <w:t>6 повестки дня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69182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1D2404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1824">
        <w:tab/>
      </w:r>
      <w:r w:rsidRPr="00691824">
        <w:tab/>
      </w:r>
      <w:r w:rsidRPr="00BC6B85">
        <w:t>Совместная общая рекомендация по вредной практике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691824" w:rsidRDefault="00F449B5" w:rsidP="00F449B5">
      <w:pPr>
        <w:pStyle w:val="SingleTxt"/>
      </w:pPr>
      <w:r w:rsidRPr="00BC6B85">
        <w:t>34.</w:t>
      </w:r>
      <w:r w:rsidRPr="001D2404">
        <w:tab/>
      </w:r>
      <w:r w:rsidRPr="00BC6B85">
        <w:t>Рабочая группа пересмотрела проект общей рекомендации/замечания по вредной практике на трех заседаниях, которые она провела в ходе сессии. Она постановила созвать 6</w:t>
      </w:r>
      <w:r>
        <w:rPr>
          <w:lang w:val="en-US"/>
        </w:rPr>
        <w:t> </w:t>
      </w:r>
      <w:r w:rsidRPr="00BC6B85">
        <w:t>октября 2013</w:t>
      </w:r>
      <w:r>
        <w:rPr>
          <w:lang w:val="en-US"/>
        </w:rPr>
        <w:t> </w:t>
      </w:r>
      <w:r w:rsidRPr="00BC6B85">
        <w:t>года рабочее заседание совместной раб</w:t>
      </w:r>
      <w:r w:rsidRPr="00BC6B85">
        <w:t>о</w:t>
      </w:r>
      <w:r w:rsidRPr="00BC6B85">
        <w:t>чей группы Комитета по ликвидации дискриминации в отношении же</w:t>
      </w:r>
      <w:r w:rsidRPr="00BC6B85">
        <w:t>н</w:t>
      </w:r>
      <w:r w:rsidRPr="00BC6B85">
        <w:t>щин/</w:t>
      </w:r>
      <w:r w:rsidRPr="001D2404">
        <w:br/>
      </w:r>
      <w:r w:rsidRPr="00BC6B85">
        <w:t>Комитета по правам ребенка для подготовки окончательного варианта проекта совместной общей рекомендации/замечания по вредной практике.</w:t>
      </w:r>
    </w:p>
    <w:p w:rsidR="00F449B5" w:rsidRPr="0069182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1D2404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Общая рекомендация</w:t>
      </w:r>
      <w:r>
        <w:t xml:space="preserve">, касающаяся </w:t>
      </w:r>
      <w:r w:rsidRPr="00BC6B85">
        <w:t>женщин в конфликт</w:t>
      </w:r>
      <w:r>
        <w:t>ных</w:t>
      </w:r>
      <w:r w:rsidRPr="00BC6B85">
        <w:t xml:space="preserve"> и</w:t>
      </w:r>
      <w:r>
        <w:t> </w:t>
      </w:r>
      <w:r w:rsidRPr="00BC6B85">
        <w:t>постконфликтных ситуациях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SingleTxt"/>
      </w:pPr>
      <w:r w:rsidRPr="00BC6B85">
        <w:t>35.</w:t>
      </w:r>
      <w:r>
        <w:tab/>
      </w:r>
      <w:r w:rsidRPr="00BC6B85">
        <w:t>Комитет завершил рассмотрение в первом чтении проекта общей рек</w:t>
      </w:r>
      <w:r w:rsidRPr="00BC6B85">
        <w:t>о</w:t>
      </w:r>
      <w:r w:rsidRPr="00BC6B85">
        <w:t>мендации.</w:t>
      </w: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  <w:rPr>
          <w:b/>
        </w:rPr>
      </w:pPr>
      <w:r w:rsidRPr="00BC6B85">
        <w:rPr>
          <w:b/>
        </w:rPr>
        <w:t>Общая рекомендация по доступу к правосудию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SingleTxt"/>
      </w:pPr>
      <w:r w:rsidRPr="00BC6B85">
        <w:t>36.</w:t>
      </w:r>
      <w:r>
        <w:tab/>
      </w:r>
      <w:r w:rsidRPr="00BC6B85">
        <w:t>Рабочая группа пров</w:t>
      </w:r>
      <w:r>
        <w:t xml:space="preserve">одила </w:t>
      </w:r>
      <w:r w:rsidRPr="00BC6B85">
        <w:t>заседани</w:t>
      </w:r>
      <w:r>
        <w:t>я</w:t>
      </w:r>
      <w:r w:rsidRPr="00BC6B85">
        <w:t xml:space="preserve"> в ходе сессии.</w:t>
      </w: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Рабочая группа по гендерным аспектам статуса беженца, убежища и</w:t>
      </w:r>
      <w:r>
        <w:t> </w:t>
      </w:r>
      <w:r w:rsidRPr="00BC6B85">
        <w:t>безгражданства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SingleTxt"/>
      </w:pPr>
      <w:r w:rsidRPr="00BC6B85">
        <w:t>37.</w:t>
      </w:r>
      <w:r>
        <w:tab/>
      </w:r>
      <w:r w:rsidRPr="00BC6B85">
        <w:t>Рабочая группа не проводила заседаний в ходе сессии, но изменила свое название, отказавшись от прежнего названия «Рабочая группа по вопросам гендерного равенства в контексте убежища и безгражданства».</w:t>
      </w: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Рабочая группа по сельским женщинам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SingleTxt"/>
      </w:pPr>
      <w:r w:rsidRPr="00BC6B85">
        <w:t>38.</w:t>
      </w:r>
      <w:r>
        <w:tab/>
      </w:r>
      <w:r w:rsidRPr="00BC6B85">
        <w:t xml:space="preserve">Рабочая группа не проводила заседаний в ходе сессии. В межсессионный период она была информирована </w:t>
      </w:r>
      <w:r>
        <w:t>с</w:t>
      </w:r>
      <w:r w:rsidRPr="00BC6B85">
        <w:t>екретариатом о ходе подготовки к общей дискуссии продолжительность</w:t>
      </w:r>
      <w:r>
        <w:t>ю</w:t>
      </w:r>
      <w:r w:rsidRPr="00BC6B85">
        <w:t xml:space="preserve"> в половину дня по вопросу о сельских же</w:t>
      </w:r>
      <w:r w:rsidRPr="00BC6B85">
        <w:t>н</w:t>
      </w:r>
      <w:r w:rsidRPr="00BC6B85">
        <w:t>щинах, намеченной на 7</w:t>
      </w:r>
      <w:r>
        <w:t> </w:t>
      </w:r>
      <w:r w:rsidRPr="00BC6B85">
        <w:t>октября 2013</w:t>
      </w:r>
      <w:r>
        <w:t> </w:t>
      </w:r>
      <w:r w:rsidRPr="00BC6B85">
        <w:t>года.</w:t>
      </w: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  <w:rPr>
          <w:b/>
        </w:rPr>
      </w:pPr>
      <w:r w:rsidRPr="00BC6B85">
        <w:rPr>
          <w:b/>
        </w:rPr>
        <w:t>Рабочая группа по изменению климата и стихийным бедствиям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SingleTxt"/>
      </w:pPr>
      <w:r w:rsidRPr="00BC6B85">
        <w:t>39.</w:t>
      </w:r>
      <w:r>
        <w:tab/>
      </w:r>
      <w:r w:rsidRPr="00BC6B85">
        <w:t>Рабочая группа не проводила заседаний в ходе сессии.</w:t>
      </w: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  <w:rPr>
          <w:b/>
        </w:rPr>
      </w:pPr>
      <w:r w:rsidRPr="00BC6B85">
        <w:rPr>
          <w:b/>
        </w:rPr>
        <w:t>Рабочая группа по вопросу о праве на образование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SingleTxt"/>
      </w:pPr>
      <w:r w:rsidRPr="00BC6B85">
        <w:t>40.</w:t>
      </w:r>
      <w:r>
        <w:tab/>
      </w:r>
      <w:r w:rsidRPr="00BC6B85">
        <w:t>Рабочая группа пров</w:t>
      </w:r>
      <w:r>
        <w:t xml:space="preserve">одила </w:t>
      </w:r>
      <w:r w:rsidRPr="00BC6B85">
        <w:t>заседани</w:t>
      </w:r>
      <w:r>
        <w:t>я</w:t>
      </w:r>
      <w:r w:rsidRPr="00BC6B85">
        <w:t xml:space="preserve"> в ходе сессии. 24</w:t>
      </w:r>
      <w:r>
        <w:t> </w:t>
      </w:r>
      <w:r w:rsidRPr="00BC6B85">
        <w:t xml:space="preserve">июля </w:t>
      </w:r>
      <w:r>
        <w:t xml:space="preserve">2013 года </w:t>
      </w:r>
      <w:r w:rsidRPr="00BC6B85">
        <w:t>она провела селекторное совещание с участием профессора университета Джона Хопкинса, Вашингтон, О.К., Мохаммеда Маттара в целях обсуждения подг</w:t>
      </w:r>
      <w:r w:rsidRPr="00BC6B85">
        <w:t>о</w:t>
      </w:r>
      <w:r w:rsidRPr="00BC6B85">
        <w:t>товленной им концептуальной записки по вопросу о праве на образование. Р</w:t>
      </w:r>
      <w:r w:rsidRPr="00BC6B85">
        <w:t>а</w:t>
      </w:r>
      <w:r w:rsidRPr="00BC6B85">
        <w:t>бочая группа обсудила также последующие шаги для разработки общей рек</w:t>
      </w:r>
      <w:r w:rsidRPr="00BC6B85">
        <w:t>о</w:t>
      </w:r>
      <w:r w:rsidRPr="00BC6B85">
        <w:t>мендации по вопросу о праве на образование, т.е.</w:t>
      </w:r>
      <w:r>
        <w:t> </w:t>
      </w:r>
      <w:r w:rsidRPr="00BC6B85">
        <w:t>завершение работы над пр</w:t>
      </w:r>
      <w:r w:rsidRPr="00BC6B85">
        <w:t>о</w:t>
      </w:r>
      <w:r w:rsidRPr="00BC6B85">
        <w:t>ектом концептуальной записки и его презентаци</w:t>
      </w:r>
      <w:r>
        <w:t>ю</w:t>
      </w:r>
      <w:r w:rsidRPr="00BC6B85">
        <w:t xml:space="preserve"> Комитету на пятьдесят седьмой сессии в феврале 2013</w:t>
      </w:r>
      <w:r>
        <w:t> </w:t>
      </w:r>
      <w:r w:rsidRPr="00BC6B85">
        <w:t>года и организаци</w:t>
      </w:r>
      <w:r>
        <w:t>ю</w:t>
      </w:r>
      <w:r w:rsidRPr="00BC6B85">
        <w:t xml:space="preserve"> общей дискуссии продо</w:t>
      </w:r>
      <w:r w:rsidRPr="00BC6B85">
        <w:t>л</w:t>
      </w:r>
      <w:r w:rsidRPr="00BC6B85">
        <w:t>жительностью в половину дня по вопросу о праве на образование, предпол</w:t>
      </w:r>
      <w:r w:rsidRPr="00BC6B85">
        <w:t>о</w:t>
      </w:r>
      <w:r w:rsidRPr="00BC6B85">
        <w:t>жительно в ходе пят</w:t>
      </w:r>
      <w:r w:rsidRPr="00BC6B85">
        <w:t>ь</w:t>
      </w:r>
      <w:r w:rsidRPr="00BC6B85">
        <w:t>десят девятой сессии в июле 2014</w:t>
      </w:r>
      <w:r>
        <w:t> </w:t>
      </w:r>
      <w:r w:rsidRPr="00BC6B85">
        <w:t>года.</w:t>
      </w: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Рабочая группа по методам работы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SingleTxt"/>
      </w:pPr>
      <w:r w:rsidRPr="00BC6B85">
        <w:t>41.</w:t>
      </w:r>
      <w:r>
        <w:tab/>
      </w:r>
      <w:r w:rsidRPr="00BC6B85">
        <w:t>Рабочая группа пров</w:t>
      </w:r>
      <w:r>
        <w:t>оди</w:t>
      </w:r>
      <w:r w:rsidRPr="00BC6B85">
        <w:t>ла заседани</w:t>
      </w:r>
      <w:r>
        <w:t>я</w:t>
      </w:r>
      <w:r w:rsidRPr="00BC6B85">
        <w:t xml:space="preserve"> в ходе сессии.</w:t>
      </w: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BC6B85">
        <w:t>Глава</w:t>
      </w:r>
      <w:r>
        <w:t> </w:t>
      </w:r>
      <w:r w:rsidRPr="00BC6B85">
        <w:rPr>
          <w:lang w:val="en-US"/>
        </w:rPr>
        <w:t>VIII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1D2404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1824">
        <w:tab/>
      </w:r>
      <w:r w:rsidRPr="00691824">
        <w:tab/>
      </w:r>
      <w:r w:rsidRPr="00BC6B85">
        <w:t>Предварительная повестка дня пятьдесят шестой сессии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BC6B85" w:rsidRDefault="00F449B5" w:rsidP="00F449B5">
      <w:pPr>
        <w:pStyle w:val="SingleTxt"/>
      </w:pPr>
      <w:r w:rsidRPr="00BC6B85">
        <w:t>42.</w:t>
      </w:r>
      <w:r w:rsidRPr="001D2404">
        <w:tab/>
      </w:r>
      <w:r w:rsidRPr="00BC6B85">
        <w:t>На своем 1156</w:t>
      </w:r>
      <w:r>
        <w:noBreakHyphen/>
        <w:t>м </w:t>
      </w:r>
      <w:r w:rsidRPr="00BC6B85">
        <w:t>заседании 26</w:t>
      </w:r>
      <w:r>
        <w:rPr>
          <w:lang w:val="en-US"/>
        </w:rPr>
        <w:t> </w:t>
      </w:r>
      <w:r w:rsidRPr="00BC6B85">
        <w:t>июля 2013</w:t>
      </w:r>
      <w:r>
        <w:rPr>
          <w:lang w:val="en-US"/>
        </w:rPr>
        <w:t> </w:t>
      </w:r>
      <w:r w:rsidRPr="00BC6B85">
        <w:t>года Комитет рассмотрел пр</w:t>
      </w:r>
      <w:r w:rsidRPr="00BC6B85">
        <w:t>о</w:t>
      </w:r>
      <w:r w:rsidRPr="00BC6B85">
        <w:t>ект предварительной повестки дня своей пятьдесят шестой сессии и утвердил сл</w:t>
      </w:r>
      <w:r w:rsidRPr="00BC6B85">
        <w:t>е</w:t>
      </w:r>
      <w:r w:rsidRPr="00BC6B85">
        <w:t>дующую предварительную повестку дня этой сессии:</w:t>
      </w:r>
    </w:p>
    <w:p w:rsidR="00F449B5" w:rsidRPr="00BC6B85" w:rsidRDefault="00F449B5" w:rsidP="00F449B5">
      <w:pPr>
        <w:pStyle w:val="SingleTxt"/>
      </w:pPr>
      <w:r w:rsidRPr="00BC6B85">
        <w:t>1.</w:t>
      </w:r>
      <w:r w:rsidRPr="001D2404">
        <w:tab/>
      </w:r>
      <w:r w:rsidRPr="00BC6B85">
        <w:t>Открытие сессии.</w:t>
      </w:r>
    </w:p>
    <w:p w:rsidR="00F449B5" w:rsidRPr="00BC6B85" w:rsidRDefault="00F449B5" w:rsidP="00F449B5">
      <w:pPr>
        <w:pStyle w:val="SingleTxt"/>
      </w:pPr>
      <w:r w:rsidRPr="00BC6B85">
        <w:t>2.</w:t>
      </w:r>
      <w:r w:rsidRPr="001D2404">
        <w:tab/>
      </w:r>
      <w:r w:rsidRPr="00BC6B85">
        <w:t>Утверждение повестки дня и организация работы.</w:t>
      </w:r>
    </w:p>
    <w:p w:rsidR="00F449B5" w:rsidRPr="00BC6B85" w:rsidRDefault="00F449B5" w:rsidP="00F449B5">
      <w:pPr>
        <w:pStyle w:val="SingleTxt"/>
        <w:ind w:left="1742" w:hanging="475"/>
      </w:pPr>
      <w:r w:rsidRPr="00BC6B85">
        <w:t>3.</w:t>
      </w:r>
      <w:r w:rsidRPr="001D2404">
        <w:tab/>
      </w:r>
      <w:r w:rsidRPr="00BC6B85">
        <w:t>Доклад Председателя о мероприятиях, проведенных в период между пятьдесят пятой и пятьдесят шестой сессиями Комитета.</w:t>
      </w:r>
    </w:p>
    <w:p w:rsidR="00F449B5" w:rsidRPr="00BC6B85" w:rsidRDefault="00F449B5" w:rsidP="00F449B5">
      <w:pPr>
        <w:pStyle w:val="SingleTxt"/>
        <w:ind w:left="1742" w:hanging="475"/>
      </w:pPr>
      <w:r w:rsidRPr="00BC6B85">
        <w:t>4.</w:t>
      </w:r>
      <w:r w:rsidRPr="001D2404">
        <w:tab/>
      </w:r>
      <w:r w:rsidRPr="00BC6B85">
        <w:t>Рассмотрение докладов, представленных государствами-участниками в соответствии со статьей</w:t>
      </w:r>
      <w:r>
        <w:rPr>
          <w:lang w:val="en-US"/>
        </w:rPr>
        <w:t> </w:t>
      </w:r>
      <w:r w:rsidRPr="00BC6B85">
        <w:t>18 Конвенции о ликвидации всех форм дискр</w:t>
      </w:r>
      <w:r w:rsidRPr="00BC6B85">
        <w:t>и</w:t>
      </w:r>
      <w:r w:rsidRPr="00BC6B85">
        <w:t>минации в отношении женщин.</w:t>
      </w:r>
    </w:p>
    <w:p w:rsidR="00F449B5" w:rsidRPr="00BC6B85" w:rsidRDefault="00F449B5" w:rsidP="00F449B5">
      <w:pPr>
        <w:pStyle w:val="SingleTxt"/>
        <w:ind w:left="1742" w:hanging="475"/>
      </w:pPr>
      <w:r w:rsidRPr="00BC6B85">
        <w:t>5.</w:t>
      </w:r>
      <w:r w:rsidRPr="001D2404">
        <w:tab/>
      </w:r>
      <w:r w:rsidRPr="00BC6B85">
        <w:t>Последующ</w:t>
      </w:r>
      <w:r>
        <w:t>ая</w:t>
      </w:r>
      <w:r w:rsidRPr="00BC6B85">
        <w:t xml:space="preserve"> </w:t>
      </w:r>
      <w:r>
        <w:t xml:space="preserve">деятельность </w:t>
      </w:r>
      <w:r w:rsidRPr="00BC6B85">
        <w:t>в связи с заключительным рассмотрением д</w:t>
      </w:r>
      <w:r w:rsidRPr="00BC6B85">
        <w:t>о</w:t>
      </w:r>
      <w:r w:rsidRPr="00BC6B85">
        <w:t>кладов, представляемых государствами-участниками в соответствии со статьей</w:t>
      </w:r>
      <w:r>
        <w:t> </w:t>
      </w:r>
      <w:r w:rsidRPr="00BC6B85">
        <w:t>18 Конвенции о ликвидации всех форм дискриминации в отнош</w:t>
      </w:r>
      <w:r w:rsidRPr="00BC6B85">
        <w:t>е</w:t>
      </w:r>
      <w:r w:rsidRPr="00BC6B85">
        <w:t>нии же</w:t>
      </w:r>
      <w:r w:rsidRPr="00BC6B85">
        <w:t>н</w:t>
      </w:r>
      <w:r w:rsidRPr="00BC6B85">
        <w:t>щин.</w:t>
      </w:r>
    </w:p>
    <w:p w:rsidR="00F449B5" w:rsidRPr="00BC6B85" w:rsidRDefault="00F449B5" w:rsidP="00F449B5">
      <w:pPr>
        <w:pStyle w:val="SingleTxt"/>
        <w:ind w:left="1742" w:hanging="475"/>
      </w:pPr>
      <w:r w:rsidRPr="00BC6B85">
        <w:t>6.</w:t>
      </w:r>
      <w:r>
        <w:tab/>
      </w:r>
      <w:r w:rsidRPr="00BC6B85">
        <w:t>Осуществление статей</w:t>
      </w:r>
      <w:r>
        <w:t> </w:t>
      </w:r>
      <w:r w:rsidRPr="00BC6B85">
        <w:t>21 и 22 Конвенции о ликвидации всех форм ди</w:t>
      </w:r>
      <w:r w:rsidRPr="00BC6B85">
        <w:t>с</w:t>
      </w:r>
      <w:r w:rsidRPr="00BC6B85">
        <w:t>криминации в отношении женщин.</w:t>
      </w:r>
    </w:p>
    <w:p w:rsidR="00F449B5" w:rsidRPr="00BC6B85" w:rsidRDefault="00F449B5" w:rsidP="00F449B5">
      <w:pPr>
        <w:pStyle w:val="SingleTxt"/>
      </w:pPr>
      <w:r w:rsidRPr="00BC6B85">
        <w:t>7.</w:t>
      </w:r>
      <w:r>
        <w:tab/>
      </w:r>
      <w:r w:rsidRPr="00BC6B85">
        <w:t>Пути и средства повышения оперативности работы Комитета.</w:t>
      </w:r>
    </w:p>
    <w:p w:rsidR="00F449B5" w:rsidRPr="00BC6B85" w:rsidRDefault="00F449B5" w:rsidP="00F449B5">
      <w:pPr>
        <w:pStyle w:val="SingleTxt"/>
        <w:ind w:left="1742" w:hanging="475"/>
      </w:pPr>
      <w:r w:rsidRPr="00BC6B85">
        <w:t>8.</w:t>
      </w:r>
      <w:r>
        <w:tab/>
      </w:r>
      <w:r w:rsidRPr="00BC6B85">
        <w:t>Деятельность Комитета в рамках Факультативного протокола к Конвенции о ликвидации всех форм дискриминации в отношении женщин.</w:t>
      </w:r>
    </w:p>
    <w:p w:rsidR="00F449B5" w:rsidRPr="00BC6B85" w:rsidRDefault="00F449B5" w:rsidP="00F449B5">
      <w:pPr>
        <w:pStyle w:val="SingleTxt"/>
      </w:pPr>
      <w:r w:rsidRPr="00BC6B85">
        <w:t>9.</w:t>
      </w:r>
      <w:r>
        <w:tab/>
      </w:r>
      <w:r w:rsidRPr="00BC6B85">
        <w:t>Предварительная повестка дня пятьдесят седьмой сессии Комитета.</w:t>
      </w:r>
    </w:p>
    <w:p w:rsidR="00F449B5" w:rsidRDefault="00F449B5" w:rsidP="00F449B5">
      <w:pPr>
        <w:pStyle w:val="SingleTxt"/>
      </w:pPr>
      <w:r w:rsidRPr="00BC6B85">
        <w:t>10.</w:t>
      </w:r>
      <w:r>
        <w:tab/>
      </w:r>
      <w:r w:rsidRPr="00BC6B85">
        <w:t>Утверждение доклада Комитета о работе его пятьдесят шестой сессии.</w:t>
      </w: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BC6B85" w:rsidRDefault="00F449B5" w:rsidP="00F449B5">
      <w:pPr>
        <w:pStyle w:val="SingleTxt"/>
      </w:pP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BC6B85">
        <w:t>Глава</w:t>
      </w:r>
      <w:r>
        <w:t> </w:t>
      </w:r>
      <w:r w:rsidRPr="00BC6B85">
        <w:rPr>
          <w:lang w:val="en-US"/>
        </w:rPr>
        <w:t>IX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Утверждение доклада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SingleTxt"/>
      </w:pPr>
      <w:r w:rsidRPr="00BC6B85">
        <w:t>43.</w:t>
      </w:r>
      <w:r>
        <w:tab/>
      </w:r>
      <w:r w:rsidRPr="00BC6B85">
        <w:t>Комитет 26</w:t>
      </w:r>
      <w:r>
        <w:t> </w:t>
      </w:r>
      <w:r w:rsidRPr="00BC6B85">
        <w:t>июля 2013</w:t>
      </w:r>
      <w:r>
        <w:t> </w:t>
      </w:r>
      <w:r w:rsidRPr="00BC6B85">
        <w:t>года рассмотрел проект доклада о ходе работы его пятьдесят пятой сессии и добавления к нему и утвердил его с внесенными в него в ходе обсуждения устными поправками.</w:t>
      </w: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BC6B85">
        <w:t>Приложение</w:t>
      </w:r>
      <w:r>
        <w:t> </w:t>
      </w:r>
      <w:r w:rsidRPr="00BC6B85">
        <w:rPr>
          <w:lang w:val="en-US"/>
        </w:rPr>
        <w:t>I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67514E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Решение</w:t>
      </w:r>
      <w:r>
        <w:t> </w:t>
      </w:r>
      <w:r w:rsidRPr="00BC6B85">
        <w:t>55/</w:t>
      </w:r>
      <w:r w:rsidRPr="00BC6B85">
        <w:rPr>
          <w:lang w:val="en-US"/>
        </w:rPr>
        <w:t>I</w:t>
      </w:r>
    </w:p>
    <w:p w:rsidR="00F449B5" w:rsidRDefault="0067514E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449B5" w:rsidRPr="00BC6B85">
        <w:t>Заявление Комитета по ликвидации дискриминации</w:t>
      </w:r>
      <w:r w:rsidR="00F449B5">
        <w:br/>
      </w:r>
      <w:r w:rsidR="00F449B5" w:rsidRPr="00BC6B85">
        <w:t>в отношении женщин по вопросу о роли женщин</w:t>
      </w:r>
      <w:r w:rsidR="00F449B5">
        <w:br/>
      </w:r>
      <w:r w:rsidR="00F449B5" w:rsidRPr="00BC6B85">
        <w:t>в условиях политических преобразований в</w:t>
      </w:r>
      <w:r w:rsidR="00F449B5">
        <w:t> </w:t>
      </w:r>
      <w:r w:rsidR="00F449B5" w:rsidRPr="00BC6B85">
        <w:t>Египте, Ливии и Тунисе</w:t>
      </w:r>
    </w:p>
    <w:p w:rsid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Принято 26</w:t>
      </w:r>
      <w:r>
        <w:t> </w:t>
      </w:r>
      <w:r w:rsidRPr="00BC6B85">
        <w:t>июля 2013</w:t>
      </w:r>
      <w:r>
        <w:t> </w:t>
      </w:r>
      <w:r w:rsidRPr="00BC6B85">
        <w:t>года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BC6B85" w:rsidRDefault="00F449B5" w:rsidP="00F449B5">
      <w:pPr>
        <w:pStyle w:val="SingleTxt"/>
      </w:pPr>
      <w:r w:rsidRPr="00BC6B85">
        <w:tab/>
        <w:t>Комитет по ликвидации дискриминации в отношении женщин с глубоким интересом следит за политич</w:t>
      </w:r>
      <w:r w:rsidRPr="00BC6B85">
        <w:t>е</w:t>
      </w:r>
      <w:r w:rsidRPr="00BC6B85">
        <w:t>скими преобразованиями в трех государствах</w:t>
      </w:r>
      <w:r>
        <w:t xml:space="preserve"> — </w:t>
      </w:r>
      <w:r w:rsidRPr="00BC6B85">
        <w:t xml:space="preserve">участниках Конвенции о ликвидации всех форм дискриминации в отношении женщин, а именно в Египте, Ливии и Тунисе, в частности в том, что касается положения женщин. </w:t>
      </w:r>
    </w:p>
    <w:p w:rsidR="00F449B5" w:rsidRPr="00BC6B85" w:rsidRDefault="00F449B5" w:rsidP="00F449B5">
      <w:pPr>
        <w:pStyle w:val="SingleTxt"/>
      </w:pPr>
      <w:r>
        <w:tab/>
      </w:r>
      <w:r w:rsidRPr="00BC6B85">
        <w:t>В этой связи Комитет напоминает, что права женщин неразрывно связаны с миром, безопасностью и устойчивым развитием. Комитет далее вновь заявл</w:t>
      </w:r>
      <w:r w:rsidRPr="00BC6B85">
        <w:t>я</w:t>
      </w:r>
      <w:r w:rsidRPr="00BC6B85">
        <w:t>ет, что Конвенция и Факультативный протокол к ней служат всеобъемлющей и важнейшей юридически обязательной международной основой предупрежд</w:t>
      </w:r>
      <w:r w:rsidRPr="00BC6B85">
        <w:t>е</w:t>
      </w:r>
      <w:r w:rsidRPr="00BC6B85">
        <w:t>ния и искоренения всех форм дискриминации в отношении женщин, включая насилие в отношении женщин, в качестве междисциплинарного вопроса, кот</w:t>
      </w:r>
      <w:r w:rsidRPr="00BC6B85">
        <w:t>о</w:t>
      </w:r>
      <w:r w:rsidRPr="00BC6B85">
        <w:t>рый также рассматривается в других международных документах по правам человека.</w:t>
      </w:r>
    </w:p>
    <w:p w:rsidR="00F449B5" w:rsidRPr="00BC6B85" w:rsidRDefault="00F449B5" w:rsidP="00F449B5">
      <w:pPr>
        <w:pStyle w:val="SingleTxt"/>
      </w:pPr>
      <w:r>
        <w:tab/>
      </w:r>
      <w:r w:rsidRPr="00BC6B85">
        <w:t>В то же время Комитет крайне обеспокоен попытками дискредитировать Конвенцию. Он напоминает, что все государства-участники несут юридич</w:t>
      </w:r>
      <w:r w:rsidRPr="00BC6B85">
        <w:t>е</w:t>
      </w:r>
      <w:r w:rsidRPr="00BC6B85">
        <w:t>скую ответственность за осуществление всех положений Конвенции во всех политических, социальных и экономических условиях и за принятие всех надлежащих мер по запрещению и предупреждению нарушений прав женщин.</w:t>
      </w:r>
    </w:p>
    <w:p w:rsidR="00F449B5" w:rsidRPr="00BC6B85" w:rsidRDefault="00F449B5" w:rsidP="00F449B5">
      <w:pPr>
        <w:pStyle w:val="SingleTxt"/>
      </w:pPr>
      <w:r>
        <w:tab/>
      </w:r>
      <w:r w:rsidRPr="00BC6B85">
        <w:t>Комитет настоятельно призывает все государства-участники решительно осуждать все формы насилия в отношении женщин и девочек и обеспечивать, чтобы связанные с обычаями традиционные и культурные или религиозные с</w:t>
      </w:r>
      <w:r w:rsidRPr="00BC6B85">
        <w:t>о</w:t>
      </w:r>
      <w:r w:rsidRPr="00BC6B85">
        <w:t>ображения не использовались для оправдания невыполнения их юридических обяз</w:t>
      </w:r>
      <w:r w:rsidRPr="00BC6B85">
        <w:t>а</w:t>
      </w:r>
      <w:r w:rsidRPr="00BC6B85">
        <w:t>тельств в соответствии с Конвенцией.</w:t>
      </w:r>
    </w:p>
    <w:p w:rsidR="00F449B5" w:rsidRPr="00BC6B85" w:rsidRDefault="00F449B5" w:rsidP="00F449B5">
      <w:pPr>
        <w:pStyle w:val="SingleTxt"/>
      </w:pPr>
      <w:r>
        <w:tab/>
      </w:r>
      <w:r w:rsidRPr="00BC6B85">
        <w:t>Комитет далее выражает обеспокоенность по поводу ограниченного пол</w:t>
      </w:r>
      <w:r w:rsidRPr="00BC6B85">
        <w:t>и</w:t>
      </w:r>
      <w:r w:rsidRPr="00BC6B85">
        <w:t>тического участия женщин и испытываемого ими риска изоляции и маргинал</w:t>
      </w:r>
      <w:r w:rsidRPr="00BC6B85">
        <w:t>и</w:t>
      </w:r>
      <w:r w:rsidRPr="00BC6B85">
        <w:t>зации, несмотря на их активную роль на переходных этапах развития в их с</w:t>
      </w:r>
      <w:r w:rsidRPr="00BC6B85">
        <w:t>о</w:t>
      </w:r>
      <w:r w:rsidRPr="00BC6B85">
        <w:t>ответствующих странах.</w:t>
      </w:r>
    </w:p>
    <w:p w:rsidR="00F449B5" w:rsidRPr="00BC6B85" w:rsidRDefault="00F449B5" w:rsidP="00F449B5">
      <w:pPr>
        <w:pStyle w:val="SingleTxt"/>
      </w:pPr>
      <w:r>
        <w:tab/>
      </w:r>
      <w:r w:rsidRPr="00BC6B85">
        <w:t>Комитет настоятельно призывает затронутые правительства в сотруднич</w:t>
      </w:r>
      <w:r w:rsidRPr="00BC6B85">
        <w:t>е</w:t>
      </w:r>
      <w:r w:rsidRPr="00BC6B85">
        <w:t>стве с соответствующими органами и учреждениями Организации Объедине</w:t>
      </w:r>
      <w:r w:rsidRPr="00BC6B85">
        <w:t>н</w:t>
      </w:r>
      <w:r w:rsidRPr="00BC6B85">
        <w:t>ных Наций, неправительственными организациями и всеми другими соотве</w:t>
      </w:r>
      <w:r w:rsidRPr="00BC6B85">
        <w:t>т</w:t>
      </w:r>
      <w:r w:rsidRPr="00BC6B85">
        <w:t>ствующими участниками в полной мере выполнять свои обязательства по ос</w:t>
      </w:r>
      <w:r w:rsidRPr="00BC6B85">
        <w:t>у</w:t>
      </w:r>
      <w:r w:rsidRPr="00BC6B85">
        <w:t>ществлению Конвенции, с тем чтобы предоставить женщинам возможность осуществлять все свои права человека на равной основе с мужчинами и пов</w:t>
      </w:r>
      <w:r w:rsidRPr="00BC6B85">
        <w:t>ы</w:t>
      </w:r>
      <w:r w:rsidRPr="00BC6B85">
        <w:t>шать информированность о том, что Конвенция является общим стандартом человечества, развитию которого способствуют все цивилизации и культуры.</w:t>
      </w:r>
    </w:p>
    <w:p w:rsidR="00F449B5" w:rsidRDefault="00F449B5" w:rsidP="00F449B5">
      <w:pPr>
        <w:pStyle w:val="SingleTxt"/>
      </w:pPr>
      <w:r>
        <w:tab/>
      </w:r>
      <w:r w:rsidRPr="00BC6B85">
        <w:t>Комитет готов оказывать соответствующим государствам-участникам п</w:t>
      </w:r>
      <w:r w:rsidRPr="00BC6B85">
        <w:t>о</w:t>
      </w:r>
      <w:r w:rsidRPr="00BC6B85">
        <w:t>мощь в их усилиях.</w:t>
      </w: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6B85">
        <w:t>Приложение</w:t>
      </w:r>
      <w:r>
        <w:t> </w:t>
      </w:r>
      <w:r w:rsidRPr="00BC6B85">
        <w:rPr>
          <w:lang w:val="en-US"/>
        </w:rPr>
        <w:t>II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5B3CA9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</w:r>
      <w:r w:rsidRPr="00BC6B85">
        <w:t>Решение</w:t>
      </w:r>
      <w:r>
        <w:t> </w:t>
      </w:r>
      <w:r w:rsidRPr="00BC6B85">
        <w:t>55/</w:t>
      </w:r>
      <w:r w:rsidRPr="00BC6B85">
        <w:rPr>
          <w:lang w:val="en-US"/>
        </w:rPr>
        <w:t>II</w:t>
      </w:r>
    </w:p>
    <w:p w:rsidR="00F449B5" w:rsidRDefault="005B3CA9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F449B5" w:rsidRPr="00BC6B85">
        <w:t>Заявление Комитета по ликвидации дискриминации</w:t>
      </w:r>
      <w:r w:rsidR="00F449B5">
        <w:br/>
      </w:r>
      <w:r w:rsidR="00F449B5" w:rsidRPr="00BC6B85">
        <w:t>в отношении женщин об укреплении сотрудничества</w:t>
      </w:r>
      <w:r w:rsidR="00F449B5">
        <w:br/>
      </w:r>
      <w:r w:rsidR="00F449B5" w:rsidRPr="00BC6B85">
        <w:t xml:space="preserve">со </w:t>
      </w:r>
      <w:r w:rsidR="00F449B5">
        <w:t>С</w:t>
      </w:r>
      <w:r w:rsidR="00F449B5" w:rsidRPr="00BC6B85">
        <w:t>труктурой «ООН-женщины»</w:t>
      </w:r>
    </w:p>
    <w:p w:rsid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1D240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Принято 26</w:t>
      </w:r>
      <w:r>
        <w:t> </w:t>
      </w:r>
      <w:r w:rsidRPr="00BC6B85">
        <w:t>июля 2013</w:t>
      </w:r>
      <w:r>
        <w:t> </w:t>
      </w:r>
      <w:r w:rsidRPr="00BC6B85">
        <w:t>года</w:t>
      </w:r>
    </w:p>
    <w:p w:rsidR="00F449B5" w:rsidRPr="001D240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BC6B85" w:rsidRDefault="00F449B5" w:rsidP="00F449B5">
      <w:pPr>
        <w:pStyle w:val="SingleTxt"/>
      </w:pPr>
      <w:r w:rsidRPr="00BC6B85">
        <w:t>1.</w:t>
      </w:r>
      <w:r>
        <w:tab/>
      </w:r>
      <w:r w:rsidRPr="00BC6B85">
        <w:t>Комитет по ликвидации дискриминации в отношении женщин тепло пр</w:t>
      </w:r>
      <w:r w:rsidRPr="00BC6B85">
        <w:t>и</w:t>
      </w:r>
      <w:r w:rsidRPr="00BC6B85">
        <w:t>ветствует назначение Фумзиле Мламбо-Нгкуки Директором-исполнителем Структуры «ООН-женщины» с учетом ее широкой известности и опыта.</w:t>
      </w:r>
    </w:p>
    <w:p w:rsidR="00F449B5" w:rsidRPr="00BC6B85" w:rsidRDefault="00F449B5" w:rsidP="00F449B5">
      <w:pPr>
        <w:pStyle w:val="SingleTxt"/>
      </w:pPr>
      <w:r w:rsidRPr="00BC6B85">
        <w:t>2.</w:t>
      </w:r>
      <w:r>
        <w:tab/>
      </w:r>
      <w:r w:rsidRPr="00BC6B85">
        <w:t>Комитет напоминает о том, что равенство между женщинами и мужчин</w:t>
      </w:r>
      <w:r w:rsidRPr="00BC6B85">
        <w:t>а</w:t>
      </w:r>
      <w:r w:rsidRPr="00BC6B85">
        <w:t>ми является одним из основополагающих принципов устойчивого развития, мира и демократии, и считает, что Структура «ООН-женщины» должна играть ключевую роль в деле оказания государствам-участникам содействия в ос</w:t>
      </w:r>
      <w:r w:rsidRPr="00BC6B85">
        <w:t>у</w:t>
      </w:r>
      <w:r w:rsidRPr="00BC6B85">
        <w:t>ществлении их юридических обязательств в соответствии с Конвенцией и др</w:t>
      </w:r>
      <w:r w:rsidRPr="00BC6B85">
        <w:t>у</w:t>
      </w:r>
      <w:r w:rsidRPr="00BC6B85">
        <w:t>гими нормами и стандартами защиты и улучшения положения женщин.</w:t>
      </w:r>
    </w:p>
    <w:p w:rsidR="00F449B5" w:rsidRPr="00BC6B85" w:rsidRDefault="00F449B5" w:rsidP="00F449B5">
      <w:pPr>
        <w:pStyle w:val="SingleTxt"/>
      </w:pPr>
      <w:r w:rsidRPr="00BC6B85">
        <w:t>3.</w:t>
      </w:r>
      <w:r>
        <w:tab/>
      </w:r>
      <w:r w:rsidRPr="00BC6B85">
        <w:t>Комитет считает, что повестка дня в области развития на период после 2015</w:t>
      </w:r>
      <w:r>
        <w:t> </w:t>
      </w:r>
      <w:r w:rsidRPr="00BC6B85">
        <w:t>года предоставляет возможность установления новых связей между дог</w:t>
      </w:r>
      <w:r w:rsidRPr="00BC6B85">
        <w:t>о</w:t>
      </w:r>
      <w:r w:rsidRPr="00BC6B85">
        <w:t>ворными органами по правам человека и структурами в области развития, а также обеспечения более эффективного использования финансовых ресурсов. В рамках любых таких усилий в первую очередь должны рассматриваться а</w:t>
      </w:r>
      <w:r w:rsidRPr="00BC6B85">
        <w:t>с</w:t>
      </w:r>
      <w:r w:rsidRPr="00BC6B85">
        <w:t>пекты расширения прав и возможностей женщин и эффективной реализации прав женщин в соответствии с Конвенцией о ликвидации всех форм дискрим</w:t>
      </w:r>
      <w:r w:rsidRPr="00BC6B85">
        <w:t>и</w:t>
      </w:r>
      <w:r w:rsidRPr="00BC6B85">
        <w:t>нации в отношении женщин.</w:t>
      </w:r>
    </w:p>
    <w:p w:rsidR="00F449B5" w:rsidRPr="00BC6B85" w:rsidRDefault="00F449B5" w:rsidP="00F449B5">
      <w:pPr>
        <w:pStyle w:val="SingleTxt"/>
      </w:pPr>
      <w:r w:rsidRPr="00BC6B85">
        <w:t>4.</w:t>
      </w:r>
      <w:r>
        <w:tab/>
      </w:r>
      <w:r w:rsidRPr="00BC6B85">
        <w:t>Комитет подчеркивает, что в рамках текущего процесса разработки п</w:t>
      </w:r>
      <w:r w:rsidRPr="00BC6B85">
        <w:t>о</w:t>
      </w:r>
      <w:r w:rsidRPr="00BC6B85">
        <w:t>вестки дня в области развития на период после 2015</w:t>
      </w:r>
      <w:r>
        <w:t> </w:t>
      </w:r>
      <w:r w:rsidRPr="00BC6B85">
        <w:t>года Конвенция благодаря своему целостному подходу служит универсальной основой для обеспечения формального и подлинного равенства между женщинами и мужчинами.</w:t>
      </w:r>
    </w:p>
    <w:p w:rsidR="00F449B5" w:rsidRPr="00BC6B85" w:rsidRDefault="00F449B5" w:rsidP="00F449B5">
      <w:pPr>
        <w:pStyle w:val="SingleTxt"/>
      </w:pPr>
      <w:r w:rsidRPr="00BC6B85">
        <w:t>5.</w:t>
      </w:r>
      <w:r>
        <w:tab/>
      </w:r>
      <w:r w:rsidRPr="00BC6B85">
        <w:t>Комитет с удовлетворением отмечает существующие связи со Структурой «ООН-женщины» и Комиссией по положению женщин и приветствует ос</w:t>
      </w:r>
      <w:r w:rsidRPr="00BC6B85">
        <w:t>у</w:t>
      </w:r>
      <w:r w:rsidRPr="00BC6B85">
        <w:t>ществление Общесистемного плана действий Организации Объединенных Наций по вопросам гендерного равенства и расширения прав и возможностей женщин. Он также намерен изучать пути и средства установления более про</w:t>
      </w:r>
      <w:r w:rsidRPr="00BC6B85">
        <w:t>ч</w:t>
      </w:r>
      <w:r w:rsidRPr="00BC6B85">
        <w:t>ного сотрудничества между Комитетом и системой Организации Объедине</w:t>
      </w:r>
      <w:r w:rsidRPr="00BC6B85">
        <w:t>н</w:t>
      </w:r>
      <w:r w:rsidRPr="00BC6B85">
        <w:t>ных Наций, особенно структурами по гендерным вопросам, с тем чтобы соде</w:t>
      </w:r>
      <w:r w:rsidRPr="00BC6B85">
        <w:t>й</w:t>
      </w:r>
      <w:r w:rsidRPr="00BC6B85">
        <w:t>ствовать усилению совместных действий в деле обеспечения гендерного р</w:t>
      </w:r>
      <w:r w:rsidRPr="00BC6B85">
        <w:t>а</w:t>
      </w:r>
      <w:r w:rsidRPr="00BC6B85">
        <w:t>венства и максимальных преимуществ для женщин на местах.</w:t>
      </w:r>
    </w:p>
    <w:p w:rsidR="00F449B5" w:rsidRPr="00BC6B85" w:rsidRDefault="00F449B5" w:rsidP="00F449B5">
      <w:pPr>
        <w:pStyle w:val="SingleTxt"/>
      </w:pPr>
      <w:r w:rsidRPr="00BC6B85">
        <w:t>6.</w:t>
      </w:r>
      <w:r>
        <w:tab/>
      </w:r>
      <w:r w:rsidRPr="00BC6B85">
        <w:t>Комитет считает, что его сотрудничество со Структурой «ООН-женщины» необходимо укреплять посредством формального и институционального пар</w:t>
      </w:r>
      <w:r w:rsidRPr="00BC6B85">
        <w:t>т</w:t>
      </w:r>
      <w:r w:rsidRPr="00BC6B85">
        <w:t>нерства, которое включает:</w:t>
      </w:r>
    </w:p>
    <w:p w:rsidR="00F449B5" w:rsidRPr="00BC6B85" w:rsidRDefault="00F449B5" w:rsidP="00F449B5">
      <w:pPr>
        <w:pStyle w:val="SingleTxt"/>
      </w:pPr>
      <w:r>
        <w:tab/>
      </w:r>
      <w:r w:rsidRPr="00BC6B85">
        <w:t>а)</w:t>
      </w:r>
      <w:r>
        <w:tab/>
      </w:r>
      <w:r w:rsidRPr="00BC6B85">
        <w:t>участие Комитета в международных, региональных и национальных совещаниях по вопросам улучшения положения женщин;</w:t>
      </w:r>
    </w:p>
    <w:p w:rsidR="00F449B5" w:rsidRPr="00BC6B85" w:rsidRDefault="00F449B5" w:rsidP="00F449B5">
      <w:pPr>
        <w:pStyle w:val="SingleTxt"/>
      </w:pPr>
      <w:r>
        <w:tab/>
      </w:r>
      <w:r w:rsidRPr="00BC6B85">
        <w:rPr>
          <w:lang w:val="en-US"/>
        </w:rPr>
        <w:t>b</w:t>
      </w:r>
      <w:r w:rsidRPr="00BC6B85">
        <w:t>)</w:t>
      </w:r>
      <w:r>
        <w:tab/>
      </w:r>
      <w:r w:rsidRPr="00BC6B85">
        <w:t>усиление его сотрудничества со Структурой «ООН-женщины» и с</w:t>
      </w:r>
      <w:r w:rsidRPr="00BC6B85">
        <w:t>и</w:t>
      </w:r>
      <w:r w:rsidRPr="00BC6B85">
        <w:t>стемой Организации Объединенных Наций в целом, особенно в деле соде</w:t>
      </w:r>
      <w:r w:rsidRPr="00BC6B85">
        <w:t>й</w:t>
      </w:r>
      <w:r w:rsidRPr="00BC6B85">
        <w:t>ствия осуществлению Конвенции в соответствии с общими рекомендациями и з</w:t>
      </w:r>
      <w:r w:rsidRPr="00BC6B85">
        <w:t>а</w:t>
      </w:r>
      <w:r w:rsidRPr="00BC6B85">
        <w:t>ключительными замечаниями Комитета;</w:t>
      </w:r>
    </w:p>
    <w:p w:rsidR="00F449B5" w:rsidRPr="00BC6B85" w:rsidRDefault="00F449B5" w:rsidP="00F449B5">
      <w:pPr>
        <w:pStyle w:val="SingleTxt"/>
      </w:pPr>
      <w:r>
        <w:tab/>
      </w:r>
      <w:r w:rsidRPr="00BC6B85">
        <w:t>с)</w:t>
      </w:r>
      <w:r>
        <w:tab/>
      </w:r>
      <w:r w:rsidRPr="00BC6B85">
        <w:t>усиление поддержки в деле укрепления национального человеческ</w:t>
      </w:r>
      <w:r w:rsidRPr="00BC6B85">
        <w:t>о</w:t>
      </w:r>
      <w:r w:rsidRPr="00BC6B85">
        <w:t>го и те</w:t>
      </w:r>
      <w:r w:rsidRPr="00BC6B85">
        <w:t>х</w:t>
      </w:r>
      <w:r w:rsidRPr="00BC6B85">
        <w:t>нического потенциала по гендерным вопросам;</w:t>
      </w:r>
    </w:p>
    <w:p w:rsidR="00F449B5" w:rsidRPr="00691824" w:rsidRDefault="00F449B5" w:rsidP="00F449B5">
      <w:pPr>
        <w:pStyle w:val="SingleTxt"/>
      </w:pPr>
      <w:r>
        <w:tab/>
      </w:r>
      <w:r w:rsidRPr="00BC6B85">
        <w:rPr>
          <w:lang w:val="en-US"/>
        </w:rPr>
        <w:t>d</w:t>
      </w:r>
      <w:r w:rsidRPr="00BC6B85">
        <w:t>)</w:t>
      </w:r>
      <w:r>
        <w:tab/>
      </w:r>
      <w:r w:rsidRPr="00BC6B85">
        <w:t>организацию в 2014</w:t>
      </w:r>
      <w:r>
        <w:t> </w:t>
      </w:r>
      <w:r w:rsidRPr="00BC6B85">
        <w:t>году в Нью-Йорке специального мероприятия по вопросам прав и развития же</w:t>
      </w:r>
      <w:r w:rsidRPr="00BC6B85">
        <w:t>н</w:t>
      </w:r>
      <w:r w:rsidRPr="00BC6B85">
        <w:t>щин.</w:t>
      </w:r>
    </w:p>
    <w:p w:rsidR="00F449B5" w:rsidRPr="00691824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1824">
        <w:br w:type="page"/>
      </w:r>
      <w:r w:rsidRPr="00BC6B85">
        <w:t>Приложение</w:t>
      </w:r>
      <w:r>
        <w:rPr>
          <w:lang w:val="en-US"/>
        </w:rPr>
        <w:t> </w:t>
      </w:r>
      <w:r w:rsidRPr="00BC6B85">
        <w:rPr>
          <w:lang w:val="en-US"/>
        </w:rPr>
        <w:t>III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300FCF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300FCF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1824">
        <w:tab/>
      </w:r>
      <w:r w:rsidRPr="00691824">
        <w:tab/>
      </w:r>
      <w:r w:rsidRPr="00BC6B85">
        <w:t>Документы, представленные Комитету на его пятьдесят пятой сессии</w:t>
      </w:r>
    </w:p>
    <w:p w:rsid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691824" w:rsidRDefault="00F449B5" w:rsidP="00F449B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6"/>
        <w:gridCol w:w="5184"/>
      </w:tblGrid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286" w:type="dxa"/>
            <w:tcBorders>
              <w:top w:val="single" w:sz="4" w:space="0" w:color="auto"/>
            </w:tcBorders>
          </w:tcPr>
          <w:p w:rsidR="00F449B5" w:rsidRDefault="00F449B5" w:rsidP="000F4CB5">
            <w:pPr>
              <w:spacing w:before="81" w:after="81" w:line="160" w:lineRule="exact"/>
              <w:ind w:right="115"/>
              <w:rPr>
                <w:i/>
                <w:sz w:val="14"/>
              </w:rPr>
            </w:pPr>
            <w:r>
              <w:rPr>
                <w:i/>
                <w:sz w:val="14"/>
              </w:rPr>
              <w:t>Номер документа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F449B5" w:rsidRDefault="00F449B5" w:rsidP="000F4CB5">
            <w:pPr>
              <w:spacing w:before="81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Название или описание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286" w:type="dxa"/>
            <w:tcBorders>
              <w:top w:val="single" w:sz="12" w:space="0" w:color="auto"/>
            </w:tcBorders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5"/>
              <w:rPr>
                <w:sz w:val="17"/>
              </w:rPr>
            </w:pPr>
          </w:p>
        </w:tc>
        <w:tc>
          <w:tcPr>
            <w:tcW w:w="5184" w:type="dxa"/>
            <w:tcBorders>
              <w:top w:val="single" w:sz="12" w:space="0" w:color="auto"/>
            </w:tcBorders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48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/55/1</w:t>
              </w:r>
            </w:hyperlink>
          </w:p>
        </w:tc>
        <w:tc>
          <w:tcPr>
            <w:tcW w:w="5184" w:type="dxa"/>
          </w:tcPr>
          <w:p w:rsidR="00F449B5" w:rsidRPr="0014158C" w:rsidRDefault="00F449B5" w:rsidP="000F4CB5">
            <w:pPr>
              <w:tabs>
                <w:tab w:val="left" w:pos="414"/>
                <w:tab w:val="left" w:pos="569"/>
                <w:tab w:val="left" w:pos="864"/>
                <w:tab w:val="left" w:pos="1152"/>
              </w:tabs>
              <w:spacing w:after="120"/>
            </w:pPr>
            <w:r w:rsidRPr="00BC6B85">
              <w:t>Предварительная повестка дня и аннот</w:t>
            </w:r>
            <w:r w:rsidRPr="00BC6B85">
              <w:t>а</w:t>
            </w:r>
            <w:r w:rsidRPr="00BC6B85">
              <w:t>ции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49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/55/2</w:t>
              </w:r>
            </w:hyperlink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Записка секретариата о путях и средствах повыш</w:t>
            </w:r>
            <w:r w:rsidRPr="00300FCF">
              <w:t>е</w:t>
            </w:r>
            <w:r w:rsidRPr="00300FCF">
              <w:t>ния оперативности работы Ком</w:t>
            </w:r>
            <w:r w:rsidRPr="00300FCF">
              <w:t>и</w:t>
            </w:r>
            <w:r w:rsidRPr="00300FCF">
              <w:t>тета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50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/55/3</w:t>
              </w:r>
            </w:hyperlink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rPr>
                <w:bCs/>
              </w:rPr>
              <w:t>Доклад Организации Объединенных Наций по вопр</w:t>
            </w:r>
            <w:r w:rsidRPr="00300FCF">
              <w:rPr>
                <w:bCs/>
              </w:rPr>
              <w:t>о</w:t>
            </w:r>
            <w:r w:rsidRPr="00300FCF">
              <w:rPr>
                <w:bCs/>
              </w:rPr>
              <w:t>сам образования, науки и культуры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  <w:vAlign w:val="bottom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51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/55/4</w:t>
              </w:r>
            </w:hyperlink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Доклад Международной организации тр</w:t>
            </w:r>
            <w:r w:rsidRPr="00300FCF">
              <w:t>у</w:t>
            </w:r>
            <w:r w:rsidRPr="00300FCF">
              <w:t>да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  <w:vAlign w:val="bottom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r w:rsidRPr="00300FCF">
              <w:rPr>
                <w:b/>
              </w:rPr>
              <w:t>Доклады государств-участников</w:t>
            </w:r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r w:rsidRPr="00BC6B85">
              <w:t>С</w:t>
            </w:r>
            <w:r w:rsidRPr="00BC6B85">
              <w:rPr>
                <w:lang w:val="en-US"/>
              </w:rPr>
              <w:t>EDAW</w:t>
            </w:r>
            <w:r w:rsidRPr="00BC6B85">
              <w:t>/</w:t>
            </w:r>
            <w:r w:rsidRPr="00BC6B85">
              <w:rPr>
                <w:lang w:val="en-US"/>
              </w:rPr>
              <w:t>C</w:t>
            </w:r>
            <w:r w:rsidRPr="00BC6B85">
              <w:t>/</w:t>
            </w:r>
            <w:r w:rsidRPr="00BC6B85">
              <w:rPr>
                <w:lang w:val="en-US"/>
              </w:rPr>
              <w:t>AFG</w:t>
            </w:r>
            <w:r w:rsidRPr="00BC6B85">
              <w:t>/1</w:t>
            </w:r>
            <w:r>
              <w:t>–</w:t>
            </w:r>
            <w:r w:rsidRPr="00BC6B85">
              <w:t>2</w:t>
            </w:r>
            <w:r w:rsidRPr="00BC6B85">
              <w:rPr>
                <w:lang w:val="en-US"/>
              </w:rPr>
              <w:t> </w:t>
            </w:r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BC6B85">
              <w:t>Объединенные первоначальный и второй периодич</w:t>
            </w:r>
            <w:r w:rsidRPr="00BC6B85">
              <w:t>е</w:t>
            </w:r>
            <w:r w:rsidRPr="00BC6B85">
              <w:t>ские доклады Афганистана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52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BIH</w:t>
              </w:r>
              <w:r w:rsidRPr="00F64ABF">
                <w:rPr>
                  <w:rStyle w:val="Hyperlink"/>
                </w:rPr>
                <w:t>/4–5</w:t>
              </w:r>
            </w:hyperlink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Объединенные четвертый и пятый периодические д</w:t>
            </w:r>
            <w:r w:rsidRPr="00300FCF">
              <w:t>о</w:t>
            </w:r>
            <w:r w:rsidRPr="00300FCF">
              <w:t>клады Боснии и Герцеговины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53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CPV</w:t>
              </w:r>
              <w:r w:rsidRPr="00F64ABF">
                <w:rPr>
                  <w:rStyle w:val="Hyperlink"/>
                </w:rPr>
                <w:t>/7–8</w:t>
              </w:r>
            </w:hyperlink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Объединенные седьмой и восьмой периодические д</w:t>
            </w:r>
            <w:r w:rsidRPr="00300FCF">
              <w:t>о</w:t>
            </w:r>
            <w:r w:rsidRPr="00300FCF">
              <w:t>клады Кабо-Верде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54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CUB</w:t>
              </w:r>
              <w:r w:rsidRPr="00F64ABF">
                <w:rPr>
                  <w:rStyle w:val="Hyperlink"/>
                </w:rPr>
                <w:t>/7–8</w:t>
              </w:r>
            </w:hyperlink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Объединенные седьмой и восьмой периодические д</w:t>
            </w:r>
            <w:r w:rsidRPr="00300FCF">
              <w:t>о</w:t>
            </w:r>
            <w:r w:rsidRPr="00300FCF">
              <w:t>клады Кубы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r w:rsidRPr="00300FCF">
              <w:t>С</w:t>
            </w:r>
            <w:r w:rsidRPr="00300FCF">
              <w:rPr>
                <w:lang w:val="en-US"/>
              </w:rPr>
              <w:t>EDAW</w:t>
            </w:r>
            <w:r w:rsidRPr="00300FCF">
              <w:t>/</w:t>
            </w:r>
            <w:r w:rsidRPr="00300FCF">
              <w:rPr>
                <w:lang w:val="en-US"/>
              </w:rPr>
              <w:t>C</w:t>
            </w:r>
            <w:r w:rsidRPr="00300FCF">
              <w:t>/</w:t>
            </w:r>
            <w:r w:rsidRPr="00300FCF">
              <w:rPr>
                <w:lang w:val="en-US"/>
              </w:rPr>
              <w:t>COD</w:t>
            </w:r>
            <w:r w:rsidRPr="00300FCF">
              <w:t>/6</w:t>
            </w:r>
            <w:r>
              <w:t>–</w:t>
            </w:r>
            <w:r w:rsidRPr="00300FCF">
              <w:t>7</w:t>
            </w:r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Объединенные шестой и седьмой периодические докл</w:t>
            </w:r>
            <w:r w:rsidRPr="00300FCF">
              <w:t>а</w:t>
            </w:r>
            <w:r w:rsidRPr="00300FCF">
              <w:t>ды Демократической Республ</w:t>
            </w:r>
            <w:r w:rsidRPr="00300FCF">
              <w:t>и</w:t>
            </w:r>
            <w:r w:rsidRPr="00300FCF">
              <w:t>ки Конго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55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DOM</w:t>
              </w:r>
              <w:r w:rsidRPr="00F64ABF">
                <w:rPr>
                  <w:rStyle w:val="Hyperlink"/>
                </w:rPr>
                <w:t>/6–7</w:t>
              </w:r>
            </w:hyperlink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Объединенные шестой и седьмой периодические докл</w:t>
            </w:r>
            <w:r w:rsidRPr="00300FCF">
              <w:t>а</w:t>
            </w:r>
            <w:r w:rsidRPr="00300FCF">
              <w:t>ды Доминиканской Ре</w:t>
            </w:r>
            <w:r w:rsidRPr="00300FCF">
              <w:t>с</w:t>
            </w:r>
            <w:r w:rsidRPr="00300FCF">
              <w:t>публики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56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SRB</w:t>
              </w:r>
              <w:r w:rsidRPr="00F64ABF">
                <w:rPr>
                  <w:rStyle w:val="Hyperlink"/>
                </w:rPr>
                <w:t>/2–3</w:t>
              </w:r>
            </w:hyperlink>
          </w:p>
        </w:tc>
        <w:tc>
          <w:tcPr>
            <w:tcW w:w="5184" w:type="dxa"/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Объединенные второй и третий периодические докл</w:t>
            </w:r>
            <w:r w:rsidRPr="00300FCF">
              <w:t>а</w:t>
            </w:r>
            <w:r w:rsidRPr="00300FCF">
              <w:t>ды Сербии</w:t>
            </w:r>
          </w:p>
        </w:tc>
      </w:tr>
      <w:tr w:rsidR="00F449B5" w:rsidTr="000F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  <w:tcBorders>
              <w:bottom w:val="single" w:sz="12" w:space="0" w:color="auto"/>
            </w:tcBorders>
          </w:tcPr>
          <w:p w:rsidR="00F449B5" w:rsidRPr="003C5259" w:rsidRDefault="00F449B5" w:rsidP="000F4CB5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57" w:history="1">
              <w:r w:rsidRPr="00F64ABF">
                <w:rPr>
                  <w:rStyle w:val="Hyperlink"/>
                  <w:lang w:val="en-US"/>
                </w:rPr>
                <w:t>CEDAW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C</w:t>
              </w:r>
              <w:r w:rsidRPr="00F64ABF">
                <w:rPr>
                  <w:rStyle w:val="Hyperlink"/>
                </w:rPr>
                <w:t>/</w:t>
              </w:r>
              <w:r w:rsidRPr="00F64ABF">
                <w:rPr>
                  <w:rStyle w:val="Hyperlink"/>
                  <w:lang w:val="en-US"/>
                </w:rPr>
                <w:t>GBR</w:t>
              </w:r>
              <w:r w:rsidRPr="00F64ABF">
                <w:rPr>
                  <w:rStyle w:val="Hyperlink"/>
                </w:rPr>
                <w:t>/7</w:t>
              </w:r>
            </w:hyperlink>
          </w:p>
        </w:tc>
        <w:tc>
          <w:tcPr>
            <w:tcW w:w="5184" w:type="dxa"/>
            <w:tcBorders>
              <w:bottom w:val="single" w:sz="12" w:space="0" w:color="auto"/>
            </w:tcBorders>
          </w:tcPr>
          <w:p w:rsidR="00F449B5" w:rsidRPr="00F0525F" w:rsidRDefault="00F449B5" w:rsidP="000F4CB5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300FCF">
              <w:t>Седьмой периодический доклад Соединенного Кор</w:t>
            </w:r>
            <w:r w:rsidRPr="00300FCF">
              <w:t>о</w:t>
            </w:r>
            <w:r w:rsidRPr="00300FCF">
              <w:t>левства Великобритании и Северной Ирла</w:t>
            </w:r>
            <w:r w:rsidRPr="00300FCF">
              <w:t>н</w:t>
            </w:r>
            <w:r w:rsidRPr="00300FCF">
              <w:t>дии</w:t>
            </w:r>
          </w:p>
        </w:tc>
      </w:tr>
    </w:tbl>
    <w:p w:rsidR="00F449B5" w:rsidRPr="003C525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BC6B85" w:rsidRDefault="00F449B5" w:rsidP="00F449B5">
      <w:pPr>
        <w:pStyle w:val="SingleTxt"/>
      </w:pPr>
      <w:bookmarkStart w:id="15" w:name="_GoBack"/>
      <w:bookmarkEnd w:id="15"/>
    </w:p>
    <w:p w:rsidR="00F449B5" w:rsidRPr="00300FCF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16" w:name="_Toc356303409"/>
      <w:r w:rsidRPr="00BC6B85">
        <w:t>Приложение</w:t>
      </w:r>
      <w:r>
        <w:rPr>
          <w:lang w:val="en-US"/>
        </w:rPr>
        <w:t> </w:t>
      </w:r>
      <w:r w:rsidRPr="00BC6B85">
        <w:rPr>
          <w:lang w:val="en-US"/>
        </w:rPr>
        <w:t>I</w:t>
      </w:r>
      <w:bookmarkEnd w:id="16"/>
      <w:r w:rsidRPr="00BC6B85">
        <w:rPr>
          <w:lang w:val="en-US"/>
        </w:rPr>
        <w:t>V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300FCF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7" w:name="_Toc356303410"/>
      <w:r w:rsidRPr="00691824">
        <w:tab/>
      </w:r>
      <w:r w:rsidRPr="00691824">
        <w:tab/>
      </w:r>
      <w:r w:rsidRPr="00BC6B85">
        <w:t xml:space="preserve">Доклад Рабочей группы по сообщениям </w:t>
      </w:r>
      <w:r>
        <w:t xml:space="preserve">в соответствии с </w:t>
      </w:r>
      <w:r w:rsidRPr="00BC6B85">
        <w:t>Факультативн</w:t>
      </w:r>
      <w:r>
        <w:t>ым</w:t>
      </w:r>
      <w:r w:rsidRPr="00BC6B85">
        <w:t xml:space="preserve"> протокол</w:t>
      </w:r>
      <w:r>
        <w:t>ом</w:t>
      </w:r>
      <w:r w:rsidRPr="00BC6B85">
        <w:t xml:space="preserve"> к</w:t>
      </w:r>
      <w:r w:rsidRPr="00300FCF">
        <w:t xml:space="preserve"> </w:t>
      </w:r>
      <w:r w:rsidRPr="00BC6B85">
        <w:t>Конвенции о</w:t>
      </w:r>
      <w:r w:rsidRPr="00BC6B85">
        <w:rPr>
          <w:lang w:val="en-US"/>
        </w:rPr>
        <w:t> </w:t>
      </w:r>
      <w:r w:rsidRPr="00BC6B85">
        <w:t>ликвидации всех форм дискриминации в</w:t>
      </w:r>
      <w:r>
        <w:t xml:space="preserve"> </w:t>
      </w:r>
      <w:r w:rsidRPr="00BC6B85">
        <w:t>отношении женщин о работе ее двадцать шестой сессии</w:t>
      </w:r>
      <w:bookmarkEnd w:id="17"/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300FCF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BC6B85" w:rsidRDefault="00F449B5" w:rsidP="00F449B5">
      <w:pPr>
        <w:pStyle w:val="SingleTxt"/>
      </w:pPr>
      <w:r w:rsidRPr="00BC6B85">
        <w:t>1.</w:t>
      </w:r>
      <w:r w:rsidRPr="00BC6B85">
        <w:tab/>
        <w:t xml:space="preserve">Рабочая группа по сообщениям в </w:t>
      </w:r>
      <w:r>
        <w:t xml:space="preserve">соответствии с </w:t>
      </w:r>
      <w:r w:rsidRPr="00BC6B85">
        <w:t>Факультативн</w:t>
      </w:r>
      <w:r>
        <w:t>ым</w:t>
      </w:r>
      <w:r w:rsidRPr="00BC6B85">
        <w:t xml:space="preserve"> прот</w:t>
      </w:r>
      <w:r w:rsidRPr="00BC6B85">
        <w:t>о</w:t>
      </w:r>
      <w:r w:rsidRPr="00BC6B85">
        <w:t>кол</w:t>
      </w:r>
      <w:r>
        <w:t>ом</w:t>
      </w:r>
      <w:r w:rsidRPr="00BC6B85">
        <w:t xml:space="preserve"> к Конвенции о ликвидации всех форм дискриминации в отношении женщин провела свою двадцать шестую сессию 4 и </w:t>
      </w:r>
      <w:r w:rsidRPr="00BC6B85">
        <w:rPr>
          <w:bCs/>
        </w:rPr>
        <w:t>5</w:t>
      </w:r>
      <w:r w:rsidRPr="00BC6B85">
        <w:t> июля 2013 года в Женеве. В работе сессии принимали участия все члены комитета (Олинда Барейро-Бобадилья, Никлас Брун, Йоко Хаяси, Прамила Паттен, Дубравка Шимонович).</w:t>
      </w:r>
    </w:p>
    <w:p w:rsidR="00F449B5" w:rsidRPr="00BC6B85" w:rsidRDefault="00F449B5" w:rsidP="00F449B5">
      <w:pPr>
        <w:pStyle w:val="SingleTxt"/>
      </w:pPr>
      <w:r w:rsidRPr="00BC6B85">
        <w:t>2.</w:t>
      </w:r>
      <w:r w:rsidRPr="00BC6B85">
        <w:tab/>
        <w:t>В начале сессии Рабочая группа утвердила свою повестку дня, которая содержится в добавлении к настоящему докладу.</w:t>
      </w:r>
    </w:p>
    <w:p w:rsidR="00F449B5" w:rsidRPr="00BC6B85" w:rsidRDefault="00F449B5" w:rsidP="00F449B5">
      <w:pPr>
        <w:pStyle w:val="SingleTxt"/>
      </w:pPr>
      <w:r w:rsidRPr="00BC6B85">
        <w:t>3.</w:t>
      </w:r>
      <w:r w:rsidRPr="00BC6B85">
        <w:tab/>
        <w:t>Затем Рабочая группа проанализировала подготовленную секретариатом обновленную информацию о новой корреспонденции, полученной после предыдущей сессии (таблицу, отражающую корреспонденцию, полученную и/или обработанную за период с 26</w:t>
      </w:r>
      <w:r>
        <w:t> </w:t>
      </w:r>
      <w:r w:rsidRPr="00BC6B85">
        <w:t>февраля по 28</w:t>
      </w:r>
      <w:r>
        <w:t> </w:t>
      </w:r>
      <w:r w:rsidRPr="00BC6B85">
        <w:t>июня 2013</w:t>
      </w:r>
      <w:r>
        <w:t> </w:t>
      </w:r>
      <w:r w:rsidRPr="00BC6B85">
        <w:t>года, и общую таблицу с разбивкой этой корреспонденции на шесть категорий); по просьбе Рабочей группы было принято решение разместить таблицу в начале соотве</w:t>
      </w:r>
      <w:r w:rsidRPr="00BC6B85">
        <w:t>т</w:t>
      </w:r>
      <w:r w:rsidRPr="00BC6B85">
        <w:t>ствующего раздела.</w:t>
      </w:r>
    </w:p>
    <w:p w:rsidR="00F449B5" w:rsidRPr="00BC6B85" w:rsidRDefault="00F449B5" w:rsidP="00F449B5">
      <w:pPr>
        <w:pStyle w:val="SingleTxt"/>
      </w:pPr>
      <w:r w:rsidRPr="00BC6B85">
        <w:t>4.</w:t>
      </w:r>
      <w:r>
        <w:tab/>
      </w:r>
      <w:r w:rsidRPr="00BC6B85">
        <w:t>Рабочая группа постановила зарегистрировать три новых сообщения (№</w:t>
      </w:r>
      <w:r>
        <w:t>№ </w:t>
      </w:r>
      <w:r w:rsidRPr="00F64ABF">
        <w:t>56/201</w:t>
      </w:r>
      <w:r w:rsidRPr="00BC6B85">
        <w:t xml:space="preserve">3, </w:t>
      </w:r>
      <w:r w:rsidRPr="00F64ABF">
        <w:t>57/201</w:t>
      </w:r>
      <w:r w:rsidRPr="00BC6B85">
        <w:t xml:space="preserve">3 и </w:t>
      </w:r>
      <w:r w:rsidRPr="00F64ABF">
        <w:t>58/201</w:t>
      </w:r>
      <w:r w:rsidRPr="00BC6B85">
        <w:t>3) и препроводить эту переписку соответств</w:t>
      </w:r>
      <w:r w:rsidRPr="00BC6B85">
        <w:t>у</w:t>
      </w:r>
      <w:r w:rsidRPr="00BC6B85">
        <w:t xml:space="preserve">ющим государствам-участникам, без каких-либо запросов о предоставлении временных мер защиты. Рабочая группа приняла к сведению тот факт, что </w:t>
      </w:r>
      <w:r>
        <w:t>с</w:t>
      </w:r>
      <w:r w:rsidRPr="00BC6B85">
        <w:t>е</w:t>
      </w:r>
      <w:r w:rsidRPr="00BC6B85">
        <w:t>к</w:t>
      </w:r>
      <w:r w:rsidRPr="00BC6B85">
        <w:t>ретариат ожидает получения просьб о разъяснении адресованных авторам с</w:t>
      </w:r>
      <w:r w:rsidRPr="00BC6B85">
        <w:t>о</w:t>
      </w:r>
      <w:r w:rsidRPr="00BC6B85">
        <w:t>общений, касающихся Дании, Швеции, Швейцарии и Соединенного Короле</w:t>
      </w:r>
      <w:r w:rsidRPr="00BC6B85">
        <w:t>в</w:t>
      </w:r>
      <w:r w:rsidRPr="00BC6B85">
        <w:t>ства Великобритании и Северной Ирландии. Будут запрошены дополн</w:t>
      </w:r>
      <w:r w:rsidRPr="00BC6B85">
        <w:t>и</w:t>
      </w:r>
      <w:r w:rsidRPr="00BC6B85">
        <w:t>тельные разъяснения в отношении сообщения, касающегося Азербайджана.</w:t>
      </w:r>
    </w:p>
    <w:p w:rsidR="00F449B5" w:rsidRPr="00BC6B85" w:rsidRDefault="00F449B5" w:rsidP="00F449B5">
      <w:pPr>
        <w:pStyle w:val="SingleTxt"/>
      </w:pPr>
      <w:r w:rsidRPr="00BC6B85">
        <w:t>5.</w:t>
      </w:r>
      <w:r>
        <w:tab/>
      </w:r>
      <w:r w:rsidRPr="00BC6B85">
        <w:t>В ходе своей двадцать шестой сессии Рабочая группа провела также обзор состояния всех ожидающих рассмотрения индивидуальных сообщений, зар</w:t>
      </w:r>
      <w:r w:rsidRPr="00BC6B85">
        <w:t>е</w:t>
      </w:r>
      <w:r w:rsidRPr="00BC6B85">
        <w:t>гистрированных в соответствии с Факультативным протоколом, и обсудила каждое из них. Рабочая группа постановила просить секретариат подготовить для рассмотрения в ходе двадцать седьмой сессии в сентябре 2013</w:t>
      </w:r>
      <w:r>
        <w:t> </w:t>
      </w:r>
      <w:r w:rsidRPr="00BC6B85">
        <w:t>года прое</w:t>
      </w:r>
      <w:r w:rsidRPr="00BC6B85">
        <w:t>к</w:t>
      </w:r>
      <w:r w:rsidRPr="00BC6B85">
        <w:t>ты решений в отношении сообщений №</w:t>
      </w:r>
      <w:r>
        <w:t> </w:t>
      </w:r>
      <w:r w:rsidRPr="00F64ABF">
        <w:t>39/201</w:t>
      </w:r>
      <w:r w:rsidRPr="00BC6B85">
        <w:t>2 (неприемлемость), №</w:t>
      </w:r>
      <w:r>
        <w:t> </w:t>
      </w:r>
      <w:r w:rsidRPr="00F64ABF">
        <w:t>44/201</w:t>
      </w:r>
      <w:r w:rsidRPr="00BC6B85">
        <w:t>2 (либо решение о приемлемости, либо прекращение обжалования) и №</w:t>
      </w:r>
      <w:r>
        <w:t> </w:t>
      </w:r>
      <w:hyperlink r:id="rId58" w:history="1">
        <w:r w:rsidRPr="00F64ABF">
          <w:rPr>
            <w:rStyle w:val="Hyperlink"/>
          </w:rPr>
          <w:t>41/201</w:t>
        </w:r>
      </w:hyperlink>
      <w:r w:rsidRPr="00BC6B85">
        <w:t>2 (неприемлемость на основании неисчерпания внутренних средств правовой защиты).</w:t>
      </w:r>
    </w:p>
    <w:p w:rsidR="00F449B5" w:rsidRPr="00BC6B85" w:rsidRDefault="00F449B5" w:rsidP="00F449B5">
      <w:pPr>
        <w:pStyle w:val="SingleTxt"/>
      </w:pPr>
      <w:r w:rsidRPr="00BC6B85">
        <w:t>6.</w:t>
      </w:r>
      <w:r>
        <w:tab/>
      </w:r>
      <w:r w:rsidRPr="00BC6B85">
        <w:t>В отношении сообщения №</w:t>
      </w:r>
      <w:r>
        <w:rPr>
          <w:lang w:val="en-US"/>
        </w:rPr>
        <w:t> </w:t>
      </w:r>
      <w:r w:rsidRPr="00F64ABF">
        <w:t>46/201</w:t>
      </w:r>
      <w:r w:rsidRPr="00BC6B85">
        <w:t>2 Рабочая группа постановила напр</w:t>
      </w:r>
      <w:r w:rsidRPr="00BC6B85">
        <w:t>а</w:t>
      </w:r>
      <w:r w:rsidRPr="00BC6B85">
        <w:t>вить запрос о предоставлении временных мер защиты.</w:t>
      </w:r>
    </w:p>
    <w:p w:rsidR="00F449B5" w:rsidRPr="00BC6B85" w:rsidRDefault="00F449B5" w:rsidP="00F449B5">
      <w:pPr>
        <w:pStyle w:val="SingleTxt"/>
      </w:pPr>
      <w:r w:rsidRPr="00BC6B85">
        <w:t>7.</w:t>
      </w:r>
      <w:r w:rsidRPr="00691824">
        <w:tab/>
      </w:r>
      <w:r w:rsidRPr="00BC6B85">
        <w:t>Рабочая группа постановила запросить обновленную информацию у ст</w:t>
      </w:r>
      <w:r w:rsidRPr="00BC6B85">
        <w:t>о</w:t>
      </w:r>
      <w:r w:rsidRPr="00BC6B85">
        <w:t>рон разбирательств в отношении сообщений №</w:t>
      </w:r>
      <w:r>
        <w:rPr>
          <w:lang w:val="en-US"/>
        </w:rPr>
        <w:t> </w:t>
      </w:r>
      <w:r w:rsidRPr="00F64ABF">
        <w:t>42/201</w:t>
      </w:r>
      <w:r w:rsidRPr="00BC6B85">
        <w:t>2 (ход разбирательства в Государственном совете); №</w:t>
      </w:r>
      <w:r>
        <w:rPr>
          <w:lang w:val="en-US"/>
        </w:rPr>
        <w:t> </w:t>
      </w:r>
      <w:r w:rsidRPr="00F64ABF">
        <w:t>44/201</w:t>
      </w:r>
      <w:r w:rsidRPr="00BC6B85">
        <w:t>2 (подтверждение того, что автор все еще заинтересован в рассмотрении сообщения); и №</w:t>
      </w:r>
      <w:r>
        <w:rPr>
          <w:lang w:val="en-US"/>
        </w:rPr>
        <w:t> </w:t>
      </w:r>
      <w:r w:rsidRPr="00F64ABF">
        <w:t>50/201</w:t>
      </w:r>
      <w:r w:rsidRPr="00BC6B85">
        <w:t>3 (напоминание авт</w:t>
      </w:r>
      <w:r w:rsidRPr="00BC6B85">
        <w:t>о</w:t>
      </w:r>
      <w:r w:rsidRPr="00BC6B85">
        <w:t>рам представить комментарии в отношении замечаний государства-участника).</w:t>
      </w:r>
    </w:p>
    <w:p w:rsidR="00F449B5" w:rsidRPr="00BC6B85" w:rsidRDefault="00F449B5" w:rsidP="00F449B5">
      <w:pPr>
        <w:pStyle w:val="SingleTxt"/>
      </w:pPr>
      <w:r w:rsidRPr="00BC6B85">
        <w:t>8.</w:t>
      </w:r>
      <w:r w:rsidRPr="00691824">
        <w:tab/>
      </w:r>
      <w:r w:rsidRPr="00BC6B85">
        <w:t>Рабочая группа обсудила также два проекта рекомендаций в отношении дел №</w:t>
      </w:r>
      <w:r>
        <w:rPr>
          <w:lang w:val="en-US"/>
        </w:rPr>
        <w:t> </w:t>
      </w:r>
      <w:r w:rsidRPr="00F64ABF">
        <w:t>24/200</w:t>
      </w:r>
      <w:r w:rsidRPr="00BC6B85">
        <w:t xml:space="preserve">9 и </w:t>
      </w:r>
      <w:r w:rsidRPr="00F64ABF">
        <w:t>29/201</w:t>
      </w:r>
      <w:r w:rsidRPr="00BC6B85">
        <w:t>1, ожидающих окончательного рассмотрения Рабочей группой.</w:t>
      </w:r>
    </w:p>
    <w:p w:rsidR="00F449B5" w:rsidRPr="00BC6B85" w:rsidRDefault="00F449B5" w:rsidP="00F449B5">
      <w:pPr>
        <w:pStyle w:val="SingleTxt"/>
      </w:pPr>
      <w:r w:rsidRPr="00BC6B85">
        <w:t>9.</w:t>
      </w:r>
      <w:r w:rsidRPr="00691824">
        <w:tab/>
      </w:r>
      <w:r w:rsidRPr="00BC6B85">
        <w:t>Рабочая группа была информирована обо всех новых представленных м</w:t>
      </w:r>
      <w:r w:rsidRPr="00BC6B85">
        <w:t>а</w:t>
      </w:r>
      <w:r w:rsidRPr="00BC6B85">
        <w:t>териалах, а также получила обновленную информацию о состоянии всех дел, по которым продолжается последующий диалог с соответствующими госуда</w:t>
      </w:r>
      <w:r w:rsidRPr="00BC6B85">
        <w:t>р</w:t>
      </w:r>
      <w:r w:rsidRPr="00BC6B85">
        <w:t>ствами-участниками (Беларусь, Бразилия, Болгария, Канада, Перу и Турция). Рабочая группа постановила созвать совещание с участием Постоянного пре</w:t>
      </w:r>
      <w:r w:rsidRPr="00BC6B85">
        <w:t>д</w:t>
      </w:r>
      <w:r w:rsidRPr="00BC6B85">
        <w:t>ставительства Болгарии при Отдел</w:t>
      </w:r>
      <w:r w:rsidRPr="00BC6B85">
        <w:t>е</w:t>
      </w:r>
      <w:r w:rsidRPr="00BC6B85">
        <w:t>нии Организации Объединенных Наций в Женеве для обсуждения вопросов последующ</w:t>
      </w:r>
      <w:r>
        <w:t>ей</w:t>
      </w:r>
      <w:r w:rsidRPr="00BC6B85">
        <w:t xml:space="preserve"> </w:t>
      </w:r>
      <w:r>
        <w:t xml:space="preserve">деятельности </w:t>
      </w:r>
      <w:r w:rsidRPr="00BC6B85">
        <w:t>в отношении трех мнений, касающихся установления нарушения Болгарией прав в соотве</w:t>
      </w:r>
      <w:r w:rsidRPr="00BC6B85">
        <w:t>т</w:t>
      </w:r>
      <w:r w:rsidRPr="00BC6B85">
        <w:t>ствии с Конвенцией (</w:t>
      </w:r>
      <w:r w:rsidRPr="00F64ABF">
        <w:t>20/200</w:t>
      </w:r>
      <w:r w:rsidRPr="00BC6B85">
        <w:t xml:space="preserve">8, </w:t>
      </w:r>
      <w:r w:rsidRPr="00BC6B85">
        <w:rPr>
          <w:i/>
          <w:lang w:val="en-US"/>
        </w:rPr>
        <w:t>V</w:t>
      </w:r>
      <w:r w:rsidRPr="00BC6B85">
        <w:rPr>
          <w:i/>
        </w:rPr>
        <w:t>.</w:t>
      </w:r>
      <w:r w:rsidRPr="00BC6B85">
        <w:rPr>
          <w:i/>
          <w:lang w:val="en-US"/>
        </w:rPr>
        <w:t>K</w:t>
      </w:r>
      <w:r w:rsidRPr="00BC6B85">
        <w:rPr>
          <w:i/>
        </w:rPr>
        <w:t xml:space="preserve">. </w:t>
      </w:r>
      <w:r w:rsidRPr="00BC6B85">
        <w:rPr>
          <w:i/>
          <w:lang w:val="en-US"/>
        </w:rPr>
        <w:t>v</w:t>
      </w:r>
      <w:r w:rsidRPr="00BC6B85">
        <w:rPr>
          <w:i/>
        </w:rPr>
        <w:t xml:space="preserve">. </w:t>
      </w:r>
      <w:r w:rsidRPr="00BC6B85">
        <w:rPr>
          <w:i/>
          <w:lang w:val="en-US"/>
        </w:rPr>
        <w:t>Bulgaria</w:t>
      </w:r>
      <w:r w:rsidRPr="00BC6B85">
        <w:rPr>
          <w:i/>
        </w:rPr>
        <w:t xml:space="preserve">; </w:t>
      </w:r>
      <w:r w:rsidRPr="00F64ABF">
        <w:t>31/201</w:t>
      </w:r>
      <w:r w:rsidRPr="00BC6B85">
        <w:t>1</w:t>
      </w:r>
      <w:r w:rsidRPr="00BC6B85">
        <w:rPr>
          <w:i/>
        </w:rPr>
        <w:t xml:space="preserve">, </w:t>
      </w:r>
      <w:r w:rsidRPr="00BC6B85">
        <w:rPr>
          <w:i/>
          <w:lang w:val="en-US"/>
        </w:rPr>
        <w:t>V</w:t>
      </w:r>
      <w:r w:rsidRPr="00BC6B85">
        <w:rPr>
          <w:i/>
        </w:rPr>
        <w:t>.</w:t>
      </w:r>
      <w:r w:rsidRPr="00BC6B85">
        <w:rPr>
          <w:i/>
          <w:lang w:val="en-US"/>
        </w:rPr>
        <w:t>P</w:t>
      </w:r>
      <w:r w:rsidRPr="00BC6B85">
        <w:rPr>
          <w:i/>
        </w:rPr>
        <w:t xml:space="preserve">. </w:t>
      </w:r>
      <w:r w:rsidRPr="00BC6B85">
        <w:rPr>
          <w:i/>
          <w:lang w:val="en-US"/>
        </w:rPr>
        <w:t>v</w:t>
      </w:r>
      <w:r w:rsidRPr="00BC6B85">
        <w:rPr>
          <w:i/>
        </w:rPr>
        <w:t xml:space="preserve">. </w:t>
      </w:r>
      <w:r w:rsidRPr="00BC6B85">
        <w:rPr>
          <w:i/>
          <w:lang w:val="en-US"/>
        </w:rPr>
        <w:t>Bulgaria</w:t>
      </w:r>
      <w:r w:rsidRPr="00BC6B85">
        <w:t xml:space="preserve"> и </w:t>
      </w:r>
      <w:r w:rsidRPr="00F64ABF">
        <w:t>32/201</w:t>
      </w:r>
      <w:r w:rsidRPr="00BC6B85">
        <w:t>1</w:t>
      </w:r>
      <w:r w:rsidRPr="00BC6B85">
        <w:rPr>
          <w:i/>
        </w:rPr>
        <w:t xml:space="preserve">, </w:t>
      </w:r>
      <w:r w:rsidRPr="00BC6B85">
        <w:rPr>
          <w:i/>
          <w:lang w:val="en-US"/>
        </w:rPr>
        <w:t>Jallow</w:t>
      </w:r>
      <w:r w:rsidRPr="00BC6B85">
        <w:rPr>
          <w:i/>
        </w:rPr>
        <w:t xml:space="preserve"> </w:t>
      </w:r>
      <w:r w:rsidRPr="00BC6B85">
        <w:rPr>
          <w:i/>
          <w:lang w:val="en-US"/>
        </w:rPr>
        <w:t>v</w:t>
      </w:r>
      <w:r w:rsidRPr="00BC6B85">
        <w:rPr>
          <w:i/>
        </w:rPr>
        <w:t xml:space="preserve">. </w:t>
      </w:r>
      <w:r w:rsidRPr="00BC6B85">
        <w:rPr>
          <w:i/>
          <w:lang w:val="en-US"/>
        </w:rPr>
        <w:t>Bulgaria</w:t>
      </w:r>
      <w:r w:rsidRPr="00BC6B85">
        <w:rPr>
          <w:i/>
        </w:rPr>
        <w:t>)</w:t>
      </w:r>
      <w:r w:rsidRPr="008C5660">
        <w:t>;</w:t>
      </w:r>
      <w:r w:rsidRPr="00BC6B85">
        <w:rPr>
          <w:i/>
        </w:rPr>
        <w:t xml:space="preserve"> </w:t>
      </w:r>
      <w:r w:rsidRPr="00BC6B85">
        <w:t>просить секретариат направить вербальную ноту Бразилии с уведомлением о принятии к сведению технической ошибки в отн</w:t>
      </w:r>
      <w:r w:rsidRPr="00BC6B85">
        <w:t>о</w:t>
      </w:r>
      <w:r w:rsidRPr="00BC6B85">
        <w:t>шении точной суммы, подлежащей выплате по делу №</w:t>
      </w:r>
      <w:r>
        <w:t> </w:t>
      </w:r>
      <w:r w:rsidRPr="00F64ABF">
        <w:t>18/200</w:t>
      </w:r>
      <w:r w:rsidRPr="00BC6B85">
        <w:t>8, и просьбой представить разъяснения в отношении того, была ли такая компенсация выпл</w:t>
      </w:r>
      <w:r w:rsidRPr="00BC6B85">
        <w:t>а</w:t>
      </w:r>
      <w:r w:rsidRPr="00BC6B85">
        <w:t>чена. Рабочая группа постановила продолжать последующий диалог в отнош</w:t>
      </w:r>
      <w:r w:rsidRPr="00BC6B85">
        <w:t>е</w:t>
      </w:r>
      <w:r w:rsidRPr="00BC6B85">
        <w:t>нии всех дел, которые в настоящее время находятся на последующем рассмо</w:t>
      </w:r>
      <w:r w:rsidRPr="00BC6B85">
        <w:t>т</w:t>
      </w:r>
      <w:r w:rsidRPr="00BC6B85">
        <w:t>рении.</w:t>
      </w:r>
    </w:p>
    <w:p w:rsidR="00F449B5" w:rsidRPr="00BC6B85" w:rsidRDefault="00F449B5" w:rsidP="00F449B5">
      <w:pPr>
        <w:pStyle w:val="SingleTxt"/>
      </w:pPr>
      <w:r w:rsidRPr="00BC6B85">
        <w:t>10. Рабочая группа постановила также, что в записке секретариата следует ук</w:t>
      </w:r>
      <w:r w:rsidRPr="00BC6B85">
        <w:t>а</w:t>
      </w:r>
      <w:r w:rsidRPr="00BC6B85">
        <w:t>зывать, когда авторы соо</w:t>
      </w:r>
      <w:r w:rsidRPr="00BC6B85">
        <w:t>б</w:t>
      </w:r>
      <w:r w:rsidRPr="00BC6B85">
        <w:t>щений представлены адвокатом.</w:t>
      </w:r>
    </w:p>
    <w:p w:rsidR="00F449B5" w:rsidRPr="0069182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69182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8" w:name="_Toc356303411"/>
      <w:r>
        <w:tab/>
      </w:r>
      <w:r>
        <w:tab/>
      </w:r>
      <w:r w:rsidRPr="00BC6B85">
        <w:t>Решения</w:t>
      </w:r>
      <w:bookmarkEnd w:id="18"/>
      <w:r w:rsidRPr="00BC6B85">
        <w:t>, принятые на настоящей сессии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69182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BC6B85" w:rsidRDefault="00F449B5" w:rsidP="00F449B5">
      <w:pPr>
        <w:pStyle w:val="SingleTxt"/>
      </w:pPr>
      <w:r w:rsidRPr="00BC6B85">
        <w:t>11.</w:t>
      </w:r>
      <w:r w:rsidRPr="00BC6B85">
        <w:tab/>
        <w:t>На своей двадцать шестой сессии Рабочая группа постановила: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a</w:t>
      </w:r>
      <w:r w:rsidRPr="00BC6B85">
        <w:t>)</w:t>
      </w:r>
      <w:r>
        <w:tab/>
      </w:r>
      <w:r w:rsidRPr="00BC6B85">
        <w:t>передать для принятия на пленарном заседании рекомендацию в о</w:t>
      </w:r>
      <w:r w:rsidRPr="00BC6B85">
        <w:t>т</w:t>
      </w:r>
      <w:r w:rsidRPr="00BC6B85">
        <w:t>ношении сообщения №</w:t>
      </w:r>
      <w:r>
        <w:t> </w:t>
      </w:r>
      <w:r w:rsidRPr="00F64ABF">
        <w:t>24/200</w:t>
      </w:r>
      <w:r w:rsidRPr="00BC6B85">
        <w:t>9 (приемлемость), которую поддерживают все члены (в ожидании окончательного рассмотрения Рабочей гру</w:t>
      </w:r>
      <w:r w:rsidRPr="00BC6B85">
        <w:t>п</w:t>
      </w:r>
      <w:r w:rsidRPr="00BC6B85">
        <w:t>пой);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b</w:t>
      </w:r>
      <w:r w:rsidRPr="00BC6B85">
        <w:t>)</w:t>
      </w:r>
      <w:r>
        <w:tab/>
      </w:r>
      <w:r w:rsidRPr="00BC6B85">
        <w:t>передать для принятия на пленарном заседании рекомендацию в о</w:t>
      </w:r>
      <w:r w:rsidRPr="00BC6B85">
        <w:t>т</w:t>
      </w:r>
      <w:r w:rsidRPr="00BC6B85">
        <w:t>ношении сообщения №</w:t>
      </w:r>
      <w:r>
        <w:t> </w:t>
      </w:r>
      <w:r w:rsidRPr="00F64ABF">
        <w:t>29/201</w:t>
      </w:r>
      <w:r w:rsidRPr="00BC6B85">
        <w:t>0 (мнения, отсутствие нарушения), принятую консенсусом (в ожидании окончательного рассмотрения Раб</w:t>
      </w:r>
      <w:r w:rsidRPr="00BC6B85">
        <w:t>о</w:t>
      </w:r>
      <w:r w:rsidRPr="00BC6B85">
        <w:t>чей группой);</w:t>
      </w:r>
    </w:p>
    <w:p w:rsidR="00F449B5" w:rsidRPr="00BC6B85" w:rsidRDefault="00F449B5" w:rsidP="00F449B5">
      <w:pPr>
        <w:pStyle w:val="SingleTxt"/>
      </w:pPr>
      <w:r w:rsidRPr="00BC6B85">
        <w:tab/>
        <w:t>с)</w:t>
      </w:r>
      <w:r>
        <w:tab/>
      </w:r>
      <w:r w:rsidRPr="00BC6B85">
        <w:t>просить секретариат подготовить для двадцать седьмой сессии Раб</w:t>
      </w:r>
      <w:r w:rsidRPr="00BC6B85">
        <w:t>о</w:t>
      </w:r>
      <w:r w:rsidRPr="00BC6B85">
        <w:t>чей группы проекты рекомендаций в отношении сообщений №</w:t>
      </w:r>
      <w:r>
        <w:t> </w:t>
      </w:r>
      <w:r w:rsidRPr="00F64ABF">
        <w:t>39/201</w:t>
      </w:r>
      <w:r w:rsidRPr="00BC6B85">
        <w:t>2 (непр</w:t>
      </w:r>
      <w:r w:rsidRPr="00BC6B85">
        <w:t>и</w:t>
      </w:r>
      <w:r w:rsidRPr="00BC6B85">
        <w:t>емлемость), №</w:t>
      </w:r>
      <w:r>
        <w:t> </w:t>
      </w:r>
      <w:r w:rsidRPr="00F64ABF">
        <w:t>41/201</w:t>
      </w:r>
      <w:r w:rsidRPr="00BC6B85">
        <w:t>2 (неприемлемость на основании неисчерпания внутре</w:t>
      </w:r>
      <w:r w:rsidRPr="00BC6B85">
        <w:t>н</w:t>
      </w:r>
      <w:r w:rsidRPr="00BC6B85">
        <w:t>них средств правовой защиты) и, по возможности, №</w:t>
      </w:r>
      <w:r>
        <w:t> </w:t>
      </w:r>
      <w:r w:rsidRPr="00F64ABF">
        <w:t>44/201</w:t>
      </w:r>
      <w:r w:rsidRPr="00BC6B85">
        <w:t>2 (либо реш</w:t>
      </w:r>
      <w:r w:rsidRPr="00BC6B85">
        <w:t>е</w:t>
      </w:r>
      <w:r w:rsidRPr="00BC6B85">
        <w:t>ние о приемлем</w:t>
      </w:r>
      <w:r w:rsidRPr="00BC6B85">
        <w:t>о</w:t>
      </w:r>
      <w:r w:rsidRPr="00BC6B85">
        <w:t>сти, либо прекращение обжалования);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d</w:t>
      </w:r>
      <w:r w:rsidRPr="00BC6B85">
        <w:t>)</w:t>
      </w:r>
      <w:r>
        <w:tab/>
      </w:r>
      <w:r w:rsidRPr="00BC6B85">
        <w:t>просить секретариат подготовить для двадцать седьмой сессии сп</w:t>
      </w:r>
      <w:r w:rsidRPr="00BC6B85">
        <w:t>и</w:t>
      </w:r>
      <w:r w:rsidRPr="00BC6B85">
        <w:t>сок всех готовых для принятия решения незавершенных зарегистрированных дел, с тем чтобы Рабочая группа могла установить очере</w:t>
      </w:r>
      <w:r w:rsidRPr="00BC6B85">
        <w:t>д</w:t>
      </w:r>
      <w:r w:rsidRPr="00BC6B85">
        <w:t>ность в своей работе;</w:t>
      </w:r>
    </w:p>
    <w:p w:rsidR="00F449B5" w:rsidRPr="00BC6B85" w:rsidRDefault="00F449B5" w:rsidP="00F449B5">
      <w:pPr>
        <w:pStyle w:val="SingleTxt"/>
      </w:pPr>
      <w:r w:rsidRPr="00BC6B85">
        <w:tab/>
        <w:t>е)</w:t>
      </w:r>
      <w:r>
        <w:tab/>
      </w:r>
      <w:r w:rsidRPr="00BC6B85">
        <w:t>поддержать просьбу автора и предоставить временные меры защиты</w:t>
      </w:r>
      <w:r>
        <w:t xml:space="preserve"> </w:t>
      </w:r>
      <w:r w:rsidRPr="00BC6B85">
        <w:t>в отношении сообщения №</w:t>
      </w:r>
      <w:r>
        <w:rPr>
          <w:lang w:val="en-US"/>
        </w:rPr>
        <w:t> </w:t>
      </w:r>
      <w:r w:rsidRPr="00F64ABF">
        <w:t>46/201</w:t>
      </w:r>
      <w:r w:rsidRPr="00BC6B85">
        <w:t>2;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f</w:t>
      </w:r>
      <w:r w:rsidRPr="00BC6B85">
        <w:t>)</w:t>
      </w:r>
      <w:r w:rsidRPr="00691824">
        <w:tab/>
      </w:r>
      <w:r w:rsidRPr="00BC6B85">
        <w:t>запросить дополнительную информацию у сторон разбирательства в отношении сообщ</w:t>
      </w:r>
      <w:r w:rsidRPr="00BC6B85">
        <w:t>е</w:t>
      </w:r>
      <w:r w:rsidRPr="00BC6B85">
        <w:t>ний №</w:t>
      </w:r>
      <w:r>
        <w:rPr>
          <w:lang w:val="en-US"/>
        </w:rPr>
        <w:t> </w:t>
      </w:r>
      <w:r w:rsidRPr="00F64ABF">
        <w:t>42/201</w:t>
      </w:r>
      <w:r w:rsidRPr="00BC6B85">
        <w:t xml:space="preserve">2, </w:t>
      </w:r>
      <w:r w:rsidRPr="00F64ABF">
        <w:t>44/201</w:t>
      </w:r>
      <w:r w:rsidRPr="00BC6B85">
        <w:t xml:space="preserve">2 и </w:t>
      </w:r>
      <w:r w:rsidRPr="00F64ABF">
        <w:t>50/201</w:t>
      </w:r>
      <w:r w:rsidRPr="00BC6B85">
        <w:t>3;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g</w:t>
      </w:r>
      <w:r w:rsidRPr="00BC6B85">
        <w:t>)</w:t>
      </w:r>
      <w:r w:rsidRPr="00691824">
        <w:tab/>
      </w:r>
      <w:r w:rsidRPr="00BC6B85">
        <w:t xml:space="preserve">зарегистрировать три новых сообщения: </w:t>
      </w:r>
      <w:r>
        <w:t>№</w:t>
      </w:r>
      <w:r>
        <w:rPr>
          <w:lang w:val="en-US"/>
        </w:rPr>
        <w:t> </w:t>
      </w:r>
      <w:r w:rsidRPr="00F64ABF">
        <w:t>56/201</w:t>
      </w:r>
      <w:r w:rsidRPr="00BC6B85">
        <w:t xml:space="preserve">3 (докладчик: </w:t>
      </w:r>
      <w:r>
        <w:br/>
      </w:r>
      <w:r w:rsidRPr="00BC6B85">
        <w:t>Йоко Хаяси); №</w:t>
      </w:r>
      <w:r>
        <w:t> </w:t>
      </w:r>
      <w:r w:rsidRPr="00F64ABF">
        <w:t>57/201</w:t>
      </w:r>
      <w:r w:rsidRPr="00BC6B85">
        <w:t>3 (докладчик: Олинда Барейро) и №</w:t>
      </w:r>
      <w:r>
        <w:t> </w:t>
      </w:r>
      <w:r w:rsidRPr="00F64ABF">
        <w:t>58/201</w:t>
      </w:r>
      <w:r w:rsidRPr="00BC6B85">
        <w:t>3 (докла</w:t>
      </w:r>
      <w:r w:rsidRPr="00BC6B85">
        <w:t>д</w:t>
      </w:r>
      <w:r w:rsidRPr="00BC6B85">
        <w:t>чик: Никлас Брун);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h</w:t>
      </w:r>
      <w:r w:rsidRPr="00BC6B85">
        <w:t>)</w:t>
      </w:r>
      <w:r>
        <w:tab/>
      </w:r>
      <w:r w:rsidRPr="00BC6B85">
        <w:t>просить секретариат продолжать загружать на экстранет-страницу Факультативного протокола академические ресурсы, на которые содержатся ссылки в записке секретариата, и обеспечить доступность, по запросу, копий извлечений;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i</w:t>
      </w:r>
      <w:r w:rsidRPr="00BC6B85">
        <w:t>)</w:t>
      </w:r>
      <w:r>
        <w:tab/>
      </w:r>
      <w:r w:rsidRPr="00BC6B85">
        <w:t>просить секретариат подготовить информацию о процедуре</w:t>
      </w:r>
      <w:r>
        <w:t xml:space="preserve"> </w:t>
      </w:r>
      <w:r w:rsidRPr="00BC6B85">
        <w:t>посл</w:t>
      </w:r>
      <w:r w:rsidRPr="00BC6B85">
        <w:t>е</w:t>
      </w:r>
      <w:r w:rsidRPr="00BC6B85">
        <w:t xml:space="preserve">дующей </w:t>
      </w:r>
      <w:r>
        <w:t xml:space="preserve">деятельности, </w:t>
      </w:r>
      <w:r w:rsidRPr="00BC6B85">
        <w:t>в том числе краткое изложение документов, предста</w:t>
      </w:r>
      <w:r w:rsidRPr="00BC6B85">
        <w:t>в</w:t>
      </w:r>
      <w:r w:rsidRPr="00BC6B85">
        <w:t>ленных сторонами;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j</w:t>
      </w:r>
      <w:r w:rsidRPr="00BC6B85">
        <w:t>)</w:t>
      </w:r>
      <w:r>
        <w:tab/>
      </w:r>
      <w:r w:rsidRPr="00BC6B85">
        <w:t>просить секретариат организовать встречу с представителями П</w:t>
      </w:r>
      <w:r w:rsidRPr="00BC6B85">
        <w:t>о</w:t>
      </w:r>
      <w:r w:rsidRPr="00BC6B85">
        <w:t>стоянного представительства Болгарии по вопросу о последующ</w:t>
      </w:r>
      <w:r>
        <w:t>ей</w:t>
      </w:r>
      <w:r w:rsidRPr="00BC6B85">
        <w:t xml:space="preserve"> де</w:t>
      </w:r>
      <w:r>
        <w:t>ятельн</w:t>
      </w:r>
      <w:r>
        <w:t>о</w:t>
      </w:r>
      <w:r>
        <w:t xml:space="preserve">сти </w:t>
      </w:r>
      <w:r w:rsidRPr="00BC6B85">
        <w:t>в связи с мнениями по трем индивидуальным сообщениям для о</w:t>
      </w:r>
      <w:r w:rsidRPr="00BC6B85">
        <w:t>б</w:t>
      </w:r>
      <w:r w:rsidRPr="00BC6B85">
        <w:t>суждения мер, принятых государством-участником в целях реализации рекомендаций Комит</w:t>
      </w:r>
      <w:r w:rsidRPr="00BC6B85">
        <w:t>е</w:t>
      </w:r>
      <w:r w:rsidRPr="00BC6B85">
        <w:t>та;</w:t>
      </w:r>
    </w:p>
    <w:p w:rsidR="00F449B5" w:rsidRPr="00BC6B85" w:rsidRDefault="00F449B5" w:rsidP="00F449B5">
      <w:pPr>
        <w:pStyle w:val="SingleTxt"/>
      </w:pPr>
      <w:r w:rsidRPr="00BC6B85">
        <w:tab/>
      </w:r>
      <w:r w:rsidRPr="00BC6B85">
        <w:rPr>
          <w:lang w:val="en-US"/>
        </w:rPr>
        <w:t>k</w:t>
      </w:r>
      <w:r w:rsidRPr="00BC6B85">
        <w:t>)</w:t>
      </w:r>
      <w:r>
        <w:tab/>
      </w:r>
      <w:r w:rsidRPr="00BC6B85">
        <w:t>подтвердить свою просьбу о том, чтобы секретариат на веб-странице, посвященной судебной практике Комитета, размещал информацию в отношении всех прекращенных дел с кратким разъяснением оснований для прекращ</w:t>
      </w:r>
      <w:r w:rsidRPr="00BC6B85">
        <w:t>е</w:t>
      </w:r>
      <w:r w:rsidRPr="00BC6B85">
        <w:t>ния.</w:t>
      </w:r>
    </w:p>
    <w:p w:rsidR="00F449B5" w:rsidRPr="00BC6B85" w:rsidRDefault="00F449B5" w:rsidP="00F449B5">
      <w:pPr>
        <w:pStyle w:val="SingleTxt"/>
      </w:pPr>
      <w:r w:rsidRPr="00BC6B85">
        <w:t>12.</w:t>
      </w:r>
      <w:r>
        <w:tab/>
      </w:r>
      <w:r w:rsidRPr="00BC6B85">
        <w:t>В отношении своей межсессионной работы и внутренних методов работы Рабочая группа постановила продолжить на своей двадцать седьмой сессии о</w:t>
      </w:r>
      <w:r w:rsidRPr="00BC6B85">
        <w:t>б</w:t>
      </w:r>
      <w:r w:rsidRPr="00BC6B85">
        <w:t>суждение методов осуществления последующ</w:t>
      </w:r>
      <w:r>
        <w:t>ей</w:t>
      </w:r>
      <w:r w:rsidRPr="00BC6B85">
        <w:t xml:space="preserve"> </w:t>
      </w:r>
      <w:r>
        <w:t xml:space="preserve">деятельности </w:t>
      </w:r>
      <w:r w:rsidRPr="00BC6B85">
        <w:t>в связи с мнен</w:t>
      </w:r>
      <w:r w:rsidRPr="00BC6B85">
        <w:t>и</w:t>
      </w:r>
      <w:r w:rsidRPr="00BC6B85">
        <w:t>ями, в том числе методов закрытия дел.</w:t>
      </w:r>
    </w:p>
    <w:p w:rsidR="00F449B5" w:rsidRDefault="00F449B5" w:rsidP="00F449B5">
      <w:pPr>
        <w:pStyle w:val="SingleTxt"/>
      </w:pPr>
      <w:r w:rsidRPr="00BC6B85">
        <w:t>13.</w:t>
      </w:r>
      <w:r w:rsidRPr="00BC6B85">
        <w:tab/>
        <w:t xml:space="preserve">Рабочая группа по сообщениям в </w:t>
      </w:r>
      <w:r>
        <w:t xml:space="preserve">соответствии с </w:t>
      </w:r>
      <w:r w:rsidRPr="00BC6B85">
        <w:t>Факультативн</w:t>
      </w:r>
      <w:r>
        <w:t>ым</w:t>
      </w:r>
      <w:r w:rsidRPr="00BC6B85">
        <w:t xml:space="preserve"> прот</w:t>
      </w:r>
      <w:r w:rsidRPr="00BC6B85">
        <w:t>о</w:t>
      </w:r>
      <w:r w:rsidRPr="00BC6B85">
        <w:t>кол</w:t>
      </w:r>
      <w:r>
        <w:t>ом</w:t>
      </w:r>
      <w:r w:rsidRPr="00BC6B85">
        <w:t xml:space="preserve"> к Конвенции о ликвидации всех форм дискриминации в отношении женщин постановила провести свою двадцать седьмую сессию 24</w:t>
      </w:r>
      <w:r>
        <w:t>–</w:t>
      </w:r>
      <w:r w:rsidRPr="00BC6B85">
        <w:t>27</w:t>
      </w:r>
      <w:r>
        <w:t> </w:t>
      </w:r>
      <w:r w:rsidRPr="00BC6B85">
        <w:t>сентября 2013 года в Женеве.</w:t>
      </w:r>
    </w:p>
    <w:p w:rsid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691824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BC6B85">
        <w:t>Добавление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C6B85">
        <w:t>Повестка дня двадцать шестой сессии Рабочей группы</w:t>
      </w:r>
    </w:p>
    <w:p w:rsidR="00F449B5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691824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BC6B85" w:rsidRDefault="00F449B5" w:rsidP="00F449B5">
      <w:pPr>
        <w:pStyle w:val="SingleTxt"/>
      </w:pPr>
      <w:r w:rsidRPr="00BC6B85">
        <w:t>1.</w:t>
      </w:r>
      <w:r>
        <w:tab/>
      </w:r>
      <w:r w:rsidRPr="00BC6B85">
        <w:t>Утверждение повестки дня и организация работы.</w:t>
      </w:r>
    </w:p>
    <w:p w:rsidR="00F449B5" w:rsidRPr="00BC6B85" w:rsidRDefault="00F449B5" w:rsidP="00F449B5">
      <w:pPr>
        <w:pStyle w:val="SingleTxt"/>
      </w:pPr>
      <w:r w:rsidRPr="00BC6B85">
        <w:t>2.</w:t>
      </w:r>
      <w:r>
        <w:tab/>
        <w:t xml:space="preserve">Обзор </w:t>
      </w:r>
      <w:r w:rsidRPr="00BC6B85">
        <w:t xml:space="preserve">мер и мероприятий, осуществленных после предыдущей сессии. </w:t>
      </w:r>
    </w:p>
    <w:p w:rsidR="00F449B5" w:rsidRPr="00BC6B85" w:rsidRDefault="00F449B5" w:rsidP="00F449B5">
      <w:pPr>
        <w:pStyle w:val="SingleTxt"/>
      </w:pPr>
      <w:r w:rsidRPr="00BC6B85">
        <w:t>3.</w:t>
      </w:r>
      <w:r>
        <w:tab/>
      </w:r>
      <w:r w:rsidRPr="00BC6B85">
        <w:t>Новые зарегистрированные сообщения и назначение новых докладчиков.</w:t>
      </w:r>
    </w:p>
    <w:p w:rsidR="00F449B5" w:rsidRPr="00BC6B85" w:rsidRDefault="00F449B5" w:rsidP="00F449B5">
      <w:pPr>
        <w:pStyle w:val="SingleTxt"/>
      </w:pPr>
      <w:r w:rsidRPr="00BC6B85">
        <w:t>4.</w:t>
      </w:r>
      <w:r>
        <w:tab/>
      </w:r>
      <w:r w:rsidRPr="00BC6B85">
        <w:t>Обсуждение дел, готовых к принятию, и предварительное обсуждение.</w:t>
      </w:r>
    </w:p>
    <w:p w:rsidR="00F449B5" w:rsidRPr="00BC6B85" w:rsidRDefault="00F449B5" w:rsidP="00F449B5">
      <w:pPr>
        <w:pStyle w:val="SingleTxt"/>
      </w:pPr>
      <w:r w:rsidRPr="00BC6B85">
        <w:t>5.</w:t>
      </w:r>
      <w:r>
        <w:tab/>
      </w:r>
      <w:r w:rsidRPr="00BC6B85">
        <w:t>Дела, подлежащие прекращению.</w:t>
      </w:r>
    </w:p>
    <w:p w:rsidR="00F449B5" w:rsidRPr="00BC6B85" w:rsidRDefault="00F449B5" w:rsidP="00F449B5">
      <w:pPr>
        <w:pStyle w:val="SingleTxt"/>
      </w:pPr>
      <w:r w:rsidRPr="00BC6B85">
        <w:t>6.</w:t>
      </w:r>
      <w:r>
        <w:tab/>
        <w:t xml:space="preserve">Обновленная </w:t>
      </w:r>
      <w:r w:rsidRPr="00BC6B85">
        <w:t xml:space="preserve">информация </w:t>
      </w:r>
      <w:r>
        <w:t xml:space="preserve">по </w:t>
      </w:r>
      <w:r w:rsidRPr="00BC6B85">
        <w:t>сообщениям (зарегистрированные дела).</w:t>
      </w:r>
    </w:p>
    <w:p w:rsidR="00F449B5" w:rsidRPr="00BC6B85" w:rsidRDefault="00F449B5" w:rsidP="00F449B5">
      <w:pPr>
        <w:pStyle w:val="SingleTxt"/>
        <w:ind w:left="1742" w:hanging="475"/>
      </w:pPr>
      <w:r w:rsidRPr="00BC6B85">
        <w:t>7.</w:t>
      </w:r>
      <w:r>
        <w:tab/>
        <w:t xml:space="preserve">Обновленная </w:t>
      </w:r>
      <w:r w:rsidRPr="00BC6B85">
        <w:t>информация о последующ</w:t>
      </w:r>
      <w:r>
        <w:t>ей</w:t>
      </w:r>
      <w:r w:rsidRPr="00BC6B85">
        <w:t xml:space="preserve"> дея</w:t>
      </w:r>
      <w:r>
        <w:t xml:space="preserve">тельности </w:t>
      </w:r>
      <w:r w:rsidRPr="00BC6B85">
        <w:t>в связи с мнен</w:t>
      </w:r>
      <w:r w:rsidRPr="00BC6B85">
        <w:t>и</w:t>
      </w:r>
      <w:r w:rsidRPr="00BC6B85">
        <w:t>ями.</w:t>
      </w:r>
    </w:p>
    <w:p w:rsidR="00F449B5" w:rsidRPr="00BC6B85" w:rsidRDefault="00F449B5" w:rsidP="00F449B5">
      <w:pPr>
        <w:pStyle w:val="SingleTxt"/>
        <w:ind w:left="1742" w:hanging="475"/>
      </w:pPr>
      <w:r w:rsidRPr="00BC6B85">
        <w:t>8.</w:t>
      </w:r>
      <w:r>
        <w:tab/>
      </w:r>
      <w:r w:rsidRPr="00BC6B85">
        <w:t>Обсуждение методов работы, включая последующ</w:t>
      </w:r>
      <w:r>
        <w:t>ую</w:t>
      </w:r>
      <w:r w:rsidRPr="00BC6B85">
        <w:t xml:space="preserve"> дея</w:t>
      </w:r>
      <w:r>
        <w:t>тельность</w:t>
      </w:r>
      <w:r w:rsidRPr="00BC6B85">
        <w:t xml:space="preserve"> в св</w:t>
      </w:r>
      <w:r w:rsidRPr="00BC6B85">
        <w:t>я</w:t>
      </w:r>
      <w:r w:rsidRPr="00BC6B85">
        <w:t>зи с мнениями.</w:t>
      </w:r>
    </w:p>
    <w:p w:rsidR="00F449B5" w:rsidRPr="00BC6B85" w:rsidRDefault="00F449B5" w:rsidP="00F449B5">
      <w:pPr>
        <w:pStyle w:val="SingleTxt"/>
        <w:ind w:left="1742" w:hanging="475"/>
      </w:pPr>
      <w:r w:rsidRPr="00BC6B85">
        <w:t>9.</w:t>
      </w:r>
      <w:r>
        <w:tab/>
      </w:r>
      <w:r w:rsidRPr="00BC6B85">
        <w:t>Утверждение доклада Рабочей группы о работе ее двадцать шестой се</w:t>
      </w:r>
      <w:r w:rsidRPr="00BC6B85">
        <w:t>с</w:t>
      </w:r>
      <w:r w:rsidRPr="00BC6B85">
        <w:t>сии.</w:t>
      </w:r>
    </w:p>
    <w:p w:rsidR="00F449B5" w:rsidRPr="00BC6B85" w:rsidRDefault="00F449B5" w:rsidP="00F449B5">
      <w:pPr>
        <w:pStyle w:val="SingleTxt"/>
      </w:pPr>
    </w:p>
    <w:p w:rsidR="00F449B5" w:rsidRDefault="00F449B5" w:rsidP="0039550E">
      <w:pPr>
        <w:pStyle w:val="SingleTxt"/>
        <w:sectPr w:rsidR="00F449B5" w:rsidSect="00F449B5"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</w:r>
      <w:r w:rsidRPr="00FE186F">
        <w:t xml:space="preserve">Часть вторая </w:t>
      </w: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FE186F">
        <w:t xml:space="preserve">Доклад Комитета по ликвидации дискриминации </w:t>
      </w:r>
      <w:r>
        <w:br/>
      </w:r>
      <w:r w:rsidRPr="00FE186F">
        <w:t xml:space="preserve">в отношении женщин </w:t>
      </w:r>
      <w:r>
        <w:t xml:space="preserve">о работе </w:t>
      </w:r>
      <w:r w:rsidRPr="00FE186F">
        <w:t xml:space="preserve">его пятьдесят шестой сессии 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6751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30 сентября</w:t>
      </w:r>
      <w:r>
        <w:t xml:space="preserve"> — </w:t>
      </w:r>
      <w:r w:rsidRPr="00FE186F">
        <w:t>18 октября 2013 года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  <w:spacing w:after="0" w:line="120" w:lineRule="exact"/>
        <w:rPr>
          <w:sz w:val="10"/>
          <w:lang w:val="en-US"/>
        </w:rPr>
      </w:pPr>
    </w:p>
    <w:p w:rsidR="00F449B5" w:rsidRPr="00F449B5" w:rsidRDefault="00F449B5" w:rsidP="00F449B5">
      <w:pPr>
        <w:pStyle w:val="SingleTxt"/>
        <w:spacing w:after="0" w:line="120" w:lineRule="exact"/>
        <w:rPr>
          <w:sz w:val="10"/>
          <w:lang w:val="en-US"/>
        </w:rPr>
      </w:pP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sectPr w:rsidR="00F449B5" w:rsidSect="00F449B5"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F449B5" w:rsidRPr="005A0C97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 xml:space="preserve">Глава </w:t>
      </w:r>
      <w:r w:rsidRPr="00FE186F">
        <w:rPr>
          <w:lang w:val="en-GB"/>
        </w:rPr>
        <w:t>I</w:t>
      </w:r>
    </w:p>
    <w:p w:rsidR="00F449B5" w:rsidRPr="005A0C97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49B5" w:rsidRDefault="00F449B5" w:rsidP="0067514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0C97">
        <w:tab/>
      </w:r>
      <w:r w:rsidRPr="005A0C97">
        <w:tab/>
      </w:r>
      <w:r w:rsidRPr="00FE186F">
        <w:t>Вопросы, дов</w:t>
      </w:r>
      <w:r>
        <w:t xml:space="preserve">еденные </w:t>
      </w:r>
      <w:r w:rsidRPr="00FE186F">
        <w:t>до сведения государств</w:t>
      </w:r>
      <w:r>
        <w:t xml:space="preserve"> — </w:t>
      </w:r>
      <w:r w:rsidRPr="00FE186F">
        <w:t>участников Конвенции о ликвидации всех форм дискриминации в отношении женщин</w:t>
      </w:r>
    </w:p>
    <w:p w:rsid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A0C97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E186F">
        <w:t>Решения</w:t>
      </w:r>
    </w:p>
    <w:p w:rsid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Решение 56/</w:t>
      </w:r>
      <w:r w:rsidRPr="00FE186F">
        <w:rPr>
          <w:lang w:val="en-GB"/>
        </w:rPr>
        <w:t>I</w:t>
      </w:r>
    </w:p>
    <w:p w:rsid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ab/>
        <w:t>18 октября 2013 года Комитет единогласно путем поименного голосов</w:t>
      </w:r>
      <w:r w:rsidRPr="00FE186F">
        <w:t>а</w:t>
      </w:r>
      <w:r w:rsidRPr="00FE186F">
        <w:t>ния принял общую рекомендацию № 30, касающуюся положения женщин в условиях предотвращения конфликтов, в конфликтных и постконфликтных с</w:t>
      </w:r>
      <w:r w:rsidRPr="00FE186F">
        <w:t>и</w:t>
      </w:r>
      <w:r w:rsidRPr="00FE186F">
        <w:t>туациях</w:t>
      </w:r>
      <w:r w:rsidRPr="00C62420">
        <w:rPr>
          <w:rStyle w:val="FootnoteReference"/>
        </w:rPr>
        <w:footnoteReference w:id="3"/>
      </w:r>
      <w:r w:rsidRPr="00FE186F">
        <w:t>.</w:t>
      </w:r>
      <w:r w:rsidRPr="00FE186F" w:rsidDel="003F18CF">
        <w:t xml:space="preserve"> 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Решение 56/</w:t>
      </w:r>
      <w:r w:rsidRPr="00FE186F">
        <w:rPr>
          <w:lang w:val="en-GB"/>
        </w:rPr>
        <w:t>II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ab/>
        <w:t>Комитет постановил продлить срок действия полномочий Барбары Бэйли в качестве докладчика по вопросу о последующ</w:t>
      </w:r>
      <w:r>
        <w:t>ей деятельности</w:t>
      </w:r>
      <w:r w:rsidRPr="00FE186F">
        <w:t xml:space="preserve"> и назначить Сяоцяо Цзоу </w:t>
      </w:r>
      <w:r>
        <w:t xml:space="preserve">заместителем </w:t>
      </w:r>
      <w:r w:rsidRPr="00FE186F">
        <w:t>докладчик</w:t>
      </w:r>
      <w:r>
        <w:t>а</w:t>
      </w:r>
      <w:r w:rsidRPr="00FE186F">
        <w:t xml:space="preserve"> на один год до 31 д</w:t>
      </w:r>
      <w:r w:rsidRPr="00FE186F">
        <w:t>е</w:t>
      </w:r>
      <w:r w:rsidRPr="00FE186F">
        <w:t xml:space="preserve">кабря 2014 года. 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Решение 56/</w:t>
      </w:r>
      <w:r w:rsidRPr="00FE186F">
        <w:rPr>
          <w:lang w:val="en-GB"/>
        </w:rPr>
        <w:t>III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ab/>
        <w:t>Комитет также утвердил членский состав предсессионной рабочей гру</w:t>
      </w:r>
      <w:r w:rsidRPr="00FE186F">
        <w:t>п</w:t>
      </w:r>
      <w:r w:rsidRPr="00FE186F">
        <w:t xml:space="preserve">пы на пятьдесят </w:t>
      </w:r>
      <w:r>
        <w:t xml:space="preserve">восьмой </w:t>
      </w:r>
      <w:r w:rsidRPr="00FE186F">
        <w:t>сессии, а именно: Нур аль-Джехани, Николь Амелин, Барбара Бэйли, На</w:t>
      </w:r>
      <w:r>
        <w:t>и</w:t>
      </w:r>
      <w:r w:rsidRPr="00FE186F">
        <w:t>ла Габр и Виолета Нойбауэр.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Решение 56/</w:t>
      </w:r>
      <w:r w:rsidRPr="00FE186F">
        <w:rPr>
          <w:lang w:val="en-GB"/>
        </w:rPr>
        <w:t>IV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ab/>
        <w:t xml:space="preserve">Комитет постановил сохранить практику открытой веб-трансляции своих дискуссий с государствами-участниками и других открытых заседаний после пробного периода, предусмотренного в решении </w:t>
      </w:r>
      <w:r w:rsidRPr="00A3328C">
        <w:t>54/7</w:t>
      </w:r>
      <w:r w:rsidRPr="00FE186F">
        <w:t>, на неопределенный п</w:t>
      </w:r>
      <w:r w:rsidRPr="00FE186F">
        <w:t>е</w:t>
      </w:r>
      <w:r w:rsidRPr="00FE186F">
        <w:t>риод до принятия им иного решения (см. приложение</w:t>
      </w:r>
      <w:r w:rsidRPr="00FE186F">
        <w:rPr>
          <w:lang w:val="en-GB"/>
        </w:rPr>
        <w:t> I</w:t>
      </w:r>
      <w:r w:rsidRPr="00FE186F">
        <w:t xml:space="preserve"> к части второй насто</w:t>
      </w:r>
      <w:r w:rsidRPr="00FE186F">
        <w:t>я</w:t>
      </w:r>
      <w:r w:rsidRPr="00FE186F">
        <w:t>щего доклада).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Решение 56/</w:t>
      </w:r>
      <w:r w:rsidRPr="00FE186F">
        <w:rPr>
          <w:lang w:val="en-GB"/>
        </w:rPr>
        <w:t>V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ab/>
        <w:t>Комитет постановил измен</w:t>
      </w:r>
      <w:r>
        <w:t>ить</w:t>
      </w:r>
      <w:r w:rsidRPr="00FE186F">
        <w:t xml:space="preserve"> стандартный пункт о национальных па</w:t>
      </w:r>
      <w:r w:rsidRPr="00FE186F">
        <w:t>р</w:t>
      </w:r>
      <w:r w:rsidRPr="00FE186F">
        <w:t>ламентах в своих заключительных замечаниях следующим образом: «Комитет подчеркивает важнейшую роль законодательной власти в обеспечении по</w:t>
      </w:r>
      <w:r w:rsidRPr="00FE186F">
        <w:t>л</w:t>
      </w:r>
      <w:r w:rsidRPr="00FE186F">
        <w:t xml:space="preserve">ного осуществления Конвенции (см. принятое Комитетом </w:t>
      </w:r>
      <w:r>
        <w:t>з</w:t>
      </w:r>
      <w:r w:rsidRPr="00FE186F">
        <w:t>аявление о взаимоотн</w:t>
      </w:r>
      <w:r w:rsidRPr="00FE186F">
        <w:t>о</w:t>
      </w:r>
      <w:r w:rsidRPr="00FE186F">
        <w:t>шениях Комитета по ликвидации дискриминации в отношении женщин с па</w:t>
      </w:r>
      <w:r w:rsidRPr="00FE186F">
        <w:t>р</w:t>
      </w:r>
      <w:r w:rsidRPr="00FE186F">
        <w:t>ламентариями, сорок пятая сессия, 2010</w:t>
      </w:r>
      <w:r w:rsidRPr="00FE186F">
        <w:rPr>
          <w:lang w:val="en-GB"/>
        </w:rPr>
        <w:t> </w:t>
      </w:r>
      <w:r w:rsidRPr="00FE186F">
        <w:t>год). Он предлагает парламенту, в с</w:t>
      </w:r>
      <w:r w:rsidRPr="00FE186F">
        <w:t>о</w:t>
      </w:r>
      <w:r w:rsidRPr="00FE186F">
        <w:t>ответствии с его мандатом, предпринять необходимые шаги по осуществл</w:t>
      </w:r>
      <w:r w:rsidRPr="00FE186F">
        <w:t>е</w:t>
      </w:r>
      <w:r w:rsidRPr="00FE186F">
        <w:t>нию настоящих заключительных замечаний в период до представления след</w:t>
      </w:r>
      <w:r w:rsidRPr="00FE186F">
        <w:t>у</w:t>
      </w:r>
      <w:r w:rsidRPr="00FE186F">
        <w:t xml:space="preserve">ющего доклада в соответствии с Конвенцией». 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Решение 56/</w:t>
      </w:r>
      <w:r w:rsidRPr="00FE186F">
        <w:rPr>
          <w:lang w:val="en-GB"/>
        </w:rPr>
        <w:t>VI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ab/>
        <w:t>Комитет постановил провести на своей пятьдесят восьмой сессии общую дискуссию продолжительностью в половину дня по вопросу о праве на образ</w:t>
      </w:r>
      <w:r w:rsidRPr="00FE186F">
        <w:t>о</w:t>
      </w:r>
      <w:r w:rsidRPr="00FE186F">
        <w:t xml:space="preserve">вание. 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Решение 56/</w:t>
      </w:r>
      <w:r w:rsidRPr="00FE186F">
        <w:rPr>
          <w:lang w:val="en-GB"/>
        </w:rPr>
        <w:t>VII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ab/>
        <w:t>Состав Рабочей группы по сельским женщинам был расширен за счет включения Нур аль-Джехани, Теодоры Оби Нванкво и Бьянкамарии Померанци в дополнение к действующим членам Барбаре Бейли, М</w:t>
      </w:r>
      <w:r>
        <w:t>арьям</w:t>
      </w:r>
      <w:r w:rsidRPr="00FE186F">
        <w:t xml:space="preserve"> Бельмихуб-Зердани, Никлас</w:t>
      </w:r>
      <w:r>
        <w:t>у</w:t>
      </w:r>
      <w:r w:rsidRPr="00FE186F">
        <w:t xml:space="preserve"> Брун</w:t>
      </w:r>
      <w:r>
        <w:t>у</w:t>
      </w:r>
      <w:r w:rsidRPr="00FE186F">
        <w:t>, На</w:t>
      </w:r>
      <w:r>
        <w:t>и</w:t>
      </w:r>
      <w:r w:rsidRPr="00FE186F">
        <w:t>л</w:t>
      </w:r>
      <w:r>
        <w:t>е</w:t>
      </w:r>
      <w:r w:rsidRPr="00FE186F">
        <w:t xml:space="preserve"> Габр (Председатель), Исмат Джахан, Марии-Элен</w:t>
      </w:r>
      <w:r>
        <w:t>е</w:t>
      </w:r>
      <w:r w:rsidRPr="00FE186F">
        <w:t xml:space="preserve"> Пиреш и Цзоу Сяоцяо. 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>Решение 56/</w:t>
      </w:r>
      <w:r w:rsidRPr="00FE186F">
        <w:rPr>
          <w:lang w:val="en-GB"/>
        </w:rPr>
        <w:t>VIII</w:t>
      </w:r>
    </w:p>
    <w:p w:rsidR="00F449B5" w:rsidRPr="00FE186F" w:rsidRDefault="00F449B5" w:rsidP="00F449B5">
      <w:pPr>
        <w:pStyle w:val="SingleTxt"/>
        <w:spacing w:after="0" w:line="120" w:lineRule="exact"/>
        <w:rPr>
          <w:b/>
          <w:sz w:val="10"/>
        </w:rPr>
      </w:pPr>
    </w:p>
    <w:p w:rsidR="00F449B5" w:rsidRPr="00FE186F" w:rsidRDefault="00F449B5" w:rsidP="00F449B5">
      <w:pPr>
        <w:pStyle w:val="SingleTxt"/>
      </w:pPr>
      <w:r w:rsidRPr="00FE186F">
        <w:tab/>
        <w:t xml:space="preserve">Состав Рабочей группы по вопросам гендерного равенства в контексте изменения климата и стихийных бедствий был расширен за счет включения Хилари Гбедемах в дополнение к действующим членам Нур аль-Джехани,  Нале Хайдар, Йоко Хаяси (Председатель), Исмат Джахан и Цзоу Сяоцяо. </w:t>
      </w:r>
    </w:p>
    <w:p w:rsidR="00F449B5" w:rsidRP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br w:type="page"/>
      </w:r>
      <w:r>
        <w:tab/>
      </w:r>
      <w:r w:rsidRPr="00FE186F">
        <w:t xml:space="preserve">Глава </w:t>
      </w:r>
      <w:r w:rsidRPr="00FE186F">
        <w:rPr>
          <w:lang w:val="en-GB"/>
        </w:rPr>
        <w:t>II</w:t>
      </w:r>
      <w:r w:rsidRPr="00FE186F">
        <w:t xml:space="preserve"> </w:t>
      </w:r>
    </w:p>
    <w:p w:rsidR="00F449B5" w:rsidRP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9B5">
        <w:tab/>
      </w:r>
      <w:r w:rsidRPr="00F449B5">
        <w:tab/>
      </w:r>
      <w:r w:rsidRPr="00FE186F">
        <w:t xml:space="preserve">Организационные и прочие вопросы 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rPr>
          <w:lang w:val="en-GB"/>
        </w:rPr>
        <w:t>A</w:t>
      </w:r>
      <w:r w:rsidRPr="00FE186F">
        <w:t>.</w:t>
      </w:r>
      <w:r w:rsidRPr="00FE186F">
        <w:tab/>
        <w:t>Государства</w:t>
      </w:r>
      <w:r>
        <w:t xml:space="preserve"> — </w:t>
      </w:r>
      <w:r w:rsidRPr="00FE186F">
        <w:t>участники Конвенции и Факультативного протокола</w:t>
      </w: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</w:pPr>
      <w:r w:rsidRPr="00FE186F">
        <w:t>1.</w:t>
      </w:r>
      <w:r w:rsidRPr="00FE186F">
        <w:tab/>
        <w:t xml:space="preserve">По состоянию на 18 октября 2013 года, дату закрытия пятьдесят шестой сессии Комитета, насчитывалось 187 государств — участников Конвенции о ликвидации всех форм дискриминации в отношении женщин, которая была принята Генеральной Ассамблеей в ее резолюции </w:t>
      </w:r>
      <w:hyperlink r:id="rId59" w:history="1">
        <w:r w:rsidRPr="00E26F4D">
          <w:rPr>
            <w:rStyle w:val="Hyperlink"/>
          </w:rPr>
          <w:t>34/180</w:t>
        </w:r>
      </w:hyperlink>
      <w:r w:rsidRPr="00FE186F">
        <w:t xml:space="preserve"> и открыта для  подп</w:t>
      </w:r>
      <w:r w:rsidRPr="00FE186F">
        <w:t>и</w:t>
      </w:r>
      <w:r w:rsidRPr="00FE186F">
        <w:t>сания, ратификации и присоединения в Нью-Йорке 1 марта 1980 года. В соо</w:t>
      </w:r>
      <w:r w:rsidRPr="00FE186F">
        <w:t>т</w:t>
      </w:r>
      <w:r w:rsidRPr="00FE186F">
        <w:t>ветствии со статьей 27 Конвенции она вступила в силу 3</w:t>
      </w:r>
      <w:r w:rsidRPr="00FE186F">
        <w:rPr>
          <w:lang w:val="en-GB"/>
        </w:rPr>
        <w:t> </w:t>
      </w:r>
      <w:r w:rsidRPr="00FE186F">
        <w:t>сентября 1981 года. Кроме того, 68 государств-участников приняло поправку к пункту 1 статьи 20 Конвенции, касающемуся сроков проведения заседаний Комитета. Для всту</w:t>
      </w:r>
      <w:r w:rsidRPr="00FE186F">
        <w:t>п</w:t>
      </w:r>
      <w:r w:rsidRPr="00FE186F">
        <w:t>ления данной поправки в силу</w:t>
      </w:r>
      <w:r>
        <w:t xml:space="preserve"> она, </w:t>
      </w:r>
      <w:r w:rsidRPr="00FE186F">
        <w:t>согласно ее положениям</w:t>
      </w:r>
      <w:r>
        <w:t>,</w:t>
      </w:r>
      <w:r w:rsidRPr="00FE186F">
        <w:t xml:space="preserve"> должна быть пр</w:t>
      </w:r>
      <w:r w:rsidRPr="00FE186F">
        <w:t>и</w:t>
      </w:r>
      <w:r w:rsidRPr="00FE186F">
        <w:t>нята в общей сложности 125 государствами</w:t>
      </w:r>
      <w:r>
        <w:t xml:space="preserve"> — </w:t>
      </w:r>
      <w:r w:rsidRPr="00FE186F">
        <w:t>участниками Конвенции.</w:t>
      </w:r>
    </w:p>
    <w:p w:rsidR="00F449B5" w:rsidRPr="00FE186F" w:rsidRDefault="00F449B5" w:rsidP="00F449B5">
      <w:pPr>
        <w:pStyle w:val="SingleTxt"/>
      </w:pPr>
      <w:r w:rsidRPr="00FE186F">
        <w:t>2.</w:t>
      </w:r>
      <w:r w:rsidRPr="00FE186F">
        <w:tab/>
        <w:t>На ту же дату насчитывалось 104 государства</w:t>
      </w:r>
      <w:r>
        <w:t xml:space="preserve"> — </w:t>
      </w:r>
      <w:r w:rsidRPr="00FE186F">
        <w:t>участника Факультати</w:t>
      </w:r>
      <w:r w:rsidRPr="00FE186F">
        <w:t>в</w:t>
      </w:r>
      <w:r w:rsidRPr="00FE186F">
        <w:t xml:space="preserve">ного протокола к Конвенции, который был принят Генеральной Ассамблеей в ее резолюции </w:t>
      </w:r>
      <w:hyperlink r:id="rId60" w:history="1">
        <w:r w:rsidRPr="00E26F4D">
          <w:rPr>
            <w:rStyle w:val="Hyperlink"/>
          </w:rPr>
          <w:t>54/4</w:t>
        </w:r>
      </w:hyperlink>
      <w:r w:rsidRPr="00FE186F">
        <w:t xml:space="preserve"> и открыт для подписания, ратификации и присоединения в Нью-Йорке 10 декабря 1999 года.</w:t>
      </w:r>
      <w:r>
        <w:t xml:space="preserve"> В соответствии со статьей 16</w:t>
      </w:r>
      <w:r w:rsidRPr="00FE186F">
        <w:t xml:space="preserve"> Факультатив</w:t>
      </w:r>
      <w:r>
        <w:t>н</w:t>
      </w:r>
      <w:r>
        <w:t>о</w:t>
      </w:r>
      <w:r>
        <w:t>го</w:t>
      </w:r>
      <w:r w:rsidRPr="00FE186F">
        <w:t xml:space="preserve"> протокол</w:t>
      </w:r>
      <w:r>
        <w:t>а он</w:t>
      </w:r>
      <w:r w:rsidRPr="00FE186F">
        <w:t xml:space="preserve"> вступил в силу 22 декабря 2000 года.</w:t>
      </w:r>
    </w:p>
    <w:p w:rsidR="00F449B5" w:rsidRDefault="00F449B5" w:rsidP="00F449B5">
      <w:pPr>
        <w:pStyle w:val="SingleTxt"/>
      </w:pPr>
      <w:r w:rsidRPr="00FE186F">
        <w:t>3.</w:t>
      </w:r>
      <w:r w:rsidRPr="00FE186F">
        <w:tab/>
        <w:t>Ознакомиться с обновленной информацией о статусе Конвенции, попра</w:t>
      </w:r>
      <w:r w:rsidRPr="00FE186F">
        <w:t>в</w:t>
      </w:r>
      <w:r w:rsidRPr="00FE186F">
        <w:t>ке к Конвенции и Факультативном протоколе к Конвенции, а также со списком государств, подписавших Конвенцию и являющихся ее участниками, и с те</w:t>
      </w:r>
      <w:r w:rsidRPr="00FE186F">
        <w:t>к</w:t>
      </w:r>
      <w:r w:rsidRPr="00FE186F">
        <w:t>стами деклараций, оговорок, возражений и другой соответствующей информ</w:t>
      </w:r>
      <w:r w:rsidRPr="00FE186F">
        <w:t>а</w:t>
      </w:r>
      <w:r w:rsidRPr="00FE186F">
        <w:t xml:space="preserve">цией можно на веб-сайте </w:t>
      </w:r>
      <w:r>
        <w:t>«</w:t>
      </w:r>
      <w:r w:rsidRPr="00FE186F">
        <w:t>Собрание договоров Организации Объединенных Наций</w:t>
      </w:r>
      <w:r>
        <w:t>»</w:t>
      </w:r>
      <w:r w:rsidRPr="00FE186F">
        <w:t xml:space="preserve"> (</w:t>
      </w:r>
      <w:r w:rsidRPr="00FE186F">
        <w:rPr>
          <w:lang w:val="en-GB"/>
        </w:rPr>
        <w:t>http</w:t>
      </w:r>
      <w:r w:rsidRPr="00FE186F">
        <w:t>://</w:t>
      </w:r>
      <w:r w:rsidRPr="00FE186F">
        <w:rPr>
          <w:lang w:val="en-GB"/>
        </w:rPr>
        <w:t>treaties</w:t>
      </w:r>
      <w:r w:rsidRPr="00FE186F">
        <w:t>.</w:t>
      </w:r>
      <w:r w:rsidRPr="00FE186F">
        <w:rPr>
          <w:lang w:val="en-GB"/>
        </w:rPr>
        <w:t>un</w:t>
      </w:r>
      <w:r w:rsidRPr="00FE186F">
        <w:t>.</w:t>
      </w:r>
      <w:r w:rsidRPr="00FE186F">
        <w:rPr>
          <w:lang w:val="en-GB"/>
        </w:rPr>
        <w:t>org</w:t>
      </w:r>
      <w:r w:rsidRPr="00FE186F">
        <w:t>), которы</w:t>
      </w:r>
      <w:r>
        <w:t>й обслуживает</w:t>
      </w:r>
      <w:r w:rsidRPr="00FE186F">
        <w:t xml:space="preserve"> Договорная секция Упра</w:t>
      </w:r>
      <w:r w:rsidRPr="00FE186F">
        <w:t>в</w:t>
      </w:r>
      <w:r w:rsidRPr="00FE186F">
        <w:t>ления по правовым вопросам, выполняющая депозитарные функции Генерал</w:t>
      </w:r>
      <w:r w:rsidRPr="00FE186F">
        <w:t>ь</w:t>
      </w:r>
      <w:r w:rsidRPr="00FE186F">
        <w:t>ного секретаря.</w:t>
      </w: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rPr>
          <w:lang w:val="en-GB"/>
        </w:rPr>
        <w:t>B</w:t>
      </w:r>
      <w:r w:rsidRPr="00FE186F">
        <w:t>.</w:t>
      </w:r>
      <w:r w:rsidRPr="00FE186F">
        <w:tab/>
        <w:t xml:space="preserve">Открытие сессии </w:t>
      </w: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</w:pPr>
      <w:r w:rsidRPr="00FE186F">
        <w:t>4.</w:t>
      </w:r>
      <w:r w:rsidRPr="00FE186F">
        <w:tab/>
        <w:t>Комитет провел свою пятьдесят шестую сессию в Отделении Организ</w:t>
      </w:r>
      <w:r w:rsidRPr="00FE186F">
        <w:t>а</w:t>
      </w:r>
      <w:r w:rsidRPr="00FE186F">
        <w:t>ции Объединенных Наций в Женеве 30 сентября</w:t>
      </w:r>
      <w:r>
        <w:t xml:space="preserve"> — </w:t>
      </w:r>
      <w:r w:rsidRPr="00FE186F">
        <w:t>18 октября 2013 года. К</w:t>
      </w:r>
      <w:r w:rsidRPr="00FE186F">
        <w:t>о</w:t>
      </w:r>
      <w:r w:rsidRPr="00FE186F">
        <w:t>митет провел 20 пленарных заседаний, а также 20 заседаний для обсуждения пунктов 5, 6, 7 и 8 повестки дня. Перечень представленных Комитету докуме</w:t>
      </w:r>
      <w:r w:rsidRPr="00FE186F">
        <w:t>н</w:t>
      </w:r>
      <w:r w:rsidRPr="00FE186F">
        <w:t>тов с</w:t>
      </w:r>
      <w:r w:rsidRPr="00FE186F">
        <w:t>о</w:t>
      </w:r>
      <w:r w:rsidRPr="00FE186F">
        <w:t xml:space="preserve">держится в приложении </w:t>
      </w:r>
      <w:r w:rsidRPr="00FE186F">
        <w:rPr>
          <w:lang w:val="en-GB"/>
        </w:rPr>
        <w:t>VII</w:t>
      </w:r>
      <w:r w:rsidRPr="00FE186F">
        <w:t xml:space="preserve"> к части второй настоящего доклада. </w:t>
      </w:r>
    </w:p>
    <w:p w:rsidR="00F449B5" w:rsidRDefault="00F449B5" w:rsidP="00F449B5">
      <w:pPr>
        <w:pStyle w:val="SingleTxt"/>
      </w:pPr>
      <w:r w:rsidRPr="00FE186F">
        <w:t>5.</w:t>
      </w:r>
      <w:r w:rsidRPr="00FE186F">
        <w:tab/>
        <w:t>Сессия была открыта на 1157-м заседании Комитета 30</w:t>
      </w:r>
      <w:r w:rsidRPr="00FE186F">
        <w:rPr>
          <w:lang w:val="en-GB"/>
        </w:rPr>
        <w:t> </w:t>
      </w:r>
      <w:r w:rsidRPr="00FE186F">
        <w:t>сентября 2013 г</w:t>
      </w:r>
      <w:r w:rsidRPr="00FE186F">
        <w:t>о</w:t>
      </w:r>
      <w:r w:rsidRPr="00FE186F">
        <w:t xml:space="preserve">да его Председателем Николь Амелин. </w:t>
      </w: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rPr>
          <w:lang w:val="en-GB"/>
        </w:rPr>
        <w:t>C</w:t>
      </w:r>
      <w:r w:rsidRPr="00FE186F">
        <w:t>.</w:t>
      </w:r>
      <w:r w:rsidRPr="00FE186F">
        <w:tab/>
        <w:t>Утверждение повестки дня</w:t>
      </w: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>6.</w:t>
      </w:r>
      <w:r w:rsidRPr="00FE186F">
        <w:tab/>
        <w:t>На своем 1157-м заседании Комитет утвердил предварительную повестку дня (</w:t>
      </w:r>
      <w:hyperlink r:id="rId61" w:history="1">
        <w:r w:rsidRPr="00E26F4D">
          <w:rPr>
            <w:rStyle w:val="Hyperlink"/>
          </w:rPr>
          <w:t>CEDAW/C/56/1</w:t>
        </w:r>
      </w:hyperlink>
      <w:r w:rsidRPr="00FE186F">
        <w:t xml:space="preserve">). </w:t>
      </w:r>
    </w:p>
    <w:p w:rsidR="00F449B5" w:rsidRPr="003B36BA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3B36BA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FE186F">
        <w:tab/>
      </w:r>
      <w:r w:rsidRPr="00FE186F">
        <w:rPr>
          <w:lang w:val="en-GB"/>
        </w:rPr>
        <w:t>D</w:t>
      </w:r>
      <w:r w:rsidRPr="00FE186F">
        <w:t>.</w:t>
      </w:r>
      <w:r w:rsidRPr="00FE186F">
        <w:tab/>
        <w:t xml:space="preserve">Доклад предсессионной рабочей группы </w:t>
      </w: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AD5EF2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>7.</w:t>
      </w:r>
      <w:r w:rsidRPr="00FE186F">
        <w:tab/>
        <w:t>Доклад предсессионной рабочей группы (</w:t>
      </w:r>
      <w:hyperlink r:id="rId62" w:history="1">
        <w:r w:rsidRPr="00E26F4D">
          <w:rPr>
            <w:rStyle w:val="Hyperlink"/>
            <w:lang w:val="en-GB"/>
          </w:rPr>
          <w:t>CEDAW</w:t>
        </w:r>
        <w:r w:rsidRPr="00E26F4D">
          <w:rPr>
            <w:rStyle w:val="Hyperlink"/>
          </w:rPr>
          <w:t>/</w:t>
        </w:r>
        <w:r w:rsidRPr="00E26F4D">
          <w:rPr>
            <w:rStyle w:val="Hyperlink"/>
            <w:lang w:val="en-GB"/>
          </w:rPr>
          <w:t>PSWG</w:t>
        </w:r>
        <w:r w:rsidRPr="00E26F4D">
          <w:rPr>
            <w:rStyle w:val="Hyperlink"/>
          </w:rPr>
          <w:t>/56/1</w:t>
        </w:r>
      </w:hyperlink>
      <w:r w:rsidRPr="00FE186F">
        <w:t>), которая провела свои заседания 4–8 марта 2013 года, был представлен Виолетой Но</w:t>
      </w:r>
      <w:r w:rsidRPr="00FE186F">
        <w:t>й</w:t>
      </w:r>
      <w:r w:rsidRPr="00FE186F">
        <w:t xml:space="preserve">бауэр на 1157-м заседании. </w:t>
      </w: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rPr>
          <w:lang w:val="en-GB"/>
        </w:rPr>
        <w:t>E</w:t>
      </w:r>
      <w:r w:rsidRPr="00FE186F">
        <w:t>.</w:t>
      </w:r>
      <w:r w:rsidRPr="00FE186F">
        <w:tab/>
        <w:t xml:space="preserve">Организация работы </w:t>
      </w: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E186F" w:rsidRDefault="00F449B5" w:rsidP="00F449B5">
      <w:pPr>
        <w:pStyle w:val="SingleTxt"/>
      </w:pPr>
      <w:r w:rsidRPr="00FE186F">
        <w:t>8.</w:t>
      </w:r>
      <w:r w:rsidRPr="00FE186F">
        <w:tab/>
        <w:t>30 сентября 2013 года Комитет провел закрытое заседание с представит</w:t>
      </w:r>
      <w:r w:rsidRPr="00FE186F">
        <w:t>е</w:t>
      </w:r>
      <w:r w:rsidRPr="00FE186F">
        <w:t>лями различных специализированных учреждений, фондов и программ сист</w:t>
      </w:r>
      <w:r w:rsidRPr="00FE186F">
        <w:t>е</w:t>
      </w:r>
      <w:r w:rsidRPr="00FE186F">
        <w:t>мы Организации Объединенных Наций, а также других межправительственных организаций, в ходе которого эти органы представили информацию по ко</w:t>
      </w:r>
      <w:r w:rsidRPr="00FE186F">
        <w:t>н</w:t>
      </w:r>
      <w:r w:rsidRPr="00FE186F">
        <w:t xml:space="preserve">кретным странам, а также информацию об усилиях, предпринимаемых ими для содействия осуществлению Конвенции. </w:t>
      </w:r>
    </w:p>
    <w:p w:rsidR="00F449B5" w:rsidRPr="00FE186F" w:rsidRDefault="00F449B5" w:rsidP="00F449B5">
      <w:pPr>
        <w:pStyle w:val="SingleTxt"/>
      </w:pPr>
      <w:r w:rsidRPr="00FE186F">
        <w:t>9.</w:t>
      </w:r>
      <w:r w:rsidRPr="00FE186F">
        <w:tab/>
        <w:t>30 сентября и 7 октября 2013 года Комитет провел неофициальные откр</w:t>
      </w:r>
      <w:r w:rsidRPr="00FE186F">
        <w:t>ы</w:t>
      </w:r>
      <w:r w:rsidRPr="00FE186F">
        <w:t>тые заседания с представителями неправительственных организаций, которые представили информацию об осуществлении Конвенции в государствах-участниках, рассмотренную Комитетом на его пятьдесят шестой сессии.</w:t>
      </w:r>
    </w:p>
    <w:p w:rsidR="00F449B5" w:rsidRDefault="00F449B5" w:rsidP="00F449B5">
      <w:pPr>
        <w:pStyle w:val="SingleTxt"/>
      </w:pPr>
      <w:r w:rsidRPr="00FE186F">
        <w:t>10.</w:t>
      </w:r>
      <w:r w:rsidRPr="00FE186F">
        <w:tab/>
        <w:t>7 октября 2013 года Комитет провел встречу с делегацией национальных парламентариев, участвовавших в 129-й Межпарламентской ассамблее (Жен</w:t>
      </w:r>
      <w:r w:rsidRPr="00FE186F">
        <w:t>е</w:t>
      </w:r>
      <w:r w:rsidRPr="00FE186F">
        <w:t>ва, 7</w:t>
      </w:r>
      <w:r>
        <w:t>–</w:t>
      </w:r>
      <w:r w:rsidRPr="00FE186F">
        <w:t>9 октября 2013 года). В ходе обсуждения основное внимание было удел</w:t>
      </w:r>
      <w:r w:rsidRPr="00FE186F">
        <w:t>е</w:t>
      </w:r>
      <w:r w:rsidRPr="00FE186F">
        <w:t>но возможным путям укрепления сотрудничества в связи с осуществлением на национальном уровне Конвенции и заключительных замечаний Комитета.</w:t>
      </w:r>
    </w:p>
    <w:p w:rsidR="00F449B5" w:rsidRPr="00FE186F" w:rsidRDefault="00F449B5" w:rsidP="00F449B5">
      <w:pPr>
        <w:pStyle w:val="SingleTxt"/>
      </w:pPr>
      <w:r w:rsidRPr="00FE186F">
        <w:t>11.</w:t>
      </w:r>
      <w:r w:rsidRPr="00FE186F">
        <w:tab/>
        <w:t>11 октября 2013 года Комитет провел встречу со Специальным докладч</w:t>
      </w:r>
      <w:r w:rsidRPr="00FE186F">
        <w:t>и</w:t>
      </w:r>
      <w:r w:rsidRPr="00FE186F">
        <w:t>ком по вопросу о правах человека мигрантов Франсуа Крепо, который прои</w:t>
      </w:r>
      <w:r w:rsidRPr="00FE186F">
        <w:t>н</w:t>
      </w:r>
      <w:r w:rsidRPr="00FE186F">
        <w:t>формировал Комитет о своей работе, в том числе в отношении женщин-мигранто</w:t>
      </w:r>
      <w:r>
        <w:t>в</w:t>
      </w:r>
      <w:r w:rsidRPr="00FE186F">
        <w:t>.</w:t>
      </w:r>
    </w:p>
    <w:p w:rsidR="00F449B5" w:rsidRPr="00FE186F" w:rsidRDefault="00F449B5" w:rsidP="00F449B5">
      <w:pPr>
        <w:pStyle w:val="SingleTxt"/>
      </w:pPr>
      <w:r w:rsidRPr="00FE186F">
        <w:t>12.</w:t>
      </w:r>
      <w:r w:rsidRPr="00FE186F">
        <w:tab/>
        <w:t xml:space="preserve">14 октября 2013 года Комитет и Комитет по правам человека провели совместные неофициальные консультации. На заседании, которое состоялось в Центре по репродуктивным правам, оба Комитета </w:t>
      </w:r>
      <w:r>
        <w:t>были вкратце проинформ</w:t>
      </w:r>
      <w:r>
        <w:t>и</w:t>
      </w:r>
      <w:r>
        <w:t xml:space="preserve">рованы по </w:t>
      </w:r>
      <w:r w:rsidRPr="00FE186F">
        <w:t>представляющи</w:t>
      </w:r>
      <w:r>
        <w:t>м</w:t>
      </w:r>
      <w:r w:rsidRPr="00FE186F">
        <w:t xml:space="preserve"> общий интерес вопрос</w:t>
      </w:r>
      <w:r>
        <w:t>ам</w:t>
      </w:r>
      <w:r w:rsidRPr="00FE186F">
        <w:t>, касающи</w:t>
      </w:r>
      <w:r>
        <w:t>м</w:t>
      </w:r>
      <w:r w:rsidRPr="00FE186F">
        <w:t>ся сексуал</w:t>
      </w:r>
      <w:r w:rsidRPr="00FE186F">
        <w:t>ь</w:t>
      </w:r>
      <w:r w:rsidRPr="00FE186F">
        <w:t>ного и репродуктивного здоровья и пра</w:t>
      </w:r>
      <w:r>
        <w:t>в, и провели их обсуждение.</w:t>
      </w:r>
    </w:p>
    <w:p w:rsidR="00F449B5" w:rsidRDefault="00F449B5" w:rsidP="00F449B5">
      <w:pPr>
        <w:pStyle w:val="SingleTxt"/>
      </w:pPr>
      <w:r w:rsidRPr="00FE186F">
        <w:t>13.</w:t>
      </w:r>
      <w:r w:rsidRPr="00FE186F">
        <w:tab/>
        <w:t xml:space="preserve"> 16 октября 2013 года члены Комитета присутствовали на приеме, орган</w:t>
      </w:r>
      <w:r w:rsidRPr="00FE186F">
        <w:t>и</w:t>
      </w:r>
      <w:r w:rsidRPr="00FE186F">
        <w:t xml:space="preserve">зованном городом Женевой в целях продолжения общего диалога по вопросу об улучшении положения женщин. </w:t>
      </w: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rPr>
          <w:lang w:val="en-GB"/>
        </w:rPr>
        <w:t>F</w:t>
      </w:r>
      <w:r w:rsidRPr="00FE186F">
        <w:t>.</w:t>
      </w:r>
      <w:r w:rsidRPr="00FE186F">
        <w:tab/>
        <w:t xml:space="preserve">Членский состав Комитета </w:t>
      </w: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>14.</w:t>
      </w:r>
      <w:r w:rsidRPr="00FE186F">
        <w:tab/>
        <w:t>В работе пятьдесят шестой сессии Комитета приняли участие все его чл</w:t>
      </w:r>
      <w:r w:rsidRPr="00FE186F">
        <w:t>е</w:t>
      </w:r>
      <w:r w:rsidRPr="00FE186F">
        <w:t>ны, за исключением М</w:t>
      </w:r>
      <w:r>
        <w:t xml:space="preserve">арьям </w:t>
      </w:r>
      <w:r w:rsidRPr="00FE186F">
        <w:t>Бельмихуб-Зердани. Фериде А</w:t>
      </w:r>
      <w:r>
        <w:t>дж</w:t>
      </w:r>
      <w:r w:rsidRPr="00FE186F">
        <w:t>ар не участвов</w:t>
      </w:r>
      <w:r w:rsidRPr="00FE186F">
        <w:t>а</w:t>
      </w:r>
      <w:r w:rsidRPr="00FE186F">
        <w:t>ла в работе сессии в периоды с 30 сентября по 4 октября и с 16 по 18 октября 2013 года. Нур аль-Джехани  не участвовала в работе сессии 3 и 4 октября. Н</w:t>
      </w:r>
      <w:r w:rsidRPr="00FE186F">
        <w:t>и</w:t>
      </w:r>
      <w:r w:rsidRPr="00FE186F">
        <w:t>коль Амелин не смогла принять участие в работе сессии 8</w:t>
      </w:r>
      <w:r>
        <w:t>–</w:t>
      </w:r>
      <w:r w:rsidRPr="00FE186F">
        <w:t>11 октября. Барб</w:t>
      </w:r>
      <w:r w:rsidRPr="00FE186F">
        <w:t>а</w:t>
      </w:r>
      <w:r w:rsidRPr="00FE186F">
        <w:t>ра Бэйли не смогла принять участие в работе сессии 30 сентября и 1 октября. Никлас Брун не участвовал в работе сессии 11 октября. Руфь Гальперин-Каддари не участвовала в работе сессии 4 и 11 октября. Бьянкамари</w:t>
      </w:r>
      <w:r>
        <w:t>я</w:t>
      </w:r>
      <w:r w:rsidRPr="00FE186F">
        <w:t xml:space="preserve"> Помера</w:t>
      </w:r>
      <w:r w:rsidRPr="00FE186F">
        <w:t>н</w:t>
      </w:r>
      <w:r w:rsidRPr="00FE186F">
        <w:t>ци не участвовала в работе сессии 9 октября. Дубравка Шимонович не учас</w:t>
      </w:r>
      <w:r w:rsidRPr="00FE186F">
        <w:t>т</w:t>
      </w:r>
      <w:r w:rsidRPr="00FE186F">
        <w:t>вовала в работе сессии 1</w:t>
      </w:r>
      <w:r>
        <w:t>–</w:t>
      </w:r>
      <w:r w:rsidRPr="00FE186F">
        <w:t>4 октября и 17 и 18 октября. Список членов Комит</w:t>
      </w:r>
      <w:r w:rsidRPr="00FE186F">
        <w:t>е</w:t>
      </w:r>
      <w:r w:rsidRPr="00FE186F">
        <w:t>та с указанием срока их полномочий содержится в</w:t>
      </w:r>
      <w:r w:rsidRPr="00FE186F">
        <w:rPr>
          <w:lang w:val="en-GB"/>
        </w:rPr>
        <w:t> </w:t>
      </w:r>
      <w:r w:rsidRPr="00FE186F">
        <w:t xml:space="preserve">приложении </w:t>
      </w:r>
      <w:r w:rsidRPr="00FE186F">
        <w:rPr>
          <w:lang w:val="en-GB"/>
        </w:rPr>
        <w:t>VIII</w:t>
      </w:r>
      <w:r w:rsidRPr="00FE186F">
        <w:t xml:space="preserve"> к части вт</w:t>
      </w:r>
      <w:r w:rsidRPr="00FE186F">
        <w:t>о</w:t>
      </w:r>
      <w:r w:rsidRPr="00FE186F">
        <w:t>рой настоящ</w:t>
      </w:r>
      <w:r w:rsidRPr="00FE186F">
        <w:t>е</w:t>
      </w:r>
      <w:r w:rsidRPr="00FE186F">
        <w:t>го доклада.</w:t>
      </w:r>
    </w:p>
    <w:p w:rsidR="00F449B5" w:rsidRP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E186F">
        <w:t xml:space="preserve">Глава </w:t>
      </w:r>
      <w:r w:rsidRPr="00FE186F">
        <w:rPr>
          <w:lang w:val="en-GB"/>
        </w:rPr>
        <w:t>III</w:t>
      </w:r>
      <w:r w:rsidRPr="00FE186F">
        <w:t xml:space="preserve"> </w:t>
      </w:r>
    </w:p>
    <w:p w:rsidR="00F449B5" w:rsidRP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86F">
        <w:tab/>
      </w:r>
      <w:r w:rsidRPr="00FE186F">
        <w:tab/>
        <w:t xml:space="preserve">Доклад </w:t>
      </w:r>
      <w:r>
        <w:t>П</w:t>
      </w:r>
      <w:r w:rsidRPr="00FE186F">
        <w:t>редседателя о мероприятиях, проведенных</w:t>
      </w:r>
      <w:r>
        <w:br/>
      </w:r>
      <w:r w:rsidRPr="00FE186F">
        <w:t>в период между пятьдесят пятой и пятьдесят шестой сессиями Комитета</w:t>
      </w: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FE186F">
        <w:t>15.</w:t>
      </w:r>
      <w:r w:rsidRPr="00FE186F">
        <w:tab/>
        <w:t>На 1157-м заседании Председатель Николь Амелин представила свой д</w:t>
      </w:r>
      <w:r w:rsidRPr="00FE186F">
        <w:t>о</w:t>
      </w:r>
      <w:r w:rsidRPr="00FE186F">
        <w:t>клад о деятельности, осуществленной ею после пятьдесят пятой сессии Ком</w:t>
      </w:r>
      <w:r w:rsidRPr="00FE186F">
        <w:t>и</w:t>
      </w:r>
      <w:r w:rsidRPr="00FE186F">
        <w:t>тета.</w:t>
      </w: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E11DBC">
        <w:t xml:space="preserve">Глава </w:t>
      </w:r>
      <w:r w:rsidRPr="00E11DBC">
        <w:rPr>
          <w:lang w:val="en-GB"/>
        </w:rPr>
        <w:t>IV</w:t>
      </w:r>
      <w:r w:rsidRPr="00E11DBC">
        <w:t xml:space="preserve"> </w:t>
      </w: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DBC">
        <w:tab/>
      </w:r>
      <w:r w:rsidRPr="00E11DBC">
        <w:tab/>
        <w:t>Рассмотрение докладов, представленных государствами-участниками в соответствии</w:t>
      </w:r>
      <w:r>
        <w:br/>
      </w:r>
      <w:r w:rsidRPr="00E11DBC">
        <w:t>со статьей</w:t>
      </w:r>
      <w:r>
        <w:t> </w:t>
      </w:r>
      <w:r w:rsidRPr="00E11DBC">
        <w:t xml:space="preserve">18 Конвенции </w:t>
      </w: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E11DBC" w:rsidRDefault="00F449B5" w:rsidP="00F449B5">
      <w:pPr>
        <w:pStyle w:val="SingleTxt"/>
      </w:pPr>
      <w:r w:rsidRPr="00E11DBC">
        <w:t>16.</w:t>
      </w:r>
      <w:r w:rsidRPr="00E11DBC">
        <w:tab/>
        <w:t>На своей пятьдесят шестой сессии Комитет рассмотрел доклады семи государств-участников, представленные в соответствии со статьей 18 Конве</w:t>
      </w:r>
      <w:r w:rsidRPr="00E11DBC">
        <w:t>н</w:t>
      </w:r>
      <w:r w:rsidRPr="00E11DBC">
        <w:t>ции: объединенный второй и третий периодический доклад Андорры; четве</w:t>
      </w:r>
      <w:r w:rsidRPr="00E11DBC">
        <w:t>р</w:t>
      </w:r>
      <w:r w:rsidRPr="00E11DBC">
        <w:t>тый периодический доклад Бенина; объединенный четвертый и пятый пери</w:t>
      </w:r>
      <w:r w:rsidRPr="00E11DBC">
        <w:t>о</w:t>
      </w:r>
      <w:r w:rsidRPr="00E11DBC">
        <w:t xml:space="preserve">дический доклад Камбоджи; объединенный седьмой и восьмой периодический доклад Колумбии; объединенный четвертый и пятый </w:t>
      </w:r>
      <w:r>
        <w:t xml:space="preserve">периодический </w:t>
      </w:r>
      <w:r w:rsidRPr="00E11DBC">
        <w:t>доклад Республики Молдова; объединенный первоначальный, второй, третий, четве</w:t>
      </w:r>
      <w:r w:rsidRPr="00E11DBC">
        <w:t>р</w:t>
      </w:r>
      <w:r w:rsidRPr="00E11DBC">
        <w:t xml:space="preserve">тый и пятый </w:t>
      </w:r>
      <w:r>
        <w:t xml:space="preserve">периодический </w:t>
      </w:r>
      <w:r w:rsidRPr="00E11DBC">
        <w:t>доклад Сейшельских Островов; и объединенный четвертый и пятый периодический доклад Таджикистана.</w:t>
      </w:r>
    </w:p>
    <w:p w:rsidR="00F449B5" w:rsidRDefault="00F449B5" w:rsidP="00F449B5">
      <w:pPr>
        <w:pStyle w:val="SingleTxt"/>
      </w:pPr>
      <w:r w:rsidRPr="00E11DBC">
        <w:t>17.</w:t>
      </w:r>
      <w:r w:rsidRPr="00E11DBC">
        <w:tab/>
        <w:t>Комитет одобрил заключительные замечания по каждому из рассмотре</w:t>
      </w:r>
      <w:r w:rsidRPr="00E11DBC">
        <w:t>н</w:t>
      </w:r>
      <w:r w:rsidRPr="00E11DBC">
        <w:t xml:space="preserve">ных докладов. Заключительные замечания размещены на веб-сайте </w:t>
      </w:r>
      <w:r>
        <w:t xml:space="preserve">Системы </w:t>
      </w:r>
      <w:r w:rsidRPr="00E11DBC">
        <w:t>официальн</w:t>
      </w:r>
      <w:r>
        <w:t>ой</w:t>
      </w:r>
      <w:r w:rsidRPr="00E11DBC">
        <w:t xml:space="preserve"> документ</w:t>
      </w:r>
      <w:r>
        <w:t>ации</w:t>
      </w:r>
      <w:r w:rsidRPr="00E11DBC">
        <w:t xml:space="preserve"> Организации Объединенных Наций (</w:t>
      </w:r>
      <w:r w:rsidRPr="00E11DBC">
        <w:rPr>
          <w:lang w:val="en-GB"/>
        </w:rPr>
        <w:t>http</w:t>
      </w:r>
      <w:r w:rsidRPr="00E11DBC">
        <w:t>://</w:t>
      </w:r>
      <w:r w:rsidRPr="00E11DBC">
        <w:rPr>
          <w:lang w:val="en-GB"/>
        </w:rPr>
        <w:t>documents</w:t>
      </w:r>
      <w:r w:rsidRPr="00E11DBC">
        <w:t>.</w:t>
      </w:r>
      <w:r w:rsidRPr="00E11DBC">
        <w:rPr>
          <w:lang w:val="en-GB"/>
        </w:rPr>
        <w:t>un</w:t>
      </w:r>
      <w:r w:rsidRPr="00E11DBC">
        <w:t>.</w:t>
      </w:r>
      <w:r w:rsidRPr="00E11DBC">
        <w:rPr>
          <w:lang w:val="en-GB"/>
        </w:rPr>
        <w:t>org</w:t>
      </w:r>
      <w:r w:rsidRPr="00E11DBC">
        <w:t>) с указанием условных обозначений документов, кот</w:t>
      </w:r>
      <w:r w:rsidRPr="00E11DBC">
        <w:t>о</w:t>
      </w:r>
      <w:r w:rsidRPr="00E11DBC">
        <w:t>рые приведены ниже:</w:t>
      </w:r>
    </w:p>
    <w:p w:rsidR="00F449B5" w:rsidRPr="00E11DBC" w:rsidRDefault="00F449B5" w:rsidP="00F449B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3661"/>
      </w:tblGrid>
      <w:tr w:rsidR="00F449B5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Андорра</w:t>
            </w:r>
          </w:p>
        </w:tc>
        <w:tc>
          <w:tcPr>
            <w:tcW w:w="3661" w:type="dxa"/>
            <w:shd w:val="clear" w:color="auto" w:fill="auto"/>
          </w:tcPr>
          <w:p w:rsidR="00F449B5" w:rsidRDefault="00F449B5" w:rsidP="0056681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4D49EF">
              <w:t>(</w:t>
            </w:r>
            <w:hyperlink r:id="rId63" w:history="1">
              <w:r w:rsidRPr="00F64273">
                <w:rPr>
                  <w:rStyle w:val="Hyperlink"/>
                </w:rPr>
                <w:t>CEDAW/C/AND/CO/2</w:t>
              </w:r>
              <w:r w:rsidR="00566811">
                <w:rPr>
                  <w:rStyle w:val="Hyperlink"/>
                </w:rPr>
                <w:t>-</w:t>
              </w:r>
              <w:r w:rsidRPr="00F64273">
                <w:rPr>
                  <w:rStyle w:val="Hyperlink"/>
                </w:rPr>
                <w:t>3</w:t>
              </w:r>
            </w:hyperlink>
            <w:r w:rsidRPr="004D49EF">
              <w:t>)</w:t>
            </w:r>
          </w:p>
        </w:tc>
      </w:tr>
      <w:tr w:rsidR="00F449B5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Бенин</w:t>
            </w:r>
          </w:p>
        </w:tc>
        <w:tc>
          <w:tcPr>
            <w:tcW w:w="3661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4D49EF">
              <w:t>(</w:t>
            </w:r>
            <w:hyperlink r:id="rId64" w:history="1">
              <w:r w:rsidRPr="00F64273">
                <w:rPr>
                  <w:rStyle w:val="Hyperlink"/>
                </w:rPr>
                <w:t>CEDAW/C/BEN/CO/4</w:t>
              </w:r>
            </w:hyperlink>
            <w:r w:rsidRPr="004D49EF">
              <w:t>)</w:t>
            </w:r>
          </w:p>
        </w:tc>
      </w:tr>
      <w:tr w:rsidR="00F449B5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Камбоджа</w:t>
            </w:r>
          </w:p>
        </w:tc>
        <w:tc>
          <w:tcPr>
            <w:tcW w:w="3661" w:type="dxa"/>
            <w:shd w:val="clear" w:color="auto" w:fill="auto"/>
          </w:tcPr>
          <w:p w:rsidR="00F449B5" w:rsidRDefault="00F449B5" w:rsidP="0056681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4D49EF">
              <w:t>(</w:t>
            </w:r>
            <w:hyperlink r:id="rId65" w:history="1">
              <w:r w:rsidRPr="00F64273">
                <w:rPr>
                  <w:rStyle w:val="Hyperlink"/>
                </w:rPr>
                <w:t>CEDAW/C/KHM/CO/4</w:t>
              </w:r>
              <w:r w:rsidR="00566811">
                <w:rPr>
                  <w:rStyle w:val="Hyperlink"/>
                </w:rPr>
                <w:t>-</w:t>
              </w:r>
              <w:r w:rsidRPr="00F64273">
                <w:rPr>
                  <w:rStyle w:val="Hyperlink"/>
                </w:rPr>
                <w:t>5</w:t>
              </w:r>
            </w:hyperlink>
            <w:r w:rsidRPr="004D49EF">
              <w:t>)</w:t>
            </w:r>
          </w:p>
        </w:tc>
      </w:tr>
      <w:tr w:rsidR="00F449B5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Колумбия</w:t>
            </w:r>
          </w:p>
        </w:tc>
        <w:tc>
          <w:tcPr>
            <w:tcW w:w="3661" w:type="dxa"/>
            <w:shd w:val="clear" w:color="auto" w:fill="auto"/>
          </w:tcPr>
          <w:p w:rsidR="00F449B5" w:rsidRDefault="00F449B5" w:rsidP="0056681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4D49EF">
              <w:t>(</w:t>
            </w:r>
            <w:hyperlink r:id="rId66" w:history="1">
              <w:r w:rsidRPr="00F64273">
                <w:rPr>
                  <w:rStyle w:val="Hyperlink"/>
                </w:rPr>
                <w:t>CEDAW/C/COL/CO/7</w:t>
              </w:r>
              <w:r w:rsidR="00566811">
                <w:rPr>
                  <w:rStyle w:val="Hyperlink"/>
                </w:rPr>
                <w:t>-</w:t>
              </w:r>
              <w:r w:rsidRPr="00F64273">
                <w:rPr>
                  <w:rStyle w:val="Hyperlink"/>
                </w:rPr>
                <w:t>8</w:t>
              </w:r>
            </w:hyperlink>
            <w:r w:rsidRPr="004D49EF">
              <w:t>)</w:t>
            </w:r>
          </w:p>
        </w:tc>
      </w:tr>
      <w:tr w:rsidR="00F449B5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Республика Молдова</w:t>
            </w:r>
          </w:p>
        </w:tc>
        <w:tc>
          <w:tcPr>
            <w:tcW w:w="3661" w:type="dxa"/>
            <w:shd w:val="clear" w:color="auto" w:fill="auto"/>
          </w:tcPr>
          <w:p w:rsidR="00F449B5" w:rsidRDefault="00F449B5" w:rsidP="0056681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4D49EF">
              <w:t>(</w:t>
            </w:r>
            <w:hyperlink r:id="rId67" w:history="1">
              <w:r w:rsidRPr="00F64273">
                <w:rPr>
                  <w:rStyle w:val="Hyperlink"/>
                </w:rPr>
                <w:t>CEDAW/C/MDA/CO/4</w:t>
              </w:r>
              <w:r w:rsidR="00566811">
                <w:rPr>
                  <w:rStyle w:val="Hyperlink"/>
                </w:rPr>
                <w:t>-</w:t>
              </w:r>
              <w:r w:rsidRPr="00F64273">
                <w:rPr>
                  <w:rStyle w:val="Hyperlink"/>
                </w:rPr>
                <w:t>5</w:t>
              </w:r>
            </w:hyperlink>
            <w:r w:rsidRPr="004D49EF">
              <w:t>)</w:t>
            </w:r>
          </w:p>
        </w:tc>
      </w:tr>
      <w:tr w:rsidR="00F449B5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Сейшельские Острова</w:t>
            </w:r>
          </w:p>
        </w:tc>
        <w:tc>
          <w:tcPr>
            <w:tcW w:w="3661" w:type="dxa"/>
            <w:shd w:val="clear" w:color="auto" w:fill="auto"/>
          </w:tcPr>
          <w:p w:rsidR="00F449B5" w:rsidRDefault="00F449B5" w:rsidP="0056681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4D49EF">
              <w:t>(</w:t>
            </w:r>
            <w:hyperlink r:id="rId68" w:history="1">
              <w:r w:rsidRPr="00F64273">
                <w:rPr>
                  <w:rStyle w:val="Hyperlink"/>
                </w:rPr>
                <w:t>CEDAW/C/SYC/CO/1</w:t>
              </w:r>
              <w:r w:rsidR="00566811">
                <w:rPr>
                  <w:rStyle w:val="Hyperlink"/>
                </w:rPr>
                <w:t>-</w:t>
              </w:r>
              <w:r w:rsidRPr="00F64273">
                <w:rPr>
                  <w:rStyle w:val="Hyperlink"/>
                </w:rPr>
                <w:t>5</w:t>
              </w:r>
            </w:hyperlink>
            <w:r w:rsidRPr="004D49EF">
              <w:t>)</w:t>
            </w:r>
          </w:p>
        </w:tc>
      </w:tr>
      <w:tr w:rsidR="00F449B5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Таджикистан</w:t>
            </w:r>
          </w:p>
        </w:tc>
        <w:tc>
          <w:tcPr>
            <w:tcW w:w="3661" w:type="dxa"/>
            <w:shd w:val="clear" w:color="auto" w:fill="auto"/>
          </w:tcPr>
          <w:p w:rsidR="00F449B5" w:rsidRDefault="00F449B5" w:rsidP="0056681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4D49EF">
              <w:t>(</w:t>
            </w:r>
            <w:hyperlink r:id="rId69" w:history="1">
              <w:r w:rsidRPr="00F64273">
                <w:rPr>
                  <w:rStyle w:val="Hyperlink"/>
                </w:rPr>
                <w:t>CEDAW/C/TJK/CO/4</w:t>
              </w:r>
              <w:r w:rsidR="00566811">
                <w:rPr>
                  <w:rStyle w:val="Hyperlink"/>
                </w:rPr>
                <w:t>-</w:t>
              </w:r>
              <w:r w:rsidRPr="00F64273">
                <w:rPr>
                  <w:rStyle w:val="Hyperlink"/>
                </w:rPr>
                <w:t>5</w:t>
              </w:r>
            </w:hyperlink>
            <w:r w:rsidRPr="004D49EF">
              <w:t>)</w:t>
            </w:r>
          </w:p>
        </w:tc>
      </w:tr>
    </w:tbl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5B1329">
        <w:t>18.</w:t>
      </w:r>
      <w:r w:rsidRPr="005B1329">
        <w:tab/>
        <w:t>Следует отметить, что рассмотрение вопроса о Сент-Винсенте и Гренад</w:t>
      </w:r>
      <w:r w:rsidRPr="005B1329">
        <w:t>и</w:t>
      </w:r>
      <w:r w:rsidRPr="005B1329">
        <w:t>нах в отсутствие доклада также было запланировано на пятьдесят шестую се</w:t>
      </w:r>
      <w:r w:rsidRPr="005B1329">
        <w:t>с</w:t>
      </w:r>
      <w:r w:rsidRPr="005B1329">
        <w:t xml:space="preserve">сию. Однако 5 августа 2013 года </w:t>
      </w:r>
      <w:r>
        <w:t xml:space="preserve">эта страна </w:t>
      </w:r>
      <w:r w:rsidRPr="005B1329">
        <w:t>представил</w:t>
      </w:r>
      <w:r>
        <w:t>а</w:t>
      </w:r>
      <w:r w:rsidRPr="005B1329">
        <w:t xml:space="preserve"> свой объединенный четвертый-восьмой периодический доклад, и </w:t>
      </w:r>
      <w:r>
        <w:t xml:space="preserve">соответственно </w:t>
      </w:r>
      <w:r w:rsidRPr="005B1329">
        <w:t>рассмотрение было перенесено на шестьдесят первую сессию, с тем чтобы можно было сд</w:t>
      </w:r>
      <w:r w:rsidRPr="005B1329">
        <w:t>е</w:t>
      </w:r>
      <w:r w:rsidRPr="005B1329">
        <w:t xml:space="preserve">лать перевод доклада и чтобы предсессионная рабочая группа подготовила </w:t>
      </w:r>
      <w:r>
        <w:t>н</w:t>
      </w:r>
      <w:r>
        <w:t>о</w:t>
      </w:r>
      <w:r>
        <w:t xml:space="preserve">вый и/или обновленный </w:t>
      </w:r>
      <w:r w:rsidRPr="005B1329">
        <w:t>перечень вопросов.</w:t>
      </w: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B1329">
        <w:tab/>
      </w:r>
      <w:r w:rsidRPr="005B1329">
        <w:tab/>
      </w:r>
      <w:r>
        <w:t>Процедуры п</w:t>
      </w:r>
      <w:r w:rsidRPr="005B1329">
        <w:t>оследующ</w:t>
      </w:r>
      <w:r>
        <w:t>ей</w:t>
      </w:r>
      <w:r w:rsidRPr="005B1329">
        <w:t xml:space="preserve"> деятельност</w:t>
      </w:r>
      <w:r>
        <w:t>и</w:t>
      </w:r>
      <w:r w:rsidRPr="005B1329">
        <w:t xml:space="preserve"> в связи с заключительными замечаниями </w:t>
      </w: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5B1329">
        <w:t>19.</w:t>
      </w:r>
      <w:r w:rsidRPr="005B1329">
        <w:tab/>
        <w:t>Комитет рассмотрел доклады о последующей деятельности следующих государств-участников:</w:t>
      </w:r>
    </w:p>
    <w:p w:rsidR="00F449B5" w:rsidRPr="005B1329" w:rsidRDefault="0023647C" w:rsidP="00F449B5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3661"/>
      </w:tblGrid>
      <w:tr w:rsidR="00F449B5" w:rsidRPr="005B1329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Бутан</w:t>
            </w:r>
          </w:p>
        </w:tc>
        <w:tc>
          <w:tcPr>
            <w:tcW w:w="3661" w:type="dxa"/>
            <w:shd w:val="clear" w:color="auto" w:fill="auto"/>
          </w:tcPr>
          <w:p w:rsidR="00F449B5" w:rsidRPr="005B1329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rPr>
                <w:lang w:val="en-US"/>
              </w:rPr>
            </w:pPr>
            <w:r w:rsidRPr="00FE186F">
              <w:rPr>
                <w:lang w:val="en-GB"/>
              </w:rPr>
              <w:t>(</w:t>
            </w:r>
            <w:hyperlink r:id="rId70" w:history="1">
              <w:r w:rsidRPr="00F64273">
                <w:rPr>
                  <w:rStyle w:val="Hyperlink"/>
                  <w:lang w:val="en-GB"/>
                </w:rPr>
                <w:t>CEDAW/C/BTN/CO/7/Add.1</w:t>
              </w:r>
            </w:hyperlink>
            <w:r w:rsidRPr="00FE186F">
              <w:rPr>
                <w:lang w:val="en-GB"/>
              </w:rPr>
              <w:t>)</w:t>
            </w:r>
          </w:p>
        </w:tc>
      </w:tr>
      <w:tr w:rsidR="00F449B5" w:rsidRPr="005B1329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Израиль</w:t>
            </w:r>
          </w:p>
        </w:tc>
        <w:tc>
          <w:tcPr>
            <w:tcW w:w="3661" w:type="dxa"/>
            <w:shd w:val="clear" w:color="auto" w:fill="auto"/>
          </w:tcPr>
          <w:p w:rsidR="00F449B5" w:rsidRPr="005B1329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rPr>
                <w:lang w:val="en-US"/>
              </w:rPr>
            </w:pPr>
            <w:r w:rsidRPr="00FE186F">
              <w:rPr>
                <w:lang w:val="en-GB"/>
              </w:rPr>
              <w:t>(</w:t>
            </w:r>
            <w:hyperlink r:id="rId71" w:history="1">
              <w:r w:rsidRPr="00F64273">
                <w:rPr>
                  <w:rStyle w:val="Hyperlink"/>
                  <w:lang w:val="en-GB"/>
                </w:rPr>
                <w:t>CEDAW/C/ISR/CO/4/Add.1</w:t>
              </w:r>
            </w:hyperlink>
            <w:r w:rsidRPr="00FE186F">
              <w:rPr>
                <w:lang w:val="en-GB"/>
              </w:rPr>
              <w:t>)</w:t>
            </w:r>
          </w:p>
        </w:tc>
      </w:tr>
      <w:tr w:rsidR="00F449B5" w:rsidRPr="005B1329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Малави</w:t>
            </w:r>
          </w:p>
        </w:tc>
        <w:tc>
          <w:tcPr>
            <w:tcW w:w="3661" w:type="dxa"/>
            <w:shd w:val="clear" w:color="auto" w:fill="auto"/>
          </w:tcPr>
          <w:p w:rsidR="00F449B5" w:rsidRPr="005B1329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rPr>
                <w:lang w:val="en-US"/>
              </w:rPr>
            </w:pPr>
            <w:r w:rsidRPr="00FE186F">
              <w:rPr>
                <w:lang w:val="en-GB"/>
              </w:rPr>
              <w:t>(</w:t>
            </w:r>
            <w:hyperlink r:id="rId72" w:history="1">
              <w:r w:rsidRPr="00F64273">
                <w:rPr>
                  <w:rStyle w:val="Hyperlink"/>
                  <w:lang w:val="en-GB"/>
                </w:rPr>
                <w:t>CEDAW/C/MWI/CO/6/Add.1</w:t>
              </w:r>
            </w:hyperlink>
            <w:r w:rsidRPr="00FE186F">
              <w:rPr>
                <w:lang w:val="en-GB"/>
              </w:rPr>
              <w:t>)</w:t>
            </w:r>
          </w:p>
        </w:tc>
      </w:tr>
      <w:tr w:rsidR="00F449B5" w:rsidRPr="005B1329" w:rsidTr="000F4CB5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auto"/>
          </w:tcPr>
          <w:p w:rsidR="00F449B5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>
              <w:t>Узбекистан</w:t>
            </w:r>
          </w:p>
        </w:tc>
        <w:tc>
          <w:tcPr>
            <w:tcW w:w="3661" w:type="dxa"/>
            <w:shd w:val="clear" w:color="auto" w:fill="auto"/>
          </w:tcPr>
          <w:p w:rsidR="00F449B5" w:rsidRPr="005B1329" w:rsidRDefault="00F449B5" w:rsidP="000F4C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rPr>
                <w:lang w:val="en-US"/>
              </w:rPr>
            </w:pPr>
            <w:r w:rsidRPr="00FE186F">
              <w:rPr>
                <w:lang w:val="en-GB"/>
              </w:rPr>
              <w:t>(</w:t>
            </w:r>
            <w:hyperlink r:id="rId73" w:history="1">
              <w:r w:rsidRPr="00F64273">
                <w:rPr>
                  <w:rStyle w:val="Hyperlink"/>
                  <w:lang w:val="en-GB"/>
                </w:rPr>
                <w:t>CEDAW/C/UZB/CO/4/Add.1</w:t>
              </w:r>
            </w:hyperlink>
            <w:r w:rsidRPr="00FE186F">
              <w:rPr>
                <w:lang w:val="en-GB"/>
              </w:rPr>
              <w:t>)</w:t>
            </w:r>
          </w:p>
        </w:tc>
      </w:tr>
    </w:tbl>
    <w:p w:rsidR="00F449B5" w:rsidRPr="005B1329" w:rsidRDefault="00F449B5" w:rsidP="00F449B5">
      <w:pPr>
        <w:pStyle w:val="SingleTxt"/>
        <w:spacing w:after="0" w:line="120" w:lineRule="exact"/>
        <w:rPr>
          <w:sz w:val="10"/>
          <w:lang w:val="en-US"/>
        </w:rPr>
      </w:pPr>
    </w:p>
    <w:p w:rsidR="00F449B5" w:rsidRPr="005B1329" w:rsidRDefault="00F449B5" w:rsidP="00F449B5">
      <w:pPr>
        <w:pStyle w:val="SingleTxt"/>
      </w:pPr>
      <w:r w:rsidRPr="005B1329">
        <w:t>Доклады о последующей деятельности государств-участников и ответы Ком</w:t>
      </w:r>
      <w:r w:rsidRPr="005B1329">
        <w:t>и</w:t>
      </w:r>
      <w:r w:rsidRPr="005B1329">
        <w:t xml:space="preserve">тета размещены на веб-сайте </w:t>
      </w:r>
      <w:r>
        <w:t xml:space="preserve">Системы </w:t>
      </w:r>
      <w:r w:rsidRPr="005B1329">
        <w:t>официальн</w:t>
      </w:r>
      <w:r>
        <w:t>ой</w:t>
      </w:r>
      <w:r w:rsidRPr="005B1329">
        <w:t xml:space="preserve"> документ</w:t>
      </w:r>
      <w:r>
        <w:t>ации</w:t>
      </w:r>
      <w:r w:rsidRPr="005B1329">
        <w:t xml:space="preserve"> (</w:t>
      </w:r>
      <w:r w:rsidRPr="005B1329">
        <w:rPr>
          <w:lang w:val="en-GB"/>
        </w:rPr>
        <w:t>http</w:t>
      </w:r>
      <w:r w:rsidRPr="005B1329">
        <w:t>://</w:t>
      </w:r>
      <w:r w:rsidRPr="005B1329">
        <w:rPr>
          <w:lang w:val="en-GB"/>
        </w:rPr>
        <w:t>documents</w:t>
      </w:r>
      <w:r w:rsidRPr="005B1329">
        <w:t>.</w:t>
      </w:r>
      <w:r w:rsidRPr="005B1329">
        <w:rPr>
          <w:lang w:val="en-GB"/>
        </w:rPr>
        <w:t>un</w:t>
      </w:r>
      <w:r w:rsidRPr="005B1329">
        <w:t>.</w:t>
      </w:r>
      <w:r w:rsidRPr="005B1329">
        <w:rPr>
          <w:lang w:val="en-GB"/>
        </w:rPr>
        <w:t>org</w:t>
      </w:r>
      <w:r w:rsidRPr="005B1329">
        <w:t>) с указанием условных обозначений документов, кот</w:t>
      </w:r>
      <w:r w:rsidRPr="005B1329">
        <w:t>о</w:t>
      </w:r>
      <w:r w:rsidRPr="005B1329">
        <w:t xml:space="preserve">рые приведены выше. </w:t>
      </w:r>
    </w:p>
    <w:p w:rsidR="00F449B5" w:rsidRPr="005B1329" w:rsidRDefault="00F449B5" w:rsidP="00F449B5">
      <w:pPr>
        <w:pStyle w:val="SingleTxt"/>
      </w:pPr>
      <w:r w:rsidRPr="005B1329">
        <w:t>20.</w:t>
      </w:r>
      <w:r w:rsidRPr="005B1329">
        <w:tab/>
        <w:t>Комитет также направил первые напоминания следующим государствам-участникам, которые задержали представление докладов о последующей де</w:t>
      </w:r>
      <w:r w:rsidRPr="005B1329">
        <w:t>я</w:t>
      </w:r>
      <w:r w:rsidRPr="005B1329">
        <w:t>тельности: Коста-Рике, Джибути, Замбии, Непалу, Республике Корея, Сингап</w:t>
      </w:r>
      <w:r w:rsidRPr="005B1329">
        <w:t>у</w:t>
      </w:r>
      <w:r w:rsidRPr="005B1329">
        <w:t xml:space="preserve">ру и Эфиопии. </w:t>
      </w:r>
    </w:p>
    <w:p w:rsidR="00F449B5" w:rsidRPr="005B1329" w:rsidRDefault="00F449B5" w:rsidP="00F449B5">
      <w:pPr>
        <w:pStyle w:val="SingleTxt"/>
      </w:pPr>
      <w:r w:rsidRPr="005B1329">
        <w:t>21.</w:t>
      </w:r>
      <w:r w:rsidRPr="005B1329">
        <w:tab/>
        <w:t>Комитет направил напоминание о представлении дополнительной инфо</w:t>
      </w:r>
      <w:r w:rsidRPr="005B1329">
        <w:t>р</w:t>
      </w:r>
      <w:r w:rsidRPr="005B1329">
        <w:t>мации Фиджи.</w:t>
      </w:r>
    </w:p>
    <w:p w:rsidR="00F449B5" w:rsidRPr="005B1329" w:rsidRDefault="00F449B5" w:rsidP="00F449B5">
      <w:pPr>
        <w:pStyle w:val="SingleTxt"/>
      </w:pPr>
      <w:r w:rsidRPr="005B1329">
        <w:t>22.</w:t>
      </w:r>
      <w:r w:rsidRPr="005B1329">
        <w:tab/>
        <w:t>Представители Гаити, Лаосской Народно-Демократической Республики, Объединенных Арабских Эмиратов и Панамы, которые не представили своих докладов о последующей деятельности, несмотря на напоминания, направле</w:t>
      </w:r>
      <w:r w:rsidRPr="005B1329">
        <w:t>н</w:t>
      </w:r>
      <w:r w:rsidRPr="005B1329">
        <w:t xml:space="preserve">ные Комитетом, были приглашены на совещание. </w:t>
      </w:r>
    </w:p>
    <w:p w:rsidR="00F449B5" w:rsidRDefault="00F449B5" w:rsidP="00F449B5">
      <w:pPr>
        <w:pStyle w:val="SingleTxt"/>
      </w:pPr>
      <w:r w:rsidRPr="005B1329">
        <w:t>23.</w:t>
      </w:r>
      <w:r w:rsidRPr="005B1329">
        <w:tab/>
        <w:t>В ходе этой сессии члены Комитета встретились с представителями Об</w:t>
      </w:r>
      <w:r w:rsidRPr="005B1329">
        <w:t>ъ</w:t>
      </w:r>
      <w:r w:rsidRPr="005B1329">
        <w:t xml:space="preserve">единенных Арабских Эмиратов и Панамы и получили доклад о последующей деятельности Лаосской Народно-Демократической Республики.  </w:t>
      </w: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1329">
        <w:t>Оценка процедуры последующ</w:t>
      </w:r>
      <w:r>
        <w:t xml:space="preserve">ей деятельности </w:t>
      </w:r>
      <w:r w:rsidRPr="005B1329">
        <w:t xml:space="preserve">в связи с заключительными замечаниями </w:t>
      </w: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5B1329">
        <w:t>24.</w:t>
      </w:r>
      <w:r w:rsidRPr="005B1329">
        <w:tab/>
        <w:t>Комитет утвердил оценку процедуры последующ</w:t>
      </w:r>
      <w:r>
        <w:t>ей деятельности</w:t>
      </w:r>
      <w:r w:rsidRPr="005B1329">
        <w:t xml:space="preserve"> (см.</w:t>
      </w:r>
      <w:r>
        <w:t> </w:t>
      </w:r>
      <w:r w:rsidRPr="005B1329">
        <w:t xml:space="preserve">приложение </w:t>
      </w:r>
      <w:r w:rsidRPr="005B1329">
        <w:rPr>
          <w:lang w:val="en-GB"/>
        </w:rPr>
        <w:t>VI</w:t>
      </w:r>
      <w:r w:rsidRPr="005B1329">
        <w:t xml:space="preserve"> к части второй настоящего доклада), представленную Д</w:t>
      </w:r>
      <w:r w:rsidRPr="005B1329">
        <w:t>о</w:t>
      </w:r>
      <w:r w:rsidRPr="005B1329">
        <w:t>кладчиком по последующ</w:t>
      </w:r>
      <w:r>
        <w:t>ей деятельности</w:t>
      </w:r>
      <w:r w:rsidRPr="005B1329">
        <w:t xml:space="preserve"> в соответствии с решением, прин</w:t>
      </w:r>
      <w:r w:rsidRPr="005B1329">
        <w:t>я</w:t>
      </w:r>
      <w:r w:rsidRPr="005B1329">
        <w:t xml:space="preserve">тым на пятидесятой сессии в октябре 2011 года. В этой оценке </w:t>
      </w:r>
      <w:r>
        <w:t>Д</w:t>
      </w:r>
      <w:r w:rsidRPr="005B1329">
        <w:t>окладчик по последующ</w:t>
      </w:r>
      <w:r>
        <w:t>ей деятельности</w:t>
      </w:r>
      <w:r w:rsidRPr="005B1329">
        <w:t xml:space="preserve"> отметил, что процедура последующ</w:t>
      </w:r>
      <w:r>
        <w:t>ей деятельн</w:t>
      </w:r>
      <w:r>
        <w:t>о</w:t>
      </w:r>
      <w:r>
        <w:t>сти</w:t>
      </w:r>
      <w:r w:rsidRPr="005B1329">
        <w:t xml:space="preserve"> выполняет установленные для нее функции одного из инструментов ос</w:t>
      </w:r>
      <w:r w:rsidRPr="005B1329">
        <w:t>у</w:t>
      </w:r>
      <w:r w:rsidRPr="005B1329">
        <w:t>ществления Конвенции. Докладчик по последующ</w:t>
      </w:r>
      <w:r>
        <w:t>ей деятельности</w:t>
      </w:r>
      <w:r w:rsidRPr="005B1329">
        <w:t xml:space="preserve"> рекоменд</w:t>
      </w:r>
      <w:r w:rsidRPr="005B1329">
        <w:t>о</w:t>
      </w:r>
      <w:r w:rsidRPr="005B1329">
        <w:t xml:space="preserve">вал продолжать процедуру </w:t>
      </w:r>
      <w:r>
        <w:t>последующей деятельности</w:t>
      </w:r>
      <w:r w:rsidRPr="005B1329">
        <w:t xml:space="preserve"> в соответствии со ст</w:t>
      </w:r>
      <w:r w:rsidRPr="005B1329">
        <w:t>а</w:t>
      </w:r>
      <w:r w:rsidRPr="005B1329">
        <w:t>тьей 18 Конвенции и провести следующий процесс оценки на шестьдесят п</w:t>
      </w:r>
      <w:r w:rsidRPr="005B1329">
        <w:t>я</w:t>
      </w:r>
      <w:r w:rsidRPr="005B1329">
        <w:t>той сессии Комитета, которая состоится в октябре 2016 г</w:t>
      </w:r>
      <w:r w:rsidRPr="005B1329">
        <w:t>о</w:t>
      </w:r>
      <w:r w:rsidRPr="005B1329">
        <w:t>да.</w:t>
      </w: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B1329">
        <w:t>Назначение нового докладчика по последующ</w:t>
      </w:r>
      <w:r>
        <w:t>ей деятельности</w:t>
      </w:r>
      <w:r w:rsidRPr="005B1329">
        <w:t xml:space="preserve"> </w:t>
      </w:r>
      <w:r>
        <w:t xml:space="preserve">и заместителя </w:t>
      </w:r>
      <w:r w:rsidRPr="005B1329">
        <w:t>докладчика</w:t>
      </w: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B1329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5B1329">
        <w:t>25.</w:t>
      </w:r>
      <w:r w:rsidRPr="005B1329">
        <w:tab/>
        <w:t>Срок</w:t>
      </w:r>
      <w:r>
        <w:t>и</w:t>
      </w:r>
      <w:r w:rsidRPr="005B1329">
        <w:t xml:space="preserve"> действия полномочий Барбары Бэйли в качестве </w:t>
      </w:r>
      <w:r>
        <w:t>Д</w:t>
      </w:r>
      <w:r w:rsidRPr="005B1329">
        <w:t>окладчика по последующ</w:t>
      </w:r>
      <w:r>
        <w:t>ей деятельности</w:t>
      </w:r>
      <w:r w:rsidRPr="005B1329">
        <w:t xml:space="preserve"> и Йоко Хаяси в качестве </w:t>
      </w:r>
      <w:r>
        <w:t>заместителя Д</w:t>
      </w:r>
      <w:r w:rsidRPr="005B1329">
        <w:t>окладчика истекал</w:t>
      </w:r>
      <w:r>
        <w:t>и</w:t>
      </w:r>
      <w:r w:rsidRPr="005B1329">
        <w:t xml:space="preserve"> 31 декабря 2013 года. В связи с другими обязанностями в рамках К</w:t>
      </w:r>
      <w:r w:rsidRPr="005B1329">
        <w:t>о</w:t>
      </w:r>
      <w:r w:rsidRPr="005B1329">
        <w:t xml:space="preserve">митета г-жа Хаяси не могла сменить г-жу Бейли в качестве </w:t>
      </w:r>
      <w:r>
        <w:t>Д</w:t>
      </w:r>
      <w:r w:rsidRPr="005B1329">
        <w:t>окладчика по п</w:t>
      </w:r>
      <w:r w:rsidRPr="005B1329">
        <w:t>о</w:t>
      </w:r>
      <w:r w:rsidRPr="005B1329">
        <w:t>следующ</w:t>
      </w:r>
      <w:r>
        <w:t>ей деятельности</w:t>
      </w:r>
      <w:r w:rsidRPr="005B1329">
        <w:t xml:space="preserve">. В этой связи Комитет принял решение продлить срок полномочий г-жи Бейли в качестве </w:t>
      </w:r>
      <w:r>
        <w:t>Д</w:t>
      </w:r>
      <w:r w:rsidRPr="005B1329">
        <w:t>окладчика по последующ</w:t>
      </w:r>
      <w:r>
        <w:t>ей деятел</w:t>
      </w:r>
      <w:r>
        <w:t>ь</w:t>
      </w:r>
      <w:r>
        <w:t>ности</w:t>
      </w:r>
      <w:r w:rsidRPr="005B1329">
        <w:t xml:space="preserve"> в целях обеспечения преемственности и назначить на должность </w:t>
      </w:r>
      <w:r>
        <w:t>зам</w:t>
      </w:r>
      <w:r>
        <w:t>е</w:t>
      </w:r>
      <w:r>
        <w:t>стителя Д</w:t>
      </w:r>
      <w:r w:rsidRPr="005B1329">
        <w:t>окладчика Цзоу Сяоцяо на период в один год до 31 декабря 2014 года.</w:t>
      </w:r>
    </w:p>
    <w:p w:rsidR="00F449B5" w:rsidRPr="005A606B" w:rsidRDefault="002C15FD" w:rsidP="002C15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449B5" w:rsidRPr="005A606B">
        <w:t xml:space="preserve">Глава </w:t>
      </w:r>
      <w:r w:rsidR="00F449B5" w:rsidRPr="005A606B">
        <w:rPr>
          <w:lang w:val="en-GB"/>
        </w:rPr>
        <w:t>V</w:t>
      </w: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449B5" w:rsidRDefault="00F449B5" w:rsidP="00F449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606B">
        <w:tab/>
      </w:r>
      <w:r w:rsidRPr="005A606B">
        <w:tab/>
        <w:t>Деятельность, осуществляемая в рамках Факультативного протокола к Конвенции о ликвидации всех форм дискриминации в отношении женщин</w:t>
      </w:r>
    </w:p>
    <w:p w:rsidR="00F449B5" w:rsidRP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F449B5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5A606B">
        <w:t>26.</w:t>
      </w:r>
      <w:r w:rsidRPr="005A606B">
        <w:tab/>
        <w:t>Статьей 12 Факультативного протокола к Конвенции о ликвидации всех форм дискриминации в отношении женщин предусмотрено, что Комитет вкл</w:t>
      </w:r>
      <w:r w:rsidRPr="005A606B">
        <w:t>ю</w:t>
      </w:r>
      <w:r w:rsidRPr="005A606B">
        <w:t xml:space="preserve">чает в свой ежегодный доклад краткий отчет о своей деятельности в </w:t>
      </w:r>
      <w:r>
        <w:t xml:space="preserve">рамках </w:t>
      </w:r>
      <w:r w:rsidRPr="005A606B">
        <w:t>Факультативн</w:t>
      </w:r>
      <w:r>
        <w:t>ого</w:t>
      </w:r>
      <w:r w:rsidRPr="005A606B">
        <w:t xml:space="preserve"> протокол</w:t>
      </w:r>
      <w:r>
        <w:t>а</w:t>
      </w:r>
      <w:r w:rsidRPr="005A606B">
        <w:t>.</w:t>
      </w: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606B">
        <w:tab/>
      </w:r>
      <w:r w:rsidRPr="005A606B">
        <w:rPr>
          <w:lang w:val="en-GB"/>
        </w:rPr>
        <w:t>A</w:t>
      </w:r>
      <w:r w:rsidRPr="005A606B">
        <w:t>.</w:t>
      </w:r>
      <w:r w:rsidRPr="005A606B">
        <w:tab/>
        <w:t>Решения, принятые Комитетом в отношении вопросов, вытекающих из статьи 2 Факультативного протокола</w:t>
      </w: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A606B" w:rsidRDefault="00F449B5" w:rsidP="00F449B5">
      <w:pPr>
        <w:pStyle w:val="SingleTxt"/>
      </w:pPr>
      <w:r w:rsidRPr="005A606B">
        <w:t>27.</w:t>
      </w:r>
      <w:r w:rsidRPr="005A606B">
        <w:tab/>
        <w:t>Комитет обсудил деятельность, осуществляемую в соответствии  с Ф</w:t>
      </w:r>
      <w:r w:rsidRPr="005A606B">
        <w:t>а</w:t>
      </w:r>
      <w:r w:rsidRPr="005A606B">
        <w:t>культативным протоколом, 11, 14 и 18 октября 2013 года.</w:t>
      </w:r>
    </w:p>
    <w:p w:rsidR="00F449B5" w:rsidRPr="005A606B" w:rsidRDefault="00F449B5" w:rsidP="00F449B5">
      <w:pPr>
        <w:pStyle w:val="SingleTxt"/>
      </w:pPr>
      <w:r w:rsidRPr="005A606B">
        <w:t>28.</w:t>
      </w:r>
      <w:r w:rsidRPr="005A606B">
        <w:tab/>
        <w:t>Комитет одобрил доклад Рабочей группы по сообщениям в соответствии с Факультативным протоколом о работе ее двадцать седьмой сессии (см. прил</w:t>
      </w:r>
      <w:r w:rsidRPr="005A606B">
        <w:t>о</w:t>
      </w:r>
      <w:r w:rsidRPr="005A606B">
        <w:t xml:space="preserve">жение </w:t>
      </w:r>
      <w:r w:rsidRPr="005A606B">
        <w:rPr>
          <w:lang w:val="en-GB"/>
        </w:rPr>
        <w:t>IX</w:t>
      </w:r>
      <w:r w:rsidRPr="005A606B">
        <w:t xml:space="preserve"> к части второй настоящего доклада). </w:t>
      </w:r>
    </w:p>
    <w:p w:rsidR="00F449B5" w:rsidRDefault="00F449B5" w:rsidP="00F449B5">
      <w:pPr>
        <w:pStyle w:val="SingleTxt"/>
      </w:pPr>
      <w:r w:rsidRPr="005A606B">
        <w:t>29.</w:t>
      </w:r>
      <w:r>
        <w:tab/>
      </w:r>
      <w:r w:rsidRPr="005A606B">
        <w:t>Комитет принял окончательные решения в отношении двух индивидуал</w:t>
      </w:r>
      <w:r w:rsidRPr="005A606B">
        <w:t>ь</w:t>
      </w:r>
      <w:r w:rsidRPr="005A606B">
        <w:t xml:space="preserve">ных сообщений, представленных в соответствии со статьей 2 Факультативного протокола. Комитет принял решения </w:t>
      </w:r>
      <w:r>
        <w:t>о</w:t>
      </w:r>
      <w:r w:rsidRPr="005A606B">
        <w:t xml:space="preserve"> неприемлемости </w:t>
      </w:r>
      <w:r>
        <w:t xml:space="preserve">в отношении </w:t>
      </w:r>
      <w:r w:rsidRPr="005A606B">
        <w:t>сообщ</w:t>
      </w:r>
      <w:r w:rsidRPr="005A606B">
        <w:t>е</w:t>
      </w:r>
      <w:r w:rsidRPr="005A606B">
        <w:t xml:space="preserve">ний № </w:t>
      </w:r>
      <w:r w:rsidRPr="002121D7">
        <w:t>29/201</w:t>
      </w:r>
      <w:r w:rsidRPr="005A606B">
        <w:t>1 (</w:t>
      </w:r>
      <w:r w:rsidRPr="005A606B">
        <w:rPr>
          <w:i/>
        </w:rPr>
        <w:t>М.С. против Испании</w:t>
      </w:r>
      <w:r w:rsidRPr="005A606B">
        <w:t xml:space="preserve">) и № </w:t>
      </w:r>
      <w:r w:rsidRPr="002121D7">
        <w:t>44/201</w:t>
      </w:r>
      <w:r w:rsidRPr="005A606B">
        <w:t>2 (</w:t>
      </w:r>
      <w:r w:rsidRPr="005A606B">
        <w:rPr>
          <w:i/>
          <w:lang w:val="en-GB"/>
        </w:rPr>
        <w:t>M</w:t>
      </w:r>
      <w:r w:rsidRPr="005A606B">
        <w:rPr>
          <w:i/>
        </w:rPr>
        <w:t>.</w:t>
      </w:r>
      <w:r w:rsidRPr="005A606B">
        <w:rPr>
          <w:i/>
          <w:lang w:val="en-GB"/>
        </w:rPr>
        <w:t>A</w:t>
      </w:r>
      <w:r w:rsidRPr="005A606B">
        <w:rPr>
          <w:i/>
        </w:rPr>
        <w:t>.</w:t>
      </w:r>
      <w:r w:rsidRPr="005A606B">
        <w:rPr>
          <w:i/>
          <w:lang w:val="en-GB"/>
        </w:rPr>
        <w:t>A</w:t>
      </w:r>
      <w:r w:rsidRPr="005A606B">
        <w:rPr>
          <w:i/>
        </w:rPr>
        <w:t>. против Дании</w:t>
      </w:r>
      <w:r w:rsidRPr="005A606B">
        <w:t xml:space="preserve">) на основе консенсуса. Решения размещены на веб-сайте </w:t>
      </w:r>
      <w:r>
        <w:t xml:space="preserve">Системы </w:t>
      </w:r>
      <w:r w:rsidRPr="005A606B">
        <w:t>официальн</w:t>
      </w:r>
      <w:r>
        <w:t>ой</w:t>
      </w:r>
      <w:r w:rsidRPr="005A606B">
        <w:t xml:space="preserve"> документ</w:t>
      </w:r>
      <w:r>
        <w:t>ации</w:t>
      </w:r>
      <w:r w:rsidRPr="005A606B">
        <w:t xml:space="preserve"> Организации Объединенных Наций (</w:t>
      </w:r>
      <w:r w:rsidRPr="005A606B">
        <w:rPr>
          <w:lang w:val="en-GB"/>
        </w:rPr>
        <w:t>http</w:t>
      </w:r>
      <w:r w:rsidRPr="005A606B">
        <w:t>://</w:t>
      </w:r>
      <w:r w:rsidRPr="005A606B">
        <w:rPr>
          <w:lang w:val="en-GB"/>
        </w:rPr>
        <w:t>documents</w:t>
      </w:r>
      <w:r w:rsidRPr="005A606B">
        <w:t>.</w:t>
      </w:r>
      <w:r w:rsidRPr="005A606B">
        <w:rPr>
          <w:lang w:val="en-GB"/>
        </w:rPr>
        <w:t>un</w:t>
      </w:r>
      <w:r w:rsidRPr="005A606B">
        <w:t>.</w:t>
      </w:r>
      <w:r w:rsidRPr="005A606B">
        <w:rPr>
          <w:lang w:val="en-GB"/>
        </w:rPr>
        <w:t>org</w:t>
      </w:r>
      <w:r w:rsidRPr="005A606B">
        <w:t xml:space="preserve">) с указанием условных обозначений документов </w:t>
      </w:r>
      <w:hyperlink r:id="rId74" w:history="1">
        <w:r w:rsidRPr="00E26F4D">
          <w:rPr>
            <w:rStyle w:val="Hyperlink"/>
            <w:lang w:val="en-GB"/>
          </w:rPr>
          <w:t>CEDAW</w:t>
        </w:r>
        <w:r w:rsidRPr="00E26F4D">
          <w:rPr>
            <w:rStyle w:val="Hyperlink"/>
          </w:rPr>
          <w:t>/</w:t>
        </w:r>
        <w:r w:rsidRPr="00E26F4D">
          <w:rPr>
            <w:rStyle w:val="Hyperlink"/>
            <w:lang w:val="en-GB"/>
          </w:rPr>
          <w:t>C</w:t>
        </w:r>
        <w:r w:rsidRPr="00E26F4D">
          <w:rPr>
            <w:rStyle w:val="Hyperlink"/>
          </w:rPr>
          <w:t>/56/</w:t>
        </w:r>
        <w:r w:rsidRPr="00E26F4D">
          <w:rPr>
            <w:rStyle w:val="Hyperlink"/>
            <w:lang w:val="en-GB"/>
          </w:rPr>
          <w:t>D</w:t>
        </w:r>
        <w:r w:rsidRPr="00E26F4D">
          <w:rPr>
            <w:rStyle w:val="Hyperlink"/>
          </w:rPr>
          <w:t>/29/2011</w:t>
        </w:r>
      </w:hyperlink>
      <w:r w:rsidRPr="005A606B">
        <w:t xml:space="preserve"> и </w:t>
      </w:r>
      <w:hyperlink r:id="rId75" w:history="1">
        <w:r w:rsidRPr="00E26F4D">
          <w:rPr>
            <w:rStyle w:val="Hyperlink"/>
            <w:lang w:val="en-GB"/>
          </w:rPr>
          <w:t>CEDAW</w:t>
        </w:r>
        <w:r w:rsidRPr="00E26F4D">
          <w:rPr>
            <w:rStyle w:val="Hyperlink"/>
          </w:rPr>
          <w:t>/</w:t>
        </w:r>
        <w:r w:rsidRPr="00E26F4D">
          <w:rPr>
            <w:rStyle w:val="Hyperlink"/>
            <w:lang w:val="en-GB"/>
          </w:rPr>
          <w:t>C</w:t>
        </w:r>
        <w:r w:rsidRPr="00E26F4D">
          <w:rPr>
            <w:rStyle w:val="Hyperlink"/>
          </w:rPr>
          <w:t>/56/</w:t>
        </w:r>
        <w:r w:rsidRPr="00E26F4D">
          <w:rPr>
            <w:rStyle w:val="Hyperlink"/>
            <w:lang w:val="en-GB"/>
          </w:rPr>
          <w:t>D</w:t>
        </w:r>
        <w:r w:rsidRPr="00E26F4D">
          <w:rPr>
            <w:rStyle w:val="Hyperlink"/>
          </w:rPr>
          <w:t>/44/2012</w:t>
        </w:r>
      </w:hyperlink>
      <w:r w:rsidRPr="005A606B">
        <w:t>, соотве</w:t>
      </w:r>
      <w:r w:rsidRPr="005A606B">
        <w:t>т</w:t>
      </w:r>
      <w:r w:rsidRPr="005A606B">
        <w:t>ственно.</w:t>
      </w: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606B">
        <w:tab/>
      </w:r>
      <w:r w:rsidRPr="005A606B">
        <w:rPr>
          <w:lang w:val="en-GB"/>
        </w:rPr>
        <w:t>B</w:t>
      </w:r>
      <w:r w:rsidRPr="005A606B">
        <w:t>.</w:t>
      </w:r>
      <w:r w:rsidRPr="005A606B">
        <w:tab/>
        <w:t>Последующ</w:t>
      </w:r>
      <w:r>
        <w:t>ая деятельность</w:t>
      </w:r>
      <w:r w:rsidRPr="005A606B">
        <w:t xml:space="preserve"> в связи с мнениями Комитета</w:t>
      </w:r>
      <w:r>
        <w:br/>
      </w:r>
      <w:r w:rsidRPr="005A606B">
        <w:t>по индивидуальным сообщениям</w:t>
      </w: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Default="00F449B5" w:rsidP="00F449B5">
      <w:pPr>
        <w:pStyle w:val="SingleTxt"/>
      </w:pPr>
      <w:r w:rsidRPr="005A606B">
        <w:t>30.</w:t>
      </w:r>
      <w:r w:rsidRPr="005A606B">
        <w:tab/>
        <w:t xml:space="preserve"> Очередной доклад о последующ</w:t>
      </w:r>
      <w:r>
        <w:t>ей деятельности</w:t>
      </w:r>
      <w:r w:rsidRPr="005A606B">
        <w:t xml:space="preserve"> в течение отчетного п</w:t>
      </w:r>
      <w:r w:rsidRPr="005A606B">
        <w:t>е</w:t>
      </w:r>
      <w:r w:rsidRPr="005A606B">
        <w:t xml:space="preserve">риода подготовлен не был. Однако Комитет был проинформирован о том, что в ходе своей двадцать седьмой сессии Рабочая группа обсудила </w:t>
      </w:r>
      <w:r>
        <w:t xml:space="preserve">последующую </w:t>
      </w:r>
      <w:r w:rsidRPr="005A606B">
        <w:t xml:space="preserve">ситуацию </w:t>
      </w:r>
      <w:r>
        <w:t xml:space="preserve">по </w:t>
      </w:r>
      <w:r w:rsidRPr="005A606B">
        <w:t>каждом</w:t>
      </w:r>
      <w:r>
        <w:t>у делу, по которому</w:t>
      </w:r>
      <w:r w:rsidRPr="005A606B">
        <w:t xml:space="preserve"> продолжался </w:t>
      </w:r>
      <w:r>
        <w:t xml:space="preserve">последующий </w:t>
      </w:r>
      <w:r w:rsidRPr="005A606B">
        <w:t>диалог</w:t>
      </w:r>
      <w:r>
        <w:t>,</w:t>
      </w:r>
      <w:r w:rsidRPr="005A606B">
        <w:t xml:space="preserve"> и что она пришла к согласию относительно решений, к</w:t>
      </w:r>
      <w:r w:rsidRPr="005A606B">
        <w:t>о</w:t>
      </w:r>
      <w:r w:rsidRPr="005A606B">
        <w:t>торые следует принять. Поэтому Рабочая группа просила организовать встречи с постоянными пре</w:t>
      </w:r>
      <w:r w:rsidRPr="005A606B">
        <w:t>д</w:t>
      </w:r>
      <w:r w:rsidRPr="005A606B">
        <w:t>ставительствами Бразилии и Филиппин для обсуждения вопросов, касающихся последующей деятельности. Комитет не принял решения прекратить послед</w:t>
      </w:r>
      <w:r w:rsidRPr="005A606B">
        <w:t>у</w:t>
      </w:r>
      <w:r w:rsidRPr="005A606B">
        <w:t>ющи</w:t>
      </w:r>
      <w:r>
        <w:t>й диалог</w:t>
      </w:r>
      <w:r w:rsidRPr="005A606B">
        <w:t xml:space="preserve"> ни по одному из дел, рассматриваемых в настоящее время в ра</w:t>
      </w:r>
      <w:r w:rsidRPr="005A606B">
        <w:t>м</w:t>
      </w:r>
      <w:r w:rsidRPr="005A606B">
        <w:t>ках процедуры последующ</w:t>
      </w:r>
      <w:r>
        <w:t>ей деятельности</w:t>
      </w:r>
      <w:r w:rsidRPr="005A606B">
        <w:t>. Из девяти дел, которые в насто</w:t>
      </w:r>
      <w:r w:rsidRPr="005A606B">
        <w:t>я</w:t>
      </w:r>
      <w:r w:rsidRPr="005A606B">
        <w:t xml:space="preserve">щее время </w:t>
      </w:r>
      <w:r>
        <w:t xml:space="preserve">находятся на </w:t>
      </w:r>
      <w:r w:rsidRPr="005A606B">
        <w:t>последующ</w:t>
      </w:r>
      <w:r>
        <w:t>ем рассмотрении</w:t>
      </w:r>
      <w:r w:rsidRPr="005A606B">
        <w:t>, одно касается Бел</w:t>
      </w:r>
      <w:r w:rsidRPr="005A606B">
        <w:t>а</w:t>
      </w:r>
      <w:r w:rsidRPr="005A606B">
        <w:t>руси, одно — Бразилии, три — Болгарии</w:t>
      </w:r>
      <w:r w:rsidRPr="00C62420">
        <w:rPr>
          <w:rStyle w:val="FootnoteReference"/>
        </w:rPr>
        <w:footnoteReference w:id="4"/>
      </w:r>
      <w:r w:rsidRPr="005A606B">
        <w:t>, одно — Канады, одно — Перу, одно — Филиппин и одно — Турции.</w:t>
      </w:r>
    </w:p>
    <w:p w:rsidR="00F449B5" w:rsidRPr="005A606B" w:rsidRDefault="00F449B5" w:rsidP="00F449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606B">
        <w:tab/>
      </w:r>
      <w:r w:rsidRPr="005A606B">
        <w:rPr>
          <w:lang w:val="en-GB"/>
        </w:rPr>
        <w:t>C</w:t>
      </w:r>
      <w:r w:rsidRPr="005A606B">
        <w:t>.</w:t>
      </w:r>
      <w:r w:rsidRPr="005A606B">
        <w:tab/>
        <w:t>Решени</w:t>
      </w:r>
      <w:r>
        <w:t>я</w:t>
      </w:r>
      <w:r w:rsidRPr="005A606B">
        <w:t>, принят</w:t>
      </w:r>
      <w:r>
        <w:t>ы</w:t>
      </w:r>
      <w:r w:rsidRPr="005A606B">
        <w:t>е Комитетом в отношении вопросов, вытекающих из статьи 8 Факультативного протокола</w:t>
      </w: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A606B" w:rsidRDefault="00F449B5" w:rsidP="00F449B5">
      <w:pPr>
        <w:pStyle w:val="SingleTxt"/>
        <w:spacing w:after="0" w:line="120" w:lineRule="exact"/>
        <w:rPr>
          <w:sz w:val="10"/>
        </w:rPr>
      </w:pPr>
    </w:p>
    <w:p w:rsidR="00F449B5" w:rsidRPr="005A606B" w:rsidRDefault="00F449B5" w:rsidP="00F449B5">
      <w:pPr>
        <w:pStyle w:val="SingleTxt"/>
      </w:pPr>
      <w:r w:rsidRPr="005A606B">
        <w:t>31.</w:t>
      </w:r>
      <w:r w:rsidRPr="005A606B">
        <w:tab/>
        <w:t xml:space="preserve">Комитет был проинформирован о </w:t>
      </w:r>
      <w:r>
        <w:t xml:space="preserve">положении дел в отношении </w:t>
      </w:r>
      <w:r w:rsidRPr="005A606B">
        <w:t xml:space="preserve">всех </w:t>
      </w:r>
      <w:r>
        <w:t xml:space="preserve">еще не рассмотренных сообщений и незавершенных разбирательств в рамках </w:t>
      </w:r>
      <w:r w:rsidRPr="005A606B">
        <w:t>пр</w:t>
      </w:r>
      <w:r w:rsidRPr="005A606B">
        <w:t>о</w:t>
      </w:r>
      <w:r w:rsidRPr="005A606B">
        <w:t>цедур</w:t>
      </w:r>
      <w:r>
        <w:t>ы расследования</w:t>
      </w:r>
      <w:r w:rsidRPr="005A606B">
        <w:t>.</w:t>
      </w:r>
    </w:p>
    <w:p w:rsidR="00F449B5" w:rsidRPr="005A606B" w:rsidRDefault="00F449B5" w:rsidP="00F449B5">
      <w:pPr>
        <w:pStyle w:val="SingleTxt"/>
      </w:pPr>
      <w:r w:rsidRPr="005A606B">
        <w:t>32.</w:t>
      </w:r>
      <w:r w:rsidRPr="005A606B">
        <w:tab/>
        <w:t>В отношении запроса № 2010/1 назначенные для его рассмотрения эк</w:t>
      </w:r>
      <w:r w:rsidRPr="005A606B">
        <w:t>с</w:t>
      </w:r>
      <w:r w:rsidRPr="005A606B">
        <w:t xml:space="preserve">перты провели совещание с </w:t>
      </w:r>
      <w:r>
        <w:t>п</w:t>
      </w:r>
      <w:r w:rsidRPr="005A606B">
        <w:t>остоянным представителем соответствующего государства.</w:t>
      </w:r>
    </w:p>
    <w:p w:rsidR="00F449B5" w:rsidRPr="005A606B" w:rsidRDefault="00F449B5" w:rsidP="00F449B5">
      <w:pPr>
        <w:pStyle w:val="SingleTxt"/>
      </w:pPr>
      <w:r w:rsidRPr="005A606B">
        <w:t>33.</w:t>
      </w:r>
      <w:r w:rsidRPr="005A606B">
        <w:tab/>
        <w:t>Комитет заслушал брифинг экспертов, назначенных для рассмотрения з</w:t>
      </w:r>
      <w:r w:rsidRPr="005A606B">
        <w:t>а</w:t>
      </w:r>
      <w:r w:rsidRPr="005A606B">
        <w:t xml:space="preserve">проса № 2011/1 по результатам предпринятого ими посещения территории </w:t>
      </w:r>
      <w:r>
        <w:t>с</w:t>
      </w:r>
      <w:r>
        <w:t>о</w:t>
      </w:r>
      <w:r>
        <w:t xml:space="preserve">ответстсвующего </w:t>
      </w:r>
      <w:r w:rsidRPr="005A606B">
        <w:t>государства-участника.</w:t>
      </w:r>
    </w:p>
    <w:p w:rsidR="00F449B5" w:rsidRPr="005A606B" w:rsidRDefault="00F449B5" w:rsidP="00F449B5">
      <w:pPr>
        <w:pStyle w:val="SingleTxt"/>
      </w:pPr>
      <w:r w:rsidRPr="005A606B">
        <w:t>34.</w:t>
      </w:r>
      <w:r w:rsidRPr="005A606B">
        <w:tab/>
        <w:t xml:space="preserve">В отношении </w:t>
      </w:r>
      <w:r>
        <w:t>сообщений</w:t>
      </w:r>
      <w:r w:rsidRPr="005A606B">
        <w:t xml:space="preserve"> №№ 2011/2 и 2013/1 Комитет постановил обр</w:t>
      </w:r>
      <w:r w:rsidRPr="005A606B">
        <w:t>а</w:t>
      </w:r>
      <w:r w:rsidRPr="005A606B">
        <w:t xml:space="preserve">титься к </w:t>
      </w:r>
      <w:r>
        <w:t xml:space="preserve">соответствующим </w:t>
      </w:r>
      <w:r w:rsidRPr="005A606B">
        <w:t>государствам-участникам с просьбой представить замечания в связи с информацией, полученной Комитетом в соответствии со статьей 8 Факультативного протокола.</w:t>
      </w:r>
    </w:p>
    <w:p w:rsidR="00F449B5" w:rsidRDefault="00F449B5" w:rsidP="00F449B5">
      <w:pPr>
        <w:pStyle w:val="SingleTxt"/>
      </w:pPr>
      <w:r w:rsidRPr="005A606B">
        <w:t>35.</w:t>
      </w:r>
      <w:r w:rsidRPr="005A606B">
        <w:tab/>
        <w:t xml:space="preserve">Комитет получил </w:t>
      </w:r>
      <w:r>
        <w:t xml:space="preserve">одно </w:t>
      </w:r>
      <w:r w:rsidRPr="005A606B">
        <w:t xml:space="preserve">дополнительное </w:t>
      </w:r>
      <w:r>
        <w:t>сообщение</w:t>
      </w:r>
      <w:r w:rsidRPr="005A606B">
        <w:t xml:space="preserve"> в соответствии со ст</w:t>
      </w:r>
      <w:r w:rsidRPr="005A606B">
        <w:t>а</w:t>
      </w:r>
      <w:r w:rsidRPr="005A606B">
        <w:t xml:space="preserve">тьей 8 Факультативного протокола, которое было зарегистрировано как </w:t>
      </w:r>
      <w:r>
        <w:t>соо</w:t>
      </w:r>
      <w:r>
        <w:t>б</w:t>
      </w:r>
      <w:r>
        <w:t>щение</w:t>
      </w:r>
      <w:r w:rsidRPr="005A606B">
        <w:t xml:space="preserve"> № 2013/2.</w:t>
      </w:r>
    </w:p>
    <w:p w:rsidR="0077034C" w:rsidRDefault="006E0B6E" w:rsidP="006E0B6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7034C" w:rsidRPr="00B475EF">
        <w:t xml:space="preserve">Глава </w:t>
      </w:r>
      <w:r w:rsidR="0077034C" w:rsidRPr="00B475EF">
        <w:rPr>
          <w:lang w:val="en-GB"/>
        </w:rPr>
        <w:t>VI</w:t>
      </w:r>
    </w:p>
    <w:p w:rsidR="0077034C" w:rsidRPr="003C309D" w:rsidRDefault="0077034C" w:rsidP="0077034C">
      <w:pPr>
        <w:spacing w:line="120" w:lineRule="exact"/>
        <w:rPr>
          <w:sz w:val="10"/>
        </w:rPr>
      </w:pPr>
    </w:p>
    <w:p w:rsidR="0077034C" w:rsidRPr="00B475EF" w:rsidRDefault="0077034C" w:rsidP="0077034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Пути и средства повышени</w:t>
      </w:r>
      <w:r>
        <w:t>я оперативности работы Комитета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36.</w:t>
      </w:r>
      <w:r w:rsidRPr="00B475EF">
        <w:tab/>
        <w:t>На своей пятьдесят шестой сессии Комитет рассмотрел пункт</w:t>
      </w:r>
      <w:r>
        <w:t> </w:t>
      </w:r>
      <w:r w:rsidRPr="00B475EF">
        <w:t>7 повестки дня о путях и средствах повышения оперативности работ</w:t>
      </w:r>
      <w:r>
        <w:t>ы</w:t>
      </w:r>
      <w:r w:rsidRPr="00B475EF">
        <w:t xml:space="preserve"> Комитета.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Решения, принятые Комитетом по пункту 7 повестки дня</w:t>
      </w: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Совершенствование методов работы Комитета</w:t>
      </w: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37.</w:t>
      </w:r>
      <w:r w:rsidRPr="00B475EF">
        <w:tab/>
        <w:t>Секретариат проинформировал Комитет о ходе осуществления в Ген</w:t>
      </w:r>
      <w:r w:rsidRPr="00B475EF">
        <w:t>е</w:t>
      </w:r>
      <w:r w:rsidRPr="00B475EF">
        <w:t>ральной Ассамблее межправительственного процесса, направленного на укрепление и повышение эффективности функционирования системы догово</w:t>
      </w:r>
      <w:r w:rsidRPr="00B475EF">
        <w:t>р</w:t>
      </w:r>
      <w:r w:rsidRPr="00B475EF">
        <w:t>ных органов по правам человека (резолюция</w:t>
      </w:r>
      <w:r>
        <w:t> </w:t>
      </w:r>
      <w:hyperlink r:id="rId76" w:history="1">
        <w:r w:rsidRPr="00B475EF">
          <w:rPr>
            <w:rStyle w:val="Hyperlink"/>
          </w:rPr>
          <w:t>66/254</w:t>
        </w:r>
      </w:hyperlink>
      <w:r w:rsidRPr="00B475EF">
        <w:t xml:space="preserve"> Генеральной Ассамблеи), в частности о докладе сокоординаторов открытого межправительственного пр</w:t>
      </w:r>
      <w:r w:rsidRPr="00B475EF">
        <w:t>о</w:t>
      </w:r>
      <w:r w:rsidRPr="00B475EF">
        <w:t>цесса о том, как укрепить и повысить эффективность функционирования с</w:t>
      </w:r>
      <w:r w:rsidRPr="00B475EF">
        <w:t>и</w:t>
      </w:r>
      <w:r w:rsidRPr="00B475EF">
        <w:t>стемы договорных органов по правам человека (</w:t>
      </w:r>
      <w:hyperlink r:id="rId77" w:history="1">
        <w:r w:rsidRPr="00B475EF">
          <w:rPr>
            <w:rStyle w:val="Hyperlink"/>
            <w:lang w:val="en-GB"/>
          </w:rPr>
          <w:t>A</w:t>
        </w:r>
        <w:r w:rsidRPr="00B475EF">
          <w:rPr>
            <w:rStyle w:val="Hyperlink"/>
          </w:rPr>
          <w:t>/67/995</w:t>
        </w:r>
      </w:hyperlink>
      <w:r w:rsidRPr="00B475EF">
        <w:t>), и о резолюции</w:t>
      </w:r>
      <w:r>
        <w:t> </w:t>
      </w:r>
      <w:hyperlink r:id="rId78" w:history="1">
        <w:r w:rsidRPr="00B475EF">
          <w:rPr>
            <w:rStyle w:val="Hyperlink"/>
          </w:rPr>
          <w:t>68/2</w:t>
        </w:r>
      </w:hyperlink>
      <w:r w:rsidRPr="00B475EF">
        <w:t xml:space="preserve"> Генеральной Ассамблеи, в которой предусматривается продление межправ</w:t>
      </w:r>
      <w:r w:rsidRPr="00B475EF">
        <w:t>и</w:t>
      </w:r>
      <w:r w:rsidRPr="00B475EF">
        <w:t>тельственного процесса до первой половины февраля 2014 года и содержится просьба к Генеральному секретарю представить к 15 ноября 2013 года всеоб</w:t>
      </w:r>
      <w:r w:rsidRPr="00B475EF">
        <w:t>ъ</w:t>
      </w:r>
      <w:r w:rsidRPr="00B475EF">
        <w:t>емлющую и детализированную смету расходов, опираясь при этом на доклад сокоордина</w:t>
      </w:r>
      <w:r>
        <w:t>торов, но не ограничиваясь им.</w:t>
      </w:r>
    </w:p>
    <w:p w:rsidR="0077034C" w:rsidRPr="00B475EF" w:rsidRDefault="0077034C" w:rsidP="0077034C">
      <w:pPr>
        <w:pStyle w:val="SingleTxt"/>
      </w:pPr>
      <w:r w:rsidRPr="00B475EF">
        <w:t>38.</w:t>
      </w:r>
      <w:r w:rsidRPr="00B475EF">
        <w:tab/>
        <w:t>14 октября 2013 года Председатель Николь Амелин проинформировала Комитет о том, что 11 октября 2013 года в Нью-Йорке е</w:t>
      </w:r>
      <w:r>
        <w:t>ю</w:t>
      </w:r>
      <w:r w:rsidRPr="00B475EF">
        <w:t xml:space="preserve"> был представлен д</w:t>
      </w:r>
      <w:r w:rsidRPr="00B475EF">
        <w:t>о</w:t>
      </w:r>
      <w:r w:rsidRPr="00B475EF">
        <w:t>клад Комитета о работе его пятьдесят второй, пятьдесят третьей и пятьдесят четвертой сессий Третьему комитету Генеральной Ассамблеи</w:t>
      </w:r>
      <w:r>
        <w:t>.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</w:r>
      <w:r>
        <w:t xml:space="preserve">Сроки проведения </w:t>
      </w:r>
      <w:r w:rsidRPr="00B475EF">
        <w:t>будущих сессий Комитета</w:t>
      </w: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39.</w:t>
      </w:r>
      <w:r w:rsidRPr="00B475EF">
        <w:tab/>
        <w:t>В соответствии с расписанием конференций утвержден следующий гр</w:t>
      </w:r>
      <w:r w:rsidRPr="00B475EF">
        <w:t>а</w:t>
      </w:r>
      <w:r w:rsidRPr="00B475EF">
        <w:t>фик проведения Комитетом пятьдесят седьмой и пятьдесят восьмой сессий и связанных с ними заседаний</w:t>
      </w:r>
      <w:r>
        <w:t>:</w:t>
      </w:r>
    </w:p>
    <w:p w:rsidR="0077034C" w:rsidRPr="00B475EF" w:rsidRDefault="0077034C" w:rsidP="0077034C">
      <w:pPr>
        <w:pStyle w:val="SingleTxt"/>
      </w:pPr>
      <w:r w:rsidRPr="00B475EF">
        <w:tab/>
        <w:t>Пятьдесят седьмая сессия (Женева)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rPr>
          <w:lang w:val="en-GB"/>
        </w:rPr>
        <w:t>a</w:t>
      </w:r>
      <w:r w:rsidRPr="00B475EF">
        <w:t>)</w:t>
      </w:r>
      <w:r w:rsidRPr="00B475EF">
        <w:tab/>
        <w:t>двадцать восьмая сессия Рабочей группы по сообщениям в соотве</w:t>
      </w:r>
      <w:r w:rsidRPr="00B475EF">
        <w:t>т</w:t>
      </w:r>
      <w:r w:rsidRPr="00B475EF">
        <w:t>ствии с Факультативным протоколом: 4</w:t>
      </w:r>
      <w:r>
        <w:t>–</w:t>
      </w:r>
      <w:r w:rsidRPr="00B475EF">
        <w:t>7 февраля 2014 года;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rPr>
          <w:lang w:val="en-GB"/>
        </w:rPr>
        <w:t>b</w:t>
      </w:r>
      <w:r w:rsidRPr="00B475EF">
        <w:t>)</w:t>
      </w:r>
      <w:r w:rsidRPr="00B475EF">
        <w:tab/>
        <w:t>пятьдесят седьмая сессия: 10</w:t>
      </w:r>
      <w:r>
        <w:t>–</w:t>
      </w:r>
      <w:r w:rsidRPr="00B475EF">
        <w:t>28 февраля 2014 года;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rPr>
          <w:lang w:val="en-GB"/>
        </w:rPr>
        <w:t>c</w:t>
      </w:r>
      <w:r w:rsidRPr="00B475EF">
        <w:t>)</w:t>
      </w:r>
      <w:r w:rsidRPr="00B475EF">
        <w:tab/>
        <w:t xml:space="preserve">предсессионная рабочая группа для пятьдесят девятой сессии: </w:t>
      </w:r>
      <w:r>
        <w:br/>
      </w:r>
      <w:r w:rsidRPr="00B475EF">
        <w:t>3</w:t>
      </w:r>
      <w:r>
        <w:t>–</w:t>
      </w:r>
      <w:r w:rsidRPr="00B475EF">
        <w:t>7</w:t>
      </w:r>
      <w:r>
        <w:t> </w:t>
      </w:r>
      <w:r w:rsidRPr="00B475EF">
        <w:t>марта 2014 года;</w:t>
      </w:r>
    </w:p>
    <w:p w:rsidR="0077034C" w:rsidRPr="00B475EF" w:rsidRDefault="0077034C" w:rsidP="0077034C">
      <w:pPr>
        <w:pStyle w:val="SingleTxt"/>
      </w:pPr>
      <w:r w:rsidRPr="00B475EF">
        <w:tab/>
        <w:t>Пятьдесят восьмая сессия (Женева)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rPr>
          <w:lang w:val="en-GB"/>
        </w:rPr>
        <w:t>d</w:t>
      </w:r>
      <w:r w:rsidRPr="00B475EF">
        <w:t>)</w:t>
      </w:r>
      <w:r w:rsidRPr="00B475EF">
        <w:tab/>
        <w:t>двадцать девятая сессия Рабочей группы по сообщениям в соотве</w:t>
      </w:r>
      <w:r w:rsidRPr="00B475EF">
        <w:t>т</w:t>
      </w:r>
      <w:r w:rsidRPr="00B475EF">
        <w:t>ствии с Факультативным протоколом: 25</w:t>
      </w:r>
      <w:r>
        <w:t>–</w:t>
      </w:r>
      <w:r w:rsidRPr="00B475EF">
        <w:t>27 июня 2014 года;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rPr>
          <w:lang w:val="en-GB"/>
        </w:rPr>
        <w:t>e</w:t>
      </w:r>
      <w:r w:rsidRPr="00B475EF">
        <w:t>)</w:t>
      </w:r>
      <w:r w:rsidRPr="00B475EF">
        <w:tab/>
        <w:t>пятьдесят восьмая сессия: 30 июня</w:t>
      </w:r>
      <w:r>
        <w:t xml:space="preserve"> — </w:t>
      </w:r>
      <w:r w:rsidRPr="00B475EF">
        <w:t>18 июля 2014 года;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rPr>
          <w:lang w:val="en-GB"/>
        </w:rPr>
        <w:t>f</w:t>
      </w:r>
      <w:r w:rsidRPr="00B475EF">
        <w:t>)</w:t>
      </w:r>
      <w:r w:rsidRPr="00B475EF">
        <w:tab/>
        <w:t xml:space="preserve">предсессионная рабочая группа для шестидесятой сессии: </w:t>
      </w:r>
      <w:r>
        <w:br/>
      </w:r>
      <w:r w:rsidRPr="00B475EF">
        <w:t>21</w:t>
      </w:r>
      <w:r>
        <w:t>–</w:t>
      </w:r>
      <w:r w:rsidRPr="00B475EF">
        <w:t>25</w:t>
      </w:r>
      <w:r>
        <w:t> </w:t>
      </w:r>
      <w:r w:rsidRPr="00B475EF">
        <w:t>июля 2014 года.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Доклады, подлежащие рассмотрению на будущих сессиях Ком</w:t>
      </w:r>
      <w:r w:rsidRPr="00B475EF">
        <w:t>и</w:t>
      </w:r>
      <w:r w:rsidRPr="00B475EF">
        <w:t>тета</w:t>
      </w: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40.</w:t>
      </w:r>
      <w:r w:rsidRPr="00B475EF">
        <w:tab/>
        <w:t>Комитет подтвердил, что он рассмотрит на своих пятьдесят седьмой и пятьдесят восьмой сессиях доклады нижеперечисленных государств-участников</w:t>
      </w:r>
      <w:r>
        <w:t>.</w:t>
      </w:r>
    </w:p>
    <w:p w:rsidR="0077034C" w:rsidRPr="00B475EF" w:rsidRDefault="0077034C" w:rsidP="0077034C">
      <w:pPr>
        <w:pStyle w:val="SingleTxt"/>
      </w:pPr>
      <w:r w:rsidRPr="00B475EF">
        <w:tab/>
        <w:t>Пятьдесят седьмая сессия: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Бахрейн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Камерун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Финляндия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Ирак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Казахстан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Катар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Сьерра-Леоне</w:t>
      </w:r>
    </w:p>
    <w:p w:rsidR="0077034C" w:rsidRPr="00B475EF" w:rsidRDefault="0077034C" w:rsidP="0077034C">
      <w:pPr>
        <w:pStyle w:val="SingleTxt"/>
      </w:pPr>
      <w:r w:rsidRPr="00B475EF">
        <w:t>Следует отметить, что рассмотрение вопроса о Сенегале в отсутствие д</w:t>
      </w:r>
      <w:r w:rsidRPr="00B475EF">
        <w:t>о</w:t>
      </w:r>
      <w:r w:rsidRPr="00B475EF">
        <w:t>клада также было запланировано на пятьдесят седьмую сессию. Сенегал пре</w:t>
      </w:r>
      <w:r w:rsidRPr="00B475EF">
        <w:t>д</w:t>
      </w:r>
      <w:r w:rsidRPr="00B475EF">
        <w:t>ставил свой объединенный третий-седьмой периодический доклад 31 июля 2013</w:t>
      </w:r>
      <w:r>
        <w:t> </w:t>
      </w:r>
      <w:r w:rsidRPr="00B475EF">
        <w:t xml:space="preserve">года, и </w:t>
      </w:r>
      <w:r>
        <w:t>соответственно</w:t>
      </w:r>
      <w:r w:rsidRPr="00B475EF">
        <w:t xml:space="preserve"> рассмотрение было перенесено на шестьдесят первую се</w:t>
      </w:r>
      <w:r w:rsidRPr="00B475EF">
        <w:t>с</w:t>
      </w:r>
      <w:r w:rsidRPr="00B475EF">
        <w:t>сию, с тем чтобы можно было сделать перевод доклада и чтобы предсессио</w:t>
      </w:r>
      <w:r w:rsidRPr="00B475EF">
        <w:t>н</w:t>
      </w:r>
      <w:r w:rsidRPr="00B475EF">
        <w:t>ная рабочая группа подготовила перечень вопросов.</w:t>
      </w:r>
    </w:p>
    <w:p w:rsidR="0077034C" w:rsidRPr="00B475EF" w:rsidRDefault="0077034C" w:rsidP="0077034C">
      <w:pPr>
        <w:pStyle w:val="SingleTxt"/>
      </w:pPr>
      <w:r w:rsidRPr="00B475EF">
        <w:tab/>
        <w:t>Пятьдесят восьмая сессия: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Центральноафриканская Республика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Грузия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Индия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Литва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Мавритания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Перу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Свазиленд</w:t>
      </w:r>
    </w:p>
    <w:p w:rsidR="0077034C" w:rsidRPr="00B475EF" w:rsidRDefault="0077034C" w:rsidP="0077034C">
      <w:pPr>
        <w:pStyle w:val="SingleTxt"/>
      </w:pPr>
      <w:r w:rsidRPr="00B475EF">
        <w:tab/>
      </w:r>
      <w:r w:rsidRPr="00B475EF">
        <w:tab/>
        <w:t>Сирийская Арабская Республика</w:t>
      </w:r>
    </w:p>
    <w:p w:rsidR="0077034C" w:rsidRPr="00B475EF" w:rsidRDefault="0077034C" w:rsidP="0077034C">
      <w:pPr>
        <w:pStyle w:val="SingleTxt"/>
      </w:pPr>
      <w:r w:rsidRPr="00B475EF">
        <w:t xml:space="preserve">Следует отметить, что рассмотрение </w:t>
      </w:r>
      <w:r>
        <w:t xml:space="preserve">вопроса о </w:t>
      </w:r>
      <w:r w:rsidRPr="00B475EF">
        <w:t>Центральноафриканской Ре</w:t>
      </w:r>
      <w:r w:rsidRPr="00B475EF">
        <w:t>с</w:t>
      </w:r>
      <w:r w:rsidRPr="00B475EF">
        <w:t>публик</w:t>
      </w:r>
      <w:r>
        <w:t>е</w:t>
      </w:r>
      <w:r w:rsidRPr="00B475EF">
        <w:t xml:space="preserve"> изначально планировалось на пятьдесят третью сессию. Однако </w:t>
      </w:r>
      <w:r>
        <w:t xml:space="preserve">эта страна </w:t>
      </w:r>
      <w:r w:rsidRPr="00B475EF">
        <w:t>представила свой объединенный первоначальный</w:t>
      </w:r>
      <w:r>
        <w:t xml:space="preserve"> </w:t>
      </w:r>
      <w:r w:rsidRPr="00B475EF">
        <w:t>пятый доклад 26</w:t>
      </w:r>
      <w:r>
        <w:t> </w:t>
      </w:r>
      <w:r w:rsidRPr="00B475EF">
        <w:t>июня 2012</w:t>
      </w:r>
      <w:r>
        <w:rPr>
          <w:lang w:val="en-US"/>
        </w:rPr>
        <w:t> </w:t>
      </w:r>
      <w:r w:rsidRPr="00B475EF">
        <w:t xml:space="preserve">года, и </w:t>
      </w:r>
      <w:r>
        <w:t>соответственно</w:t>
      </w:r>
      <w:r w:rsidRPr="00B475EF">
        <w:t xml:space="preserve"> рассмотрение было перенесено на пят</w:t>
      </w:r>
      <w:r w:rsidRPr="00B475EF">
        <w:t>ь</w:t>
      </w:r>
      <w:r w:rsidRPr="00B475EF">
        <w:t>десят восьмую сессию, с тем чтобы можно было сделать перевод доклада и чтобы предсессионная рабочая группа подготовила новый и/или обновленный п</w:t>
      </w:r>
      <w:r w:rsidRPr="00B475EF">
        <w:t>е</w:t>
      </w:r>
      <w:r w:rsidRPr="00B475EF">
        <w:t>речень вопросов.</w:t>
      </w:r>
    </w:p>
    <w:p w:rsidR="0077034C" w:rsidRDefault="0077034C" w:rsidP="0077034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B475EF">
        <w:t xml:space="preserve">Глава </w:t>
      </w:r>
      <w:r w:rsidRPr="00B475EF">
        <w:rPr>
          <w:lang w:val="en-GB"/>
        </w:rPr>
        <w:t>VII</w:t>
      </w:r>
    </w:p>
    <w:p w:rsidR="0077034C" w:rsidRPr="003C309D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Осуществление статьи 21 Конвенции</w:t>
      </w: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Default="0077034C" w:rsidP="0077034C">
      <w:pPr>
        <w:pStyle w:val="SingleTxt"/>
      </w:pPr>
      <w:r w:rsidRPr="00B475EF">
        <w:t>41.</w:t>
      </w:r>
      <w:r w:rsidRPr="00B475EF">
        <w:tab/>
        <w:t>На своей пятьдесят шестой сессии Комитет рассмотрел пункт 6 повестки дня об осуществлении статьи 21 Конвенции.</w:t>
      </w:r>
    </w:p>
    <w:p w:rsidR="0077034C" w:rsidRPr="003C309D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3C309D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Default="0077034C" w:rsidP="0077034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Решения, принятые Комитетом по пункту</w:t>
      </w:r>
      <w:r>
        <w:t> </w:t>
      </w:r>
      <w:r w:rsidRPr="00B475EF">
        <w:t>6 повестки дня</w:t>
      </w:r>
    </w:p>
    <w:p w:rsidR="0077034C" w:rsidRPr="003C309D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3C309D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 xml:space="preserve">Совместная общая рекомендация/замечание по </w:t>
      </w:r>
      <w:r>
        <w:t>вредной практике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42.</w:t>
      </w:r>
      <w:r w:rsidRPr="00B475EF">
        <w:tab/>
        <w:t>Рабочая группа пров</w:t>
      </w:r>
      <w:r>
        <w:t>одила</w:t>
      </w:r>
      <w:r w:rsidRPr="00B475EF">
        <w:t xml:space="preserve"> заседани</w:t>
      </w:r>
      <w:r>
        <w:t>я</w:t>
      </w:r>
      <w:r w:rsidRPr="00B475EF">
        <w:t xml:space="preserve"> во время сессии. 6</w:t>
      </w:r>
      <w:r>
        <w:rPr>
          <w:lang w:val="en-US"/>
        </w:rPr>
        <w:t> </w:t>
      </w:r>
      <w:r w:rsidRPr="00B475EF">
        <w:t>октября 2013</w:t>
      </w:r>
      <w:r>
        <w:rPr>
          <w:lang w:val="en-US"/>
        </w:rPr>
        <w:t> </w:t>
      </w:r>
      <w:r w:rsidRPr="00B475EF">
        <w:t>года совместная рабочая группа Комитета по ликвидации дискриминации в отн</w:t>
      </w:r>
      <w:r w:rsidRPr="00B475EF">
        <w:t>о</w:t>
      </w:r>
      <w:r w:rsidRPr="00B475EF">
        <w:t xml:space="preserve">шении женщин и Комитета по правам </w:t>
      </w:r>
      <w:r>
        <w:t xml:space="preserve">ребенка </w:t>
      </w:r>
      <w:r w:rsidRPr="00B475EF">
        <w:t>провела неофициальное засед</w:t>
      </w:r>
      <w:r w:rsidRPr="00B475EF">
        <w:t>а</w:t>
      </w:r>
      <w:r w:rsidRPr="00B475EF">
        <w:t xml:space="preserve">ние </w:t>
      </w:r>
      <w:r>
        <w:t>в</w:t>
      </w:r>
      <w:r w:rsidRPr="00B475EF">
        <w:t xml:space="preserve"> цел</w:t>
      </w:r>
      <w:r>
        <w:t>ях</w:t>
      </w:r>
      <w:r w:rsidRPr="00B475EF">
        <w:t xml:space="preserve"> завершения работы над проектом общей рекоменд</w:t>
      </w:r>
      <w:r w:rsidRPr="00B475EF">
        <w:t>а</w:t>
      </w:r>
      <w:r w:rsidRPr="00B475EF">
        <w:t>ции/замечания по вредн</w:t>
      </w:r>
      <w:r>
        <w:t>ой</w:t>
      </w:r>
      <w:r w:rsidRPr="00B475EF">
        <w:t xml:space="preserve"> практик</w:t>
      </w:r>
      <w:r>
        <w:t>е</w:t>
      </w:r>
      <w:r w:rsidRPr="00B475EF">
        <w:t>.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E9096E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Общая рекомендация, касающаяся положения женщин в конфликтных</w:t>
      </w:r>
      <w:r>
        <w:br/>
      </w:r>
      <w:r w:rsidRPr="00B475EF">
        <w:t>и постконфликтных ситуациях</w:t>
      </w:r>
    </w:p>
    <w:p w:rsidR="0077034C" w:rsidRPr="00E9096E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43.</w:t>
      </w:r>
      <w:r w:rsidRPr="00B475EF">
        <w:tab/>
        <w:t>Рабочая группа про</w:t>
      </w:r>
      <w:r>
        <w:t>водила</w:t>
      </w:r>
      <w:r w:rsidRPr="00B475EF">
        <w:t xml:space="preserve"> заседания во время сессии.</w:t>
      </w:r>
    </w:p>
    <w:p w:rsidR="0077034C" w:rsidRPr="00B475EF" w:rsidRDefault="0077034C" w:rsidP="0077034C">
      <w:pPr>
        <w:pStyle w:val="SingleTxt"/>
      </w:pPr>
      <w:r w:rsidRPr="00B475EF">
        <w:t>44.</w:t>
      </w:r>
      <w:r w:rsidRPr="00B475EF">
        <w:tab/>
        <w:t>18 октября 2013 года Комитет принял общую рекомендацию</w:t>
      </w:r>
      <w:r>
        <w:t> </w:t>
      </w:r>
      <w:r w:rsidRPr="00B475EF">
        <w:t>№</w:t>
      </w:r>
      <w:r w:rsidRPr="00B475EF">
        <w:rPr>
          <w:lang w:val="en-US"/>
        </w:rPr>
        <w:t> </w:t>
      </w:r>
      <w:r w:rsidRPr="00B475EF">
        <w:t>30, кас</w:t>
      </w:r>
      <w:r w:rsidRPr="00B475EF">
        <w:t>а</w:t>
      </w:r>
      <w:r w:rsidRPr="00B475EF">
        <w:t>ющуюся положения женщин в условиях предотвращения конфликтов, в ко</w:t>
      </w:r>
      <w:r w:rsidRPr="00B475EF">
        <w:t>н</w:t>
      </w:r>
      <w:r w:rsidRPr="00B475EF">
        <w:t>фликтных и постконфликтных ситуациях</w:t>
      </w:r>
      <w:r w:rsidRPr="00C62420">
        <w:rPr>
          <w:rStyle w:val="FootnoteReference"/>
        </w:rPr>
        <w:footnoteReference w:id="5"/>
      </w:r>
      <w:r>
        <w:t>,</w:t>
      </w:r>
      <w:r w:rsidRPr="00B475EF">
        <w:t xml:space="preserve"> единогласно путем поименного г</w:t>
      </w:r>
      <w:r w:rsidRPr="00B475EF">
        <w:t>о</w:t>
      </w:r>
      <w:r w:rsidRPr="00B475EF">
        <w:t>лосования</w:t>
      </w:r>
      <w:r w:rsidRPr="00C62420">
        <w:rPr>
          <w:rStyle w:val="FootnoteReference"/>
        </w:rPr>
        <w:footnoteReference w:id="6"/>
      </w:r>
      <w:r w:rsidRPr="00B475EF">
        <w:t xml:space="preserve"> в соответствии с пункт</w:t>
      </w:r>
      <w:r>
        <w:t>ом </w:t>
      </w:r>
      <w:r w:rsidRPr="00B475EF">
        <w:t>2</w:t>
      </w:r>
      <w:r>
        <w:t xml:space="preserve"> </w:t>
      </w:r>
      <w:r w:rsidRPr="00B475EF">
        <w:t>правила</w:t>
      </w:r>
      <w:r>
        <w:t> </w:t>
      </w:r>
      <w:r w:rsidRPr="00B475EF">
        <w:t>31, пункт</w:t>
      </w:r>
      <w:r>
        <w:t>ом </w:t>
      </w:r>
      <w:r w:rsidRPr="00B475EF">
        <w:t>2</w:t>
      </w:r>
      <w:r>
        <w:t xml:space="preserve"> правила </w:t>
      </w:r>
      <w:r w:rsidRPr="00B475EF">
        <w:t xml:space="preserve">32 и </w:t>
      </w:r>
      <w:r>
        <w:t>правилом </w:t>
      </w:r>
      <w:r w:rsidRPr="00B475EF">
        <w:t>34 правил процедуры Комитета. Одна из членов</w:t>
      </w:r>
      <w:r w:rsidRPr="00C62420">
        <w:rPr>
          <w:rStyle w:val="FootnoteReference"/>
        </w:rPr>
        <w:footnoteReference w:id="7"/>
      </w:r>
      <w:r w:rsidRPr="00B475EF">
        <w:t xml:space="preserve"> представила зая</w:t>
      </w:r>
      <w:r w:rsidRPr="00B475EF">
        <w:t>в</w:t>
      </w:r>
      <w:r w:rsidRPr="00B475EF">
        <w:t>ление, объясняющее ее позицию при голосовании (см.</w:t>
      </w:r>
      <w:r>
        <w:t> </w:t>
      </w:r>
      <w:r w:rsidRPr="00B475EF">
        <w:t>приложение</w:t>
      </w:r>
      <w:r>
        <w:t> </w:t>
      </w:r>
      <w:r w:rsidRPr="00B475EF">
        <w:rPr>
          <w:lang w:val="en-GB"/>
        </w:rPr>
        <w:t>II</w:t>
      </w:r>
      <w:r w:rsidRPr="00B475EF">
        <w:t xml:space="preserve"> к части второй наст</w:t>
      </w:r>
      <w:r w:rsidRPr="00B475EF">
        <w:t>о</w:t>
      </w:r>
      <w:r w:rsidRPr="00B475EF">
        <w:t>ящего доклада).</w:t>
      </w:r>
    </w:p>
    <w:p w:rsidR="0077034C" w:rsidRPr="00B475EF" w:rsidRDefault="0077034C" w:rsidP="0077034C">
      <w:pPr>
        <w:pStyle w:val="SingleTxt"/>
      </w:pPr>
      <w:r w:rsidRPr="00B475EF">
        <w:t>45.</w:t>
      </w:r>
      <w:r w:rsidRPr="00B475EF">
        <w:tab/>
        <w:t>В соответствии с пункт</w:t>
      </w:r>
      <w:r>
        <w:t>ом </w:t>
      </w:r>
      <w:r w:rsidRPr="00B475EF">
        <w:t>2</w:t>
      </w:r>
      <w:r>
        <w:t xml:space="preserve"> </w:t>
      </w:r>
      <w:r w:rsidRPr="00B475EF">
        <w:t>правила</w:t>
      </w:r>
      <w:r>
        <w:t> </w:t>
      </w:r>
      <w:r w:rsidRPr="00B475EF">
        <w:t xml:space="preserve">31, </w:t>
      </w:r>
      <w:r>
        <w:t>правилами </w:t>
      </w:r>
      <w:r w:rsidRPr="00B475EF">
        <w:t xml:space="preserve">34 и 37 </w:t>
      </w:r>
      <w:r>
        <w:t>п</w:t>
      </w:r>
      <w:r w:rsidRPr="00B475EF">
        <w:t>равил проц</w:t>
      </w:r>
      <w:r w:rsidRPr="00B475EF">
        <w:t>е</w:t>
      </w:r>
      <w:r w:rsidRPr="00B475EF">
        <w:t>дуры Комитета по вопросу о внесении изменения в пункт 57</w:t>
      </w:r>
      <w:r w:rsidRPr="00F75438">
        <w:t>(</w:t>
      </w:r>
      <w:r>
        <w:rPr>
          <w:lang w:val="en-US"/>
        </w:rPr>
        <w:t>b</w:t>
      </w:r>
      <w:r w:rsidRPr="00F75438">
        <w:t>)</w:t>
      </w:r>
      <w:r w:rsidRPr="00B475EF">
        <w:t xml:space="preserve"> общей рек</w:t>
      </w:r>
      <w:r w:rsidRPr="00B475EF">
        <w:t>о</w:t>
      </w:r>
      <w:r w:rsidRPr="00B475EF">
        <w:t>мендации № 30 было проведено поименное голосование, поскольку невозмо</w:t>
      </w:r>
      <w:r w:rsidRPr="00B475EF">
        <w:t>ж</w:t>
      </w:r>
      <w:r w:rsidRPr="00B475EF">
        <w:t>но было достичь консенсуса. Из 19 присутствовавших членов 15</w:t>
      </w:r>
      <w:r w:rsidRPr="00C62420">
        <w:rPr>
          <w:rStyle w:val="FootnoteReference"/>
        </w:rPr>
        <w:footnoteReference w:id="8"/>
      </w:r>
      <w:r w:rsidRPr="00B475EF">
        <w:t xml:space="preserve"> проголосов</w:t>
      </w:r>
      <w:r w:rsidRPr="00B475EF">
        <w:t>а</w:t>
      </w:r>
      <w:r w:rsidRPr="00B475EF">
        <w:t xml:space="preserve">ли за включение </w:t>
      </w:r>
      <w:r>
        <w:t>«</w:t>
      </w:r>
      <w:r w:rsidRPr="00B475EF">
        <w:t>…</w:t>
      </w:r>
      <w:r>
        <w:t> </w:t>
      </w:r>
      <w:r w:rsidRPr="00B475EF">
        <w:t>девочек, …</w:t>
      </w:r>
      <w:r>
        <w:t> </w:t>
      </w:r>
      <w:r w:rsidRPr="00B475EF">
        <w:t>женщин, возглавляющих домашние хозяйства, б</w:t>
      </w:r>
      <w:r w:rsidRPr="00B475EF">
        <w:t>е</w:t>
      </w:r>
      <w:r w:rsidRPr="00B475EF">
        <w:t>ременных женщин, женщин, живущих с ВИЧ/СПИДом, …</w:t>
      </w:r>
      <w:r>
        <w:t> </w:t>
      </w:r>
      <w:r w:rsidRPr="00B475EF">
        <w:t>женщин коренных народов, женщин, принадлежащих к этническим, национальным, сексуальным и религиозным меньшинствам и женщин-правозащитниц</w:t>
      </w:r>
      <w:r>
        <w:t>»</w:t>
      </w:r>
      <w:r w:rsidRPr="00B475EF">
        <w:t xml:space="preserve"> в перечень групп внутренне перемещенных женщин и беженок, подвергающихся разнообразным взаимосвязанным формам дискриминации. Трое</w:t>
      </w:r>
      <w:r w:rsidRPr="00C62420">
        <w:rPr>
          <w:rStyle w:val="FootnoteReference"/>
        </w:rPr>
        <w:footnoteReference w:id="9"/>
      </w:r>
      <w:r w:rsidRPr="00B475EF">
        <w:t xml:space="preserve"> членов проголосовали пр</w:t>
      </w:r>
      <w:r w:rsidRPr="00B475EF">
        <w:t>о</w:t>
      </w:r>
      <w:r w:rsidRPr="00B475EF">
        <w:t>тив, а од</w:t>
      </w:r>
      <w:r>
        <w:t>и</w:t>
      </w:r>
      <w:r w:rsidRPr="00B475EF">
        <w:t>н</w:t>
      </w:r>
      <w:r w:rsidRPr="00C62420">
        <w:rPr>
          <w:rStyle w:val="FootnoteReference"/>
        </w:rPr>
        <w:footnoteReference w:id="10"/>
      </w:r>
      <w:r w:rsidRPr="00B475EF">
        <w:t xml:space="preserve"> воздержалс</w:t>
      </w:r>
      <w:r>
        <w:t>я</w:t>
      </w:r>
      <w:r w:rsidRPr="00B475EF">
        <w:t>. Трое</w:t>
      </w:r>
      <w:r w:rsidRPr="00C62420">
        <w:rPr>
          <w:rStyle w:val="FootnoteReference"/>
        </w:rPr>
        <w:footnoteReference w:id="11"/>
      </w:r>
      <w:r w:rsidRPr="00B475EF">
        <w:t xml:space="preserve"> членов представили заявления, объясняющие их позицию при голосовании (см.</w:t>
      </w:r>
      <w:r>
        <w:t> </w:t>
      </w:r>
      <w:r w:rsidRPr="00B475EF">
        <w:t>приложения</w:t>
      </w:r>
      <w:r>
        <w:t> </w:t>
      </w:r>
      <w:r w:rsidRPr="00B475EF">
        <w:rPr>
          <w:lang w:val="en-GB"/>
        </w:rPr>
        <w:t>III</w:t>
      </w:r>
      <w:r w:rsidRPr="00B475EF">
        <w:t xml:space="preserve">, </w:t>
      </w:r>
      <w:r w:rsidRPr="00B475EF">
        <w:rPr>
          <w:lang w:val="en-GB"/>
        </w:rPr>
        <w:t>IV</w:t>
      </w:r>
      <w:r w:rsidRPr="00B475EF">
        <w:t xml:space="preserve"> и </w:t>
      </w:r>
      <w:r w:rsidRPr="00B475EF">
        <w:rPr>
          <w:lang w:val="en-GB"/>
        </w:rPr>
        <w:t>V</w:t>
      </w:r>
      <w:r w:rsidRPr="00B475EF">
        <w:t xml:space="preserve"> к части второй наст</w:t>
      </w:r>
      <w:r w:rsidRPr="00B475EF">
        <w:t>о</w:t>
      </w:r>
      <w:r w:rsidRPr="00B475EF">
        <w:t>ящего доклада).</w:t>
      </w:r>
    </w:p>
    <w:p w:rsidR="0077034C" w:rsidRPr="00F75438" w:rsidRDefault="0077034C" w:rsidP="0077034C">
      <w:pPr>
        <w:pStyle w:val="SingleTxt"/>
      </w:pPr>
      <w:r w:rsidRPr="00B475EF">
        <w:t>46.</w:t>
      </w:r>
      <w:r w:rsidRPr="00B475EF">
        <w:tab/>
        <w:t>Пункт</w:t>
      </w:r>
      <w:r>
        <w:t> </w:t>
      </w:r>
      <w:r w:rsidRPr="00B475EF">
        <w:t>57(</w:t>
      </w:r>
      <w:r w:rsidRPr="00B475EF">
        <w:rPr>
          <w:lang w:val="en-GB"/>
        </w:rPr>
        <w:t>b</w:t>
      </w:r>
      <w:r w:rsidRPr="00B475EF">
        <w:t>) с поправками был принят в соответствии с пункт</w:t>
      </w:r>
      <w:r>
        <w:t>ом </w:t>
      </w:r>
      <w:r w:rsidRPr="00B475EF">
        <w:t>2</w:t>
      </w:r>
      <w:r>
        <w:t xml:space="preserve"> </w:t>
      </w:r>
      <w:r w:rsidRPr="00B475EF">
        <w:t>прав</w:t>
      </w:r>
      <w:r w:rsidRPr="00B475EF">
        <w:t>и</w:t>
      </w:r>
      <w:r w:rsidRPr="00B475EF">
        <w:t>ла</w:t>
      </w:r>
      <w:r>
        <w:t> </w:t>
      </w:r>
      <w:r w:rsidRPr="00B475EF">
        <w:t xml:space="preserve">31 и </w:t>
      </w:r>
      <w:r>
        <w:t>правилом </w:t>
      </w:r>
      <w:r w:rsidRPr="00B475EF">
        <w:t>37 процедуры Комитета. Из 19 присутствовавших членов 15</w:t>
      </w:r>
      <w:r>
        <w:t> </w:t>
      </w:r>
      <w:r w:rsidRPr="00B475EF">
        <w:t>проголос</w:t>
      </w:r>
      <w:r w:rsidRPr="00B475EF">
        <w:t>о</w:t>
      </w:r>
      <w:r w:rsidRPr="00B475EF">
        <w:t>вали за, трое — против и од</w:t>
      </w:r>
      <w:r>
        <w:t>и</w:t>
      </w:r>
      <w:r w:rsidRPr="00B475EF">
        <w:t>н воздержал</w:t>
      </w:r>
      <w:r>
        <w:t>ся</w:t>
      </w:r>
      <w:r w:rsidRPr="00B475EF">
        <w:t>.</w:t>
      </w:r>
    </w:p>
    <w:p w:rsidR="0077034C" w:rsidRPr="00F75438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F75438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 xml:space="preserve">Общая рекомендация </w:t>
      </w:r>
      <w:r>
        <w:t>п</w:t>
      </w:r>
      <w:r w:rsidRPr="00B475EF">
        <w:t>о доступ</w:t>
      </w:r>
      <w:r>
        <w:t>у</w:t>
      </w:r>
      <w:r w:rsidRPr="00B475EF">
        <w:t xml:space="preserve"> к правосудию</w:t>
      </w:r>
    </w:p>
    <w:p w:rsidR="0077034C" w:rsidRPr="00F75438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F75438" w:rsidRDefault="0077034C" w:rsidP="0077034C">
      <w:pPr>
        <w:pStyle w:val="SingleTxt"/>
      </w:pPr>
      <w:r w:rsidRPr="00B475EF">
        <w:t>47.</w:t>
      </w:r>
      <w:r w:rsidRPr="00B475EF">
        <w:tab/>
        <w:t>Рабочая группа пров</w:t>
      </w:r>
      <w:r>
        <w:t>одила</w:t>
      </w:r>
      <w:r w:rsidRPr="00B475EF">
        <w:t xml:space="preserve"> заседания во время сессии.</w:t>
      </w:r>
    </w:p>
    <w:p w:rsidR="0077034C" w:rsidRPr="00F75438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F75438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Рабочая группа по гендерн</w:t>
      </w:r>
      <w:r>
        <w:t>ым</w:t>
      </w:r>
      <w:r w:rsidRPr="00B475EF">
        <w:t xml:space="preserve"> аспектам статуса беженца, убежища</w:t>
      </w:r>
      <w:r>
        <w:br/>
      </w:r>
      <w:r w:rsidRPr="00B475EF">
        <w:t>и безгражданства</w:t>
      </w:r>
    </w:p>
    <w:p w:rsidR="0077034C" w:rsidRPr="00F75438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F75438" w:rsidRDefault="0077034C" w:rsidP="0077034C">
      <w:pPr>
        <w:pStyle w:val="SingleTxt"/>
      </w:pPr>
      <w:r w:rsidRPr="00B475EF">
        <w:t>48.</w:t>
      </w:r>
      <w:r w:rsidRPr="00B475EF">
        <w:tab/>
        <w:t>Рабочая группа пров</w:t>
      </w:r>
      <w:r>
        <w:t>одила</w:t>
      </w:r>
      <w:r w:rsidRPr="00B475EF">
        <w:t xml:space="preserve"> заседания во время сессии. 11</w:t>
      </w:r>
      <w:r>
        <w:t> </w:t>
      </w:r>
      <w:r w:rsidRPr="00B475EF">
        <w:t>октября 2013</w:t>
      </w:r>
      <w:r>
        <w:t> </w:t>
      </w:r>
      <w:r w:rsidRPr="00B475EF">
        <w:t>года Комитет провел обсуждение проекта общей рекомендации по ге</w:t>
      </w:r>
      <w:r w:rsidRPr="00B475EF">
        <w:t>н</w:t>
      </w:r>
      <w:r w:rsidRPr="00B475EF">
        <w:t>дерн</w:t>
      </w:r>
      <w:r>
        <w:t>ым</w:t>
      </w:r>
      <w:r w:rsidRPr="00B475EF">
        <w:t xml:space="preserve"> аспектам статуса беженца, убежища и безгражданства в присутствии двух представителей УВКБ.</w:t>
      </w:r>
    </w:p>
    <w:p w:rsidR="0077034C" w:rsidRPr="00F75438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Рабочая группа по сельским женщинам</w:t>
      </w: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49.</w:t>
      </w:r>
      <w:r w:rsidRPr="00B475EF">
        <w:tab/>
        <w:t>Рабочая группа пров</w:t>
      </w:r>
      <w:r>
        <w:t>одила</w:t>
      </w:r>
      <w:r w:rsidRPr="00B475EF">
        <w:t xml:space="preserve"> свои заседания во время сессии.</w:t>
      </w:r>
    </w:p>
    <w:p w:rsidR="0077034C" w:rsidRPr="00B475EF" w:rsidRDefault="0077034C" w:rsidP="0077034C">
      <w:pPr>
        <w:pStyle w:val="SingleTxt"/>
      </w:pPr>
      <w:r w:rsidRPr="00B475EF">
        <w:t>50.</w:t>
      </w:r>
      <w:r w:rsidRPr="00B475EF">
        <w:tab/>
        <w:t>7 октября 2013 года Комитет провел продолжавшуюся половину дня о</w:t>
      </w:r>
      <w:r w:rsidRPr="00B475EF">
        <w:t>б</w:t>
      </w:r>
      <w:r w:rsidRPr="00B475EF">
        <w:t>щую дискуссию по вопросу о сельских женщинах в рамках первого этапа ра</w:t>
      </w:r>
      <w:r w:rsidRPr="00B475EF">
        <w:t>з</w:t>
      </w:r>
      <w:r w:rsidRPr="00B475EF">
        <w:t xml:space="preserve">работки </w:t>
      </w:r>
      <w:r>
        <w:t xml:space="preserve">общей </w:t>
      </w:r>
      <w:r w:rsidRPr="00B475EF">
        <w:t>рекомендации по этой теме. Дискуссию открыла Председатель Комитета Николь Амелин, после чего со вступительными заявлениями выст</w:t>
      </w:r>
      <w:r w:rsidRPr="00B475EF">
        <w:t>у</w:t>
      </w:r>
      <w:r w:rsidRPr="00B475EF">
        <w:t>пили Элизабет Расмуссон, помощник Директора-исполнителя Всемирной пр</w:t>
      </w:r>
      <w:r w:rsidRPr="00B475EF">
        <w:t>о</w:t>
      </w:r>
      <w:r w:rsidRPr="00B475EF">
        <w:t>довольственной программы по вопросам партнерств и услуг в области упра</w:t>
      </w:r>
      <w:r w:rsidRPr="00B475EF">
        <w:t>в</w:t>
      </w:r>
      <w:r w:rsidRPr="00B475EF">
        <w:t xml:space="preserve">ления (также представляющая ФАО, МФСР и </w:t>
      </w:r>
      <w:r>
        <w:t>С</w:t>
      </w:r>
      <w:r w:rsidRPr="00B475EF">
        <w:t>труктуру «ООН-женщины» в качестве соорганизаторов)</w:t>
      </w:r>
      <w:r>
        <w:t>,</w:t>
      </w:r>
      <w:r w:rsidRPr="00B475EF">
        <w:t xml:space="preserve"> и Ибрахим Салама, Директор Отдела договоров по правам человека УВКПЧ. Будущую общую рекомендацию по вопросу о сел</w:t>
      </w:r>
      <w:r w:rsidRPr="00B475EF">
        <w:t>ь</w:t>
      </w:r>
      <w:r w:rsidRPr="00B475EF">
        <w:t>ских женщинах представила Председатель Рабочей группы по сельским же</w:t>
      </w:r>
      <w:r w:rsidRPr="00B475EF">
        <w:t>н</w:t>
      </w:r>
      <w:r w:rsidRPr="00B475EF">
        <w:t>щинам На</w:t>
      </w:r>
      <w:r>
        <w:t>и</w:t>
      </w:r>
      <w:r w:rsidRPr="00B475EF">
        <w:t>ла Габр. Правовые, социально-экономические и прочие барьеры, препятствующие полной реализации прав сельских женщин, рассмотрели п</w:t>
      </w:r>
      <w:r w:rsidRPr="00B475EF">
        <w:t>я</w:t>
      </w:r>
      <w:r w:rsidRPr="00B475EF">
        <w:t>теро нижеперечисленных основных докладчиков: член Рабочей группы по в</w:t>
      </w:r>
      <w:r w:rsidRPr="00B475EF">
        <w:t>о</w:t>
      </w:r>
      <w:r w:rsidRPr="00B475EF">
        <w:t>просу о дискриминации в отношении женщин в законодательстве и на практ</w:t>
      </w:r>
      <w:r w:rsidRPr="00B475EF">
        <w:t>и</w:t>
      </w:r>
      <w:r w:rsidRPr="00B475EF">
        <w:t>ке Эмна Ауидж; Специальный докладчик по вопросу о праве на питание Ол</w:t>
      </w:r>
      <w:r w:rsidRPr="00B475EF">
        <w:t>и</w:t>
      </w:r>
      <w:r w:rsidRPr="00B475EF">
        <w:t>вье Дешуттер; Специальный докладчик по вопросу о праве человека на бе</w:t>
      </w:r>
      <w:r w:rsidRPr="00B475EF">
        <w:t>з</w:t>
      </w:r>
      <w:r w:rsidRPr="00B475EF">
        <w:t>опасную питьевую воду и санитарию Катарина де Альбукерке; Исполнител</w:t>
      </w:r>
      <w:r w:rsidRPr="00B475EF">
        <w:t>ь</w:t>
      </w:r>
      <w:r w:rsidRPr="00B475EF">
        <w:t>ный содиректор Глобальной инициативы в защиту экономических, соц</w:t>
      </w:r>
      <w:r w:rsidRPr="00B475EF">
        <w:t>и</w:t>
      </w:r>
      <w:r w:rsidRPr="00B475EF">
        <w:t>альных и культурных прав Майра Гомес; и представитель низовой организации «Грутс Кения» Виолет Шивутсе. После выступлений основных ораторов с устными заявлениями выступили представители следующих государств-участников: А</w:t>
      </w:r>
      <w:r w:rsidRPr="00B475EF">
        <w:t>в</w:t>
      </w:r>
      <w:r w:rsidRPr="00B475EF">
        <w:t>стралии, Испании, Кубы, Бразилии, Венесуэлы, Сирийской Арабской Респу</w:t>
      </w:r>
      <w:r w:rsidRPr="00B475EF">
        <w:t>б</w:t>
      </w:r>
      <w:r w:rsidRPr="00B475EF">
        <w:t>лики и Таиланда. С заявлениями также выступили представители четырех о</w:t>
      </w:r>
      <w:r w:rsidRPr="00B475EF">
        <w:t>р</w:t>
      </w:r>
      <w:r w:rsidRPr="00B475EF">
        <w:t>ганов и специализированных учреждений Организации Объединенных Наций</w:t>
      </w:r>
      <w:r>
        <w:t xml:space="preserve"> — </w:t>
      </w:r>
      <w:r w:rsidRPr="00B475EF">
        <w:t>ФАО, МФСР, МОТ и ЮНЭЙДС</w:t>
      </w:r>
      <w:r>
        <w:t xml:space="preserve"> — </w:t>
      </w:r>
      <w:r w:rsidRPr="00B475EF">
        <w:t>и девяти организаций гражданск</w:t>
      </w:r>
      <w:r w:rsidRPr="00B475EF">
        <w:t>о</w:t>
      </w:r>
      <w:r w:rsidRPr="00B475EF">
        <w:t>го общества (Арундхати Бхаттачарья, Индия; ассоциация «Коллектив женщин за право», Колумбия; КЭР интернэшнл; Центр за репродуктивные права; Народный научно-исследовательский и образовательный центр Колумбии; «Сеть первоочередной информации и мер в области продовольствия» (ФИАН); Международный союз инвалидов; организация «Ландеса» и Международная ассоциация сороптимисток). В общей дискуссии приняли участие представ</w:t>
      </w:r>
      <w:r w:rsidRPr="00B475EF">
        <w:t>и</w:t>
      </w:r>
      <w:r w:rsidRPr="00B475EF">
        <w:t>тели 30</w:t>
      </w:r>
      <w:r>
        <w:t> </w:t>
      </w:r>
      <w:r w:rsidRPr="00B475EF">
        <w:t>государств-участников: Австралии, Алжира, Бенина, Бразилии, Бурк</w:t>
      </w:r>
      <w:r w:rsidRPr="00B475EF">
        <w:t>и</w:t>
      </w:r>
      <w:r w:rsidRPr="00B475EF">
        <w:t>на-Фасо, Венесуэлы (Боливарианская Республика), Гватемалы, Германии, Египта, Израиля, Индонезии, Испании, Йемена, Канады, Кубы, Панамы, П</w:t>
      </w:r>
      <w:r w:rsidRPr="00B475EF">
        <w:t>а</w:t>
      </w:r>
      <w:r w:rsidRPr="00B475EF">
        <w:t>рагвая, Руанды, Святого Престола, Сирийской Арабской Республики, Слов</w:t>
      </w:r>
      <w:r w:rsidRPr="00B475EF">
        <w:t>е</w:t>
      </w:r>
      <w:r w:rsidRPr="00B475EF">
        <w:t>нии, Таиланда, Туниса, Турции, Уругвая, Хорватии, Швейцарии,</w:t>
      </w:r>
      <w:r>
        <w:t xml:space="preserve"> Шри-Ланки, Эквадора и Эфи</w:t>
      </w:r>
      <w:r>
        <w:t>о</w:t>
      </w:r>
      <w:r>
        <w:t>пии.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Рабочая группа по вопросам гендерного равенства в контексте изменения климата и стихийных бедствий</w:t>
      </w: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F75438" w:rsidRDefault="0077034C" w:rsidP="0077034C">
      <w:pPr>
        <w:pStyle w:val="SingleTxt"/>
      </w:pPr>
      <w:r w:rsidRPr="00B475EF">
        <w:t>51.</w:t>
      </w:r>
      <w:r w:rsidRPr="00B475EF">
        <w:tab/>
        <w:t>Рабочая группа пров</w:t>
      </w:r>
      <w:r>
        <w:t>одила</w:t>
      </w:r>
      <w:r w:rsidRPr="00B475EF">
        <w:t xml:space="preserve"> заседания во время сессии.</w:t>
      </w:r>
    </w:p>
    <w:p w:rsidR="0077034C" w:rsidRPr="00F75438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5EF">
        <w:tab/>
      </w:r>
      <w:r w:rsidRPr="00B475EF">
        <w:tab/>
        <w:t>Рабочая группа по вопросу о праве на образование</w:t>
      </w:r>
    </w:p>
    <w:p w:rsidR="0077034C" w:rsidRPr="0077034C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F75438" w:rsidRDefault="0077034C" w:rsidP="0077034C">
      <w:pPr>
        <w:pStyle w:val="SingleTxt"/>
      </w:pPr>
      <w:r w:rsidRPr="00B475EF">
        <w:t>52.</w:t>
      </w:r>
      <w:r w:rsidRPr="00B475EF">
        <w:tab/>
        <w:t>Рабочая группа пров</w:t>
      </w:r>
      <w:r>
        <w:t>одила</w:t>
      </w:r>
      <w:r w:rsidRPr="00B475EF">
        <w:t xml:space="preserve"> заседания во время сессии.</w:t>
      </w:r>
    </w:p>
    <w:p w:rsidR="0077034C" w:rsidRPr="00F75438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5EF">
        <w:t>Рабочая группа по методам работы</w:t>
      </w:r>
    </w:p>
    <w:p w:rsidR="0077034C" w:rsidRPr="00B475EF" w:rsidRDefault="0077034C" w:rsidP="0077034C">
      <w:pPr>
        <w:pStyle w:val="SingleTxt"/>
        <w:spacing w:after="0" w:line="120" w:lineRule="exact"/>
        <w:rPr>
          <w:b/>
          <w:sz w:val="10"/>
        </w:rPr>
      </w:pPr>
    </w:p>
    <w:p w:rsidR="0077034C" w:rsidRPr="00F75438" w:rsidRDefault="0077034C" w:rsidP="0077034C">
      <w:pPr>
        <w:pStyle w:val="SingleTxt"/>
      </w:pPr>
      <w:r w:rsidRPr="00B475EF">
        <w:t>53.</w:t>
      </w:r>
      <w:r w:rsidRPr="00B475EF">
        <w:tab/>
        <w:t>Рабочая группа пров</w:t>
      </w:r>
      <w:r>
        <w:t>одила</w:t>
      </w:r>
      <w:r w:rsidRPr="00B475EF">
        <w:t xml:space="preserve"> заседания во время сессии.</w:t>
      </w:r>
    </w:p>
    <w:p w:rsidR="0077034C" w:rsidRPr="00F75438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5EF">
        <w:t>Рабочая группа К</w:t>
      </w:r>
      <w:r>
        <w:t>омитета по ликвидации дискриминации в отношении женщин</w:t>
      </w:r>
      <w:r w:rsidRPr="00B475EF">
        <w:t>/Межпарламентского союза</w:t>
      </w:r>
    </w:p>
    <w:p w:rsidR="0077034C" w:rsidRPr="00B475EF" w:rsidRDefault="0077034C" w:rsidP="0077034C">
      <w:pPr>
        <w:pStyle w:val="SingleTxt"/>
        <w:spacing w:after="0" w:line="120" w:lineRule="exact"/>
        <w:rPr>
          <w:b/>
          <w:bCs/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54.</w:t>
      </w:r>
      <w:r w:rsidRPr="00B475EF">
        <w:tab/>
        <w:t>Рабочая группа пров</w:t>
      </w:r>
      <w:r>
        <w:t>одила</w:t>
      </w:r>
      <w:r w:rsidRPr="00B475EF">
        <w:t xml:space="preserve"> заседания во время сессии. 7</w:t>
      </w:r>
      <w:r>
        <w:rPr>
          <w:lang w:val="en-US"/>
        </w:rPr>
        <w:t> </w:t>
      </w:r>
      <w:r w:rsidRPr="00B475EF">
        <w:t>октября 2013</w:t>
      </w:r>
      <w:r>
        <w:rPr>
          <w:lang w:val="en-US"/>
        </w:rPr>
        <w:t> </w:t>
      </w:r>
      <w:r w:rsidRPr="00B475EF">
        <w:t>года Комитет провел закрытое совещание с делегацией парламентариев Межпарл</w:t>
      </w:r>
      <w:r w:rsidRPr="00B475EF">
        <w:t>а</w:t>
      </w:r>
      <w:r w:rsidRPr="00B475EF">
        <w:t xml:space="preserve">ментского союза высокого уровня </w:t>
      </w:r>
      <w:r>
        <w:t>в</w:t>
      </w:r>
      <w:r w:rsidRPr="00B475EF">
        <w:t xml:space="preserve"> цел</w:t>
      </w:r>
      <w:r>
        <w:t>ях</w:t>
      </w:r>
      <w:r w:rsidRPr="00B475EF">
        <w:t xml:space="preserve"> обсуждения возможных путей с</w:t>
      </w:r>
      <w:r w:rsidRPr="00B475EF">
        <w:t>о</w:t>
      </w:r>
      <w:r w:rsidRPr="00B475EF">
        <w:t>трудничества между Комитетом и национальными парламентариями.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5EF">
        <w:t>Рабочая группа К</w:t>
      </w:r>
      <w:r>
        <w:t>омитета по ликвидации дискриминации в отношении женщин</w:t>
      </w:r>
      <w:r w:rsidRPr="00B475EF">
        <w:t>/</w:t>
      </w:r>
      <w:r>
        <w:t>С</w:t>
      </w:r>
      <w:r w:rsidRPr="00B475EF">
        <w:t>труктуры «ООН-женщины»</w:t>
      </w:r>
    </w:p>
    <w:p w:rsidR="0077034C" w:rsidRPr="00B475EF" w:rsidRDefault="0077034C" w:rsidP="0077034C">
      <w:pPr>
        <w:pStyle w:val="SingleTxt"/>
        <w:spacing w:after="0" w:line="120" w:lineRule="exact"/>
        <w:rPr>
          <w:b/>
          <w:bCs/>
          <w:sz w:val="10"/>
        </w:rPr>
      </w:pPr>
    </w:p>
    <w:p w:rsidR="0077034C" w:rsidRDefault="0077034C" w:rsidP="0077034C">
      <w:pPr>
        <w:pStyle w:val="SingleTxt"/>
      </w:pPr>
      <w:r w:rsidRPr="00B475EF">
        <w:t>55.</w:t>
      </w:r>
      <w:r w:rsidRPr="00B475EF">
        <w:tab/>
        <w:t>Рабочая группа провела заседания во время сессии.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5EF">
        <w:t>Рабочая группа К</w:t>
      </w:r>
      <w:r>
        <w:t>омитета по ликвидации дискриминации в отношении женщин</w:t>
      </w:r>
      <w:r w:rsidRPr="00B475EF">
        <w:t>/Комитета по правам человека</w:t>
      </w:r>
    </w:p>
    <w:p w:rsidR="0077034C" w:rsidRPr="00B475EF" w:rsidRDefault="0077034C" w:rsidP="0077034C">
      <w:pPr>
        <w:pStyle w:val="SingleTxt"/>
        <w:spacing w:after="0" w:line="120" w:lineRule="exact"/>
        <w:rPr>
          <w:b/>
          <w:bCs/>
          <w:sz w:val="10"/>
        </w:rPr>
      </w:pPr>
    </w:p>
    <w:p w:rsidR="0077034C" w:rsidRDefault="0077034C" w:rsidP="0077034C">
      <w:pPr>
        <w:pStyle w:val="SingleTxt"/>
      </w:pPr>
      <w:r w:rsidRPr="00B475EF">
        <w:t>56.</w:t>
      </w:r>
      <w:r w:rsidRPr="00B475EF">
        <w:tab/>
        <w:t>Рабочая группа пров</w:t>
      </w:r>
      <w:r>
        <w:t>одила</w:t>
      </w:r>
      <w:r w:rsidRPr="00B475EF">
        <w:t xml:space="preserve"> заседания во время сессии.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Default="0077034C" w:rsidP="00770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5EF">
        <w:t>Координаторы по вопросам сексуальных и репродуктивных прав</w:t>
      </w:r>
    </w:p>
    <w:p w:rsidR="0077034C" w:rsidRPr="00B475EF" w:rsidRDefault="0077034C" w:rsidP="0077034C">
      <w:pPr>
        <w:pStyle w:val="SingleTxt"/>
        <w:spacing w:after="0" w:line="120" w:lineRule="exact"/>
        <w:rPr>
          <w:sz w:val="10"/>
        </w:rPr>
      </w:pPr>
    </w:p>
    <w:p w:rsidR="0077034C" w:rsidRPr="00B475EF" w:rsidRDefault="0077034C" w:rsidP="0077034C">
      <w:pPr>
        <w:pStyle w:val="SingleTxt"/>
      </w:pPr>
      <w:r w:rsidRPr="00B475EF">
        <w:t>57.</w:t>
      </w:r>
      <w:r w:rsidRPr="00B475EF">
        <w:tab/>
        <w:t xml:space="preserve">Координатор и </w:t>
      </w:r>
      <w:r>
        <w:t xml:space="preserve">заместители </w:t>
      </w:r>
      <w:r w:rsidRPr="00B475EF">
        <w:t>координатор</w:t>
      </w:r>
      <w:r>
        <w:t>ов</w:t>
      </w:r>
      <w:r w:rsidRPr="00B475EF">
        <w:t xml:space="preserve"> пров</w:t>
      </w:r>
      <w:r>
        <w:t>одили</w:t>
      </w:r>
      <w:r w:rsidRPr="00B475EF">
        <w:t xml:space="preserve"> заседания во время сессии.</w:t>
      </w:r>
    </w:p>
    <w:p w:rsidR="0077034C" w:rsidRPr="00B475EF" w:rsidRDefault="0077034C" w:rsidP="0077034C">
      <w:pPr>
        <w:pStyle w:val="SingleTxt"/>
      </w:pPr>
    </w:p>
    <w:p w:rsidR="00537DDC" w:rsidRP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2D6828">
        <w:t>Глава VIII</w:t>
      </w:r>
    </w:p>
    <w:p w:rsidR="00537DDC" w:rsidRPr="00537DD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2D6828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828">
        <w:tab/>
      </w:r>
      <w:r w:rsidRPr="002D6828">
        <w:tab/>
        <w:t>Предварительная повестка дня</w:t>
      </w:r>
      <w:r>
        <w:t xml:space="preserve"> пятьдесят седьмой сессии</w:t>
      </w:r>
    </w:p>
    <w:p w:rsidR="00537DDC" w:rsidRPr="002D6828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2D6828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2D6828" w:rsidRDefault="00537DDC" w:rsidP="00537DDC">
      <w:pPr>
        <w:pStyle w:val="SingleTxt"/>
      </w:pPr>
      <w:r w:rsidRPr="002D6828">
        <w:t>58.</w:t>
      </w:r>
      <w:r w:rsidRPr="002D6828">
        <w:tab/>
        <w:t>18</w:t>
      </w:r>
      <w:r w:rsidRPr="002D6828">
        <w:rPr>
          <w:lang w:val="en-US"/>
        </w:rPr>
        <w:t> </w:t>
      </w:r>
      <w:r w:rsidRPr="002D6828">
        <w:t>октября 2013</w:t>
      </w:r>
      <w:r>
        <w:t> год</w:t>
      </w:r>
      <w:r w:rsidRPr="002D6828">
        <w:t>а Комитет рассмотрел проект предварительной п</w:t>
      </w:r>
      <w:r w:rsidRPr="002D6828">
        <w:t>о</w:t>
      </w:r>
      <w:r w:rsidRPr="002D6828">
        <w:t>вестки дня своей пятьдесят седьмой сессии и утвердил следующую предвар</w:t>
      </w:r>
      <w:r w:rsidRPr="002D6828">
        <w:t>и</w:t>
      </w:r>
      <w:r w:rsidRPr="002D6828">
        <w:t>тельную повестку дня этой сессии:</w:t>
      </w:r>
    </w:p>
    <w:p w:rsidR="00537DDC" w:rsidRPr="002D6828" w:rsidRDefault="00537DDC" w:rsidP="00537DDC">
      <w:pPr>
        <w:pStyle w:val="SingleTxt"/>
      </w:pPr>
      <w:r w:rsidRPr="002D6828">
        <w:tab/>
        <w:t>1.</w:t>
      </w:r>
      <w:r w:rsidRPr="002D6828">
        <w:tab/>
        <w:t>Открытие сессии.</w:t>
      </w:r>
    </w:p>
    <w:p w:rsidR="00537DDC" w:rsidRPr="002D6828" w:rsidRDefault="00537DDC" w:rsidP="00537DDC">
      <w:pPr>
        <w:pStyle w:val="SingleTxt"/>
      </w:pPr>
      <w:r w:rsidRPr="002D6828">
        <w:tab/>
        <w:t>2.</w:t>
      </w:r>
      <w:r w:rsidRPr="002D6828">
        <w:tab/>
        <w:t>Утверждение повестки дня и организация работы.</w:t>
      </w:r>
    </w:p>
    <w:p w:rsidR="00537DDC" w:rsidRPr="002D6828" w:rsidRDefault="00537DDC" w:rsidP="00537DDC">
      <w:pPr>
        <w:pStyle w:val="SingleTxt"/>
        <w:ind w:left="2218" w:hanging="951"/>
      </w:pPr>
      <w:r w:rsidRPr="002D6828">
        <w:tab/>
        <w:t>3.</w:t>
      </w:r>
      <w:r w:rsidRPr="002D6828">
        <w:tab/>
        <w:t>Доклад Председателя о мероприятиях, проведенных в период между пятьдесят шестой и пятьдесят седьмой сессиями Комитета.</w:t>
      </w:r>
    </w:p>
    <w:p w:rsidR="00537DDC" w:rsidRPr="002D6828" w:rsidRDefault="00537DDC" w:rsidP="00537DDC">
      <w:pPr>
        <w:pStyle w:val="SingleTxt"/>
        <w:ind w:left="2218" w:hanging="951"/>
      </w:pPr>
      <w:r w:rsidRPr="002D6828">
        <w:tab/>
        <w:t>4.</w:t>
      </w:r>
      <w:r w:rsidRPr="002D6828">
        <w:tab/>
        <w:t>Рассмотрение докладов, представленных государствами-участника</w:t>
      </w:r>
      <w:r>
        <w:softHyphen/>
      </w:r>
      <w:r w:rsidRPr="002D6828">
        <w:t>ми в соответствии со статьей</w:t>
      </w:r>
      <w:r>
        <w:t> </w:t>
      </w:r>
      <w:r w:rsidRPr="002D6828">
        <w:t>18 Конвенции о ликвидации всех форм дискриминации в отношении женщин.</w:t>
      </w:r>
    </w:p>
    <w:p w:rsidR="00537DDC" w:rsidRPr="002D6828" w:rsidRDefault="00537DDC" w:rsidP="00537DDC">
      <w:pPr>
        <w:pStyle w:val="SingleTxt"/>
        <w:ind w:left="2218" w:hanging="951"/>
      </w:pPr>
      <w:r w:rsidRPr="002D6828">
        <w:tab/>
        <w:t>5.</w:t>
      </w:r>
      <w:r w:rsidRPr="002D6828">
        <w:tab/>
        <w:t>Последующая деятельность в связи с заключительными замечани</w:t>
      </w:r>
      <w:r w:rsidRPr="002D6828">
        <w:t>я</w:t>
      </w:r>
      <w:r w:rsidRPr="002D6828">
        <w:t>ми, содержащимися в докладах, представляемых государствами-участниками в соответствии со статьей</w:t>
      </w:r>
      <w:r>
        <w:t> </w:t>
      </w:r>
      <w:r w:rsidRPr="002D6828">
        <w:t>18 Конвенции о ликвидации всех форм дискримин</w:t>
      </w:r>
      <w:r w:rsidRPr="002D6828">
        <w:t>а</w:t>
      </w:r>
      <w:r w:rsidRPr="002D6828">
        <w:t xml:space="preserve">ции в отношении женщин. </w:t>
      </w:r>
    </w:p>
    <w:p w:rsidR="00537DDC" w:rsidRPr="002D6828" w:rsidRDefault="00537DDC" w:rsidP="00537DDC">
      <w:pPr>
        <w:pStyle w:val="SingleTxt"/>
        <w:ind w:left="2218" w:hanging="951"/>
      </w:pPr>
      <w:r w:rsidRPr="002D6828">
        <w:tab/>
        <w:t>6.</w:t>
      </w:r>
      <w:r w:rsidRPr="002D6828">
        <w:tab/>
        <w:t>Осуществление статей</w:t>
      </w:r>
      <w:r>
        <w:t> </w:t>
      </w:r>
      <w:r w:rsidRPr="002D6828">
        <w:t>21 и 22 Конвенции о ликвидации всех форм дискриминации в отношении женщин.</w:t>
      </w:r>
    </w:p>
    <w:p w:rsidR="00537DDC" w:rsidRPr="002D6828" w:rsidRDefault="00537DDC" w:rsidP="00537DDC">
      <w:pPr>
        <w:pStyle w:val="SingleTxt"/>
        <w:ind w:left="2218" w:hanging="951"/>
      </w:pPr>
      <w:r w:rsidRPr="002D6828">
        <w:tab/>
        <w:t>7.</w:t>
      </w:r>
      <w:r w:rsidRPr="002D6828">
        <w:tab/>
        <w:t>Деятельность Комитета в соответствии с Факультативным проток</w:t>
      </w:r>
      <w:r w:rsidRPr="002D6828">
        <w:t>о</w:t>
      </w:r>
      <w:r w:rsidRPr="002D6828">
        <w:t>лом к Конвенции о ликвидации всех форм дискриминации в отнош</w:t>
      </w:r>
      <w:r w:rsidRPr="002D6828">
        <w:t>е</w:t>
      </w:r>
      <w:r w:rsidRPr="002D6828">
        <w:t>нии женщин.</w:t>
      </w:r>
    </w:p>
    <w:p w:rsidR="00537DDC" w:rsidRPr="002D6828" w:rsidRDefault="00537DDC" w:rsidP="00537DDC">
      <w:pPr>
        <w:pStyle w:val="SingleTxt"/>
        <w:ind w:left="2218" w:hanging="951"/>
      </w:pPr>
      <w:r w:rsidRPr="002D6828">
        <w:tab/>
        <w:t>8.</w:t>
      </w:r>
      <w:r w:rsidRPr="002D6828">
        <w:tab/>
        <w:t>Предварительная повестка дня пятьдесят восьмой сессии Комитета.</w:t>
      </w:r>
    </w:p>
    <w:p w:rsidR="00537DDC" w:rsidRPr="002D6828" w:rsidRDefault="00537DDC" w:rsidP="00537DDC">
      <w:pPr>
        <w:pStyle w:val="SingleTxt"/>
        <w:ind w:left="2218" w:hanging="951"/>
      </w:pPr>
      <w:r w:rsidRPr="002D6828">
        <w:tab/>
        <w:t>9.</w:t>
      </w:r>
      <w:r w:rsidRPr="002D6828">
        <w:tab/>
        <w:t>Утверждение доклада Комитета о работе его пятьдесят седьмой</w:t>
      </w:r>
      <w:r w:rsidRPr="002D6828">
        <w:br/>
        <w:t>се</w:t>
      </w:r>
      <w:r w:rsidRPr="002D6828">
        <w:t>с</w:t>
      </w:r>
      <w:r w:rsidRPr="002D6828">
        <w:t>сии.</w:t>
      </w:r>
    </w:p>
    <w:p w:rsidR="00537DDC" w:rsidRP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7C4DFB">
        <w:t>Глава IX</w:t>
      </w:r>
    </w:p>
    <w:p w:rsidR="00537DDC" w:rsidRPr="00537DD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4DFB">
        <w:tab/>
      </w:r>
      <w:r w:rsidRPr="007C4DFB">
        <w:tab/>
        <w:t>Утверждение доклада</w:t>
      </w:r>
    </w:p>
    <w:p w:rsidR="00537DDC" w:rsidRPr="00537DD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537DD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7C4DFB" w:rsidRDefault="00537DDC" w:rsidP="00537DDC">
      <w:pPr>
        <w:pStyle w:val="SingleTxt"/>
      </w:pPr>
      <w:r w:rsidRPr="007C4DFB">
        <w:t>59.</w:t>
      </w:r>
      <w:r w:rsidRPr="007C4DFB">
        <w:tab/>
        <w:t>18</w:t>
      </w:r>
      <w:r>
        <w:t> </w:t>
      </w:r>
      <w:r w:rsidRPr="007C4DFB">
        <w:t>октября 2013</w:t>
      </w:r>
      <w:r>
        <w:t> год</w:t>
      </w:r>
      <w:r w:rsidRPr="007C4DFB">
        <w:t>а Комитет рассмотрел проект доклада о работе своей пятьдесят шестой сессии и добавления к нему и утвердил текст доклада с вн</w:t>
      </w:r>
      <w:r w:rsidRPr="007C4DFB">
        <w:t>е</w:t>
      </w:r>
      <w:r w:rsidRPr="007C4DFB">
        <w:t>сенными в него в ходе обсуждения устными поправками.</w:t>
      </w:r>
    </w:p>
    <w:p w:rsidR="00537DDC" w:rsidRP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7C4DFB">
        <w:t>Приложение I</w:t>
      </w:r>
    </w:p>
    <w:p w:rsidR="00537DDC" w:rsidRPr="00537DD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7C4DFB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4DFB">
        <w:tab/>
      </w:r>
      <w:r w:rsidRPr="007C4DFB">
        <w:tab/>
        <w:t>Решение 56/IV</w:t>
      </w:r>
      <w:r>
        <w:br/>
      </w:r>
      <w:r w:rsidRPr="007C4DFB">
        <w:t>Решение Комитета по ликвидации дискриминации</w:t>
      </w:r>
      <w:r w:rsidRPr="007C4DFB">
        <w:br/>
        <w:t>в отношении женщин о продолжении Интернет-трансляций</w:t>
      </w:r>
    </w:p>
    <w:p w:rsidR="00537DDC" w:rsidRPr="007C4DFB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7C4DFB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537DDC" w:rsidRDefault="00537DDC" w:rsidP="00537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4DFB">
        <w:tab/>
      </w:r>
      <w:r w:rsidRPr="007C4DFB">
        <w:tab/>
        <w:t>Принято 18</w:t>
      </w:r>
      <w:r>
        <w:t> </w:t>
      </w:r>
      <w:r w:rsidRPr="007C4DFB">
        <w:t>октября 2013</w:t>
      </w:r>
      <w:r>
        <w:t> год</w:t>
      </w:r>
      <w:r w:rsidRPr="007C4DFB">
        <w:t>а</w:t>
      </w:r>
    </w:p>
    <w:p w:rsidR="00537DDC" w:rsidRPr="00537DD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7C4DFB" w:rsidRDefault="00537DDC" w:rsidP="00537DDC">
      <w:pPr>
        <w:pStyle w:val="SingleTxt"/>
      </w:pPr>
      <w:r w:rsidRPr="00537DDC">
        <w:tab/>
      </w:r>
      <w:r w:rsidRPr="007C4DFB">
        <w:t>Комитет по ликвидации дискриминации в отношении женщин ссылается на решение, принятое на его пятьдесят четвертой сессии, об открытой тран</w:t>
      </w:r>
      <w:r w:rsidRPr="007C4DFB">
        <w:t>с</w:t>
      </w:r>
      <w:r w:rsidRPr="007C4DFB">
        <w:t>ляции в Интернете своих дискуссий с государствами-участниками в течение экспер</w:t>
      </w:r>
      <w:r w:rsidRPr="007C4DFB">
        <w:t>и</w:t>
      </w:r>
      <w:r w:rsidRPr="007C4DFB">
        <w:t>ментального периода, охватывающего его пятьдесят пятую и пятьдесят шестую сессии, и о проведении оценки на пятьдесят шестой сессии в целях принятия решения о целесообразности продолжения этих Интернет-трансляций.</w:t>
      </w:r>
    </w:p>
    <w:p w:rsidR="00537DDC" w:rsidRPr="007C4DFB" w:rsidRDefault="00537DDC" w:rsidP="00537DDC">
      <w:pPr>
        <w:pStyle w:val="SingleTxt"/>
      </w:pPr>
      <w:r w:rsidRPr="00537DDC">
        <w:tab/>
      </w:r>
      <w:r w:rsidRPr="007C4DFB">
        <w:t>Комитет отмечает, что Международный комитет действий в защиту прав женщин в Азиатско-Тихоокеанском регионе обеспечивает трансляцию откр</w:t>
      </w:r>
      <w:r w:rsidRPr="007C4DFB">
        <w:t>ы</w:t>
      </w:r>
      <w:r w:rsidRPr="007C4DFB">
        <w:t>тых заседаний Комитета бесплатно на сайте Интернет-трансляций договорных органов Организации Объединенных Наций в разделе коалиции НПО (www.treatybodywebcast.org), а также трансляцию архивных записей.</w:t>
      </w:r>
    </w:p>
    <w:p w:rsidR="00537DDC" w:rsidRPr="007C4DFB" w:rsidRDefault="00537DDC" w:rsidP="00537DDC">
      <w:pPr>
        <w:pStyle w:val="SingleTxt"/>
      </w:pPr>
      <w:r w:rsidRPr="00537DDC">
        <w:tab/>
      </w:r>
      <w:r w:rsidRPr="007C4DFB">
        <w:t>Комитет выражает признательность за услуги, предоставляемые МКДПЖ-АТ и коалицией НПО, а также благодарит за ресурсы, затраченные ими для обесп</w:t>
      </w:r>
      <w:r w:rsidRPr="007C4DFB">
        <w:t>е</w:t>
      </w:r>
      <w:r w:rsidRPr="007C4DFB">
        <w:t>чения этих услуг.</w:t>
      </w:r>
    </w:p>
    <w:p w:rsidR="00537DDC" w:rsidRPr="007C4DFB" w:rsidRDefault="00537DDC" w:rsidP="00537DDC">
      <w:pPr>
        <w:pStyle w:val="SingleTxt"/>
      </w:pPr>
      <w:r w:rsidRPr="00537DDC">
        <w:tab/>
      </w:r>
      <w:r w:rsidRPr="007C4DFB">
        <w:t>Комитет также выражает надежду на то, что в ближайшем будущем мо</w:t>
      </w:r>
      <w:r w:rsidRPr="007C4DFB">
        <w:t>ж</w:t>
      </w:r>
      <w:r w:rsidRPr="007C4DFB">
        <w:t>но будет обеспечить Интернет-трансляции с субтитрами.</w:t>
      </w:r>
    </w:p>
    <w:p w:rsidR="00537DDC" w:rsidRPr="007C4DFB" w:rsidRDefault="00537DDC" w:rsidP="00537DDC">
      <w:pPr>
        <w:pStyle w:val="SingleTxt"/>
      </w:pPr>
      <w:r w:rsidRPr="00537DDC">
        <w:tab/>
      </w:r>
      <w:r w:rsidRPr="007C4DFB">
        <w:t xml:space="preserve">Он считает, что Интеренет-трансляция открытых заседаний: </w:t>
      </w:r>
    </w:p>
    <w:p w:rsidR="00537DDC" w:rsidRPr="007C4DFB" w:rsidRDefault="00537DDC" w:rsidP="00537DDC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 w:rsidRPr="00537DDC">
        <w:tab/>
      </w:r>
      <w:r w:rsidRPr="007C4DFB">
        <w:t>•</w:t>
      </w:r>
      <w:r w:rsidRPr="007C4DFB">
        <w:tab/>
        <w:t>повышает степень осведомленности общественности о Конвенции и о р</w:t>
      </w:r>
      <w:r w:rsidRPr="007C4DFB">
        <w:t>а</w:t>
      </w:r>
      <w:r w:rsidRPr="007C4DFB">
        <w:t>боте Комитета и их значимость</w:t>
      </w:r>
    </w:p>
    <w:p w:rsidR="00537DDC" w:rsidRPr="007C4DFB" w:rsidRDefault="00537DDC" w:rsidP="00537DDC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 w:rsidRPr="00537DDC">
        <w:tab/>
      </w:r>
      <w:r w:rsidRPr="007C4DFB">
        <w:t>•</w:t>
      </w:r>
      <w:r w:rsidRPr="007C4DFB">
        <w:tab/>
        <w:t>повышает транспарентность работы Комитета, позволяет госуда</w:t>
      </w:r>
      <w:r w:rsidRPr="007C4DFB">
        <w:t>р</w:t>
      </w:r>
      <w:r w:rsidRPr="007C4DFB">
        <w:t>ствам-участникам и неправительственным организациям заранее подготовит</w:t>
      </w:r>
      <w:r w:rsidRPr="007C4DFB">
        <w:t>ь</w:t>
      </w:r>
      <w:r w:rsidRPr="007C4DFB">
        <w:t>ся для диалога с Комитетом без необходимости совершать поездки для уч</w:t>
      </w:r>
      <w:r w:rsidRPr="007C4DFB">
        <w:t>а</w:t>
      </w:r>
      <w:r w:rsidRPr="007C4DFB">
        <w:t>стия в се</w:t>
      </w:r>
      <w:r w:rsidRPr="007C4DFB">
        <w:t>с</w:t>
      </w:r>
      <w:r w:rsidRPr="007C4DFB">
        <w:t>сиях Комитета до запланированного диалога</w:t>
      </w:r>
    </w:p>
    <w:p w:rsidR="00537DDC" w:rsidRPr="007C4DFB" w:rsidRDefault="00537DDC" w:rsidP="00537DDC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 w:rsidRPr="00537DDC">
        <w:tab/>
      </w:r>
      <w:r w:rsidRPr="007C4DFB">
        <w:t>•</w:t>
      </w:r>
      <w:r w:rsidRPr="007C4DFB">
        <w:tab/>
        <w:t>повышает степень ответственности в рамках подготовки отчетности и способствует выполнению рекомендаций Комитета</w:t>
      </w:r>
    </w:p>
    <w:p w:rsidR="00537DDC" w:rsidRPr="00C428EC" w:rsidRDefault="00537DDC" w:rsidP="00537DDC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</w:pPr>
      <w:r w:rsidRPr="00537DDC">
        <w:tab/>
      </w:r>
      <w:r w:rsidRPr="007C4DFB">
        <w:t>•</w:t>
      </w:r>
      <w:r w:rsidRPr="007C4DFB">
        <w:tab/>
        <w:t>не имеет негативных последствий для работы Комитета и его констру</w:t>
      </w:r>
      <w:r w:rsidRPr="007C4DFB">
        <w:t>к</w:t>
      </w:r>
      <w:r w:rsidRPr="007C4DFB">
        <w:t>тивного диалога с государствами-участниками</w:t>
      </w:r>
      <w:r>
        <w:t>.</w:t>
      </w:r>
    </w:p>
    <w:p w:rsidR="00537DDC" w:rsidRPr="00C428E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C428E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537DDC" w:rsidRDefault="00537DDC" w:rsidP="00537DD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4DFB">
        <w:tab/>
      </w:r>
      <w:r w:rsidRPr="007C4DFB">
        <w:tab/>
        <w:t>Решение</w:t>
      </w:r>
    </w:p>
    <w:p w:rsidR="00537DDC" w:rsidRPr="00537DD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537DDC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7C4DFB" w:rsidRDefault="00537DDC" w:rsidP="00537DDC">
      <w:pPr>
        <w:pStyle w:val="SingleTxt"/>
      </w:pPr>
      <w:r w:rsidRPr="00537DDC">
        <w:tab/>
      </w:r>
      <w:r w:rsidRPr="007C4DFB">
        <w:t>Комитет постановил продлить практику открытых Интернет-трансляций своих дискуссий с государствами-участниками и других открытых заседаний после окончания испытательного периода, указанного в решении</w:t>
      </w:r>
      <w:r>
        <w:t> </w:t>
      </w:r>
      <w:hyperlink r:id="rId79" w:history="1">
        <w:r w:rsidRPr="0062414C">
          <w:rPr>
            <w:rStyle w:val="Hyperlink"/>
          </w:rPr>
          <w:t>54/7</w:t>
        </w:r>
      </w:hyperlink>
      <w:r w:rsidRPr="007C4DFB">
        <w:t>, на н</w:t>
      </w:r>
      <w:r w:rsidRPr="007C4DFB">
        <w:t>е</w:t>
      </w:r>
      <w:r w:rsidRPr="007C4DFB">
        <w:t>определенный срок, пока он не примет иного решения.</w:t>
      </w:r>
    </w:p>
    <w:p w:rsidR="00537DDC" w:rsidRDefault="00537DDC" w:rsidP="00537DDC">
      <w:pPr>
        <w:pStyle w:val="SingleTxt"/>
      </w:pPr>
      <w:r>
        <w:t>18 октября 2013 года</w:t>
      </w: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D43293">
        <w:t>Приложение II</w:t>
      </w:r>
    </w:p>
    <w:p w:rsidR="00537DDC" w:rsidRPr="00D43293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43293">
        <w:tab/>
      </w:r>
      <w:r w:rsidRPr="00D43293">
        <w:tab/>
      </w:r>
      <w:r>
        <w:t xml:space="preserve">Заявление </w:t>
      </w:r>
      <w:r w:rsidRPr="00D43293">
        <w:t>На</w:t>
      </w:r>
      <w:r>
        <w:t>и</w:t>
      </w:r>
      <w:r w:rsidRPr="00D43293">
        <w:t xml:space="preserve">лы Габр по мотивам голосования </w:t>
      </w:r>
      <w:r>
        <w:t xml:space="preserve">после голосования по </w:t>
      </w:r>
      <w:r w:rsidRPr="00D43293">
        <w:t>общей рекомендаци</w:t>
      </w:r>
      <w:r>
        <w:t>и </w:t>
      </w:r>
      <w:r w:rsidRPr="00D43293">
        <w:t>№</w:t>
      </w:r>
      <w:r>
        <w:t> </w:t>
      </w:r>
      <w:r w:rsidRPr="00D43293">
        <w:t>30 (2013), касающейся положения женщин в условиях предотвращения конфликтов, в конфликтных и</w:t>
      </w:r>
      <w:r>
        <w:t> </w:t>
      </w:r>
      <w:r w:rsidRPr="00D43293">
        <w:t>постконфликтных ситуациях</w:t>
      </w:r>
    </w:p>
    <w:p w:rsidR="00537DDC" w:rsidRPr="00D43293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D43293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SingleTxt"/>
      </w:pPr>
      <w:r w:rsidRPr="00D43293">
        <w:tab/>
      </w:r>
      <w:r>
        <w:t>«</w:t>
      </w:r>
      <w:r w:rsidRPr="00D43293">
        <w:t>Я воздержалась, поскольку некоторые части данной общей рекоменд</w:t>
      </w:r>
      <w:r w:rsidRPr="00D43293">
        <w:t>а</w:t>
      </w:r>
      <w:r w:rsidRPr="00D43293">
        <w:t>ции не отража</w:t>
      </w:r>
      <w:r>
        <w:t>ют</w:t>
      </w:r>
      <w:r w:rsidRPr="00D43293">
        <w:t xml:space="preserve"> приоритетны</w:t>
      </w:r>
      <w:r>
        <w:t>е</w:t>
      </w:r>
      <w:r w:rsidRPr="00D43293">
        <w:t xml:space="preserve"> потребност</w:t>
      </w:r>
      <w:r>
        <w:t>и</w:t>
      </w:r>
      <w:r w:rsidRPr="00D43293">
        <w:t xml:space="preserve"> ряда категорий женщин, наход</w:t>
      </w:r>
      <w:r w:rsidRPr="00D43293">
        <w:t>я</w:t>
      </w:r>
      <w:r w:rsidRPr="00D43293">
        <w:t>щихся в неблагоприятном положении (сельских женщин, представительниц к</w:t>
      </w:r>
      <w:r w:rsidRPr="00D43293">
        <w:t>о</w:t>
      </w:r>
      <w:r w:rsidRPr="00D43293">
        <w:t>ренных народов и пожилых женщин)</w:t>
      </w:r>
      <w:r>
        <w:t>»</w:t>
      </w:r>
      <w:r w:rsidRPr="00D43293">
        <w:t>.</w:t>
      </w:r>
    </w:p>
    <w:p w:rsidR="00537DDC" w:rsidRPr="00D43293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D43293" w:rsidRDefault="00537DDC" w:rsidP="00537DDC">
      <w:pPr>
        <w:pStyle w:val="SingleTxt"/>
      </w:pPr>
      <w:r>
        <w:t>18 октября 2013 года</w:t>
      </w: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C90052">
        <w:t>Приложение III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90052">
        <w:tab/>
      </w:r>
      <w:r w:rsidRPr="00C90052">
        <w:tab/>
      </w:r>
      <w:r>
        <w:t xml:space="preserve">Заявление </w:t>
      </w:r>
      <w:r w:rsidRPr="00C90052">
        <w:t xml:space="preserve">Нур Аль-Джехани по мотивам голосования </w:t>
      </w:r>
      <w:r>
        <w:t xml:space="preserve">после голосования по </w:t>
      </w:r>
      <w:r w:rsidRPr="00C90052">
        <w:t>поправк</w:t>
      </w:r>
      <w:r>
        <w:t>е</w:t>
      </w:r>
      <w:r w:rsidRPr="00C90052">
        <w:t xml:space="preserve"> к пункту 57</w:t>
      </w:r>
      <w:r>
        <w:t>(</w:t>
      </w:r>
      <w:r w:rsidRPr="00C90052">
        <w:t>b) общей рекомендации № 30 (2013), касающейся положения женщин в условиях предотвращения конфликтов, в</w:t>
      </w:r>
      <w:r>
        <w:t> </w:t>
      </w:r>
      <w:r w:rsidRPr="00C90052">
        <w:t>конфликтных и постконфликтных ситуациях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SingleTxt"/>
      </w:pPr>
      <w:r>
        <w:tab/>
        <w:t>«</w:t>
      </w:r>
      <w:r w:rsidRPr="00C90052">
        <w:t>Я голосовала против этого пункта, поскольку обеспокоена тем, что К</w:t>
      </w:r>
      <w:r w:rsidRPr="00C90052">
        <w:t>о</w:t>
      </w:r>
      <w:r w:rsidRPr="00C90052">
        <w:t>митет ослабляет свой правовой статус, утверждая длинные малопонятные п</w:t>
      </w:r>
      <w:r w:rsidRPr="00C90052">
        <w:t>е</w:t>
      </w:r>
      <w:r w:rsidRPr="00C90052">
        <w:t xml:space="preserve">речни, которые, в конечном итоге, отвлекают внимание от проблем тех самых </w:t>
      </w:r>
      <w:r>
        <w:t xml:space="preserve">категорий </w:t>
      </w:r>
      <w:r w:rsidRPr="00C90052">
        <w:t>женщин, находящихся в уязвимом положении, которы</w:t>
      </w:r>
      <w:r>
        <w:t>е</w:t>
      </w:r>
      <w:r w:rsidRPr="00C90052">
        <w:t xml:space="preserve"> Комитет намерен защищать</w:t>
      </w:r>
      <w:r>
        <w:t>»</w:t>
      </w:r>
      <w:r w:rsidRPr="00C90052">
        <w:t>.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C90052" w:rsidRDefault="00537DDC" w:rsidP="00537DDC">
      <w:pPr>
        <w:pStyle w:val="SingleTxt"/>
      </w:pPr>
      <w:r w:rsidRPr="00C90052">
        <w:t>18 октября 2013</w:t>
      </w:r>
      <w:r>
        <w:t> год</w:t>
      </w:r>
      <w:r w:rsidRPr="00C90052">
        <w:t>а</w:t>
      </w: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C90052">
        <w:t>Приложение IV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90052">
        <w:tab/>
      </w:r>
      <w:r w:rsidRPr="00C90052">
        <w:tab/>
      </w:r>
      <w:r>
        <w:t>Заявление</w:t>
      </w:r>
      <w:r w:rsidRPr="00C90052">
        <w:t xml:space="preserve"> На</w:t>
      </w:r>
      <w:r>
        <w:t>и</w:t>
      </w:r>
      <w:r w:rsidRPr="00C90052">
        <w:t xml:space="preserve">лы Габр по мотивам голосования </w:t>
      </w:r>
      <w:r>
        <w:t xml:space="preserve">после голосования по </w:t>
      </w:r>
      <w:r w:rsidRPr="00C90052">
        <w:t>поправк</w:t>
      </w:r>
      <w:r>
        <w:t>е</w:t>
      </w:r>
      <w:r w:rsidRPr="00C90052">
        <w:t xml:space="preserve"> к пункту 57</w:t>
      </w:r>
      <w:r>
        <w:t>(</w:t>
      </w:r>
      <w:r w:rsidRPr="00C90052">
        <w:t>b) общей рекомендации № 30 (2013), касающейся положения женщин в условиях предотвращения конфликтов, в</w:t>
      </w:r>
      <w:r>
        <w:t> </w:t>
      </w:r>
      <w:r w:rsidRPr="00C90052">
        <w:t>конфликтных и постконфликтных ситуациях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SingleTxt"/>
      </w:pPr>
      <w:r>
        <w:tab/>
        <w:t>«</w:t>
      </w:r>
      <w:r w:rsidRPr="00C90052">
        <w:t xml:space="preserve">Я голосовала против длинного перечня после слов </w:t>
      </w:r>
      <w:r>
        <w:t>„</w:t>
      </w:r>
      <w:r w:rsidRPr="00C90052">
        <w:t>в том числе</w:t>
      </w:r>
      <w:r>
        <w:t>“</w:t>
      </w:r>
      <w:r w:rsidRPr="00C90052">
        <w:t>, п</w:t>
      </w:r>
      <w:r w:rsidRPr="00C90052">
        <w:t>о</w:t>
      </w:r>
      <w:r w:rsidRPr="00C90052">
        <w:t>скольку этот перечень отвлекает внимание от главных категорий пострада</w:t>
      </w:r>
      <w:r w:rsidRPr="00C90052">
        <w:t>в</w:t>
      </w:r>
      <w:r w:rsidRPr="00C90052">
        <w:t xml:space="preserve">ших женщин, которые оказываются в положении вынужденных переселенцев. По этой причине я поддерживала первоначальную формулировку: </w:t>
      </w:r>
      <w:r>
        <w:t>„</w:t>
      </w:r>
      <w:r w:rsidRPr="00C90052">
        <w:t>учитывать ко</w:t>
      </w:r>
      <w:r w:rsidRPr="00C90052">
        <w:t>н</w:t>
      </w:r>
      <w:r w:rsidRPr="00C90052">
        <w:t>кретные риски и потребности различных групп женщин, оказавшихся в пол</w:t>
      </w:r>
      <w:r w:rsidRPr="00C90052">
        <w:t>о</w:t>
      </w:r>
      <w:r w:rsidRPr="00C90052">
        <w:t>жении внутренне перемещенных лиц и беженцев и подвергающихся разноо</w:t>
      </w:r>
      <w:r w:rsidRPr="00C90052">
        <w:t>б</w:t>
      </w:r>
      <w:r w:rsidRPr="00C90052">
        <w:t>разным взаимосвязанным формам дискриминации, таких как сельские женщ</w:t>
      </w:r>
      <w:r w:rsidRPr="00C90052">
        <w:t>и</w:t>
      </w:r>
      <w:r w:rsidRPr="00C90052">
        <w:t>ны, п</w:t>
      </w:r>
      <w:r w:rsidRPr="00C90052">
        <w:t>о</w:t>
      </w:r>
      <w:r w:rsidRPr="00C90052">
        <w:t>жилые женщины, вдовы и женщины-инвалиды</w:t>
      </w:r>
      <w:r>
        <w:t>“»</w:t>
      </w:r>
      <w:r w:rsidRPr="00C90052">
        <w:t>.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C90052" w:rsidRDefault="00537DDC" w:rsidP="00537DDC">
      <w:pPr>
        <w:pStyle w:val="SingleTxt"/>
      </w:pPr>
      <w:r w:rsidRPr="00C90052">
        <w:t>18 октября 2013</w:t>
      </w:r>
      <w:r>
        <w:t> год</w:t>
      </w:r>
      <w:r w:rsidRPr="00C90052">
        <w:t>а</w:t>
      </w: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C90052">
        <w:t xml:space="preserve">Приложение V 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Заяв</w:t>
      </w:r>
      <w:r w:rsidRPr="00C90052">
        <w:t xml:space="preserve">ление Исмат Джахан по мотивам голосования </w:t>
      </w:r>
      <w:r>
        <w:br/>
        <w:t xml:space="preserve">после голосования по </w:t>
      </w:r>
      <w:r w:rsidRPr="00C90052">
        <w:t>поправк</w:t>
      </w:r>
      <w:r>
        <w:t>е</w:t>
      </w:r>
      <w:r w:rsidRPr="00C90052">
        <w:t xml:space="preserve"> к пункту 57</w:t>
      </w:r>
      <w:r>
        <w:t>(</w:t>
      </w:r>
      <w:r w:rsidRPr="00C90052">
        <w:t>b) общей рекомендации № 30 (2013), касающейся положения женщин в условиях предотвращения конфликтов, в</w:t>
      </w:r>
      <w:r>
        <w:t> </w:t>
      </w:r>
      <w:r w:rsidRPr="00C90052">
        <w:t xml:space="preserve">конфликтных и постконфликтных ситуациях 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C90052" w:rsidRDefault="00537DDC" w:rsidP="00537DDC">
      <w:pPr>
        <w:pStyle w:val="SingleTxt"/>
      </w:pPr>
      <w:r>
        <w:tab/>
        <w:t>«</w:t>
      </w:r>
      <w:r w:rsidRPr="00C90052">
        <w:t>Я испытываю большое сожаление, будучи вынуждена высказаться пр</w:t>
      </w:r>
      <w:r w:rsidRPr="00C90052">
        <w:t>о</w:t>
      </w:r>
      <w:r w:rsidRPr="00C90052">
        <w:t>тив части этой поправки, поскольку ранее я имела отношение к подготовке проекта этой общей рекомендации в качестве члена Рабочей группы.</w:t>
      </w:r>
    </w:p>
    <w:p w:rsidR="00537DDC" w:rsidRPr="00C90052" w:rsidRDefault="00537DDC" w:rsidP="00537DDC">
      <w:pPr>
        <w:pStyle w:val="SingleTxt"/>
      </w:pPr>
      <w:r>
        <w:tab/>
      </w:r>
      <w:r w:rsidRPr="00C90052">
        <w:t xml:space="preserve">Я считаю, что часть поправок, представленных на более позднем этапе, противоречит самой цели этого подпункта в </w:t>
      </w:r>
      <w:r>
        <w:t xml:space="preserve">его изначальном </w:t>
      </w:r>
      <w:r w:rsidRPr="00C90052">
        <w:t xml:space="preserve">виде, </w:t>
      </w:r>
      <w:r>
        <w:t>предпол</w:t>
      </w:r>
      <w:r>
        <w:t>а</w:t>
      </w:r>
      <w:r>
        <w:t xml:space="preserve">гающем </w:t>
      </w:r>
      <w:r w:rsidRPr="00C90052">
        <w:t xml:space="preserve">сфокусированность непосредственно на конкретных потребностях </w:t>
      </w:r>
      <w:r>
        <w:t xml:space="preserve">значительного </w:t>
      </w:r>
      <w:r w:rsidRPr="00C90052">
        <w:t xml:space="preserve">большинства женщин, </w:t>
      </w:r>
      <w:r>
        <w:t>требующих особого внимания</w:t>
      </w:r>
      <w:r w:rsidRPr="00C90052">
        <w:t xml:space="preserve"> с учетом степени, масштабов и сложности проблем, с которыми они сталкиваются, ок</w:t>
      </w:r>
      <w:r w:rsidRPr="00C90052">
        <w:t>а</w:t>
      </w:r>
      <w:r w:rsidRPr="00C90052">
        <w:t>зываясь в положении беженцев или перем</w:t>
      </w:r>
      <w:r w:rsidRPr="00C90052">
        <w:t>е</w:t>
      </w:r>
      <w:r w:rsidRPr="00C90052">
        <w:t>щенных лиц.</w:t>
      </w:r>
    </w:p>
    <w:p w:rsidR="00537DDC" w:rsidRPr="00C90052" w:rsidRDefault="00537DDC" w:rsidP="00537DDC">
      <w:pPr>
        <w:pStyle w:val="SingleTxt"/>
      </w:pPr>
      <w:r>
        <w:tab/>
      </w:r>
      <w:r w:rsidRPr="00C90052">
        <w:t>Поправки ослабляют и нивелируют акцент на этой категории женщин. Поэтому я была вынуждена голосовать против.</w:t>
      </w:r>
    </w:p>
    <w:p w:rsidR="00537DDC" w:rsidRPr="00C90052" w:rsidRDefault="00537DDC" w:rsidP="00537DDC">
      <w:pPr>
        <w:pStyle w:val="SingleTxt"/>
      </w:pPr>
      <w:r>
        <w:tab/>
      </w:r>
      <w:r w:rsidRPr="00C90052">
        <w:t xml:space="preserve">Я бы хотела, чтобы мои разъяснения были отражены в докладе Комитета, и прошу сделать сноску к данному пункту общей рекомендации, </w:t>
      </w:r>
      <w:r>
        <w:t>указывающую на то</w:t>
      </w:r>
      <w:r w:rsidRPr="00C90052">
        <w:t xml:space="preserve">, что этот пункт был </w:t>
      </w:r>
      <w:r>
        <w:t xml:space="preserve">принят </w:t>
      </w:r>
      <w:r w:rsidRPr="00C90052">
        <w:t>путем голосования.</w:t>
      </w:r>
    </w:p>
    <w:p w:rsidR="00537DDC" w:rsidRDefault="00537DDC" w:rsidP="00537DDC">
      <w:pPr>
        <w:pStyle w:val="SingleTxt"/>
      </w:pPr>
      <w:r>
        <w:tab/>
      </w:r>
      <w:r w:rsidRPr="00C90052">
        <w:t>Благодарю вас</w:t>
      </w:r>
      <w:r>
        <w:t>»</w:t>
      </w:r>
      <w:r w:rsidRPr="00C90052">
        <w:t>.</w:t>
      </w:r>
    </w:p>
    <w:p w:rsidR="00537DDC" w:rsidRPr="00C90052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C90052" w:rsidRDefault="00537DDC" w:rsidP="00537DDC">
      <w:pPr>
        <w:pStyle w:val="SingleTxt"/>
      </w:pPr>
      <w:r w:rsidRPr="00C90052">
        <w:t>18 октября 2013</w:t>
      </w:r>
      <w:r>
        <w:t> год</w:t>
      </w:r>
      <w:r w:rsidRPr="00C90052">
        <w:t>а</w:t>
      </w: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4708A">
        <w:t>Приложение VI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4708A">
        <w:t>Оценка процедуры последующ</w:t>
      </w:r>
      <w:r>
        <w:t>ей деятельности</w:t>
      </w:r>
      <w:r w:rsidRPr="0084708A">
        <w:t xml:space="preserve"> в связи с</w:t>
      </w:r>
      <w:r>
        <w:t> </w:t>
      </w:r>
      <w:r w:rsidRPr="0084708A">
        <w:t>заключительными замечаниями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708A">
        <w:tab/>
      </w:r>
      <w:r w:rsidRPr="0084708A">
        <w:tab/>
        <w:t>Оценка процедуры последующ</w:t>
      </w:r>
      <w:r>
        <w:t xml:space="preserve">ей деятельности </w:t>
      </w:r>
      <w:r w:rsidRPr="0084708A">
        <w:t xml:space="preserve">в соответствии со статьей 18 Конвенции о ликвидации </w:t>
      </w:r>
      <w:r>
        <w:t xml:space="preserve">всех форм </w:t>
      </w:r>
      <w:r w:rsidRPr="0084708A">
        <w:t>дискриминации в отношении женщин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708A">
        <w:tab/>
      </w:r>
      <w:r w:rsidRPr="0084708A">
        <w:tab/>
        <w:t>Процедура последующ</w:t>
      </w:r>
      <w:r>
        <w:t xml:space="preserve">ей деятельности в </w:t>
      </w:r>
      <w:r w:rsidRPr="0084708A">
        <w:t>связи с заключительными замечаниями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84708A" w:rsidRDefault="00537DDC" w:rsidP="00537DDC">
      <w:pPr>
        <w:pStyle w:val="SingleTxt"/>
      </w:pPr>
      <w:r>
        <w:tab/>
      </w:r>
      <w:r w:rsidRPr="0084708A">
        <w:t>На своей сорок первой сессии, про</w:t>
      </w:r>
      <w:r>
        <w:t xml:space="preserve">ходившей </w:t>
      </w:r>
      <w:r w:rsidRPr="0084708A">
        <w:t>в июле 2008</w:t>
      </w:r>
      <w:r>
        <w:t> год</w:t>
      </w:r>
      <w:r w:rsidRPr="0084708A">
        <w:t>а, Комитет постановил ввести в действие процедуру последующ</w:t>
      </w:r>
      <w:r>
        <w:t>ей деятельности</w:t>
      </w:r>
      <w:r w:rsidRPr="0084708A">
        <w:t>, в соо</w:t>
      </w:r>
      <w:r w:rsidRPr="0084708A">
        <w:t>т</w:t>
      </w:r>
      <w:r w:rsidRPr="0084708A">
        <w:t>ветствии с которой государству-участнику предлагается отчитываться о посл</w:t>
      </w:r>
      <w:r w:rsidRPr="0084708A">
        <w:t>е</w:t>
      </w:r>
      <w:r w:rsidRPr="0084708A">
        <w:t>дующ</w:t>
      </w:r>
      <w:r>
        <w:t>ей деятельности</w:t>
      </w:r>
      <w:r w:rsidRPr="0084708A">
        <w:t xml:space="preserve"> в связи с выполнением рекомендаций, указанных Ком</w:t>
      </w:r>
      <w:r w:rsidRPr="0084708A">
        <w:t>и</w:t>
      </w:r>
      <w:r w:rsidRPr="0084708A">
        <w:t xml:space="preserve">тетом в качестве </w:t>
      </w:r>
      <w:r>
        <w:t>вопросов для последующей деятельности</w:t>
      </w:r>
      <w:r w:rsidRPr="0084708A">
        <w:t>. Эта просьба, осн</w:t>
      </w:r>
      <w:r w:rsidRPr="0084708A">
        <w:t>о</w:t>
      </w:r>
      <w:r w:rsidRPr="0084708A">
        <w:t>ванная на пункте</w:t>
      </w:r>
      <w:r>
        <w:t> </w:t>
      </w:r>
      <w:r w:rsidRPr="0084708A">
        <w:t>1</w:t>
      </w:r>
      <w:r>
        <w:t>(</w:t>
      </w:r>
      <w:r w:rsidRPr="0084708A">
        <w:t>b) статьи</w:t>
      </w:r>
      <w:r>
        <w:t> </w:t>
      </w:r>
      <w:r w:rsidRPr="0084708A">
        <w:t>18 Конвенции, содержит в себе призыв к госуда</w:t>
      </w:r>
      <w:r w:rsidRPr="0084708A">
        <w:t>р</w:t>
      </w:r>
      <w:r w:rsidRPr="0084708A">
        <w:t>ствам-участникам представлять необходимую информацию Комитету в течение одного</w:t>
      </w:r>
      <w:r>
        <w:t>-</w:t>
      </w:r>
      <w:r w:rsidRPr="0084708A">
        <w:t>двух лет в зависим</w:t>
      </w:r>
      <w:r w:rsidRPr="0084708A">
        <w:t>о</w:t>
      </w:r>
      <w:r w:rsidRPr="0084708A">
        <w:t>сти от срочности ситуации.</w:t>
      </w:r>
    </w:p>
    <w:p w:rsidR="00537DDC" w:rsidRPr="0084708A" w:rsidRDefault="00537DDC" w:rsidP="00537DDC">
      <w:pPr>
        <w:pStyle w:val="SingleTxt"/>
      </w:pPr>
      <w:r>
        <w:tab/>
      </w:r>
      <w:r w:rsidRPr="0084708A">
        <w:t>На своей сорок четвертой сессии, про</w:t>
      </w:r>
      <w:r>
        <w:t xml:space="preserve">ходившей </w:t>
      </w:r>
      <w:r w:rsidRPr="0084708A">
        <w:t>в июле-августе 2009</w:t>
      </w:r>
      <w:r>
        <w:t> год</w:t>
      </w:r>
      <w:r w:rsidRPr="0084708A">
        <w:t>а, Комитет постановил, что каждому государству-участнику будет предложено принимать последующие меры по не более чем двум рекомендациям и что с</w:t>
      </w:r>
      <w:r w:rsidRPr="0084708A">
        <w:t>о</w:t>
      </w:r>
      <w:r w:rsidRPr="0084708A">
        <w:t>ответствующий ответ государства-участника будет обнародован. На своей пятьдесят третьей сессии Комитет согласился с предложением Докла</w:t>
      </w:r>
      <w:r w:rsidRPr="0084708A">
        <w:t>д</w:t>
      </w:r>
      <w:r w:rsidRPr="0084708A">
        <w:t>чика по последующ</w:t>
      </w:r>
      <w:r>
        <w:t xml:space="preserve">ей деятельности </w:t>
      </w:r>
      <w:r w:rsidRPr="0084708A">
        <w:t xml:space="preserve">о том, </w:t>
      </w:r>
      <w:r>
        <w:t>что, в случае если соответствующие рек</w:t>
      </w:r>
      <w:r>
        <w:t>о</w:t>
      </w:r>
      <w:r>
        <w:t>мендации слишком многословны, в качестве вопросов для последующей де</w:t>
      </w:r>
      <w:r>
        <w:t>я</w:t>
      </w:r>
      <w:r>
        <w:t xml:space="preserve">тельности следует </w:t>
      </w:r>
      <w:r w:rsidRPr="0084708A">
        <w:t>выбирать ограниченное количество подпунктов.</w:t>
      </w:r>
    </w:p>
    <w:p w:rsidR="00537DDC" w:rsidRPr="0084708A" w:rsidRDefault="00537DDC" w:rsidP="00537DDC">
      <w:pPr>
        <w:pStyle w:val="SingleTxt"/>
      </w:pPr>
      <w:r>
        <w:tab/>
      </w:r>
      <w:r w:rsidRPr="0084708A">
        <w:t>На своей сорок пятой сессии, про</w:t>
      </w:r>
      <w:r>
        <w:t xml:space="preserve">ходившей </w:t>
      </w:r>
      <w:r w:rsidRPr="0084708A">
        <w:t>в январе-феврале 2010</w:t>
      </w:r>
      <w:r>
        <w:t> год</w:t>
      </w:r>
      <w:r w:rsidRPr="0084708A">
        <w:t>а, Комитет постановил утвердить методологию оценки докладов гос</w:t>
      </w:r>
      <w:r w:rsidRPr="0084708A">
        <w:t>у</w:t>
      </w:r>
      <w:r w:rsidRPr="0084708A">
        <w:t>дарств-участников, получ</w:t>
      </w:r>
      <w:r>
        <w:t xml:space="preserve">аемых </w:t>
      </w:r>
      <w:r w:rsidRPr="0084708A">
        <w:t>в рамках процедуры последующ</w:t>
      </w:r>
      <w:r>
        <w:t>ей деятельности</w:t>
      </w:r>
      <w:r w:rsidRPr="0084708A">
        <w:t>. Он пересмотрел эту методологию на своей пятьдесят четвертой сессии в феврале 2013</w:t>
      </w:r>
      <w:r>
        <w:t> год</w:t>
      </w:r>
      <w:r w:rsidRPr="0084708A">
        <w:t>а.</w:t>
      </w:r>
    </w:p>
    <w:p w:rsidR="00537DDC" w:rsidRPr="0084708A" w:rsidRDefault="00537DDC" w:rsidP="00537DDC">
      <w:pPr>
        <w:pStyle w:val="SingleTxt"/>
      </w:pPr>
      <w:r>
        <w:tab/>
      </w:r>
      <w:r w:rsidRPr="0084708A">
        <w:t xml:space="preserve">Выбор рекомендаций </w:t>
      </w:r>
      <w:r>
        <w:t>в качестве вопросов для последующей деятельности</w:t>
      </w:r>
      <w:r w:rsidRPr="0084708A">
        <w:t xml:space="preserve"> осуществляется на основании следующего критерия: проблемы, в связи с кот</w:t>
      </w:r>
      <w:r w:rsidRPr="0084708A">
        <w:t>о</w:t>
      </w:r>
      <w:r w:rsidRPr="0084708A">
        <w:t>рыми предлагается принять меры в краткосрочной перспективе, должны пре</w:t>
      </w:r>
      <w:r w:rsidRPr="0084708A">
        <w:t>д</w:t>
      </w:r>
      <w:r w:rsidRPr="0084708A">
        <w:t>ставлять собой существенн</w:t>
      </w:r>
      <w:r>
        <w:t>о</w:t>
      </w:r>
      <w:r w:rsidRPr="0084708A">
        <w:t>е препятстви</w:t>
      </w:r>
      <w:r>
        <w:t>е</w:t>
      </w:r>
      <w:r w:rsidRPr="0084708A">
        <w:t xml:space="preserve"> для реализации женщинами своих прав человека и в этой связи </w:t>
      </w:r>
      <w:r>
        <w:t>являться существенным препятствием для ос</w:t>
      </w:r>
      <w:r>
        <w:t>у</w:t>
      </w:r>
      <w:r>
        <w:t xml:space="preserve">ществления </w:t>
      </w:r>
      <w:r w:rsidRPr="0084708A">
        <w:t>Конвенции в ц</w:t>
      </w:r>
      <w:r w:rsidRPr="0084708A">
        <w:t>е</w:t>
      </w:r>
      <w:r w:rsidRPr="0084708A">
        <w:t>лом.</w:t>
      </w:r>
    </w:p>
    <w:p w:rsidR="00537DDC" w:rsidRPr="0084708A" w:rsidRDefault="00537DDC" w:rsidP="00537DDC">
      <w:pPr>
        <w:pStyle w:val="SingleTxt"/>
      </w:pPr>
      <w:r>
        <w:tab/>
      </w:r>
      <w:r w:rsidRPr="0084708A">
        <w:t>По получении доклада о последующей деятельности Комитет, на основ</w:t>
      </w:r>
      <w:r w:rsidRPr="0084708A">
        <w:t>а</w:t>
      </w:r>
      <w:r w:rsidRPr="0084708A">
        <w:t>нии рекомендации соответствующего странового докладчика или других чл</w:t>
      </w:r>
      <w:r w:rsidRPr="0084708A">
        <w:t>е</w:t>
      </w:r>
      <w:r w:rsidRPr="0084708A">
        <w:t xml:space="preserve">нов Комитета, изучает полученные ответы на предмет определения того, были ли вопросы, по которым Комитет поручил предпринять последующие </w:t>
      </w:r>
      <w:r>
        <w:t>де</w:t>
      </w:r>
      <w:r>
        <w:t>й</w:t>
      </w:r>
      <w:r>
        <w:t>ствия</w:t>
      </w:r>
      <w:r w:rsidRPr="0084708A">
        <w:t>, должным образом решены соответствующим государством-участником и</w:t>
      </w:r>
      <w:r>
        <w:t>/или</w:t>
      </w:r>
      <w:r w:rsidRPr="0084708A">
        <w:t xml:space="preserve"> необходимо ли представить дополнительную информацию сообразно следующим категориям: «выполнено», «выполнено частично», «не выполн</w:t>
      </w:r>
      <w:r w:rsidRPr="0084708A">
        <w:t>е</w:t>
      </w:r>
      <w:r w:rsidRPr="0084708A">
        <w:t>но» и «отсутствие достаточной информации для проведения оценки».</w:t>
      </w:r>
    </w:p>
    <w:p w:rsidR="00537DDC" w:rsidRPr="0084708A" w:rsidRDefault="00537DDC" w:rsidP="00537DDC">
      <w:pPr>
        <w:pStyle w:val="SingleTxt"/>
      </w:pPr>
      <w:r>
        <w:tab/>
      </w:r>
      <w:r w:rsidRPr="0084708A">
        <w:t>Комитет основывает свою оценку на предварительном анализе</w:t>
      </w:r>
      <w:r>
        <w:t>,</w:t>
      </w:r>
      <w:r w:rsidRPr="0084708A">
        <w:t xml:space="preserve"> предста</w:t>
      </w:r>
      <w:r w:rsidRPr="0084708A">
        <w:t>в</w:t>
      </w:r>
      <w:r w:rsidRPr="0084708A">
        <w:t>ленном Докладчиком</w:t>
      </w:r>
      <w:r>
        <w:t xml:space="preserve"> по последующей деятельности, заместителем </w:t>
      </w:r>
      <w:r w:rsidRPr="0084708A">
        <w:t>докладч</w:t>
      </w:r>
      <w:r w:rsidRPr="0084708A">
        <w:t>и</w:t>
      </w:r>
      <w:r w:rsidRPr="0084708A">
        <w:t>к</w:t>
      </w:r>
      <w:r>
        <w:t>а</w:t>
      </w:r>
      <w:r w:rsidRPr="0084708A">
        <w:t xml:space="preserve"> и членом Комитета, который выступал в качестве странового докладчика, когда государство-участник представило свой периодический доклад. В отсутствие странового докладчика в его качестве на добровольных началах предлагается выступить другому чл</w:t>
      </w:r>
      <w:r w:rsidRPr="0084708A">
        <w:t>е</w:t>
      </w:r>
      <w:r w:rsidRPr="0084708A">
        <w:t>ну Комитета.</w:t>
      </w:r>
    </w:p>
    <w:p w:rsidR="00537DDC" w:rsidRPr="0084708A" w:rsidRDefault="00537DDC" w:rsidP="00537DDC">
      <w:pPr>
        <w:pStyle w:val="SingleTxt"/>
      </w:pPr>
      <w:r>
        <w:tab/>
      </w:r>
      <w:r w:rsidRPr="0084708A">
        <w:t>После этого Докладчик по последующ</w:t>
      </w:r>
      <w:r>
        <w:t>ей деятельности</w:t>
      </w:r>
      <w:r w:rsidRPr="0084708A">
        <w:t xml:space="preserve"> препровождает оценку, подготовленную Комитетом, в письменном виде соответствующему государству-участнику. В этом документе Комитет просит государство-участник представить в течение одного</w:t>
      </w:r>
      <w:r>
        <w:t> год</w:t>
      </w:r>
      <w:r w:rsidRPr="0084708A">
        <w:t>а или, как вариант, в следующем п</w:t>
      </w:r>
      <w:r w:rsidRPr="0084708A">
        <w:t>е</w:t>
      </w:r>
      <w:r w:rsidRPr="0084708A">
        <w:t>риодическом докладе дополнительную информацию о дальнейших мерах, пр</w:t>
      </w:r>
      <w:r w:rsidRPr="0084708A">
        <w:t>и</w:t>
      </w:r>
      <w:r w:rsidRPr="0084708A">
        <w:t xml:space="preserve">нятых во исполнение рекомендаций, которые были выполнены частично или не выполнены </w:t>
      </w:r>
      <w:r>
        <w:t>и/</w:t>
      </w:r>
      <w:r w:rsidRPr="0084708A">
        <w:t>или в отношении которых это государство не представило дост</w:t>
      </w:r>
      <w:r w:rsidRPr="0084708A">
        <w:t>а</w:t>
      </w:r>
      <w:r w:rsidRPr="0084708A">
        <w:t>точной инфо</w:t>
      </w:r>
      <w:r w:rsidRPr="0084708A">
        <w:t>р</w:t>
      </w:r>
      <w:r w:rsidRPr="0084708A">
        <w:t>мации.</w:t>
      </w:r>
    </w:p>
    <w:p w:rsidR="00537DDC" w:rsidRDefault="00537DDC" w:rsidP="00537DDC">
      <w:pPr>
        <w:pStyle w:val="SingleTxt"/>
      </w:pPr>
      <w:r>
        <w:tab/>
      </w:r>
      <w:r w:rsidRPr="0084708A">
        <w:t>На своей пятьдесят четвертой сессии, про</w:t>
      </w:r>
      <w:r>
        <w:t xml:space="preserve">ходившей </w:t>
      </w:r>
      <w:r w:rsidRPr="0084708A">
        <w:t>в феврале 2013</w:t>
      </w:r>
      <w:r>
        <w:t> год</w:t>
      </w:r>
      <w:r w:rsidRPr="0084708A">
        <w:t>а, Комитет принял руководящие принципы в отношении информирования гос</w:t>
      </w:r>
      <w:r w:rsidRPr="0084708A">
        <w:t>у</w:t>
      </w:r>
      <w:r w:rsidRPr="0084708A">
        <w:t>дарств-участников, НПО и национальных учреждений по правам человека о</w:t>
      </w:r>
      <w:r w:rsidRPr="0084708A">
        <w:t>т</w:t>
      </w:r>
      <w:r w:rsidRPr="0084708A">
        <w:t>носительно порядка представления докладов о последующ</w:t>
      </w:r>
      <w:r>
        <w:t>ей деятельности</w:t>
      </w:r>
      <w:r w:rsidRPr="0084708A">
        <w:t xml:space="preserve"> и необходимой информации. Благодаря подготовке этих руководящих принципов государства-участники представили более сжатые и сфокусирова</w:t>
      </w:r>
      <w:r w:rsidRPr="0084708A">
        <w:t>н</w:t>
      </w:r>
      <w:r w:rsidRPr="0084708A">
        <w:t>ные доклады о последующ</w:t>
      </w:r>
      <w:r>
        <w:t>ей деятельности</w:t>
      </w:r>
      <w:r w:rsidRPr="0084708A">
        <w:t>, что облегчило процесс оценки осуществления соответствующих рекомендаций и позволило сократить расходы на технич</w:t>
      </w:r>
      <w:r w:rsidRPr="0084708A">
        <w:t>е</w:t>
      </w:r>
      <w:r w:rsidRPr="0084708A">
        <w:t>ское редактирование и письменный перевод.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708A">
        <w:tab/>
      </w:r>
      <w:r w:rsidRPr="0084708A">
        <w:tab/>
        <w:t>Напоминания в случае отсутствия ответа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SingleTxt"/>
      </w:pPr>
      <w:r>
        <w:tab/>
      </w:r>
      <w:r w:rsidRPr="0084708A">
        <w:t>В отсутствие ответа со стороны государства-участника Докладчик по прошествии двух месяцев с даты, когда следовало представить запрошенную инфо</w:t>
      </w:r>
      <w:r w:rsidRPr="0084708A">
        <w:t>р</w:t>
      </w:r>
      <w:r w:rsidRPr="0084708A">
        <w:t>мацию</w:t>
      </w:r>
      <w:r>
        <w:t>, направляет первое напоминание</w:t>
      </w:r>
      <w:r w:rsidRPr="0084708A">
        <w:t xml:space="preserve"> и</w:t>
      </w:r>
      <w:r>
        <w:t>,</w:t>
      </w:r>
      <w:r w:rsidRPr="0084708A">
        <w:t xml:space="preserve"> если информация по-прежнему не предоставляется, по прошествии четырех месяцев направляет второе напоминание. Если запрошенная информация не поступила в течение шести месяцев после оговоренного срока, Докладчик направляет просьбу о проведении совещания с постоянным представительством соответствующего государства-участника для продолжения диалога по аспектам, о которых гов</w:t>
      </w:r>
      <w:r w:rsidRPr="0084708A">
        <w:t>о</w:t>
      </w:r>
      <w:r w:rsidRPr="0084708A">
        <w:t>рится в пун</w:t>
      </w:r>
      <w:r w:rsidRPr="0084708A">
        <w:t>к</w:t>
      </w:r>
      <w:r w:rsidRPr="0084708A">
        <w:t>тах, касающихся последующ</w:t>
      </w:r>
      <w:r>
        <w:t>ей деятельности</w:t>
      </w:r>
      <w:r w:rsidRPr="0084708A">
        <w:t>.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708A">
        <w:tab/>
      </w:r>
      <w:r w:rsidRPr="0084708A">
        <w:tab/>
        <w:t>Докладчик по последующ</w:t>
      </w:r>
      <w:r>
        <w:t>ей деятельности</w:t>
      </w:r>
      <w:r w:rsidRPr="0084708A">
        <w:t xml:space="preserve"> в связи с заключительными замечаниями и</w:t>
      </w:r>
      <w:r>
        <w:t xml:space="preserve"> заместитель </w:t>
      </w:r>
      <w:r w:rsidRPr="0084708A">
        <w:t>докладчик</w:t>
      </w:r>
      <w:r>
        <w:t>а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84708A" w:rsidRDefault="00537DDC" w:rsidP="00537DDC">
      <w:pPr>
        <w:pStyle w:val="SingleTxt"/>
      </w:pPr>
      <w:r>
        <w:tab/>
      </w:r>
      <w:r w:rsidRPr="0084708A">
        <w:t>На своей сорок четвертой сессии, про</w:t>
      </w:r>
      <w:r>
        <w:t xml:space="preserve">ходившей </w:t>
      </w:r>
      <w:r w:rsidRPr="0084708A">
        <w:t>в июле-августе 2009</w:t>
      </w:r>
      <w:r>
        <w:t> год</w:t>
      </w:r>
      <w:r w:rsidRPr="0084708A">
        <w:t>а, Комитет постановил назначить докладчик</w:t>
      </w:r>
      <w:r>
        <w:t>ом</w:t>
      </w:r>
      <w:r w:rsidRPr="0084708A">
        <w:t xml:space="preserve"> по последующ</w:t>
      </w:r>
      <w:r>
        <w:t>ей деятельности</w:t>
      </w:r>
      <w:r w:rsidRPr="0084708A">
        <w:t xml:space="preserve"> в связи с заключительными замечаниями и </w:t>
      </w:r>
      <w:r>
        <w:t xml:space="preserve">заместителем </w:t>
      </w:r>
      <w:r w:rsidRPr="0084708A">
        <w:t>докладчика Дубра</w:t>
      </w:r>
      <w:r w:rsidRPr="0084708A">
        <w:t>в</w:t>
      </w:r>
      <w:r w:rsidRPr="0084708A">
        <w:t>ку Шимонович и Барбару Бейли соответственно, а также определил их манд</w:t>
      </w:r>
      <w:r w:rsidRPr="0084708A">
        <w:t>а</w:t>
      </w:r>
      <w:r w:rsidRPr="0084708A">
        <w:t>ты.</w:t>
      </w:r>
    </w:p>
    <w:p w:rsidR="00537DDC" w:rsidRDefault="00537DDC" w:rsidP="00537DDC">
      <w:pPr>
        <w:pStyle w:val="SingleTxt"/>
      </w:pPr>
      <w:r>
        <w:tab/>
      </w:r>
      <w:r w:rsidRPr="0084708A">
        <w:t>На своей сорок шестой сессии в июле 2010</w:t>
      </w:r>
      <w:r>
        <w:t> год</w:t>
      </w:r>
      <w:r w:rsidRPr="0084708A">
        <w:t xml:space="preserve">а Комитет принял решение о продлении мандата Докладчика и </w:t>
      </w:r>
      <w:r>
        <w:t xml:space="preserve">ее заместителя </w:t>
      </w:r>
      <w:r w:rsidRPr="0084708A">
        <w:t>до 31</w:t>
      </w:r>
      <w:r>
        <w:t> декабря</w:t>
      </w:r>
      <w:r w:rsidRPr="0084708A">
        <w:t xml:space="preserve"> 2010</w:t>
      </w:r>
      <w:r>
        <w:t> год</w:t>
      </w:r>
      <w:r w:rsidRPr="0084708A">
        <w:t>а. Комитет далее принял решение, что оба их мандата будут продлены на дву</w:t>
      </w:r>
      <w:r w:rsidRPr="0084708A">
        <w:t>х</w:t>
      </w:r>
      <w:r w:rsidRPr="0084708A">
        <w:t>летний срок, заканчивающийся 31</w:t>
      </w:r>
      <w:r>
        <w:t> декабря</w:t>
      </w:r>
      <w:r w:rsidRPr="0084708A">
        <w:t xml:space="preserve"> 2012</w:t>
      </w:r>
      <w:r>
        <w:t> год</w:t>
      </w:r>
      <w:r w:rsidRPr="0084708A">
        <w:t xml:space="preserve">а, и что мандат Докладчика и </w:t>
      </w:r>
      <w:r>
        <w:t>его или ее заместителя</w:t>
      </w:r>
      <w:r w:rsidRPr="0084708A">
        <w:t xml:space="preserve"> будет выдаваться на два</w:t>
      </w:r>
      <w:r>
        <w:t> год</w:t>
      </w:r>
      <w:r w:rsidRPr="0084708A">
        <w:t>а. В октябре 2011</w:t>
      </w:r>
      <w:r>
        <w:t> год</w:t>
      </w:r>
      <w:r w:rsidRPr="0084708A">
        <w:t xml:space="preserve">а </w:t>
      </w:r>
      <w:r>
        <w:t>г</w:t>
      </w:r>
      <w:r>
        <w:noBreakHyphen/>
        <w:t>жа </w:t>
      </w:r>
      <w:r w:rsidRPr="0084708A">
        <w:t>Шимонович приняла решение сложить с себя полномочия Докладчика по последующ</w:t>
      </w:r>
      <w:r>
        <w:t>ей деятельности</w:t>
      </w:r>
      <w:r w:rsidRPr="0084708A">
        <w:t xml:space="preserve"> с 31</w:t>
      </w:r>
      <w:r>
        <w:t> декабря</w:t>
      </w:r>
      <w:r w:rsidRPr="0084708A">
        <w:t xml:space="preserve"> 2011</w:t>
      </w:r>
      <w:r>
        <w:t> год</w:t>
      </w:r>
      <w:r w:rsidRPr="0084708A">
        <w:t xml:space="preserve">а, и Комитет назначил </w:t>
      </w:r>
      <w:r>
        <w:t>г</w:t>
      </w:r>
      <w:r>
        <w:noBreakHyphen/>
        <w:t>жу </w:t>
      </w:r>
      <w:r w:rsidRPr="0084708A">
        <w:t xml:space="preserve">Бейли Докладчиком, а </w:t>
      </w:r>
      <w:r>
        <w:t>г</w:t>
      </w:r>
      <w:r>
        <w:noBreakHyphen/>
        <w:t>жу </w:t>
      </w:r>
      <w:r w:rsidRPr="0084708A">
        <w:t>Хаяси</w:t>
      </w:r>
      <w:r>
        <w:t> — заместителем</w:t>
      </w:r>
      <w:r w:rsidRPr="0084708A">
        <w:t>.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708A">
        <w:tab/>
      </w:r>
      <w:r w:rsidRPr="0084708A">
        <w:tab/>
        <w:t>Отчетность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SingleTxt"/>
      </w:pPr>
      <w:r>
        <w:tab/>
      </w:r>
      <w:r w:rsidRPr="0084708A">
        <w:t>На каждой сессии Комитета Докладчик по последующ</w:t>
      </w:r>
      <w:r>
        <w:t>ей деятельности</w:t>
      </w:r>
      <w:r w:rsidRPr="0084708A">
        <w:t xml:space="preserve"> сообщает о предпринятых или предлагаемых шагах. Кроме того, Комитет включает информацию о своей последующей деятельности в свой ежегодный доклад Генеральной Ассамблее.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708A">
        <w:tab/>
      </w:r>
      <w:r w:rsidRPr="0084708A">
        <w:tab/>
        <w:t>Транспарентность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SingleTxt"/>
      </w:pPr>
      <w:r>
        <w:tab/>
      </w:r>
      <w:r w:rsidRPr="0084708A">
        <w:t>Все доклады о последующ</w:t>
      </w:r>
      <w:r>
        <w:t>ей деятельности</w:t>
      </w:r>
      <w:r w:rsidRPr="0084708A">
        <w:t xml:space="preserve"> и оценочные письма Комитета, а также доклады неправительственных организаций о последующ</w:t>
      </w:r>
      <w:r>
        <w:t>ей деятел</w:t>
      </w:r>
      <w:r>
        <w:t>ь</w:t>
      </w:r>
      <w:r>
        <w:t>ности</w:t>
      </w:r>
      <w:r w:rsidRPr="0084708A">
        <w:t>, не являющиеся конфиденциальными, размещаются на откр</w:t>
      </w:r>
      <w:r w:rsidRPr="0084708A">
        <w:t>ы</w:t>
      </w:r>
      <w:r w:rsidRPr="0084708A">
        <w:t>том веб-сайте УВКПЧ в разд</w:t>
      </w:r>
      <w:r w:rsidRPr="0084708A">
        <w:t>е</w:t>
      </w:r>
      <w:r w:rsidRPr="0084708A">
        <w:t>ле, касающемся Комитета.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Default="00537DDC" w:rsidP="00537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708A">
        <w:tab/>
      </w:r>
      <w:r w:rsidRPr="0084708A">
        <w:tab/>
        <w:t>Оценка</w:t>
      </w:r>
    </w:p>
    <w:p w:rsidR="00537DDC" w:rsidRPr="0084708A" w:rsidRDefault="00537DDC" w:rsidP="00537DDC">
      <w:pPr>
        <w:pStyle w:val="SingleTxt"/>
        <w:spacing w:after="0" w:line="120" w:lineRule="exact"/>
        <w:rPr>
          <w:sz w:val="10"/>
        </w:rPr>
      </w:pPr>
    </w:p>
    <w:p w:rsidR="00537DDC" w:rsidRPr="0084708A" w:rsidRDefault="00537DDC" w:rsidP="00537DDC">
      <w:pPr>
        <w:pStyle w:val="SingleTxt"/>
      </w:pPr>
      <w:r>
        <w:tab/>
      </w:r>
      <w:r w:rsidRPr="0084708A">
        <w:t>Комитет на своей пятидесятой сессии в октябре 2011</w:t>
      </w:r>
      <w:r>
        <w:t> год</w:t>
      </w:r>
      <w:r w:rsidRPr="0084708A">
        <w:t>а оценил опыт применения своей процедуры последующ</w:t>
      </w:r>
      <w:r>
        <w:t>ей деятельности</w:t>
      </w:r>
      <w:r w:rsidRPr="0084708A">
        <w:t>. Он постан</w:t>
      </w:r>
      <w:r w:rsidRPr="0084708A">
        <w:t>о</w:t>
      </w:r>
      <w:r w:rsidRPr="0084708A">
        <w:t>вил, что процедуру последующ</w:t>
      </w:r>
      <w:r>
        <w:t>ей деятельности</w:t>
      </w:r>
      <w:r w:rsidRPr="0084708A">
        <w:t xml:space="preserve"> в связи с осуществлением положений Заключительных замечаний следует использовать и далее и что следующую оценку необходимо провести в октябре 2013</w:t>
      </w:r>
      <w:r>
        <w:t> год</w:t>
      </w:r>
      <w:r w:rsidRPr="0084708A">
        <w:t>а.</w:t>
      </w:r>
    </w:p>
    <w:p w:rsidR="00537DDC" w:rsidRPr="00074D98" w:rsidRDefault="00537DDC" w:rsidP="00074D98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Следующая оценка охватывает период с начала использования процедуры последующей деятельности (сорок первая сессия) до окончания пятьдесят пятой сессии:</w:t>
      </w:r>
    </w:p>
    <w:p w:rsidR="00B56B62" w:rsidRPr="002D6B85" w:rsidRDefault="00B56B62" w:rsidP="00B56B62">
      <w:pPr>
        <w:pStyle w:val="SingleTxt"/>
        <w:spacing w:after="0" w:line="120" w:lineRule="exact"/>
        <w:rPr>
          <w:b/>
          <w:sz w:val="10"/>
        </w:rPr>
      </w:pPr>
    </w:p>
    <w:p w:rsidR="00B56B62" w:rsidRPr="002D6B85" w:rsidRDefault="00B56B62" w:rsidP="00B56B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1.</w:t>
      </w:r>
      <w:r w:rsidRPr="002D6B85">
        <w:tab/>
        <w:t xml:space="preserve">Представление докладов о последующей деятельности </w:t>
      </w:r>
    </w:p>
    <w:p w:rsidR="00B56B62" w:rsidRPr="002D6B85" w:rsidRDefault="00B56B62" w:rsidP="00B56B62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С момента, когда была введена в действие процедур</w:t>
      </w:r>
      <w:r>
        <w:t>а</w:t>
      </w:r>
      <w:r w:rsidRPr="002D6B85">
        <w:t xml:space="preserve"> последующей де</w:t>
      </w:r>
      <w:r w:rsidRPr="002D6B85">
        <w:t>я</w:t>
      </w:r>
      <w:r w:rsidRPr="002D6B85">
        <w:t>тельности, в период между сорок первой и сорок девятой сессиями было запрошено 73 доклада, которые следовало представить в период между сорок сед</w:t>
      </w:r>
      <w:r w:rsidRPr="002D6B85">
        <w:t>ь</w:t>
      </w:r>
      <w:r w:rsidRPr="002D6B85">
        <w:t>мой и пятьдесят пятой сессиями соответственно</w:t>
      </w: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Было получено 45 из 73 запрошенных докладов (62 процента)</w:t>
      </w: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НПО направили альтернативные сведения в отношении 13 из 45 докладов (29 процентов), полученных в рамках процедуры последующей деятел</w:t>
      </w:r>
      <w:r w:rsidRPr="002D6B85">
        <w:t>ь</w:t>
      </w:r>
      <w:r w:rsidRPr="002D6B85">
        <w:t>ности; информацию о последующей деятельности представило одно национальное учреждение по правам человека</w:t>
      </w: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Из 45 полученных докладов о последующей деятельности 9 (20 проце</w:t>
      </w:r>
      <w:r w:rsidRPr="002D6B85">
        <w:t>н</w:t>
      </w:r>
      <w:r w:rsidRPr="002D6B85">
        <w:t>тов) были получены вовремя, 13 (29 процентов) — менее чем с 6</w:t>
      </w:r>
      <w:r w:rsidRPr="002D6B85">
        <w:noBreakHyphen/>
        <w:t xml:space="preserve">месячной задержкой, 15 (33 процента) — с задержкой от </w:t>
      </w:r>
      <w:r>
        <w:t>шести</w:t>
      </w:r>
      <w:r w:rsidRPr="002D6B85">
        <w:t xml:space="preserve"> мес</w:t>
      </w:r>
      <w:r w:rsidRPr="002D6B85">
        <w:t>я</w:t>
      </w:r>
      <w:r w:rsidRPr="002D6B85">
        <w:t>цев до одного года и 8 (17 процентов) — с задержкой от одного до двух лет</w:t>
      </w: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Комитет рассмотрел 41 (91 процент) из полученных 45 докладов о посл</w:t>
      </w:r>
      <w:r w:rsidRPr="002D6B85">
        <w:t>е</w:t>
      </w:r>
      <w:r w:rsidRPr="002D6B85">
        <w:t>дующей деятельности, чтобы оценить, были ли выполнены соответств</w:t>
      </w:r>
      <w:r w:rsidRPr="002D6B85">
        <w:t>у</w:t>
      </w:r>
      <w:r w:rsidRPr="002D6B85">
        <w:t>ющие р</w:t>
      </w:r>
      <w:r w:rsidRPr="002D6B85">
        <w:t>е</w:t>
      </w:r>
      <w:r w:rsidRPr="002D6B85">
        <w:t>комендации. Остальные четыре доклада не были рассмотрены</w:t>
      </w:r>
      <w:r>
        <w:br/>
      </w:r>
      <w:r w:rsidRPr="002D6B85">
        <w:t>из-за того, что они все еще находятся на стадии перевода</w:t>
      </w:r>
    </w:p>
    <w:p w:rsidR="00B56B62" w:rsidRPr="002D6B85" w:rsidRDefault="00074D98" w:rsidP="00B56B62">
      <w:pPr>
        <w:pStyle w:val="SingleTxt"/>
        <w:tabs>
          <w:tab w:val="right" w:pos="1685"/>
        </w:tabs>
        <w:ind w:left="1742" w:hanging="475"/>
      </w:pPr>
      <w:r>
        <w:br w:type="page"/>
      </w:r>
      <w:r w:rsidR="00B56B62" w:rsidRPr="002D6B85">
        <w:tab/>
        <w:t>•</w:t>
      </w:r>
      <w:r w:rsidR="00B56B62" w:rsidRPr="002D6B85">
        <w:tab/>
        <w:t>И наконец, если учесть только те доклады, по которым был полностью з</w:t>
      </w:r>
      <w:r w:rsidR="00B56B62" w:rsidRPr="002D6B85">
        <w:t>а</w:t>
      </w:r>
      <w:r w:rsidR="00B56B62" w:rsidRPr="002D6B85">
        <w:t>вершен цикл последующей деятельности (это предполагает выполнение всех запросов о представлении последующей информации, сделанных в период между сорок первой и сорок четвертой сессиями), можно отм</w:t>
      </w:r>
      <w:r w:rsidR="00B56B62" w:rsidRPr="002D6B85">
        <w:t>е</w:t>
      </w:r>
      <w:r w:rsidR="00B56B62" w:rsidRPr="002D6B85">
        <w:t>тить, что было получено 29 из 38 докладов (76 процентов), которые сл</w:t>
      </w:r>
      <w:r w:rsidR="00B56B62" w:rsidRPr="002D6B85">
        <w:t>е</w:t>
      </w:r>
      <w:r w:rsidR="00B56B62" w:rsidRPr="002D6B85">
        <w:t>довало представи</w:t>
      </w:r>
      <w:r w:rsidR="00B56B62">
        <w:t>ть в течение указанного периода</w:t>
      </w:r>
    </w:p>
    <w:p w:rsidR="00B56B62" w:rsidRPr="002D6B85" w:rsidRDefault="00B56B62" w:rsidP="00B56B62">
      <w:pPr>
        <w:pStyle w:val="SingleTxt"/>
        <w:spacing w:after="0" w:line="120" w:lineRule="exact"/>
        <w:rPr>
          <w:b/>
          <w:sz w:val="10"/>
        </w:rPr>
      </w:pPr>
    </w:p>
    <w:p w:rsidR="00B56B62" w:rsidRPr="002D6B85" w:rsidRDefault="00B56B62" w:rsidP="00B56B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2.</w:t>
      </w:r>
      <w:r w:rsidRPr="002D6B85">
        <w:tab/>
        <w:t>Ход выполнения рекомендаций</w:t>
      </w: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</w:pPr>
      <w:r w:rsidRPr="002D6B85">
        <w:tab/>
        <w:t>Применительно к степени осуществления рекомендаций Комитета гос</w:t>
      </w:r>
      <w:r w:rsidRPr="002D6B85">
        <w:t>у</w:t>
      </w:r>
      <w:r w:rsidRPr="002D6B85">
        <w:t>дарствами-участниками Комитет отметил, что:</w:t>
      </w: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19 процентов рекомендаций, выделенных в качестве вопросов для посл</w:t>
      </w:r>
      <w:r w:rsidRPr="002D6B85">
        <w:t>е</w:t>
      </w:r>
      <w:r w:rsidRPr="002D6B85">
        <w:t>дующей деятельности, были выполн</w:t>
      </w:r>
      <w:r w:rsidRPr="002D6B85">
        <w:t>е</w:t>
      </w:r>
      <w:r w:rsidRPr="002D6B85">
        <w:t>ны</w:t>
      </w: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41 процент рекомендаций были выполнены частично</w:t>
      </w: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29 процентов рекомендаций не были выполнены</w:t>
      </w:r>
    </w:p>
    <w:p w:rsidR="00B56B62" w:rsidRPr="002D6B85" w:rsidRDefault="00B56B62" w:rsidP="00B56B62">
      <w:pPr>
        <w:pStyle w:val="SingleTxt"/>
        <w:tabs>
          <w:tab w:val="right" w:pos="1685"/>
        </w:tabs>
        <w:ind w:left="1742" w:hanging="475"/>
      </w:pPr>
      <w:r w:rsidRPr="002D6B85">
        <w:tab/>
        <w:t>•</w:t>
      </w:r>
      <w:r w:rsidRPr="002D6B85">
        <w:tab/>
        <w:t>В 11 процентах случаев Комитет счел, что он не получил достаточной и</w:t>
      </w:r>
      <w:r w:rsidRPr="002D6B85">
        <w:t>н</w:t>
      </w:r>
      <w:r w:rsidRPr="002D6B85">
        <w:t>формации для проведения оценки</w:t>
      </w:r>
      <w:r>
        <w:t>.</w:t>
      </w:r>
    </w:p>
    <w:p w:rsidR="00B56B62" w:rsidRPr="002D6B85" w:rsidRDefault="00B56B62" w:rsidP="00B56B62">
      <w:pPr>
        <w:pStyle w:val="SingleTxt"/>
      </w:pPr>
      <w:r w:rsidRPr="002D6B85">
        <w:tab/>
        <w:t>Рабочая нагрузка в рамках процедуры последующей деятельности знач</w:t>
      </w:r>
      <w:r w:rsidRPr="002D6B85">
        <w:t>и</w:t>
      </w:r>
      <w:r w:rsidRPr="002D6B85">
        <w:t xml:space="preserve">тельна. В среднем, Докладчик по последующей деятельности и заместитель Докладчика каждую сессию рассматривали по </w:t>
      </w:r>
      <w:r>
        <w:t xml:space="preserve">семь </w:t>
      </w:r>
      <w:r w:rsidRPr="002D6B85">
        <w:t xml:space="preserve">докладов о последующей деятельности, а также направляли </w:t>
      </w:r>
      <w:r>
        <w:t>семь</w:t>
      </w:r>
      <w:r w:rsidRPr="002D6B85">
        <w:t xml:space="preserve"> первых напоминаний, </w:t>
      </w:r>
      <w:r>
        <w:t>пять</w:t>
      </w:r>
      <w:r w:rsidRPr="002D6B85">
        <w:t xml:space="preserve"> повторных напоминаний, </w:t>
      </w:r>
      <w:r>
        <w:t>два</w:t>
      </w:r>
      <w:r w:rsidRPr="002D6B85">
        <w:t xml:space="preserve"> приглашения для проведения совещания и одно повторное приглашение для совещ</w:t>
      </w:r>
      <w:r w:rsidRPr="002D6B85">
        <w:t>а</w:t>
      </w:r>
      <w:r w:rsidRPr="002D6B85">
        <w:t>ния.</w:t>
      </w:r>
    </w:p>
    <w:p w:rsidR="00B56B62" w:rsidRPr="002D6B85" w:rsidRDefault="00B56B62" w:rsidP="00B56B62">
      <w:pPr>
        <w:pStyle w:val="SingleTxt"/>
      </w:pPr>
      <w:r w:rsidRPr="002D6B85">
        <w:tab/>
        <w:t>Информация, содержащаяся в полученных докладах о последующей де</w:t>
      </w:r>
      <w:r w:rsidRPr="002D6B85">
        <w:t>я</w:t>
      </w:r>
      <w:r w:rsidRPr="002D6B85">
        <w:t>тельности, свидетельствует о том, что процедура последующей деятельности соответствует своей заявленной цели, являясь инструментом осуществления Конвенции и, более конкретно, выделенных рекомендаций, изложенных в с</w:t>
      </w:r>
      <w:r w:rsidRPr="002D6B85">
        <w:t>о</w:t>
      </w:r>
      <w:r w:rsidRPr="002D6B85">
        <w:t>ответствующих заключительных замечаниях. Таким образом, процедура зар</w:t>
      </w:r>
      <w:r w:rsidRPr="002D6B85">
        <w:t>е</w:t>
      </w:r>
      <w:r w:rsidRPr="002D6B85">
        <w:t>комендовала себя в качестве эффективного средства, обеспечивающего пре</w:t>
      </w:r>
      <w:r w:rsidRPr="002D6B85">
        <w:t>д</w:t>
      </w:r>
      <w:r w:rsidRPr="002D6B85">
        <w:t>ставление отчетности в соответствии со статьей 18 Конвенции и позволяющего Комитету отслеживать успехи, достигнутые в период между циклами пре</w:t>
      </w:r>
      <w:r w:rsidRPr="002D6B85">
        <w:t>д</w:t>
      </w:r>
      <w:r w:rsidRPr="002D6B85">
        <w:t>ставления отчетности.</w:t>
      </w:r>
    </w:p>
    <w:p w:rsidR="00B56B62" w:rsidRPr="002D6B85" w:rsidRDefault="00B56B62" w:rsidP="00B56B62">
      <w:pPr>
        <w:pStyle w:val="SingleTxt"/>
        <w:spacing w:after="0" w:line="120" w:lineRule="exact"/>
        <w:rPr>
          <w:b/>
          <w:sz w:val="10"/>
        </w:rPr>
      </w:pPr>
    </w:p>
    <w:p w:rsidR="00B56B62" w:rsidRPr="002D6B85" w:rsidRDefault="00B56B62" w:rsidP="00B56B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Рекомендации</w:t>
      </w: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</w:pPr>
      <w:r w:rsidRPr="002D6B85">
        <w:tab/>
        <w:t>Следующие рекомендации по итогам предыдущей оценки следует по</w:t>
      </w:r>
      <w:r w:rsidRPr="002D6B85">
        <w:t>д</w:t>
      </w:r>
      <w:r w:rsidRPr="002D6B85">
        <w:t>держать:</w:t>
      </w:r>
    </w:p>
    <w:p w:rsidR="00B56B62" w:rsidRPr="002D6B85" w:rsidRDefault="00B56B62" w:rsidP="00B56B62">
      <w:pPr>
        <w:pStyle w:val="SingleTxt"/>
      </w:pPr>
      <w:r w:rsidRPr="002D6B85">
        <w:tab/>
        <w:t>1.</w:t>
      </w:r>
      <w:r w:rsidRPr="002D6B85">
        <w:tab/>
        <w:t>процедуру последующей деятел</w:t>
      </w:r>
      <w:r w:rsidRPr="002D6B85">
        <w:t>ь</w:t>
      </w:r>
      <w:r w:rsidRPr="002D6B85">
        <w:t>ности в соответствии со статьей 18 Конвенции в отношении выполнения положений заключительных замечаний следует использовать и далее;</w:t>
      </w:r>
    </w:p>
    <w:p w:rsidR="00B56B62" w:rsidRPr="002D6B85" w:rsidRDefault="00B56B62" w:rsidP="00B56B62">
      <w:pPr>
        <w:pStyle w:val="SingleTxt"/>
      </w:pPr>
      <w:r w:rsidRPr="002D6B85">
        <w:tab/>
        <w:t>2.</w:t>
      </w:r>
      <w:r w:rsidRPr="002D6B85">
        <w:tab/>
        <w:t>следует сохранить двухлетний срок действия мандатов Докладчика по последующей деятельности и заместителя Докладчика, и всем членам К</w:t>
      </w:r>
      <w:r w:rsidRPr="002D6B85">
        <w:t>о</w:t>
      </w:r>
      <w:r w:rsidRPr="002D6B85">
        <w:t>митета следует на основе ротации принимать участие в оценке последующей деятельности. Кроме того, лучше всего было бы обеспечивать совпадение на один год сроков мандатов Докладчика по последующей деятельности и зам</w:t>
      </w:r>
      <w:r w:rsidRPr="002D6B85">
        <w:t>е</w:t>
      </w:r>
      <w:r w:rsidRPr="002D6B85">
        <w:t>стителя Докладчика, чтобы гарантировать непрерывность и последовател</w:t>
      </w:r>
      <w:r w:rsidRPr="002D6B85">
        <w:t>ь</w:t>
      </w:r>
      <w:r w:rsidRPr="002D6B85">
        <w:t>ность в процессе вынес</w:t>
      </w:r>
      <w:r w:rsidRPr="002D6B85">
        <w:t>е</w:t>
      </w:r>
      <w:r w:rsidRPr="002D6B85">
        <w:t>ния оценок Комитетом;</w:t>
      </w:r>
    </w:p>
    <w:p w:rsidR="00B56B62" w:rsidRPr="002D6B85" w:rsidRDefault="00B56B62" w:rsidP="00B56B62">
      <w:pPr>
        <w:pStyle w:val="SingleTxt"/>
      </w:pPr>
      <w:r w:rsidRPr="002D6B85">
        <w:tab/>
        <w:t>3.</w:t>
      </w:r>
      <w:r w:rsidRPr="002D6B85">
        <w:tab/>
        <w:t>Комитет должен сохранить новую методологию в отношении посл</w:t>
      </w:r>
      <w:r w:rsidRPr="002D6B85">
        <w:t>е</w:t>
      </w:r>
      <w:r w:rsidRPr="002D6B85">
        <w:t>дующей деятел</w:t>
      </w:r>
      <w:r w:rsidRPr="002D6B85">
        <w:t>ь</w:t>
      </w:r>
      <w:r w:rsidRPr="002D6B85">
        <w:t>ности, в рамках которой при оценке докладов о последующей деятельности используются такие категории, как «выполнено», «выполнено частично», «не в</w:t>
      </w:r>
      <w:r w:rsidRPr="002D6B85">
        <w:t>ы</w:t>
      </w:r>
      <w:r w:rsidRPr="002D6B85">
        <w:t>полнено» и «нет достаточной информации»;</w:t>
      </w:r>
    </w:p>
    <w:p w:rsidR="00B56B62" w:rsidRPr="002D6B85" w:rsidRDefault="00B56B62" w:rsidP="00B56B62">
      <w:pPr>
        <w:pStyle w:val="SingleTxt"/>
      </w:pPr>
      <w:r w:rsidRPr="002D6B85">
        <w:tab/>
        <w:t>4.</w:t>
      </w:r>
      <w:r w:rsidRPr="002D6B85">
        <w:tab/>
        <w:t>Комитету следует сохранить руководящие принципы для государств-участников, неправительственных организаций и национальных учреждений по правам человека в отношении представления докладов о последующей де</w:t>
      </w:r>
      <w:r w:rsidRPr="002D6B85">
        <w:t>я</w:t>
      </w:r>
      <w:r w:rsidRPr="002D6B85">
        <w:t>тельности и требуемой информации;</w:t>
      </w:r>
    </w:p>
    <w:p w:rsidR="00B56B62" w:rsidRPr="002D6B85" w:rsidRDefault="00B56B62" w:rsidP="00B56B62">
      <w:pPr>
        <w:pStyle w:val="SingleTxt"/>
      </w:pPr>
      <w:r w:rsidRPr="002D6B85">
        <w:tab/>
        <w:t>5.</w:t>
      </w:r>
      <w:r w:rsidRPr="002D6B85">
        <w:tab/>
        <w:t>когда речь идет о государствах-участниках, переживающих ко</w:t>
      </w:r>
      <w:r w:rsidRPr="002D6B85">
        <w:t>н</w:t>
      </w:r>
      <w:r w:rsidRPr="002D6B85">
        <w:t>фликтную или постконфликтную ситуацию, следует применять индивидуал</w:t>
      </w:r>
      <w:r w:rsidRPr="002D6B85">
        <w:t>ь</w:t>
      </w:r>
      <w:r w:rsidRPr="002D6B85">
        <w:t>ный подход к оценке последующей деятел</w:t>
      </w:r>
      <w:r w:rsidRPr="002D6B85">
        <w:t>ь</w:t>
      </w:r>
      <w:r w:rsidRPr="002D6B85">
        <w:t>ности;</w:t>
      </w:r>
    </w:p>
    <w:p w:rsidR="00B56B62" w:rsidRPr="002D6B85" w:rsidRDefault="00B56B62" w:rsidP="00B56B62">
      <w:pPr>
        <w:pStyle w:val="SingleTxt"/>
      </w:pPr>
      <w:r w:rsidRPr="002D6B85">
        <w:tab/>
        <w:t>6.</w:t>
      </w:r>
      <w:r w:rsidRPr="002D6B85">
        <w:tab/>
        <w:t>помимо того, что в рамках каждой сессии следует сохранить отдел</w:t>
      </w:r>
      <w:r w:rsidRPr="002D6B85">
        <w:t>ь</w:t>
      </w:r>
      <w:r w:rsidRPr="002D6B85">
        <w:t>ный пункт повестки дня по последующей деятельности, следует выделить д</w:t>
      </w:r>
      <w:r w:rsidRPr="002D6B85">
        <w:t>о</w:t>
      </w:r>
      <w:r w:rsidRPr="002D6B85">
        <w:t>полнительное время на рассмотрение этого пункта в ходе сессий Комитета, а также назначить одного сотрудника секретариата специально для обеспеч</w:t>
      </w:r>
      <w:r w:rsidRPr="002D6B85">
        <w:t>е</w:t>
      </w:r>
      <w:r w:rsidRPr="002D6B85">
        <w:t>ния своевременной поддержки работы Докладчика по последующей деятел</w:t>
      </w:r>
      <w:r w:rsidRPr="002D6B85">
        <w:t>ь</w:t>
      </w:r>
      <w:r w:rsidRPr="002D6B85">
        <w:t>ности и заместителя Докладчика как во время сессий, так и в межсессионный пер</w:t>
      </w:r>
      <w:r w:rsidRPr="002D6B85">
        <w:t>и</w:t>
      </w:r>
      <w:r w:rsidRPr="002D6B85">
        <w:t>од;</w:t>
      </w:r>
    </w:p>
    <w:p w:rsidR="00B56B62" w:rsidRPr="002D6B85" w:rsidRDefault="00B56B62" w:rsidP="00B56B62">
      <w:pPr>
        <w:pStyle w:val="SingleTxt"/>
      </w:pPr>
      <w:r w:rsidRPr="002D6B85">
        <w:tab/>
        <w:t>7.</w:t>
      </w:r>
      <w:r w:rsidRPr="002D6B85">
        <w:tab/>
        <w:t>следующую оценку процедуры последующей деятел</w:t>
      </w:r>
      <w:r w:rsidRPr="002D6B85">
        <w:t>ь</w:t>
      </w:r>
      <w:r w:rsidRPr="002D6B85">
        <w:t>ности следует провести и вынести на обсуждение на шестьдесят пятой сессии в октябре 2016 года.</w:t>
      </w:r>
    </w:p>
    <w:p w:rsidR="00B56B62" w:rsidRPr="002D6B85" w:rsidRDefault="00B56B62" w:rsidP="00B56B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br w:type="page"/>
        <w:t>Приложение VII</w:t>
      </w: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Документы, находившиеся на рассмотрении Комитета на его пятьдесят шестой сессии</w:t>
      </w: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tbl>
      <w:tblPr>
        <w:tblW w:w="8612" w:type="dxa"/>
        <w:tblInd w:w="1267" w:type="dxa"/>
        <w:tblCellMar>
          <w:left w:w="0" w:type="dxa"/>
          <w:right w:w="0" w:type="dxa"/>
        </w:tblCellMar>
        <w:tblLook w:val="04A0"/>
      </w:tblPr>
      <w:tblGrid>
        <w:gridCol w:w="2351"/>
        <w:gridCol w:w="6261"/>
      </w:tblGrid>
      <w:tr w:rsidR="00B56B62" w:rsidRPr="002D6B85" w:rsidTr="002B263E">
        <w:trPr>
          <w:tblHeader/>
        </w:trPr>
        <w:tc>
          <w:tcPr>
            <w:tcW w:w="23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720"/>
              </w:tabs>
              <w:spacing w:before="81" w:after="81" w:line="160" w:lineRule="exact"/>
              <w:ind w:left="0" w:right="40"/>
              <w:rPr>
                <w:rFonts w:eastAsia="Times New Roman"/>
                <w:i/>
                <w:sz w:val="14"/>
                <w:lang w:eastAsia="en-US"/>
              </w:rPr>
            </w:pPr>
            <w:r w:rsidRPr="002D6B85">
              <w:rPr>
                <w:rFonts w:eastAsia="Times New Roman"/>
                <w:i/>
                <w:sz w:val="14"/>
                <w:lang w:eastAsia="en-US"/>
              </w:rPr>
              <w:t>Номер документа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720"/>
              </w:tabs>
              <w:spacing w:before="81" w:after="81" w:line="160" w:lineRule="exact"/>
              <w:ind w:left="144" w:right="43"/>
              <w:jc w:val="left"/>
              <w:rPr>
                <w:rFonts w:eastAsia="Times New Roman"/>
                <w:i/>
                <w:sz w:val="14"/>
                <w:lang w:eastAsia="en-US"/>
              </w:rPr>
            </w:pPr>
            <w:r w:rsidRPr="002D6B85">
              <w:rPr>
                <w:rFonts w:eastAsia="Times New Roman"/>
                <w:i/>
                <w:sz w:val="14"/>
                <w:lang w:eastAsia="en-US"/>
              </w:rPr>
              <w:t>Название или описание</w:t>
            </w:r>
          </w:p>
        </w:tc>
      </w:tr>
      <w:tr w:rsidR="00B56B62" w:rsidRPr="002D6B85" w:rsidTr="002B263E">
        <w:trPr>
          <w:trHeight w:hRule="exact" w:val="115"/>
          <w:tblHeader/>
        </w:trPr>
        <w:tc>
          <w:tcPr>
            <w:tcW w:w="2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56B62" w:rsidRPr="002D6B85" w:rsidRDefault="00B56B62" w:rsidP="002B263E">
            <w:pPr>
              <w:pStyle w:val="SingleTxt"/>
              <w:tabs>
                <w:tab w:val="left" w:pos="720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</w:p>
        </w:tc>
        <w:tc>
          <w:tcPr>
            <w:tcW w:w="6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56B62" w:rsidRPr="002D6B85" w:rsidRDefault="00B56B62" w:rsidP="002B263E">
            <w:pPr>
              <w:pStyle w:val="SingleTxt"/>
              <w:tabs>
                <w:tab w:val="left" w:pos="720"/>
              </w:tabs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0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CEDAW/C/56/1</w:t>
              </w:r>
            </w:hyperlink>
          </w:p>
        </w:tc>
        <w:tc>
          <w:tcPr>
            <w:tcW w:w="626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Предварительная повестка дня и а</w:t>
            </w:r>
            <w:r w:rsidRPr="002D6B85">
              <w:rPr>
                <w:rFonts w:eastAsia="Times New Roman"/>
                <w:lang w:eastAsia="en-US"/>
              </w:rPr>
              <w:t>н</w:t>
            </w:r>
            <w:r w:rsidRPr="002D6B85">
              <w:rPr>
                <w:rFonts w:eastAsia="Times New Roman"/>
                <w:lang w:eastAsia="en-US"/>
              </w:rPr>
              <w:t>нотации</w:t>
            </w: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1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CEDAW/C/56/2</w:t>
              </w:r>
            </w:hyperlink>
          </w:p>
        </w:tc>
        <w:tc>
          <w:tcPr>
            <w:tcW w:w="626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Доклад Организации Объединенных Наций по вопросам образования, науки и кул</w:t>
            </w:r>
            <w:r w:rsidRPr="002D6B85">
              <w:rPr>
                <w:rFonts w:eastAsia="Times New Roman"/>
                <w:lang w:eastAsia="en-US"/>
              </w:rPr>
              <w:t>ь</w:t>
            </w:r>
            <w:r w:rsidRPr="002D6B85">
              <w:rPr>
                <w:rFonts w:eastAsia="Times New Roman"/>
                <w:lang w:eastAsia="en-US"/>
              </w:rPr>
              <w:t xml:space="preserve">туры </w:t>
            </w: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  <w:rPr>
                <w:rFonts w:eastAsia="Times New Roman"/>
                <w:b/>
                <w:lang w:eastAsia="en-US"/>
              </w:rPr>
            </w:pPr>
            <w:r w:rsidRPr="002D6B85">
              <w:rPr>
                <w:rFonts w:eastAsia="Times New Roman"/>
                <w:b/>
                <w:lang w:eastAsia="en-US"/>
              </w:rPr>
              <w:t xml:space="preserve">Доклады </w:t>
            </w:r>
            <w:r w:rsidRPr="002D6B85">
              <w:rPr>
                <w:rFonts w:eastAsia="Times New Roman"/>
                <w:b/>
                <w:lang w:eastAsia="en-US"/>
              </w:rPr>
              <w:br/>
              <w:t>государств-участников</w:t>
            </w:r>
          </w:p>
        </w:tc>
        <w:tc>
          <w:tcPr>
            <w:tcW w:w="6261" w:type="dxa"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2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CEDAW/C/AND/2-3</w:t>
              </w:r>
            </w:hyperlink>
          </w:p>
        </w:tc>
        <w:tc>
          <w:tcPr>
            <w:tcW w:w="626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Объединенные второй и третий периодические доклады Андорры</w:t>
            </w: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3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CEDAW/C/BEN/4</w:t>
              </w:r>
            </w:hyperlink>
          </w:p>
        </w:tc>
        <w:tc>
          <w:tcPr>
            <w:tcW w:w="626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Четвертый пери</w:t>
            </w:r>
            <w:r w:rsidRPr="002D6B85">
              <w:rPr>
                <w:rFonts w:eastAsia="Times New Roman"/>
                <w:lang w:eastAsia="en-US"/>
              </w:rPr>
              <w:t>о</w:t>
            </w:r>
            <w:r w:rsidRPr="002D6B85">
              <w:rPr>
                <w:rFonts w:eastAsia="Times New Roman"/>
                <w:lang w:eastAsia="en-US"/>
              </w:rPr>
              <w:t>дический доклад Бенина</w:t>
            </w: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4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CEDAW/C/KHM/4-5</w:t>
              </w:r>
            </w:hyperlink>
          </w:p>
        </w:tc>
        <w:tc>
          <w:tcPr>
            <w:tcW w:w="626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Объединенные четвертый и пятый периодические доклады Камбоджи</w:t>
            </w: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5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CEDAW/C/COL/7-8</w:t>
              </w:r>
            </w:hyperlink>
          </w:p>
        </w:tc>
        <w:tc>
          <w:tcPr>
            <w:tcW w:w="626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Сводный доклад, объединяющий  седьмой и восьмой периодические д</w:t>
            </w:r>
            <w:r w:rsidRPr="002D6B85">
              <w:rPr>
                <w:rFonts w:eastAsia="Times New Roman"/>
                <w:lang w:eastAsia="en-US"/>
              </w:rPr>
              <w:t>о</w:t>
            </w:r>
            <w:r w:rsidRPr="002D6B85">
              <w:rPr>
                <w:rFonts w:eastAsia="Times New Roman"/>
                <w:lang w:eastAsia="en-US"/>
              </w:rPr>
              <w:t>клады Колумбии</w:t>
            </w: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6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CEDAW/C/MDA/4-5</w:t>
              </w:r>
            </w:hyperlink>
          </w:p>
        </w:tc>
        <w:tc>
          <w:tcPr>
            <w:tcW w:w="626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Сводные четвертый и пятый периодические доклады Республики Молдова</w:t>
            </w:r>
          </w:p>
        </w:tc>
      </w:tr>
      <w:tr w:rsidR="00B56B62" w:rsidRPr="002D6B85" w:rsidTr="002B263E">
        <w:tc>
          <w:tcPr>
            <w:tcW w:w="235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7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CEDAW/C/SYC/1-5</w:t>
              </w:r>
            </w:hyperlink>
          </w:p>
        </w:tc>
        <w:tc>
          <w:tcPr>
            <w:tcW w:w="6261" w:type="dxa"/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Объединенные первоначальный, второй, третий, четвертый и пятый периодические доклады Сейшельских Островов</w:t>
            </w:r>
          </w:p>
        </w:tc>
      </w:tr>
      <w:tr w:rsidR="00B56B62" w:rsidRPr="002D6B85" w:rsidTr="002B263E"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rPr>
                <w:rFonts w:eastAsia="Times New Roman"/>
                <w:lang w:eastAsia="en-US"/>
              </w:rPr>
            </w:pPr>
            <w:hyperlink r:id="rId88" w:history="1">
              <w:r w:rsidRPr="00224175">
                <w:rPr>
                  <w:rStyle w:val="Hyperlink"/>
                  <w:rFonts w:eastAsia="Times New Roman"/>
                  <w:lang w:eastAsia="en-US"/>
                </w:rPr>
                <w:t>CEDAW/C/TJK/4-5</w:t>
              </w:r>
            </w:hyperlink>
          </w:p>
        </w:tc>
        <w:tc>
          <w:tcPr>
            <w:tcW w:w="62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6B62" w:rsidRPr="002D6B85" w:rsidRDefault="00B56B62" w:rsidP="002B263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/>
              <w:ind w:left="144" w:right="43"/>
              <w:jc w:val="left"/>
              <w:rPr>
                <w:rFonts w:eastAsia="Times New Roman"/>
                <w:lang w:eastAsia="en-US"/>
              </w:rPr>
            </w:pPr>
            <w:r w:rsidRPr="002D6B85">
              <w:rPr>
                <w:rFonts w:eastAsia="Times New Roman"/>
                <w:lang w:eastAsia="en-US"/>
              </w:rPr>
              <w:t>Объединенный четвертый и пятый периодические доклады Таджикистана</w:t>
            </w:r>
          </w:p>
        </w:tc>
      </w:tr>
    </w:tbl>
    <w:p w:rsidR="00B56B62" w:rsidRPr="002D6B85" w:rsidRDefault="00B56B62" w:rsidP="00B56B62">
      <w:pPr>
        <w:pStyle w:val="SingleTxt"/>
      </w:pPr>
    </w:p>
    <w:p w:rsidR="00B56B62" w:rsidRPr="002D6B85" w:rsidRDefault="00B56B62" w:rsidP="00B56B62">
      <w:pPr>
        <w:pStyle w:val="SingleTxt"/>
      </w:pPr>
    </w:p>
    <w:p w:rsidR="00B56B62" w:rsidRPr="002D6B85" w:rsidRDefault="00B56B62" w:rsidP="00B56B62">
      <w:pPr>
        <w:pStyle w:val="SingleTxt"/>
      </w:pPr>
    </w:p>
    <w:p w:rsidR="00B56B62" w:rsidRPr="002D6B85" w:rsidRDefault="00B56B62" w:rsidP="00B56B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br w:type="page"/>
        <w:t>Приложение VIII</w:t>
      </w: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Членский состав Комитета по ликвидации дискриминации в отношении женщин по состоянию на 18 октября 2013 года</w:t>
      </w: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4"/>
        <w:gridCol w:w="2097"/>
        <w:gridCol w:w="1569"/>
      </w:tblGrid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6B62" w:rsidRPr="002D6B85" w:rsidRDefault="00B56B62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  <w:szCs w:val="14"/>
              </w:rPr>
            </w:pPr>
            <w:r w:rsidRPr="002D6B85">
              <w:rPr>
                <w:i/>
                <w:sz w:val="14"/>
                <w:szCs w:val="14"/>
              </w:rPr>
              <w:t xml:space="preserve">Имя и фамилия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6B62" w:rsidRPr="002D6B85" w:rsidRDefault="00B56B62" w:rsidP="002B263E">
            <w:pPr>
              <w:pStyle w:val="DualTxt"/>
              <w:ind w:left="144"/>
              <w:rPr>
                <w:i/>
                <w:sz w:val="14"/>
                <w:szCs w:val="14"/>
              </w:rPr>
            </w:pPr>
            <w:r w:rsidRPr="002D6B85">
              <w:rPr>
                <w:i/>
                <w:sz w:val="14"/>
                <w:szCs w:val="14"/>
              </w:rPr>
              <w:t>Страна гражданс</w:t>
            </w:r>
            <w:r w:rsidRPr="002D6B85">
              <w:rPr>
                <w:i/>
                <w:sz w:val="14"/>
                <w:szCs w:val="14"/>
              </w:rPr>
              <w:t>т</w:t>
            </w:r>
            <w:r w:rsidRPr="002D6B85">
              <w:rPr>
                <w:i/>
                <w:sz w:val="14"/>
                <w:szCs w:val="14"/>
              </w:rPr>
              <w:t>ва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6B62" w:rsidRPr="002D6B85" w:rsidRDefault="00B56B62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szCs w:val="14"/>
              </w:rPr>
            </w:pPr>
            <w:r w:rsidRPr="002D6B85">
              <w:rPr>
                <w:i/>
                <w:sz w:val="14"/>
                <w:szCs w:val="14"/>
              </w:rPr>
              <w:t>Срок полномочий</w:t>
            </w:r>
            <w:r w:rsidRPr="002D6B85">
              <w:rPr>
                <w:i/>
                <w:sz w:val="14"/>
                <w:szCs w:val="14"/>
              </w:rPr>
              <w:br/>
              <w:t>истекает 31 декабря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6B62" w:rsidRPr="002D6B85" w:rsidRDefault="00B56B62" w:rsidP="002B263E">
            <w:pPr>
              <w:pStyle w:val="DualTxt"/>
            </w:pPr>
          </w:p>
        </w:tc>
        <w:tc>
          <w:tcPr>
            <w:tcW w:w="20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6B62" w:rsidRPr="002D6B85" w:rsidRDefault="00B56B62" w:rsidP="002B263E">
            <w:pPr>
              <w:pStyle w:val="DualTxt"/>
              <w:ind w:left="144"/>
            </w:pP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Айше Фер</w:t>
            </w:r>
            <w:r w:rsidRPr="002D6B85">
              <w:t>и</w:t>
            </w:r>
            <w:r w:rsidRPr="002D6B85">
              <w:t>де Аджар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Турция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Нур аль-Джехани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Катар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Николь Амелин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Франция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Барбара Эвелин Бе</w:t>
            </w:r>
            <w:r w:rsidRPr="002D6B85">
              <w:t>й</w:t>
            </w:r>
            <w:r w:rsidRPr="002D6B85">
              <w:t>ли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Ямайка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Олинда Барейро-Бобадилья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Парагвай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Марьям Бельмихуб-Зердани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Алжир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Никлас Брун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Финляндия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Наила М</w:t>
            </w:r>
            <w:r w:rsidRPr="002D6B85">
              <w:t>о</w:t>
            </w:r>
            <w:r w:rsidRPr="002D6B85">
              <w:t>хамед Габр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Египет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Хилари Гб</w:t>
            </w:r>
            <w:r w:rsidRPr="002D6B85">
              <w:t>е</w:t>
            </w:r>
            <w:r w:rsidRPr="002D6B85">
              <w:t>дема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Гана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Нала Ха</w:t>
            </w:r>
            <w:r w:rsidRPr="002D6B85">
              <w:t>й</w:t>
            </w:r>
            <w:r w:rsidRPr="002D6B85">
              <w:t>дар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Ливан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Руфь Гал</w:t>
            </w:r>
            <w:r w:rsidRPr="002D6B85">
              <w:t>ь</w:t>
            </w:r>
            <w:r w:rsidRPr="002D6B85">
              <w:t>перин-Каддари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Израиль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Йоко Хаяси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Япония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Исмат Джахан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Бангладеш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Даля Ле</w:t>
            </w:r>
            <w:r w:rsidRPr="002D6B85">
              <w:t>й</w:t>
            </w:r>
            <w:r w:rsidRPr="002D6B85">
              <w:t>нарте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Литва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Виолета Нойбауэр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Словения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Теодора Оби Нванкво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Нигерия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Прамила Паттен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Маврикий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Силвия Пиментел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Бразилия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Мария Элена Лопиш ди Жезус П</w:t>
            </w:r>
            <w:r w:rsidRPr="002D6B85">
              <w:t>и</w:t>
            </w:r>
            <w:r w:rsidRPr="002D6B85">
              <w:t>реш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Тимор-Лешти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Бьянкамария Померанци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Италия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Патриция Шульц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Швейцария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Дубравка Шимонович</w:t>
            </w:r>
          </w:p>
        </w:tc>
        <w:tc>
          <w:tcPr>
            <w:tcW w:w="2097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Хорватия</w:t>
            </w:r>
          </w:p>
        </w:tc>
        <w:tc>
          <w:tcPr>
            <w:tcW w:w="1569" w:type="dxa"/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2014 года</w:t>
            </w:r>
          </w:p>
        </w:tc>
      </w:tr>
      <w:tr w:rsidR="00B56B62" w:rsidRPr="002D6B85" w:rsidTr="002B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tcBorders>
              <w:bottom w:val="single" w:sz="12" w:space="0" w:color="auto"/>
            </w:tcBorders>
            <w:shd w:val="clear" w:color="auto" w:fill="auto"/>
          </w:tcPr>
          <w:p w:rsidR="00B56B62" w:rsidRPr="002D6B85" w:rsidRDefault="00B56B62" w:rsidP="002B263E">
            <w:pPr>
              <w:pStyle w:val="DualTxt"/>
              <w:jc w:val="left"/>
            </w:pPr>
            <w:r w:rsidRPr="002D6B85">
              <w:t>Цзоу Сяоцяо</w:t>
            </w:r>
          </w:p>
        </w:tc>
        <w:tc>
          <w:tcPr>
            <w:tcW w:w="2097" w:type="dxa"/>
            <w:tcBorders>
              <w:bottom w:val="single" w:sz="12" w:space="0" w:color="auto"/>
            </w:tcBorders>
            <w:shd w:val="clear" w:color="auto" w:fill="auto"/>
          </w:tcPr>
          <w:p w:rsidR="00B56B62" w:rsidRPr="002D6B85" w:rsidRDefault="00B56B62" w:rsidP="002B263E">
            <w:pPr>
              <w:pStyle w:val="DualTxt"/>
              <w:ind w:left="144"/>
            </w:pPr>
            <w:r w:rsidRPr="002D6B85">
              <w:t>Китай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:rsidR="00B56B62" w:rsidRPr="002D6B85" w:rsidRDefault="00B56B62" w:rsidP="002B263E">
            <w:pPr>
              <w:pStyle w:val="DualTxt"/>
              <w:ind w:right="115"/>
              <w:jc w:val="left"/>
            </w:pPr>
            <w:r w:rsidRPr="002D6B85">
              <w:t>2016 года</w:t>
            </w:r>
          </w:p>
        </w:tc>
      </w:tr>
    </w:tbl>
    <w:p w:rsidR="00B56B62" w:rsidRPr="002D6B85" w:rsidRDefault="00B56B62" w:rsidP="00B56B62">
      <w:pPr>
        <w:pStyle w:val="SingleTxt"/>
      </w:pPr>
    </w:p>
    <w:p w:rsidR="00B56B62" w:rsidRPr="002D6B85" w:rsidRDefault="00B56B62" w:rsidP="00B56B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br w:type="page"/>
        <w:t>Приложение IX</w:t>
      </w: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Доклад Рабочей группы по сообщениям в соответствии с Факультативным протоколом к Конвенции о ликвидации всех форм дискриминации в отношении женщин о работе ее двадцать седьмой сессии</w:t>
      </w: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</w:pPr>
      <w:r w:rsidRPr="002D6B85">
        <w:t>1.</w:t>
      </w:r>
      <w:r w:rsidRPr="002D6B85">
        <w:tab/>
        <w:t>Рабочая группа по сообщениям в соответствии с Факультативным прот</w:t>
      </w:r>
      <w:r w:rsidRPr="002D6B85">
        <w:t>о</w:t>
      </w:r>
      <w:r w:rsidRPr="002D6B85">
        <w:t>колом к Конвенции о ликвидации всех форм дискриминации в отношении женщин провела свою двадцать седьмую сессию 24–27 сентября 2013 года в Женеве. В сессии принимали участие все члены (Олинда Барейро-Бобадилья, Никлас Брун, Йоко Хаяси, Прамила Паттен и Дубравка Шимон</w:t>
      </w:r>
      <w:r w:rsidRPr="002D6B85">
        <w:t>о</w:t>
      </w:r>
      <w:r w:rsidRPr="002D6B85">
        <w:t>вич).</w:t>
      </w:r>
    </w:p>
    <w:p w:rsidR="00B56B62" w:rsidRPr="002D6B85" w:rsidRDefault="00B56B62" w:rsidP="00B56B62">
      <w:pPr>
        <w:pStyle w:val="SingleTxt"/>
      </w:pPr>
      <w:r w:rsidRPr="002D6B85">
        <w:t>2.</w:t>
      </w:r>
      <w:r w:rsidRPr="002D6B85">
        <w:tab/>
        <w:t>В начале сессии Рабочая группа утвердила свою повестку дня, которая представлена в дополнении к настоящему докладу.</w:t>
      </w:r>
    </w:p>
    <w:p w:rsidR="00B56B62" w:rsidRPr="002D6B85" w:rsidRDefault="00B56B62" w:rsidP="00B56B62">
      <w:pPr>
        <w:pStyle w:val="SingleTxt"/>
      </w:pPr>
      <w:r w:rsidRPr="002D6B85">
        <w:t>3.</w:t>
      </w:r>
      <w:r w:rsidRPr="002D6B85">
        <w:tab/>
        <w:t xml:space="preserve">Затем Рабочая группа проанализировала обновленную информацию, представленную секретариатом по восьми новым сообщениям, полученным в период с 28 июня 2013 года по 20 сентября 2013 года. </w:t>
      </w:r>
    </w:p>
    <w:p w:rsidR="00B56B62" w:rsidRPr="002D6B85" w:rsidRDefault="00B56B62" w:rsidP="00B56B62">
      <w:pPr>
        <w:pStyle w:val="SingleTxt"/>
      </w:pPr>
      <w:r w:rsidRPr="002D6B85">
        <w:t>4.</w:t>
      </w:r>
      <w:r w:rsidRPr="002D6B85">
        <w:tab/>
        <w:t xml:space="preserve">Рабочая группа постановила назначить г-жу Шимонович докладчиком в связи с сообщением № </w:t>
      </w:r>
      <w:r w:rsidRPr="00224175">
        <w:t>61/201</w:t>
      </w:r>
      <w:r w:rsidRPr="002D6B85">
        <w:t>3, касающимся Дании и зарегистрированным в межсессионный период. Затем Группа постановила зарегистрировать два н</w:t>
      </w:r>
      <w:r w:rsidRPr="002D6B85">
        <w:t>о</w:t>
      </w:r>
      <w:r w:rsidRPr="002D6B85">
        <w:t xml:space="preserve">вых сообщения, одно в отношении Аргентины (№ </w:t>
      </w:r>
      <w:r w:rsidRPr="00224175">
        <w:t>62/201</w:t>
      </w:r>
      <w:r w:rsidRPr="002D6B85">
        <w:t xml:space="preserve">3) и одно в отношении Дании (№ </w:t>
      </w:r>
      <w:r w:rsidRPr="00224175">
        <w:t>63/201</w:t>
      </w:r>
      <w:r w:rsidRPr="002D6B85">
        <w:t xml:space="preserve">3). В связи с сообщением № </w:t>
      </w:r>
      <w:r w:rsidRPr="00224175">
        <w:t>62/201</w:t>
      </w:r>
      <w:r w:rsidRPr="002D6B85">
        <w:t>3 Рабочая группа назнач</w:t>
      </w:r>
      <w:r w:rsidRPr="002D6B85">
        <w:t>и</w:t>
      </w:r>
      <w:r w:rsidRPr="002D6B85">
        <w:t>ла г-жу Барейро-Бобадилью докладчиком и постановила препроводить соо</w:t>
      </w:r>
      <w:r w:rsidRPr="002D6B85">
        <w:t>б</w:t>
      </w:r>
      <w:r w:rsidRPr="002D6B85">
        <w:t>щение соответствующему государству-участнику. В связи с сообщен</w:t>
      </w:r>
      <w:r w:rsidRPr="002D6B85">
        <w:t>и</w:t>
      </w:r>
      <w:r w:rsidRPr="002D6B85">
        <w:t>ем № </w:t>
      </w:r>
      <w:r w:rsidRPr="00224175">
        <w:t>63/201</w:t>
      </w:r>
      <w:r w:rsidRPr="002D6B85">
        <w:t>3 Рабочая группа назначила докладчиком г-на Бруна и постанов</w:t>
      </w:r>
      <w:r w:rsidRPr="002D6B85">
        <w:t>и</w:t>
      </w:r>
      <w:r w:rsidRPr="002D6B85">
        <w:t>ла принять решение по вопросу о временных мерах в ходе пятьдесят шестой сессии до препровождения этого сообщения соответствующему государству-участнику.</w:t>
      </w:r>
    </w:p>
    <w:p w:rsidR="00B56B62" w:rsidRPr="002D6B85" w:rsidRDefault="00B56B62" w:rsidP="00B56B62">
      <w:pPr>
        <w:pStyle w:val="SingleTxt"/>
      </w:pPr>
      <w:r w:rsidRPr="002D6B85">
        <w:t>5.</w:t>
      </w:r>
      <w:r w:rsidRPr="002D6B85">
        <w:tab/>
        <w:t>В отношении переписки, которая еще не была зарегистрирована, Рабочая группа отметила, что секретариат просил автора представить разъяснения в о</w:t>
      </w:r>
      <w:r w:rsidRPr="002D6B85">
        <w:t>т</w:t>
      </w:r>
      <w:r w:rsidRPr="002D6B85">
        <w:t>ношении сообщения, касавшегося Италии, и ожидает ее ответ. Что касается двух сообщений в отношении Аргентины и Франции, то Рабочая группа пр</w:t>
      </w:r>
      <w:r w:rsidRPr="002D6B85">
        <w:t>и</w:t>
      </w:r>
      <w:r w:rsidRPr="002D6B85">
        <w:t>няла решение не регистрировать эти дела. Она также не приняла сообщение в отношении Индии, которая не является участником Факультативного проток</w:t>
      </w:r>
      <w:r w:rsidRPr="002D6B85">
        <w:t>о</w:t>
      </w:r>
      <w:r w:rsidRPr="002D6B85">
        <w:t>ла.</w:t>
      </w:r>
    </w:p>
    <w:p w:rsidR="00B56B62" w:rsidRPr="002D6B85" w:rsidRDefault="00B56B62" w:rsidP="00B56B62">
      <w:pPr>
        <w:pStyle w:val="SingleTxt"/>
      </w:pPr>
      <w:r w:rsidRPr="002D6B85">
        <w:t>6.</w:t>
      </w:r>
      <w:r w:rsidRPr="002D6B85">
        <w:tab/>
        <w:t>Рабочая группа также обсудила четыре проекта рекомендаций. Она утве</w:t>
      </w:r>
      <w:r w:rsidRPr="002D6B85">
        <w:t>р</w:t>
      </w:r>
      <w:r w:rsidRPr="002D6B85">
        <w:t>дила проекты рекомендаций относительно неприемлемости сообщ</w:t>
      </w:r>
      <w:r w:rsidRPr="002D6B85">
        <w:t>е</w:t>
      </w:r>
      <w:r w:rsidRPr="002D6B85">
        <w:t>ний № </w:t>
      </w:r>
      <w:r w:rsidRPr="00224175">
        <w:t>29/201</w:t>
      </w:r>
      <w:r w:rsidRPr="002D6B85">
        <w:t xml:space="preserve">1 в отношении Испании и № </w:t>
      </w:r>
      <w:r w:rsidRPr="00224175">
        <w:t>39/201</w:t>
      </w:r>
      <w:r w:rsidRPr="002D6B85">
        <w:t>2 в отношении Нидерландов, причем обе рекомендации были приняты на основе консенсуса. Группа также утвердила проект рекомендации о неприемлемости/приемлемости сообщ</w:t>
      </w:r>
      <w:r w:rsidRPr="002D6B85">
        <w:t>е</w:t>
      </w:r>
      <w:r w:rsidRPr="002D6B85">
        <w:t>ния</w:t>
      </w:r>
      <w:r>
        <w:t> </w:t>
      </w:r>
      <w:r w:rsidRPr="002D6B85">
        <w:t xml:space="preserve">№ </w:t>
      </w:r>
      <w:r w:rsidRPr="00224175">
        <w:t>44/201</w:t>
      </w:r>
      <w:r w:rsidRPr="002D6B85">
        <w:t>2, касающегося Дании. Следует отметить, что в связи с после</w:t>
      </w:r>
      <w:r w:rsidRPr="002D6B85">
        <w:t>д</w:t>
      </w:r>
      <w:r w:rsidRPr="002D6B85">
        <w:t>ним делом Рабочая группа обсудила вопрос о статусе «жертвы» применительно к мальчикам, выступающим в качестве авторов сообщений в делах, касающи</w:t>
      </w:r>
      <w:r w:rsidRPr="002D6B85">
        <w:t>х</w:t>
      </w:r>
      <w:r w:rsidRPr="002D6B85">
        <w:t>ся Факультативного протокола. Все три рекомендации будут переданы для ра</w:t>
      </w:r>
      <w:r w:rsidRPr="002D6B85">
        <w:t>с</w:t>
      </w:r>
      <w:r w:rsidRPr="002D6B85">
        <w:t>смотрения в ходе пленарного заседания Комитета в рамках пятьдесят шестой сессии.</w:t>
      </w:r>
    </w:p>
    <w:p w:rsidR="00B56B62" w:rsidRPr="002D6B85" w:rsidRDefault="00B56B62" w:rsidP="00B56B62">
      <w:pPr>
        <w:pStyle w:val="SingleTxt"/>
      </w:pPr>
      <w:r w:rsidRPr="002D6B85">
        <w:t>7.</w:t>
      </w:r>
      <w:r w:rsidRPr="002D6B85">
        <w:tab/>
        <w:t>Рабочая группа также обсудила проекты мнений в отношении сообщ</w:t>
      </w:r>
      <w:r w:rsidRPr="002D6B85">
        <w:t>е</w:t>
      </w:r>
      <w:r w:rsidRPr="002D6B85">
        <w:t xml:space="preserve">ния № </w:t>
      </w:r>
      <w:r w:rsidRPr="00224175">
        <w:t>41/201</w:t>
      </w:r>
      <w:r w:rsidRPr="002D6B85">
        <w:t>2, касающегося Эквадора, и постановила обратиться к обеим ст</w:t>
      </w:r>
      <w:r w:rsidRPr="002D6B85">
        <w:t>о</w:t>
      </w:r>
      <w:r w:rsidRPr="002D6B85">
        <w:t>ронам в разбирательстве с просьбой представить разъяснения и дополнител</w:t>
      </w:r>
      <w:r w:rsidRPr="002D6B85">
        <w:t>ь</w:t>
      </w:r>
      <w:r w:rsidRPr="002D6B85">
        <w:t>ную информацию, чтобы Группа могла принять полностью обоснованное р</w:t>
      </w:r>
      <w:r w:rsidRPr="002D6B85">
        <w:t>е</w:t>
      </w:r>
      <w:r w:rsidRPr="002D6B85">
        <w:t xml:space="preserve">шение. </w:t>
      </w:r>
    </w:p>
    <w:p w:rsidR="00B56B62" w:rsidRPr="002D6B85" w:rsidRDefault="00B56B62" w:rsidP="00B56B62">
      <w:pPr>
        <w:pStyle w:val="SingleTxt"/>
      </w:pPr>
      <w:r w:rsidRPr="002D6B85">
        <w:t>8.</w:t>
      </w:r>
      <w:r w:rsidRPr="002D6B85">
        <w:tab/>
        <w:t>В ходе сессии все члены Рабочей группы провели инвентаризацию всех судебных досье по сообщениям, которыми они занимаются в качестве докла</w:t>
      </w:r>
      <w:r w:rsidRPr="002D6B85">
        <w:t>д</w:t>
      </w:r>
      <w:r w:rsidRPr="002D6B85">
        <w:t xml:space="preserve">чиков </w:t>
      </w:r>
      <w:r>
        <w:t>п</w:t>
      </w:r>
      <w:r w:rsidRPr="002D6B85">
        <w:t>о делу. Рабочая группа затем проанализировала положение дел со вс</w:t>
      </w:r>
      <w:r w:rsidRPr="002D6B85">
        <w:t>е</w:t>
      </w:r>
      <w:r w:rsidRPr="002D6B85">
        <w:t>ми нерассмотренными сообщениями, зарегистрированными в связи с Факульт</w:t>
      </w:r>
      <w:r w:rsidRPr="002D6B85">
        <w:t>а</w:t>
      </w:r>
      <w:r w:rsidRPr="002D6B85">
        <w:t>тивным протоколом, и провела обсуждение каждого из сообщений. В конце двадцать седьмой сессии Рабочей группы нерассмотренными оставались 29 дел, из которых три были приняты Рабочей группой на ее двадцать седьмой сессии и будут направлены Комитету на пленарном зас</w:t>
      </w:r>
      <w:r w:rsidRPr="002D6B85">
        <w:t>е</w:t>
      </w:r>
      <w:r w:rsidRPr="002D6B85">
        <w:t>дании.</w:t>
      </w:r>
    </w:p>
    <w:p w:rsidR="00B56B62" w:rsidRPr="002D6B85" w:rsidRDefault="00B56B62" w:rsidP="00B56B62">
      <w:pPr>
        <w:pStyle w:val="SingleTxt"/>
      </w:pPr>
      <w:r w:rsidRPr="002D6B85">
        <w:t>9.</w:t>
      </w:r>
      <w:r w:rsidRPr="002D6B85">
        <w:tab/>
        <w:t>Рабочая группа также приняла решение удовлетворить просьбы соотве</w:t>
      </w:r>
      <w:r w:rsidRPr="002D6B85">
        <w:t>т</w:t>
      </w:r>
      <w:r w:rsidRPr="002D6B85">
        <w:t>ствующего государства-участника, адресованные Комитету, о принятии реш</w:t>
      </w:r>
      <w:r w:rsidRPr="002D6B85">
        <w:t>е</w:t>
      </w:r>
      <w:r w:rsidRPr="002D6B85">
        <w:t>ния о приемлемости отдельно от рассмотрения существа дела (так называемые «раздельные запросы») в отношении двух сообщений, касающихся Дании (№ </w:t>
      </w:r>
      <w:r w:rsidRPr="00224175">
        <w:t>50/201</w:t>
      </w:r>
      <w:r w:rsidRPr="002D6B85">
        <w:t xml:space="preserve">3 и № </w:t>
      </w:r>
      <w:r w:rsidRPr="00224175">
        <w:t>56/201</w:t>
      </w:r>
      <w:r w:rsidRPr="002D6B85">
        <w:t>3).</w:t>
      </w:r>
    </w:p>
    <w:p w:rsidR="00B56B62" w:rsidRPr="002D6B85" w:rsidRDefault="00B56B62" w:rsidP="00B56B62">
      <w:pPr>
        <w:pStyle w:val="SingleTxt"/>
      </w:pPr>
      <w:r w:rsidRPr="002D6B85">
        <w:t>10.</w:t>
      </w:r>
      <w:r w:rsidRPr="002D6B85">
        <w:tab/>
        <w:t>Рабочая группа затем просила секретариат подготовить в приоритетном порядке проекты рекомендаций для следующей сессии с учетом итогов выш</w:t>
      </w:r>
      <w:r w:rsidRPr="002D6B85">
        <w:t>е</w:t>
      </w:r>
      <w:r w:rsidRPr="002D6B85">
        <w:t>упомянутых дискуссий. Таким образом, для своей двадцать восьмой сессии в феврале 2014 года Рабочая группа просила секретариат подготовить три или, если это будет возможно, четыре проекта рекомендаций, в том числе по соо</w:t>
      </w:r>
      <w:r w:rsidRPr="002D6B85">
        <w:t>б</w:t>
      </w:r>
      <w:r w:rsidRPr="002D6B85">
        <w:t xml:space="preserve">щениям № </w:t>
      </w:r>
      <w:r w:rsidRPr="00224175">
        <w:t>34/201</w:t>
      </w:r>
      <w:r w:rsidRPr="002D6B85">
        <w:t xml:space="preserve">1, № </w:t>
      </w:r>
      <w:r w:rsidRPr="00224175">
        <w:t>36/201</w:t>
      </w:r>
      <w:r w:rsidRPr="002D6B85">
        <w:t xml:space="preserve">2 и № </w:t>
      </w:r>
      <w:r w:rsidRPr="00224175">
        <w:t>37/201</w:t>
      </w:r>
      <w:r w:rsidRPr="002D6B85">
        <w:t xml:space="preserve">2 (раздельные запросы в отношении последних двух дел были удовлетворены в октябре 2012 года). </w:t>
      </w:r>
    </w:p>
    <w:p w:rsidR="00B56B62" w:rsidRPr="002D6B85" w:rsidRDefault="00B56B62" w:rsidP="00B56B62">
      <w:pPr>
        <w:pStyle w:val="SingleTxt"/>
      </w:pPr>
      <w:r w:rsidRPr="002D6B85">
        <w:t>11.</w:t>
      </w:r>
      <w:r w:rsidRPr="002D6B85">
        <w:tab/>
        <w:t>Рабочая группа обсудила последующую ситуацию по каждому из дел, в рамках которых ведется последующий диалог, и приняла решения о возмо</w:t>
      </w:r>
      <w:r w:rsidRPr="002D6B85">
        <w:t>ж</w:t>
      </w:r>
      <w:r w:rsidRPr="002D6B85">
        <w:t>ных действиях, которые будут вынесены на рассмотрение Комитета. Рабочая группа была также проинформирована секретариатом о совещании, которое по прос</w:t>
      </w:r>
      <w:r w:rsidRPr="002D6B85">
        <w:t>ь</w:t>
      </w:r>
      <w:r w:rsidRPr="002D6B85">
        <w:t>бе Комитета Йоко Хаяси, Дубравка Шимонович и Никлас Брун провели 26 се</w:t>
      </w:r>
      <w:r w:rsidRPr="002D6B85">
        <w:t>н</w:t>
      </w:r>
      <w:r w:rsidRPr="002D6B85">
        <w:t>тября 2013 года с представителями Болгарии (один представитель Постоянного представительства этого государства-участника при Отделении Организации Объединенных Наций в Женеве и руководитель Отдела по правам человека в составе Департамента по правам человека Министерства иностранных дел Болгарии)</w:t>
      </w:r>
      <w:r w:rsidRPr="00C62420">
        <w:rPr>
          <w:rStyle w:val="FootnoteReference"/>
        </w:rPr>
        <w:footnoteReference w:customMarkFollows="1" w:id="12"/>
        <w:t>a</w:t>
      </w:r>
      <w:r w:rsidRPr="002D6B85">
        <w:t>.</w:t>
      </w:r>
    </w:p>
    <w:p w:rsidR="00B56B62" w:rsidRPr="002D6B85" w:rsidRDefault="00B56B62" w:rsidP="00B56B62">
      <w:pPr>
        <w:pStyle w:val="SingleTxt"/>
      </w:pPr>
      <w:r w:rsidRPr="002D6B85">
        <w:t>12.</w:t>
      </w:r>
      <w:r w:rsidRPr="002D6B85">
        <w:tab/>
        <w:t>Рабочая группа постановила организовать в ходе пятьдесят шестой сессии совещание с постоянными представительствами Бразилии и Филиппин для о</w:t>
      </w:r>
      <w:r w:rsidRPr="002D6B85">
        <w:t>б</w:t>
      </w:r>
      <w:r w:rsidRPr="002D6B85">
        <w:t>суждения вопросов последующей деятельности. Секретариату было предлож</w:t>
      </w:r>
      <w:r w:rsidRPr="002D6B85">
        <w:t>е</w:t>
      </w:r>
      <w:r w:rsidRPr="002D6B85">
        <w:t>но поделиться с Рабочей группой методологией, используемой другими дог</w:t>
      </w:r>
      <w:r w:rsidRPr="002D6B85">
        <w:t>о</w:t>
      </w:r>
      <w:r w:rsidRPr="002D6B85">
        <w:t>ворными органами при оценке последующей деятельности в отношении ра</w:t>
      </w:r>
      <w:r w:rsidRPr="002D6B85">
        <w:t>с</w:t>
      </w:r>
      <w:r w:rsidRPr="002D6B85">
        <w:t>сматриваемых ими дел, а также тем, каким образом результаты таких оценок отражаются в их ежегодных докладах.</w:t>
      </w:r>
    </w:p>
    <w:p w:rsidR="00B56B62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Решения, принятые на данной сессии</w:t>
      </w:r>
    </w:p>
    <w:p w:rsidR="00B56B62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  <w:spacing w:after="0" w:line="120" w:lineRule="exact"/>
        <w:rPr>
          <w:sz w:val="10"/>
        </w:rPr>
      </w:pPr>
    </w:p>
    <w:p w:rsidR="00B56B62" w:rsidRPr="002D6B85" w:rsidRDefault="00B56B62" w:rsidP="00B56B62">
      <w:pPr>
        <w:pStyle w:val="SingleTxt"/>
      </w:pPr>
      <w:r w:rsidRPr="002D6B85">
        <w:t>13.</w:t>
      </w:r>
      <w:r w:rsidRPr="002D6B85">
        <w:tab/>
        <w:t>Рабочая группа постановила:</w:t>
      </w:r>
    </w:p>
    <w:p w:rsidR="00B56B62" w:rsidRPr="002D6B85" w:rsidRDefault="00B56B62" w:rsidP="00B56B62">
      <w:pPr>
        <w:pStyle w:val="SingleTxt"/>
      </w:pPr>
      <w:r w:rsidRPr="002D6B85">
        <w:tab/>
        <w:t>a)</w:t>
      </w:r>
      <w:r w:rsidRPr="002D6B85">
        <w:tab/>
        <w:t>представить на утверждение Комитета рекомендацию, поддержа</w:t>
      </w:r>
      <w:r w:rsidRPr="002D6B85">
        <w:t>н</w:t>
      </w:r>
      <w:r w:rsidRPr="002D6B85">
        <w:t>ную всеми членами Рабочей группы, в отношении неприемлемости сообщ</w:t>
      </w:r>
      <w:r w:rsidRPr="002D6B85">
        <w:t>е</w:t>
      </w:r>
      <w:r w:rsidRPr="002D6B85">
        <w:t xml:space="preserve">ния № </w:t>
      </w:r>
      <w:r w:rsidRPr="00224175">
        <w:t>29/201</w:t>
      </w:r>
      <w:r w:rsidRPr="002D6B85">
        <w:t>1, касающегося Испании;</w:t>
      </w:r>
    </w:p>
    <w:p w:rsidR="00B56B62" w:rsidRPr="002D6B85" w:rsidRDefault="00B56B62" w:rsidP="00B56B62">
      <w:pPr>
        <w:pStyle w:val="SingleTxt"/>
      </w:pPr>
      <w:r w:rsidRPr="002D6B85">
        <w:tab/>
        <w:t>b)</w:t>
      </w:r>
      <w:r w:rsidRPr="002D6B85">
        <w:tab/>
        <w:t>представить на утверждение Комитету рекомендацию, поддержа</w:t>
      </w:r>
      <w:r w:rsidRPr="002D6B85">
        <w:t>н</w:t>
      </w:r>
      <w:r w:rsidRPr="002D6B85">
        <w:t>ную всеми членами Рабочей группы, в отношении неприемлемости сообщ</w:t>
      </w:r>
      <w:r w:rsidRPr="002D6B85">
        <w:t>е</w:t>
      </w:r>
      <w:r w:rsidRPr="002D6B85">
        <w:t xml:space="preserve">ния № </w:t>
      </w:r>
      <w:r w:rsidRPr="00224175">
        <w:t>39/201</w:t>
      </w:r>
      <w:r w:rsidRPr="002D6B85">
        <w:t>2, касающегося Нидерландов;</w:t>
      </w:r>
    </w:p>
    <w:p w:rsidR="00B56B62" w:rsidRPr="002D6B85" w:rsidRDefault="00B56B62" w:rsidP="00B56B62">
      <w:pPr>
        <w:pStyle w:val="SingleTxt"/>
      </w:pPr>
      <w:r w:rsidRPr="002D6B85">
        <w:tab/>
        <w:t>c)</w:t>
      </w:r>
      <w:r w:rsidRPr="002D6B85">
        <w:tab/>
        <w:t xml:space="preserve">представить на утверждение Комитету рекомендацию в отношении сообщения № </w:t>
      </w:r>
      <w:r w:rsidRPr="00224175">
        <w:t>44/201</w:t>
      </w:r>
      <w:r w:rsidRPr="002D6B85">
        <w:t>2, касающегося Дании, с двумя вариантами (приемл</w:t>
      </w:r>
      <w:r w:rsidRPr="002D6B85">
        <w:t>е</w:t>
      </w:r>
      <w:r w:rsidRPr="002D6B85">
        <w:t>мое/ неприемлемое);</w:t>
      </w:r>
    </w:p>
    <w:p w:rsidR="00B56B62" w:rsidRPr="002D6B85" w:rsidRDefault="00B56B62" w:rsidP="00B56B62">
      <w:pPr>
        <w:pStyle w:val="SingleTxt"/>
      </w:pPr>
      <w:r w:rsidRPr="002D6B85">
        <w:tab/>
        <w:t>d)</w:t>
      </w:r>
      <w:r w:rsidRPr="002D6B85">
        <w:tab/>
        <w:t xml:space="preserve">прекратить, по просьбе государства-участника и с согласия автора, рассмотрение сообщения № </w:t>
      </w:r>
      <w:r w:rsidRPr="00224175">
        <w:t>42/201</w:t>
      </w:r>
      <w:r w:rsidRPr="002D6B85">
        <w:t>2, касающегося Нидерландов;</w:t>
      </w:r>
    </w:p>
    <w:p w:rsidR="00B56B62" w:rsidRPr="002D6B85" w:rsidRDefault="00B56B62" w:rsidP="00B56B62">
      <w:pPr>
        <w:pStyle w:val="SingleTxt"/>
      </w:pPr>
      <w:r w:rsidRPr="002D6B85">
        <w:tab/>
        <w:t>e)</w:t>
      </w:r>
      <w:r w:rsidRPr="002D6B85">
        <w:tab/>
        <w:t xml:space="preserve"> просить секретариат подготовить проекты рекомендаций для дв</w:t>
      </w:r>
      <w:r w:rsidRPr="002D6B85">
        <w:t>а</w:t>
      </w:r>
      <w:r w:rsidRPr="002D6B85">
        <w:t xml:space="preserve">дцать восьмой сессии Рабочей группы относительно сообщения № </w:t>
      </w:r>
      <w:r w:rsidRPr="00224175">
        <w:t>34/201</w:t>
      </w:r>
      <w:r w:rsidRPr="002D6B85">
        <w:t>2, к</w:t>
      </w:r>
      <w:r w:rsidRPr="002D6B85">
        <w:t>а</w:t>
      </w:r>
      <w:r w:rsidRPr="002D6B85">
        <w:t xml:space="preserve">сающегося Филиппин, сообщения № </w:t>
      </w:r>
      <w:r w:rsidRPr="00224175">
        <w:t>36/201</w:t>
      </w:r>
      <w:r w:rsidRPr="002D6B85">
        <w:t>2, касающегося Нидерландов, и с</w:t>
      </w:r>
      <w:r w:rsidRPr="002D6B85">
        <w:t>о</w:t>
      </w:r>
      <w:r w:rsidRPr="002D6B85">
        <w:t xml:space="preserve">общения № </w:t>
      </w:r>
      <w:r w:rsidRPr="00224175">
        <w:t>37/201</w:t>
      </w:r>
      <w:r w:rsidRPr="002D6B85">
        <w:t>1, касающегося Дании;</w:t>
      </w:r>
    </w:p>
    <w:p w:rsidR="00B56B62" w:rsidRPr="002D6B85" w:rsidRDefault="00B56B62" w:rsidP="00B56B62">
      <w:pPr>
        <w:pStyle w:val="SingleTxt"/>
      </w:pPr>
      <w:r w:rsidRPr="002D6B85">
        <w:tab/>
        <w:t>f)</w:t>
      </w:r>
      <w:r w:rsidRPr="002D6B85">
        <w:tab/>
        <w:t>удовлетворить раздельные запросы государства-участника в отнош</w:t>
      </w:r>
      <w:r w:rsidRPr="002D6B85">
        <w:t>е</w:t>
      </w:r>
      <w:r w:rsidRPr="002D6B85">
        <w:t xml:space="preserve">нии сообщений № </w:t>
      </w:r>
      <w:r w:rsidRPr="00224175">
        <w:t>50/201</w:t>
      </w:r>
      <w:r w:rsidRPr="002D6B85">
        <w:t xml:space="preserve">3 и № </w:t>
      </w:r>
      <w:r w:rsidRPr="00224175">
        <w:t>56/201</w:t>
      </w:r>
      <w:r w:rsidRPr="002D6B85">
        <w:t xml:space="preserve">3, касающихся Дании; </w:t>
      </w:r>
    </w:p>
    <w:p w:rsidR="00B56B62" w:rsidRPr="002D6B85" w:rsidRDefault="00B56B62" w:rsidP="00B56B62">
      <w:pPr>
        <w:pStyle w:val="SingleTxt"/>
      </w:pPr>
      <w:r w:rsidRPr="002D6B85">
        <w:tab/>
        <w:t>g)</w:t>
      </w:r>
      <w:r w:rsidRPr="002D6B85">
        <w:tab/>
        <w:t>запросить дополнительную информацию от участников разбирател</w:t>
      </w:r>
      <w:r w:rsidRPr="002D6B85">
        <w:t>ь</w:t>
      </w:r>
      <w:r w:rsidRPr="002D6B85">
        <w:t xml:space="preserve">ства в связи с сообщением № </w:t>
      </w:r>
      <w:r w:rsidRPr="00224175">
        <w:t>41/201</w:t>
      </w:r>
      <w:r w:rsidRPr="002D6B85">
        <w:t>2, касающимся Эквадора;</w:t>
      </w:r>
    </w:p>
    <w:p w:rsidR="00B56B62" w:rsidRPr="002D6B85" w:rsidRDefault="00B56B62" w:rsidP="00B56B62">
      <w:pPr>
        <w:pStyle w:val="SingleTxt"/>
      </w:pPr>
      <w:r w:rsidRPr="002D6B85">
        <w:tab/>
        <w:t>h)</w:t>
      </w:r>
      <w:r w:rsidRPr="002D6B85">
        <w:tab/>
        <w:t>назначить Дубравку Шимонович докладчиком по делу в связи с с</w:t>
      </w:r>
      <w:r w:rsidRPr="002D6B85">
        <w:t>о</w:t>
      </w:r>
      <w:r w:rsidRPr="002D6B85">
        <w:t xml:space="preserve">общением № </w:t>
      </w:r>
      <w:r w:rsidRPr="00224175">
        <w:t>61/</w:t>
      </w:r>
      <w:r>
        <w:t>20</w:t>
      </w:r>
      <w:r w:rsidRPr="00224175">
        <w:t>13</w:t>
      </w:r>
      <w:r w:rsidRPr="002D6B85">
        <w:t>, касающимся Дании;</w:t>
      </w:r>
    </w:p>
    <w:p w:rsidR="00B56B62" w:rsidRPr="002D6B85" w:rsidRDefault="00B56B62" w:rsidP="00B56B62">
      <w:pPr>
        <w:pStyle w:val="SingleTxt"/>
      </w:pPr>
      <w:r w:rsidRPr="002D6B85">
        <w:tab/>
        <w:t>i)</w:t>
      </w:r>
      <w:r w:rsidRPr="002D6B85">
        <w:tab/>
        <w:t xml:space="preserve">зарегистрировать одно новое сообщение, касающееся Аргентины, в качестве сообщения № </w:t>
      </w:r>
      <w:r w:rsidRPr="00224175">
        <w:t>62/201</w:t>
      </w:r>
      <w:r w:rsidRPr="002D6B85">
        <w:t>3 и назначить Олинду Барейро-Бобадилью д</w:t>
      </w:r>
      <w:r w:rsidRPr="002D6B85">
        <w:t>о</w:t>
      </w:r>
      <w:r w:rsidRPr="002D6B85">
        <w:t xml:space="preserve">кладчиком по делу; </w:t>
      </w:r>
    </w:p>
    <w:p w:rsidR="00B56B62" w:rsidRPr="002D6B85" w:rsidRDefault="00B56B62" w:rsidP="00B56B62">
      <w:pPr>
        <w:pStyle w:val="SingleTxt"/>
      </w:pPr>
      <w:r w:rsidRPr="002D6B85">
        <w:tab/>
        <w:t>j)</w:t>
      </w:r>
      <w:r w:rsidRPr="002D6B85">
        <w:tab/>
        <w:t>зарегистрировать одно новое сообщение, касающееся Дании, в кач</w:t>
      </w:r>
      <w:r w:rsidRPr="002D6B85">
        <w:t>е</w:t>
      </w:r>
      <w:r w:rsidRPr="002D6B85">
        <w:t xml:space="preserve">стве сообщения № </w:t>
      </w:r>
      <w:r w:rsidRPr="00224175">
        <w:t>6</w:t>
      </w:r>
      <w:r>
        <w:t>3</w:t>
      </w:r>
      <w:r w:rsidRPr="00224175">
        <w:t>/201</w:t>
      </w:r>
      <w:r w:rsidRPr="002D6B85">
        <w:t>3 и назначить Никласа Бруна докладчиком по делу;</w:t>
      </w:r>
    </w:p>
    <w:p w:rsidR="00B56B62" w:rsidRPr="002D6B85" w:rsidRDefault="00B56B62" w:rsidP="00B56B62">
      <w:pPr>
        <w:pStyle w:val="SingleTxt"/>
      </w:pPr>
      <w:r w:rsidRPr="002D6B85">
        <w:tab/>
        <w:t>k)</w:t>
      </w:r>
      <w:r w:rsidRPr="002D6B85">
        <w:tab/>
        <w:t>обратиться к секретариату с просьбой продолжить загрузку на экстранет-сайт Факультативного протокола различных типов научной инфо</w:t>
      </w:r>
      <w:r w:rsidRPr="002D6B85">
        <w:t>р</w:t>
      </w:r>
      <w:r w:rsidRPr="002D6B85">
        <w:t>мации, перечисленных в записке секретариата, и по запросу предоставлять к</w:t>
      </w:r>
      <w:r w:rsidRPr="002D6B85">
        <w:t>о</w:t>
      </w:r>
      <w:r w:rsidRPr="002D6B85">
        <w:t>пии требуемых выдержек из упомянутых документов;</w:t>
      </w:r>
    </w:p>
    <w:p w:rsidR="00B56B62" w:rsidRPr="002D6B85" w:rsidRDefault="00B56B62" w:rsidP="00B56B62">
      <w:pPr>
        <w:pStyle w:val="SingleTxt"/>
      </w:pPr>
      <w:r w:rsidRPr="002D6B85">
        <w:tab/>
        <w:t>l)</w:t>
      </w:r>
      <w:r w:rsidRPr="002D6B85">
        <w:tab/>
        <w:t>просить секретариат подготовить информацию по процедуре посл</w:t>
      </w:r>
      <w:r w:rsidRPr="002D6B85">
        <w:t>е</w:t>
      </w:r>
      <w:r w:rsidRPr="002D6B85">
        <w:t>дующей деятельности, в том числе подготовить резюме документов, предста</w:t>
      </w:r>
      <w:r w:rsidRPr="002D6B85">
        <w:t>в</w:t>
      </w:r>
      <w:r w:rsidRPr="002D6B85">
        <w:t>ленных сторонами соответствующих разбирательств;</w:t>
      </w:r>
    </w:p>
    <w:p w:rsidR="00B56B62" w:rsidRPr="002D6B85" w:rsidRDefault="00B56B62" w:rsidP="00B56B62">
      <w:pPr>
        <w:pStyle w:val="SingleTxt"/>
      </w:pPr>
      <w:r w:rsidRPr="002D6B85">
        <w:tab/>
        <w:t>m)</w:t>
      </w:r>
      <w:r w:rsidRPr="002D6B85">
        <w:tab/>
        <w:t>просить секретариат организовать встречу с представителями пост</w:t>
      </w:r>
      <w:r w:rsidRPr="002D6B85">
        <w:t>о</w:t>
      </w:r>
      <w:r w:rsidRPr="002D6B85">
        <w:t xml:space="preserve">янных представительств Бразилии и Филиппин при Отделении Организации Объединенных Наций в Женеве для обсуждения последующей деятельности по индивидуальным делам. </w:t>
      </w:r>
    </w:p>
    <w:p w:rsidR="00B56B62" w:rsidRPr="002D6B85" w:rsidRDefault="00B56B62" w:rsidP="00B56B62">
      <w:pPr>
        <w:pStyle w:val="SingleTxt"/>
      </w:pPr>
      <w:r w:rsidRPr="002D6B85">
        <w:t>14.</w:t>
      </w:r>
      <w:r w:rsidRPr="002D6B85">
        <w:tab/>
        <w:t>Рабочая группа по сообщениям в соответствии с Факультативным прот</w:t>
      </w:r>
      <w:r w:rsidRPr="002D6B85">
        <w:t>о</w:t>
      </w:r>
      <w:r w:rsidRPr="002D6B85">
        <w:t>колом к Конвенции о ликвидации всех форм дискриминации в отношении женщин, постановила провести свою двадцать восьмую сессию 4–7 февраля 2014 года в Женеве.</w:t>
      </w:r>
    </w:p>
    <w:p w:rsidR="00B56B62" w:rsidRPr="002D6B85" w:rsidRDefault="00B56B62" w:rsidP="00B56B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br w:type="page"/>
        <w:t xml:space="preserve">Добавление </w:t>
      </w:r>
    </w:p>
    <w:p w:rsidR="00B56B62" w:rsidRPr="002D6B85" w:rsidRDefault="00B56B62" w:rsidP="00B56B62">
      <w:pPr>
        <w:pStyle w:val="SingleTxt"/>
        <w:spacing w:after="0" w:line="120" w:lineRule="exact"/>
        <w:rPr>
          <w:b/>
          <w:sz w:val="10"/>
        </w:rPr>
      </w:pPr>
    </w:p>
    <w:p w:rsidR="00B56B62" w:rsidRPr="002D6B85" w:rsidRDefault="00B56B62" w:rsidP="00B56B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6B85">
        <w:tab/>
      </w:r>
      <w:r w:rsidRPr="002D6B85">
        <w:tab/>
        <w:t>Повестка дня двадцать седьмой сессии Рабочей группы</w:t>
      </w:r>
    </w:p>
    <w:p w:rsidR="00B56B62" w:rsidRPr="002D6B85" w:rsidRDefault="00B56B62" w:rsidP="00B56B62">
      <w:pPr>
        <w:pStyle w:val="SingleTxt"/>
        <w:spacing w:after="0" w:line="120" w:lineRule="exact"/>
        <w:rPr>
          <w:bCs/>
          <w:i/>
          <w:sz w:val="10"/>
        </w:rPr>
      </w:pPr>
    </w:p>
    <w:p w:rsidR="00B56B62" w:rsidRPr="002D6B85" w:rsidRDefault="00B56B62" w:rsidP="00B56B62">
      <w:pPr>
        <w:pStyle w:val="SingleTxt"/>
        <w:spacing w:after="0" w:line="120" w:lineRule="exact"/>
        <w:rPr>
          <w:bCs/>
          <w:i/>
          <w:sz w:val="10"/>
        </w:rPr>
      </w:pPr>
    </w:p>
    <w:p w:rsidR="00B56B62" w:rsidRPr="002D6B85" w:rsidRDefault="00B56B62" w:rsidP="00B56B62">
      <w:pPr>
        <w:pStyle w:val="SingleTxt"/>
        <w:ind w:left="1742" w:hanging="475"/>
      </w:pPr>
      <w:r w:rsidRPr="002D6B85">
        <w:t>1.</w:t>
      </w:r>
      <w:r w:rsidRPr="002D6B85">
        <w:tab/>
        <w:t>Утверждение повестки дня и организация работы.</w:t>
      </w:r>
    </w:p>
    <w:p w:rsidR="00B56B62" w:rsidRPr="002D6B85" w:rsidRDefault="00B56B62" w:rsidP="00B56B62">
      <w:pPr>
        <w:pStyle w:val="SingleTxt"/>
        <w:ind w:left="1742" w:hanging="475"/>
      </w:pPr>
      <w:r w:rsidRPr="002D6B85">
        <w:t>2.</w:t>
      </w:r>
      <w:r w:rsidRPr="002D6B85">
        <w:tab/>
        <w:t>Обзор мер и мероприятий, осуществленных после проведения п</w:t>
      </w:r>
      <w:r w:rsidRPr="002D6B85">
        <w:t>о</w:t>
      </w:r>
      <w:r w:rsidRPr="002D6B85">
        <w:t>следней сессии.</w:t>
      </w:r>
    </w:p>
    <w:p w:rsidR="00B56B62" w:rsidRPr="002D6B85" w:rsidRDefault="00B56B62" w:rsidP="00B56B62">
      <w:pPr>
        <w:pStyle w:val="SingleTxt"/>
        <w:ind w:left="1742" w:hanging="475"/>
      </w:pPr>
      <w:r w:rsidRPr="002D6B85">
        <w:t>3.</w:t>
      </w:r>
      <w:r w:rsidRPr="002D6B85">
        <w:tab/>
        <w:t>Новые зарегистрированные сообщения и назначение докладчиков по д</w:t>
      </w:r>
      <w:r w:rsidRPr="002D6B85">
        <w:t>е</w:t>
      </w:r>
      <w:r w:rsidRPr="002D6B85">
        <w:t>лам.</w:t>
      </w:r>
    </w:p>
    <w:p w:rsidR="00B56B62" w:rsidRPr="002D6B85" w:rsidRDefault="00B56B62" w:rsidP="00B56B62">
      <w:pPr>
        <w:pStyle w:val="SingleTxt"/>
        <w:ind w:left="1742" w:hanging="475"/>
      </w:pPr>
      <w:r w:rsidRPr="002D6B85">
        <w:t>4.</w:t>
      </w:r>
      <w:r w:rsidRPr="002D6B85">
        <w:tab/>
        <w:t>Обсуждение дел, готовых к принятию.</w:t>
      </w:r>
    </w:p>
    <w:p w:rsidR="00B56B62" w:rsidRPr="002D6B85" w:rsidRDefault="00B56B62" w:rsidP="00B56B62">
      <w:pPr>
        <w:pStyle w:val="SingleTxt"/>
        <w:ind w:left="1742" w:hanging="475"/>
      </w:pPr>
      <w:r w:rsidRPr="002D6B85">
        <w:t>5.</w:t>
      </w:r>
      <w:r w:rsidRPr="002D6B85">
        <w:tab/>
        <w:t>Дела, подлежащие прекращению.</w:t>
      </w:r>
    </w:p>
    <w:p w:rsidR="00B56B62" w:rsidRPr="002D6B85" w:rsidRDefault="00B56B62" w:rsidP="00B56B62">
      <w:pPr>
        <w:pStyle w:val="SingleTxt"/>
        <w:ind w:left="1742" w:hanging="475"/>
      </w:pPr>
      <w:r w:rsidRPr="002D6B85">
        <w:t>6.</w:t>
      </w:r>
      <w:r w:rsidRPr="002D6B85">
        <w:tab/>
        <w:t>Обновленная информация по сообщениям (зарегистрированные дела).</w:t>
      </w:r>
    </w:p>
    <w:p w:rsidR="00B56B62" w:rsidRPr="002D6B85" w:rsidRDefault="00B56B62" w:rsidP="00B56B62">
      <w:pPr>
        <w:pStyle w:val="SingleTxt"/>
        <w:ind w:left="1742" w:hanging="475"/>
      </w:pPr>
      <w:r w:rsidRPr="002D6B85">
        <w:t>7.</w:t>
      </w:r>
      <w:r w:rsidRPr="002D6B85">
        <w:tab/>
        <w:t>Обновленная информация о последующей деятельности в связи с мнен</w:t>
      </w:r>
      <w:r w:rsidRPr="002D6B85">
        <w:t>и</w:t>
      </w:r>
      <w:r w:rsidRPr="002D6B85">
        <w:t>ями.</w:t>
      </w:r>
    </w:p>
    <w:p w:rsidR="00B56B62" w:rsidRPr="002D6B85" w:rsidRDefault="00B56B62" w:rsidP="00B56B62">
      <w:pPr>
        <w:pStyle w:val="SingleTxt"/>
        <w:ind w:left="1742" w:hanging="475"/>
      </w:pPr>
      <w:r w:rsidRPr="002D6B85">
        <w:t>8.</w:t>
      </w:r>
      <w:r w:rsidRPr="002D6B85">
        <w:tab/>
        <w:t xml:space="preserve">Обсуждение дел, готовых для принятия, и оценка их приоритетности. </w:t>
      </w:r>
    </w:p>
    <w:p w:rsidR="00B56B62" w:rsidRPr="002D6B85" w:rsidRDefault="00B56B62" w:rsidP="00B56B62">
      <w:pPr>
        <w:pStyle w:val="SingleTxt"/>
        <w:ind w:left="1742" w:hanging="475"/>
      </w:pPr>
      <w:r w:rsidRPr="002D6B85">
        <w:t>9.</w:t>
      </w:r>
      <w:r w:rsidRPr="002D6B85">
        <w:tab/>
        <w:t>Утверждение доклада Рабочей группы о работе ее двадцать седьмой се</w:t>
      </w:r>
      <w:r w:rsidRPr="002D6B85">
        <w:t>с</w:t>
      </w:r>
      <w:r w:rsidRPr="002D6B85">
        <w:t>сии.</w:t>
      </w:r>
    </w:p>
    <w:p w:rsidR="00B56B62" w:rsidRDefault="00B56B62" w:rsidP="0039550E">
      <w:pPr>
        <w:pStyle w:val="SingleTxt"/>
      </w:pPr>
    </w:p>
    <w:p w:rsidR="00D67408" w:rsidRDefault="00D67408" w:rsidP="0039550E">
      <w:pPr>
        <w:pStyle w:val="SingleTxt"/>
        <w:sectPr w:rsidR="00D67408" w:rsidSect="00074D98">
          <w:footnotePr>
            <w:numRestart w:val="eachSect"/>
          </w:footnotePr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D6740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B36637">
        <w:t>Часть третья</w:t>
      </w:r>
    </w:p>
    <w:p w:rsidR="00D67408" w:rsidRPr="00D363F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36637">
        <w:t>Доклад Комитета по ликвидации дискриминации в</w:t>
      </w:r>
      <w:r>
        <w:rPr>
          <w:lang w:val="en-US"/>
        </w:rPr>
        <w:t> </w:t>
      </w:r>
      <w:r w:rsidRPr="00B36637">
        <w:t>отношении женщин о работе его пятьдесят седьмой сессии</w:t>
      </w:r>
    </w:p>
    <w:p w:rsidR="00D67408" w:rsidRPr="00D363F8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D363F8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D67408" w:rsidRDefault="00D67408" w:rsidP="006751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63F8">
        <w:tab/>
      </w:r>
      <w:r w:rsidRPr="00D363F8">
        <w:tab/>
      </w:r>
      <w:r w:rsidRPr="00B36637">
        <w:t>10</w:t>
      </w:r>
      <w:r w:rsidRPr="00D67408">
        <w:t>–</w:t>
      </w:r>
      <w:r w:rsidRPr="00B36637">
        <w:t>28</w:t>
      </w:r>
      <w:r>
        <w:rPr>
          <w:lang w:val="en-US"/>
        </w:rPr>
        <w:t> </w:t>
      </w:r>
      <w:r w:rsidRPr="00B36637">
        <w:t>февраля 2014</w:t>
      </w:r>
      <w:r>
        <w:rPr>
          <w:lang w:val="en-US"/>
        </w:rPr>
        <w:t> </w:t>
      </w:r>
      <w:r w:rsidRPr="00B36637">
        <w:t>года</w:t>
      </w:r>
    </w:p>
    <w:p w:rsidR="00D67408" w:rsidRPr="00D67408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D67408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D67408" w:rsidRDefault="00D67408" w:rsidP="00D67408">
      <w:pPr>
        <w:pStyle w:val="SingleTxt"/>
      </w:pPr>
    </w:p>
    <w:p w:rsidR="00D67408" w:rsidRPr="00D6740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7408">
        <w:br w:type="page"/>
      </w:r>
      <w:r w:rsidRPr="004419F4">
        <w:t>Глава</w:t>
      </w:r>
      <w:r>
        <w:rPr>
          <w:lang w:val="en-US"/>
        </w:rPr>
        <w:t> </w:t>
      </w:r>
      <w:r w:rsidRPr="004419F4">
        <w:t>I</w:t>
      </w:r>
    </w:p>
    <w:p w:rsidR="00D67408" w:rsidRPr="00D67408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7408">
        <w:tab/>
      </w:r>
      <w:r w:rsidRPr="00D67408">
        <w:tab/>
      </w:r>
      <w:r w:rsidRPr="004419F4">
        <w:t>Вопросы, доведенные до сведения государств</w:t>
      </w:r>
      <w:r>
        <w:t xml:space="preserve"> — </w:t>
      </w:r>
      <w:r w:rsidRPr="004419F4">
        <w:t>участников</w:t>
      </w:r>
      <w:r>
        <w:t xml:space="preserve"> </w:t>
      </w:r>
      <w:r w:rsidRPr="004419F4">
        <w:t>Конвенции о ликвидации всех форм дискриминации в отнош</w:t>
      </w:r>
      <w:r w:rsidRPr="004419F4">
        <w:t>е</w:t>
      </w:r>
      <w:r w:rsidRPr="004419F4">
        <w:t>нии женщин</w:t>
      </w:r>
    </w:p>
    <w:p w:rsidR="00D67408" w:rsidRPr="008247D4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8247D4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8247D4" w:rsidRDefault="00D67408" w:rsidP="00D674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247D4">
        <w:t>Решения</w:t>
      </w:r>
    </w:p>
    <w:p w:rsidR="00D67408" w:rsidRPr="008247D4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8247D4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4419F4" w:rsidRDefault="00D67408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419F4">
        <w:t>Решение</w:t>
      </w:r>
      <w:r>
        <w:t> </w:t>
      </w:r>
      <w:r w:rsidRPr="004419F4">
        <w:t>57/I</w:t>
      </w:r>
    </w:p>
    <w:p w:rsidR="00D67408" w:rsidRPr="008247D4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ab/>
        <w:t>26</w:t>
      </w:r>
      <w:r>
        <w:t> </w:t>
      </w:r>
      <w:r w:rsidRPr="004419F4">
        <w:t>февраля 2014</w:t>
      </w:r>
      <w:r>
        <w:t> </w:t>
      </w:r>
      <w:r w:rsidRPr="004419F4">
        <w:t xml:space="preserve">года Комитет принял заявление </w:t>
      </w:r>
      <w:r>
        <w:t xml:space="preserve">по вопросу </w:t>
      </w:r>
      <w:r w:rsidRPr="004419F4">
        <w:t>о повестке дня в области развития на период после 2015</w:t>
      </w:r>
      <w:r>
        <w:t> </w:t>
      </w:r>
      <w:r w:rsidRPr="004419F4">
        <w:t>года и ликвидации дискримин</w:t>
      </w:r>
      <w:r w:rsidRPr="004419F4">
        <w:t>а</w:t>
      </w:r>
      <w:r w:rsidRPr="004419F4">
        <w:t>ции в отношении женщин. (См. приложение</w:t>
      </w:r>
      <w:r>
        <w:t> </w:t>
      </w:r>
      <w:r w:rsidRPr="004419F4">
        <w:t>I к части третьей настоящего д</w:t>
      </w:r>
      <w:r w:rsidRPr="004419F4">
        <w:t>о</w:t>
      </w:r>
      <w:r w:rsidRPr="004419F4">
        <w:t>клада</w:t>
      </w:r>
      <w:r>
        <w:t>.</w:t>
      </w:r>
      <w:r w:rsidRPr="004419F4">
        <w:t>)</w:t>
      </w:r>
    </w:p>
    <w:p w:rsidR="00D67408" w:rsidRPr="002F0523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</w:r>
      <w:r w:rsidRPr="004419F4">
        <w:tab/>
        <w:t>Решение</w:t>
      </w:r>
      <w:r>
        <w:t> </w:t>
      </w:r>
      <w:r w:rsidRPr="004419F4">
        <w:t>57/II</w:t>
      </w:r>
    </w:p>
    <w:p w:rsidR="00D67408" w:rsidRPr="00B500AD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ab/>
        <w:t>26</w:t>
      </w:r>
      <w:r>
        <w:t> </w:t>
      </w:r>
      <w:r w:rsidRPr="004419F4">
        <w:t>февраля 2014</w:t>
      </w:r>
      <w:r>
        <w:t> </w:t>
      </w:r>
      <w:r w:rsidRPr="004419F4">
        <w:t xml:space="preserve">года Комитет принял заявление </w:t>
      </w:r>
      <w:r>
        <w:t xml:space="preserve">по вопросу </w:t>
      </w:r>
      <w:r w:rsidRPr="004419F4">
        <w:t>о сексуал</w:t>
      </w:r>
      <w:r w:rsidRPr="004419F4">
        <w:t>ь</w:t>
      </w:r>
      <w:r w:rsidRPr="004419F4">
        <w:t>ном и репродуктивном здоровье и правах. (См. приложение</w:t>
      </w:r>
      <w:r>
        <w:t> </w:t>
      </w:r>
      <w:r w:rsidRPr="004419F4">
        <w:t>II к части третьей настоящего доклада</w:t>
      </w:r>
      <w:r>
        <w:t>.</w:t>
      </w:r>
      <w:r w:rsidRPr="004419F4">
        <w:t>)</w:t>
      </w:r>
    </w:p>
    <w:p w:rsidR="00D67408" w:rsidRPr="00B500AD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</w:r>
      <w:r w:rsidRPr="004419F4">
        <w:tab/>
        <w:t>Решение</w:t>
      </w:r>
      <w:r>
        <w:t> </w:t>
      </w:r>
      <w:r w:rsidRPr="004419F4">
        <w:t>57/III</w:t>
      </w:r>
    </w:p>
    <w:p w:rsidR="00D67408" w:rsidRPr="00B500AD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ab/>
        <w:t>28</w:t>
      </w:r>
      <w:r>
        <w:t> </w:t>
      </w:r>
      <w:r w:rsidRPr="004419F4">
        <w:t>февраля 2014</w:t>
      </w:r>
      <w:r>
        <w:t> </w:t>
      </w:r>
      <w:r w:rsidRPr="004419F4">
        <w:t xml:space="preserve">года Комитет </w:t>
      </w:r>
      <w:r>
        <w:t xml:space="preserve">постановил </w:t>
      </w:r>
      <w:r w:rsidRPr="004419F4">
        <w:t xml:space="preserve">поручить </w:t>
      </w:r>
      <w:r>
        <w:t>р</w:t>
      </w:r>
      <w:r w:rsidRPr="004419F4">
        <w:t xml:space="preserve">абочей группе по методам работы проанализировать с помощью </w:t>
      </w:r>
      <w:r>
        <w:t>с</w:t>
      </w:r>
      <w:r w:rsidRPr="004419F4">
        <w:t>екретариата правила процед</w:t>
      </w:r>
      <w:r w:rsidRPr="004419F4">
        <w:t>у</w:t>
      </w:r>
      <w:r w:rsidRPr="004419F4">
        <w:t>ры Комитета с целью предложить поправки к этим правилам</w:t>
      </w:r>
      <w:r>
        <w:t>,</w:t>
      </w:r>
      <w:r w:rsidRPr="004419F4">
        <w:t xml:space="preserve"> в тех случаях, к</w:t>
      </w:r>
      <w:r w:rsidRPr="004419F4">
        <w:t>о</w:t>
      </w:r>
      <w:r w:rsidRPr="004419F4">
        <w:t xml:space="preserve">гда это необходимо, </w:t>
      </w:r>
      <w:r>
        <w:t xml:space="preserve">для </w:t>
      </w:r>
      <w:r w:rsidRPr="004419F4">
        <w:t>включ</w:t>
      </w:r>
      <w:r>
        <w:t xml:space="preserve">ения </w:t>
      </w:r>
      <w:r w:rsidRPr="004419F4">
        <w:t>в правила процедуры</w:t>
      </w:r>
      <w:r>
        <w:t>:</w:t>
      </w:r>
      <w:r w:rsidRPr="004419F4">
        <w:t xml:space="preserve"> a)</w:t>
      </w:r>
      <w:r>
        <w:t> </w:t>
      </w:r>
      <w:r w:rsidRPr="004419F4">
        <w:t>недавни</w:t>
      </w:r>
      <w:r>
        <w:t>х</w:t>
      </w:r>
      <w:r w:rsidRPr="004419F4">
        <w:t xml:space="preserve"> реш</w:t>
      </w:r>
      <w:r w:rsidRPr="004419F4">
        <w:t>е</w:t>
      </w:r>
      <w:r w:rsidRPr="004419F4">
        <w:t>ни</w:t>
      </w:r>
      <w:r>
        <w:t>й</w:t>
      </w:r>
      <w:r w:rsidRPr="004419F4">
        <w:t xml:space="preserve"> Комитета о методах своей работы; b)</w:t>
      </w:r>
      <w:r>
        <w:t> </w:t>
      </w:r>
      <w:r w:rsidRPr="004419F4">
        <w:t>новы</w:t>
      </w:r>
      <w:r>
        <w:t>х</w:t>
      </w:r>
      <w:r w:rsidRPr="004419F4">
        <w:t xml:space="preserve"> положени</w:t>
      </w:r>
      <w:r>
        <w:t>й</w:t>
      </w:r>
      <w:r w:rsidRPr="004419F4">
        <w:t xml:space="preserve"> о применении А</w:t>
      </w:r>
      <w:r w:rsidRPr="004419F4">
        <w:t>д</w:t>
      </w:r>
      <w:r w:rsidRPr="004419F4">
        <w:t xml:space="preserve">дис-Абебских руководящих принципов </w:t>
      </w:r>
      <w:r>
        <w:t xml:space="preserve">в отношении </w:t>
      </w:r>
      <w:r w:rsidRPr="004419F4">
        <w:t>независимости и беспр</w:t>
      </w:r>
      <w:r w:rsidRPr="004419F4">
        <w:t>и</w:t>
      </w:r>
      <w:r w:rsidRPr="004419F4">
        <w:t xml:space="preserve">страстности членов договорных органов по правам человека </w:t>
      </w:r>
      <w:r>
        <w:t>(«</w:t>
      </w:r>
      <w:r w:rsidRPr="004419F4">
        <w:t>А</w:t>
      </w:r>
      <w:r w:rsidRPr="004419F4">
        <w:t>д</w:t>
      </w:r>
      <w:r w:rsidRPr="004419F4">
        <w:t>дис-Абебски</w:t>
      </w:r>
      <w:r>
        <w:t xml:space="preserve">е принципы») </w:t>
      </w:r>
      <w:r w:rsidRPr="004419F4">
        <w:t>(</w:t>
      </w:r>
      <w:hyperlink r:id="rId89" w:history="1">
        <w:r w:rsidRPr="002952F8">
          <w:rPr>
            <w:rStyle w:val="Hyperlink"/>
          </w:rPr>
          <w:t>A/67/222</w:t>
        </w:r>
      </w:hyperlink>
      <w:r w:rsidRPr="004419F4">
        <w:t>, приложение</w:t>
      </w:r>
      <w:r>
        <w:t> </w:t>
      </w:r>
      <w:r w:rsidRPr="004419F4">
        <w:t xml:space="preserve">I); </w:t>
      </w:r>
      <w:r>
        <w:t xml:space="preserve">и </w:t>
      </w:r>
      <w:r w:rsidRPr="004419F4">
        <w:t>c)</w:t>
      </w:r>
      <w:r>
        <w:t> </w:t>
      </w:r>
      <w:r w:rsidRPr="004419F4">
        <w:t>итог</w:t>
      </w:r>
      <w:r>
        <w:t>ов</w:t>
      </w:r>
      <w:r w:rsidRPr="004419F4">
        <w:t xml:space="preserve"> межправительственного процесса по укреплению и повышению эффективности функционирования с</w:t>
      </w:r>
      <w:r w:rsidRPr="004419F4">
        <w:t>и</w:t>
      </w:r>
      <w:r w:rsidRPr="004419F4">
        <w:t>стемы договорных органов по правам человека (резолюция Генеральной А</w:t>
      </w:r>
      <w:r w:rsidRPr="004419F4">
        <w:t>с</w:t>
      </w:r>
      <w:r w:rsidRPr="004419F4">
        <w:t>самблеи).</w:t>
      </w:r>
    </w:p>
    <w:p w:rsidR="00D67408" w:rsidRPr="00555983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</w:r>
      <w:r w:rsidRPr="004419F4">
        <w:tab/>
        <w:t>Решение</w:t>
      </w:r>
      <w:r>
        <w:t> </w:t>
      </w:r>
      <w:r w:rsidRPr="004419F4">
        <w:t>57/IV</w:t>
      </w:r>
    </w:p>
    <w:p w:rsidR="00D67408" w:rsidRPr="00555983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ab/>
        <w:t xml:space="preserve">Комитет утвердил </w:t>
      </w:r>
      <w:r>
        <w:t xml:space="preserve">следующий </w:t>
      </w:r>
      <w:r w:rsidRPr="004419F4">
        <w:t>членский состав предсессионной рабочей группы для пятьдесят девятой сессии</w:t>
      </w:r>
      <w:r>
        <w:t xml:space="preserve">: </w:t>
      </w:r>
      <w:r w:rsidRPr="004419F4">
        <w:t>Фериде Аджар, Барбара Бейли, Исмат Джахан, Даля Лейнарте и Прамила Паттен.</w:t>
      </w:r>
    </w:p>
    <w:p w:rsidR="00D67408" w:rsidRPr="00D24824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</w:r>
      <w:r w:rsidRPr="004419F4">
        <w:tab/>
        <w:t>Решение</w:t>
      </w:r>
      <w:r>
        <w:t> </w:t>
      </w:r>
      <w:r w:rsidRPr="004419F4">
        <w:t>57/V</w:t>
      </w:r>
    </w:p>
    <w:p w:rsidR="00D67408" w:rsidRPr="00D24824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ab/>
        <w:t>28</w:t>
      </w:r>
      <w:r>
        <w:t> </w:t>
      </w:r>
      <w:r w:rsidRPr="004419F4">
        <w:t>февраля 2014</w:t>
      </w:r>
      <w:r>
        <w:t> </w:t>
      </w:r>
      <w:r w:rsidRPr="004419F4">
        <w:t>года Комитет постановил просить Верховного комиссара по правам человека по</w:t>
      </w:r>
      <w:r>
        <w:t>р</w:t>
      </w:r>
      <w:r w:rsidRPr="004419F4">
        <w:t>учить Секции по вопросам рассмотрения жалоб и пр</w:t>
      </w:r>
      <w:r w:rsidRPr="004419F4">
        <w:t>о</w:t>
      </w:r>
      <w:r w:rsidRPr="004419F4">
        <w:t>ведения расследований обслуживать работу Комитета в соответствии со стат</w:t>
      </w:r>
      <w:r w:rsidRPr="004419F4">
        <w:t>ь</w:t>
      </w:r>
      <w:r w:rsidRPr="004419F4">
        <w:t>ей 8 Факультативного протокола (процедура расследований), а также предост</w:t>
      </w:r>
      <w:r w:rsidRPr="004419F4">
        <w:t>а</w:t>
      </w:r>
      <w:r w:rsidRPr="004419F4">
        <w:t>вить Секции по вопросам рассмотрения жалоб и проведения расследований необходимые дополнительные людские и финансовые ресурсы. (См. прилож</w:t>
      </w:r>
      <w:r w:rsidRPr="004419F4">
        <w:t>е</w:t>
      </w:r>
      <w:r w:rsidRPr="004419F4">
        <w:t>ние</w:t>
      </w:r>
      <w:r>
        <w:t> </w:t>
      </w:r>
      <w:r w:rsidRPr="004419F4">
        <w:t>III к части третьей настоящего доклада</w:t>
      </w:r>
      <w:r>
        <w:t>.</w:t>
      </w:r>
      <w:r w:rsidRPr="004419F4">
        <w:t>)</w:t>
      </w:r>
    </w:p>
    <w:p w:rsidR="00D67408" w:rsidRPr="002D5019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1A353E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67408" w:rsidRPr="004419F4">
        <w:tab/>
      </w:r>
      <w:r w:rsidR="00D67408" w:rsidRPr="004419F4">
        <w:tab/>
        <w:t>Решение</w:t>
      </w:r>
      <w:r w:rsidR="00D67408">
        <w:t> </w:t>
      </w:r>
      <w:r w:rsidR="00D67408" w:rsidRPr="004419F4">
        <w:t>57/VI</w:t>
      </w:r>
    </w:p>
    <w:p w:rsidR="00D67408" w:rsidRPr="002D5019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ab/>
        <w:t xml:space="preserve">Комитет назначил Никласа Бруна </w:t>
      </w:r>
      <w:r>
        <w:t>П</w:t>
      </w:r>
      <w:r w:rsidRPr="004419F4">
        <w:t>редседателем и Налу Хайдар замест</w:t>
      </w:r>
      <w:r w:rsidRPr="004419F4">
        <w:t>и</w:t>
      </w:r>
      <w:r w:rsidRPr="004419F4">
        <w:t xml:space="preserve">телем </w:t>
      </w:r>
      <w:r>
        <w:t>П</w:t>
      </w:r>
      <w:r w:rsidRPr="004419F4">
        <w:t>редседателя целевой группы по расследованиям и постановил расш</w:t>
      </w:r>
      <w:r w:rsidRPr="004419F4">
        <w:t>и</w:t>
      </w:r>
      <w:r w:rsidRPr="004419F4">
        <w:t>рить состав целевой группы, включив в него На</w:t>
      </w:r>
      <w:r>
        <w:t>и</w:t>
      </w:r>
      <w:r w:rsidRPr="004419F4">
        <w:t>лу Габр в дополнение к де</w:t>
      </w:r>
      <w:r w:rsidRPr="004419F4">
        <w:t>й</w:t>
      </w:r>
      <w:r w:rsidRPr="004419F4">
        <w:t>ствующим членам: Олинде Барейро-Бобадилья, Никласу Бруну (</w:t>
      </w:r>
      <w:r>
        <w:t>П</w:t>
      </w:r>
      <w:r w:rsidRPr="004419F4">
        <w:t>редседат</w:t>
      </w:r>
      <w:r w:rsidRPr="004419F4">
        <w:t>е</w:t>
      </w:r>
      <w:r>
        <w:t>ль</w:t>
      </w:r>
      <w:r w:rsidRPr="004419F4">
        <w:t>), Барбаре Бейли, Нале Хайдар (заместител</w:t>
      </w:r>
      <w:r>
        <w:t>ь</w:t>
      </w:r>
      <w:r w:rsidRPr="004419F4">
        <w:t xml:space="preserve"> </w:t>
      </w:r>
      <w:r>
        <w:t>П</w:t>
      </w:r>
      <w:r w:rsidRPr="004419F4">
        <w:t>редседателя), Руфи Гал</w:t>
      </w:r>
      <w:r w:rsidRPr="004419F4">
        <w:t>ь</w:t>
      </w:r>
      <w:r w:rsidRPr="004419F4">
        <w:t>перин-Каддари, Виолете Нойбауэр, Прамиле Паттен, Патриции Шульц и Дубравке Шимонович.</w:t>
      </w:r>
    </w:p>
    <w:p w:rsidR="00D67408" w:rsidRPr="002D5019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</w:r>
      <w:r w:rsidRPr="004419F4">
        <w:tab/>
        <w:t>Решение</w:t>
      </w:r>
      <w:r>
        <w:t> </w:t>
      </w:r>
      <w:r w:rsidRPr="004419F4">
        <w:t>57/VII</w:t>
      </w:r>
    </w:p>
    <w:p w:rsidR="00D67408" w:rsidRPr="002D5019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ab/>
        <w:t>Комитет постановил создать целевую группу по вопрос</w:t>
      </w:r>
      <w:r>
        <w:t>у</w:t>
      </w:r>
      <w:r w:rsidRPr="004419F4">
        <w:t xml:space="preserve"> о </w:t>
      </w:r>
      <w:r>
        <w:t xml:space="preserve">положении </w:t>
      </w:r>
      <w:r w:rsidRPr="004419F4">
        <w:t xml:space="preserve">женщин в </w:t>
      </w:r>
      <w:r>
        <w:t xml:space="preserve">условиях </w:t>
      </w:r>
      <w:r w:rsidRPr="004419F4">
        <w:t>предотвращени</w:t>
      </w:r>
      <w:r>
        <w:t>я</w:t>
      </w:r>
      <w:r w:rsidRPr="004419F4">
        <w:t xml:space="preserve"> конфликтов</w:t>
      </w:r>
      <w:r>
        <w:t>,</w:t>
      </w:r>
      <w:r w:rsidRPr="004419F4">
        <w:t xml:space="preserve"> в конфликтных и постко</w:t>
      </w:r>
      <w:r w:rsidRPr="004419F4">
        <w:t>н</w:t>
      </w:r>
      <w:r w:rsidRPr="004419F4">
        <w:t>фликтных ситуациях</w:t>
      </w:r>
      <w:r>
        <w:t xml:space="preserve"> под </w:t>
      </w:r>
      <w:r w:rsidRPr="004419F4">
        <w:t>председател</w:t>
      </w:r>
      <w:r>
        <w:t>ьством г</w:t>
      </w:r>
      <w:r>
        <w:noBreakHyphen/>
      </w:r>
      <w:r w:rsidRPr="004419F4">
        <w:t>ж</w:t>
      </w:r>
      <w:r>
        <w:t>и </w:t>
      </w:r>
      <w:r w:rsidRPr="004419F4">
        <w:t>Паттен и в состав</w:t>
      </w:r>
      <w:r>
        <w:t>е</w:t>
      </w:r>
      <w:r w:rsidRPr="004419F4">
        <w:t xml:space="preserve"> </w:t>
      </w:r>
      <w:r>
        <w:t>г</w:t>
      </w:r>
      <w:r>
        <w:noBreakHyphen/>
      </w:r>
      <w:r w:rsidRPr="004419F4">
        <w:t>ж</w:t>
      </w:r>
      <w:r>
        <w:t>и </w:t>
      </w:r>
      <w:r w:rsidRPr="004419F4">
        <w:t xml:space="preserve">Амелин, </w:t>
      </w:r>
      <w:r>
        <w:t>г</w:t>
      </w:r>
      <w:r>
        <w:noBreakHyphen/>
      </w:r>
      <w:r w:rsidRPr="004419F4">
        <w:t>ж</w:t>
      </w:r>
      <w:r>
        <w:t>и </w:t>
      </w:r>
      <w:r w:rsidRPr="004419F4">
        <w:t xml:space="preserve">Барейро-Бобадилья, </w:t>
      </w:r>
      <w:r>
        <w:t>г</w:t>
      </w:r>
      <w:r>
        <w:noBreakHyphen/>
      </w:r>
      <w:r w:rsidRPr="004419F4">
        <w:t>н</w:t>
      </w:r>
      <w:r>
        <w:t>а </w:t>
      </w:r>
      <w:r w:rsidRPr="004419F4">
        <w:t>Брун</w:t>
      </w:r>
      <w:r>
        <w:t>а</w:t>
      </w:r>
      <w:r w:rsidRPr="004419F4">
        <w:t xml:space="preserve">, </w:t>
      </w:r>
      <w:r>
        <w:t>г</w:t>
      </w:r>
      <w:r>
        <w:noBreakHyphen/>
      </w:r>
      <w:r w:rsidRPr="004419F4">
        <w:t>ж</w:t>
      </w:r>
      <w:r>
        <w:t>и </w:t>
      </w:r>
      <w:r w:rsidRPr="004419F4">
        <w:t xml:space="preserve">Хайдар, </w:t>
      </w:r>
      <w:r>
        <w:t>г</w:t>
      </w:r>
      <w:r>
        <w:noBreakHyphen/>
      </w:r>
      <w:r w:rsidRPr="004419F4">
        <w:t>ж</w:t>
      </w:r>
      <w:r>
        <w:t>и </w:t>
      </w:r>
      <w:r w:rsidRPr="004419F4">
        <w:t xml:space="preserve">Джахан, </w:t>
      </w:r>
      <w:r>
        <w:t>г</w:t>
      </w:r>
      <w:r>
        <w:noBreakHyphen/>
      </w:r>
      <w:r w:rsidRPr="004419F4">
        <w:t>ж</w:t>
      </w:r>
      <w:r>
        <w:t>и </w:t>
      </w:r>
      <w:r w:rsidRPr="004419F4">
        <w:t xml:space="preserve">Нванко, </w:t>
      </w:r>
      <w:r>
        <w:t>г</w:t>
      </w:r>
      <w:r>
        <w:noBreakHyphen/>
      </w:r>
      <w:r w:rsidRPr="004419F4">
        <w:t>ж</w:t>
      </w:r>
      <w:r>
        <w:t>и </w:t>
      </w:r>
      <w:r w:rsidRPr="004419F4">
        <w:t xml:space="preserve">Пиреш и </w:t>
      </w:r>
      <w:r>
        <w:t>г</w:t>
      </w:r>
      <w:r>
        <w:noBreakHyphen/>
      </w:r>
      <w:r w:rsidRPr="004419F4">
        <w:t>ж</w:t>
      </w:r>
      <w:r>
        <w:t>и </w:t>
      </w:r>
      <w:r w:rsidRPr="004419F4">
        <w:t>Померанци.</w:t>
      </w:r>
    </w:p>
    <w:p w:rsidR="00D67408" w:rsidRPr="002D5019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</w:r>
      <w:r w:rsidRPr="004419F4">
        <w:tab/>
        <w:t>Решение</w:t>
      </w:r>
      <w:r>
        <w:t> </w:t>
      </w:r>
      <w:r w:rsidRPr="004419F4">
        <w:t>57/VIII</w:t>
      </w:r>
    </w:p>
    <w:p w:rsidR="00D67408" w:rsidRPr="002D5019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ab/>
        <w:t xml:space="preserve">В состав рабочей группы </w:t>
      </w:r>
      <w:r>
        <w:t>п</w:t>
      </w:r>
      <w:r w:rsidRPr="004419F4">
        <w:t>о гендерны</w:t>
      </w:r>
      <w:r>
        <w:t>м</w:t>
      </w:r>
      <w:r w:rsidRPr="004419F4">
        <w:t xml:space="preserve"> аспекта</w:t>
      </w:r>
      <w:r>
        <w:t>м</w:t>
      </w:r>
      <w:r w:rsidRPr="004419F4">
        <w:t xml:space="preserve"> статуса беженца, уб</w:t>
      </w:r>
      <w:r w:rsidRPr="004419F4">
        <w:t>е</w:t>
      </w:r>
      <w:r w:rsidRPr="004419F4">
        <w:t>жища и безгражданства была включена Нала Хайдар в дополнение к действ</w:t>
      </w:r>
      <w:r w:rsidRPr="004419F4">
        <w:t>у</w:t>
      </w:r>
      <w:r w:rsidRPr="004419F4">
        <w:t>ющим членам: Фериде Аджар, Марьям Бельмихуб-Зердани, Никласу Бруну, Исмат Джахан, Йоко Хаяси, Патриции Шульц и Дубравке Шимонович (</w:t>
      </w:r>
      <w:r>
        <w:t>П</w:t>
      </w:r>
      <w:r w:rsidRPr="004419F4">
        <w:t>ре</w:t>
      </w:r>
      <w:r w:rsidRPr="004419F4">
        <w:t>д</w:t>
      </w:r>
      <w:r w:rsidRPr="004419F4">
        <w:t>седател</w:t>
      </w:r>
      <w:r>
        <w:t>ь</w:t>
      </w:r>
      <w:r w:rsidRPr="004419F4">
        <w:t>).</w:t>
      </w:r>
    </w:p>
    <w:p w:rsidR="00D67408" w:rsidRPr="004419F4" w:rsidRDefault="00D67408" w:rsidP="00D67408">
      <w:pPr>
        <w:pStyle w:val="SingleTxt"/>
      </w:pPr>
    </w:p>
    <w:p w:rsidR="00D6740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4419F4">
        <w:t>Глава</w:t>
      </w:r>
      <w:r>
        <w:t> </w:t>
      </w:r>
      <w:r w:rsidRPr="004419F4">
        <w:t>II</w:t>
      </w:r>
    </w:p>
    <w:p w:rsidR="00D67408" w:rsidRPr="008D64E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</w:r>
      <w:r w:rsidRPr="004419F4">
        <w:tab/>
        <w:t>Организационные и прочие вопросы</w:t>
      </w:r>
    </w:p>
    <w:p w:rsidR="00D67408" w:rsidRPr="008D64E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8D64E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  <w:t>A.</w:t>
      </w:r>
      <w:r w:rsidRPr="004419F4">
        <w:tab/>
        <w:t>Государства</w:t>
      </w:r>
      <w:r>
        <w:t xml:space="preserve"> — </w:t>
      </w:r>
      <w:r w:rsidRPr="004419F4">
        <w:t>участники Конвенции и Факультативного протокола</w:t>
      </w:r>
    </w:p>
    <w:p w:rsidR="00D67408" w:rsidRPr="008D64E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8D64E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4419F4" w:rsidRDefault="00D67408" w:rsidP="00D67408">
      <w:pPr>
        <w:pStyle w:val="SingleTxt"/>
      </w:pPr>
      <w:r w:rsidRPr="004419F4">
        <w:t>1.</w:t>
      </w:r>
      <w:r w:rsidRPr="004419F4">
        <w:tab/>
        <w:t>По состоянию на 28</w:t>
      </w:r>
      <w:r>
        <w:t> </w:t>
      </w:r>
      <w:r w:rsidRPr="004419F4">
        <w:t>февраля 2014</w:t>
      </w:r>
      <w:r>
        <w:t> </w:t>
      </w:r>
      <w:r w:rsidRPr="004419F4">
        <w:t>года</w:t>
      </w:r>
      <w:r>
        <w:t xml:space="preserve"> — </w:t>
      </w:r>
      <w:r w:rsidRPr="004419F4">
        <w:t>дату закрытия пятьдесят сед</w:t>
      </w:r>
      <w:r w:rsidRPr="004419F4">
        <w:t>ь</w:t>
      </w:r>
      <w:r w:rsidRPr="004419F4">
        <w:t>мой сессии Комитета по ликвидации дискриминации в отношении женщи</w:t>
      </w:r>
      <w:r w:rsidRPr="004419F4">
        <w:t>н</w:t>
      </w:r>
      <w:r>
        <w:t xml:space="preserve"> — </w:t>
      </w:r>
      <w:r w:rsidRPr="004419F4">
        <w:t>насчитывалось 187</w:t>
      </w:r>
      <w:r>
        <w:t> </w:t>
      </w:r>
      <w:r w:rsidRPr="004419F4">
        <w:t>государств</w:t>
      </w:r>
      <w:r>
        <w:t xml:space="preserve"> — </w:t>
      </w:r>
      <w:r w:rsidRPr="004419F4">
        <w:t>участников Конвенции о ликвидации всех форм дискриминации в отношении женщин</w:t>
      </w:r>
      <w:r w:rsidRPr="00C62420">
        <w:rPr>
          <w:rStyle w:val="FootnoteReference"/>
        </w:rPr>
        <w:footnoteReference w:id="13"/>
      </w:r>
      <w:r w:rsidRPr="004419F4">
        <w:t>, которая была принята Генерал</w:t>
      </w:r>
      <w:r w:rsidRPr="004419F4">
        <w:t>ь</w:t>
      </w:r>
      <w:r w:rsidRPr="004419F4">
        <w:t>ной Ассамблеей в ее резолюции</w:t>
      </w:r>
      <w:r>
        <w:t> </w:t>
      </w:r>
      <w:hyperlink r:id="rId90" w:history="1">
        <w:r w:rsidRPr="002952F8">
          <w:rPr>
            <w:rStyle w:val="Hyperlink"/>
          </w:rPr>
          <w:t>34/180</w:t>
        </w:r>
      </w:hyperlink>
      <w:r w:rsidRPr="004419F4">
        <w:t xml:space="preserve"> и открыта для подписания, ратифик</w:t>
      </w:r>
      <w:r w:rsidRPr="004419F4">
        <w:t>а</w:t>
      </w:r>
      <w:r w:rsidRPr="004419F4">
        <w:t>ции и присоединения в Нью-Йорке 1</w:t>
      </w:r>
      <w:r>
        <w:t> </w:t>
      </w:r>
      <w:r w:rsidRPr="004419F4">
        <w:t>марта 1980</w:t>
      </w:r>
      <w:r>
        <w:t> </w:t>
      </w:r>
      <w:r w:rsidRPr="004419F4">
        <w:t>года. В соответствии со стат</w:t>
      </w:r>
      <w:r w:rsidRPr="004419F4">
        <w:t>ь</w:t>
      </w:r>
      <w:r w:rsidRPr="004419F4">
        <w:t>ей</w:t>
      </w:r>
      <w:r>
        <w:t> </w:t>
      </w:r>
      <w:r w:rsidRPr="004419F4">
        <w:t>27 Конвенци</w:t>
      </w:r>
      <w:r>
        <w:t xml:space="preserve">и она </w:t>
      </w:r>
      <w:r w:rsidRPr="004419F4">
        <w:t>вступила в силу 3</w:t>
      </w:r>
      <w:r>
        <w:t> </w:t>
      </w:r>
      <w:r w:rsidRPr="004419F4">
        <w:t>сентября 1981</w:t>
      </w:r>
      <w:r>
        <w:t> </w:t>
      </w:r>
      <w:r w:rsidRPr="004419F4">
        <w:t>года. Кроме того, 68</w:t>
      </w:r>
      <w:r>
        <w:t> </w:t>
      </w:r>
      <w:r w:rsidRPr="004419F4">
        <w:t>государств-участников приняли поправку к пункту</w:t>
      </w:r>
      <w:r>
        <w:t> </w:t>
      </w:r>
      <w:r w:rsidRPr="004419F4">
        <w:t>1 статьи</w:t>
      </w:r>
      <w:r>
        <w:t> </w:t>
      </w:r>
      <w:r w:rsidRPr="004419F4">
        <w:t xml:space="preserve">20 Конвенции, касающемуся сроков проведения заседаний Комитета. </w:t>
      </w:r>
      <w:r>
        <w:t>Согласно положениям Конвенции, д</w:t>
      </w:r>
      <w:r w:rsidRPr="004419F4">
        <w:t>ля вступления данной поправки в силу она должна быть прин</w:t>
      </w:r>
      <w:r w:rsidRPr="004419F4">
        <w:t>я</w:t>
      </w:r>
      <w:r w:rsidRPr="004419F4">
        <w:t>та в общей сложности 125</w:t>
      </w:r>
      <w:r>
        <w:t> </w:t>
      </w:r>
      <w:r w:rsidRPr="004419F4">
        <w:t>государствами</w:t>
      </w:r>
      <w:r>
        <w:t xml:space="preserve"> — </w:t>
      </w:r>
      <w:r w:rsidRPr="004419F4">
        <w:t>участниками Конвенции</w:t>
      </w:r>
      <w:r>
        <w:t>.</w:t>
      </w:r>
      <w:r w:rsidRPr="004419F4">
        <w:t xml:space="preserve"> </w:t>
      </w:r>
    </w:p>
    <w:p w:rsidR="00D67408" w:rsidRPr="004419F4" w:rsidRDefault="00D67408" w:rsidP="00D67408">
      <w:pPr>
        <w:pStyle w:val="SingleTxt"/>
      </w:pPr>
      <w:r w:rsidRPr="004419F4">
        <w:t>2.</w:t>
      </w:r>
      <w:r w:rsidRPr="004419F4">
        <w:tab/>
        <w:t>На ту же дату насчитывалось 104</w:t>
      </w:r>
      <w:r>
        <w:t> </w:t>
      </w:r>
      <w:r w:rsidRPr="004419F4">
        <w:t>государства</w:t>
      </w:r>
      <w:r>
        <w:t xml:space="preserve"> — </w:t>
      </w:r>
      <w:r w:rsidRPr="004419F4">
        <w:t>участника Факультати</w:t>
      </w:r>
      <w:r w:rsidRPr="004419F4">
        <w:t>в</w:t>
      </w:r>
      <w:r w:rsidRPr="004419F4">
        <w:t>ного протокола к Конвенции</w:t>
      </w:r>
      <w:r w:rsidRPr="00C62420">
        <w:rPr>
          <w:rStyle w:val="FootnoteReference"/>
        </w:rPr>
        <w:footnoteReference w:id="14"/>
      </w:r>
      <w:r w:rsidRPr="004419F4">
        <w:t>, который был принят Генеральной Ассамблеей в ее резолюции</w:t>
      </w:r>
      <w:r>
        <w:rPr>
          <w:lang w:val="en-US"/>
        </w:rPr>
        <w:t> </w:t>
      </w:r>
      <w:hyperlink r:id="rId91" w:history="1">
        <w:r w:rsidRPr="002952F8">
          <w:rPr>
            <w:rStyle w:val="Hyperlink"/>
          </w:rPr>
          <w:t>54/4</w:t>
        </w:r>
      </w:hyperlink>
      <w:r w:rsidRPr="004419F4">
        <w:t xml:space="preserve"> и открыт для подписания, ратификации и присоединения в Нью-Йорке 10</w:t>
      </w:r>
      <w:r>
        <w:rPr>
          <w:lang w:val="en-US"/>
        </w:rPr>
        <w:t> </w:t>
      </w:r>
      <w:r w:rsidRPr="004419F4">
        <w:t>декабря 1999</w:t>
      </w:r>
      <w:r>
        <w:rPr>
          <w:lang w:val="en-US"/>
        </w:rPr>
        <w:t> </w:t>
      </w:r>
      <w:r w:rsidRPr="004419F4">
        <w:t>года. В соответствии со статьей</w:t>
      </w:r>
      <w:r>
        <w:rPr>
          <w:lang w:val="en-US"/>
        </w:rPr>
        <w:t> </w:t>
      </w:r>
      <w:r w:rsidRPr="004419F4">
        <w:t>16 Факультативн</w:t>
      </w:r>
      <w:r>
        <w:t>о</w:t>
      </w:r>
      <w:r>
        <w:t xml:space="preserve">го </w:t>
      </w:r>
      <w:r w:rsidRPr="004419F4">
        <w:t>протокол</w:t>
      </w:r>
      <w:r>
        <w:t>а</w:t>
      </w:r>
      <w:r w:rsidRPr="004419F4">
        <w:t xml:space="preserve"> </w:t>
      </w:r>
      <w:r>
        <w:t xml:space="preserve">он </w:t>
      </w:r>
      <w:r w:rsidRPr="004419F4">
        <w:t>вступил в силу 22</w:t>
      </w:r>
      <w:r>
        <w:rPr>
          <w:lang w:val="en-US"/>
        </w:rPr>
        <w:t> </w:t>
      </w:r>
      <w:r w:rsidRPr="004419F4">
        <w:t>декабря 2000</w:t>
      </w:r>
      <w:r>
        <w:rPr>
          <w:lang w:val="en-US"/>
        </w:rPr>
        <w:t> </w:t>
      </w:r>
      <w:r w:rsidRPr="004419F4">
        <w:t>года.</w:t>
      </w:r>
    </w:p>
    <w:p w:rsidR="00D67408" w:rsidRDefault="00D67408" w:rsidP="00D67408">
      <w:pPr>
        <w:pStyle w:val="SingleTxt"/>
      </w:pPr>
      <w:r w:rsidRPr="004419F4">
        <w:t>3.</w:t>
      </w:r>
      <w:r w:rsidRPr="004419F4">
        <w:tab/>
        <w:t>Ознакомиться с обновленной информацией о Конвенции, поправке к Ко</w:t>
      </w:r>
      <w:r w:rsidRPr="004419F4">
        <w:t>н</w:t>
      </w:r>
      <w:r w:rsidRPr="004419F4">
        <w:t>венции и Факультативном протоколе к Конвенции, а также со списком гос</w:t>
      </w:r>
      <w:r w:rsidRPr="004419F4">
        <w:t>у</w:t>
      </w:r>
      <w:r w:rsidRPr="004419F4">
        <w:t>дарств, подписавших Конвенцию и являющихся ее участниками, и с текстами деклараций, оговорок, возражений и другой соответствующей информацией можно на веб-сайте «Собрание договоров Организации Объединенных Наций» (http://treaties.un.org), которы</w:t>
      </w:r>
      <w:r>
        <w:t xml:space="preserve">й обслуживает </w:t>
      </w:r>
      <w:r w:rsidRPr="004419F4">
        <w:t>Договорная секция Управления по правовым вопросам, выполняющая депозитарные функции Генерального се</w:t>
      </w:r>
      <w:r w:rsidRPr="004419F4">
        <w:t>к</w:t>
      </w:r>
      <w:r w:rsidRPr="004419F4">
        <w:t>ретаря.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  <w:t>B.</w:t>
      </w:r>
      <w:r w:rsidRPr="004419F4">
        <w:tab/>
        <w:t>Открытие сессии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4419F4" w:rsidRDefault="00D67408" w:rsidP="00D67408">
      <w:pPr>
        <w:pStyle w:val="SingleTxt"/>
      </w:pPr>
      <w:r w:rsidRPr="004419F4">
        <w:t>4.</w:t>
      </w:r>
      <w:r w:rsidRPr="004419F4">
        <w:tab/>
        <w:t xml:space="preserve">Комитет провел свою пятьдесят </w:t>
      </w:r>
      <w:r>
        <w:t xml:space="preserve">седьмую </w:t>
      </w:r>
      <w:r w:rsidRPr="004419F4">
        <w:t>сессию в Отделении Организ</w:t>
      </w:r>
      <w:r w:rsidRPr="004419F4">
        <w:t>а</w:t>
      </w:r>
      <w:r w:rsidRPr="004419F4">
        <w:t>ции Объединенных Наций в Женеве 10</w:t>
      </w:r>
      <w:r>
        <w:t>–</w:t>
      </w:r>
      <w:r w:rsidRPr="004419F4">
        <w:t>28</w:t>
      </w:r>
      <w:r>
        <w:t> </w:t>
      </w:r>
      <w:r w:rsidRPr="004419F4">
        <w:t>февраля 2014</w:t>
      </w:r>
      <w:r>
        <w:t> </w:t>
      </w:r>
      <w:r w:rsidRPr="004419F4">
        <w:t>года. Комитет пр</w:t>
      </w:r>
      <w:r w:rsidRPr="004419F4">
        <w:t>о</w:t>
      </w:r>
      <w:r w:rsidRPr="004419F4">
        <w:t>вел 17</w:t>
      </w:r>
      <w:r>
        <w:t> </w:t>
      </w:r>
      <w:r w:rsidRPr="004419F4">
        <w:t>пленарных заседаний, а также 13</w:t>
      </w:r>
      <w:r>
        <w:t> </w:t>
      </w:r>
      <w:r w:rsidRPr="004419F4">
        <w:t>заседаний для обсуждения пунктов</w:t>
      </w:r>
      <w:r>
        <w:t> </w:t>
      </w:r>
      <w:r w:rsidRPr="004419F4">
        <w:t>5, 6, 7 и</w:t>
      </w:r>
      <w:r>
        <w:t> </w:t>
      </w:r>
      <w:r w:rsidRPr="004419F4">
        <w:t>8 повестки дня. Список документов, которые имелись в распоряжении Ком</w:t>
      </w:r>
      <w:r w:rsidRPr="004419F4">
        <w:t>и</w:t>
      </w:r>
      <w:r w:rsidRPr="004419F4">
        <w:t>тета, приведен в приложении IV к части третьей настоящего доклада.</w:t>
      </w:r>
    </w:p>
    <w:p w:rsidR="00D67408" w:rsidRDefault="00D67408" w:rsidP="00D67408">
      <w:pPr>
        <w:pStyle w:val="SingleTxt"/>
      </w:pPr>
      <w:r w:rsidRPr="004419F4">
        <w:t>5.</w:t>
      </w:r>
      <w:r w:rsidRPr="004419F4">
        <w:tab/>
        <w:t xml:space="preserve">Сессия была открыта заместителем </w:t>
      </w:r>
      <w:r>
        <w:t>П</w:t>
      </w:r>
      <w:r w:rsidRPr="004419F4">
        <w:t>редседателя Комитета Прамилой Паттен 10</w:t>
      </w:r>
      <w:r>
        <w:t> </w:t>
      </w:r>
      <w:r w:rsidRPr="004419F4">
        <w:t>февраля 2014</w:t>
      </w:r>
      <w:r>
        <w:t> </w:t>
      </w:r>
      <w:r w:rsidRPr="004419F4">
        <w:t>года на его 1185</w:t>
      </w:r>
      <w:r>
        <w:noBreakHyphen/>
        <w:t>м </w:t>
      </w:r>
      <w:r w:rsidRPr="004419F4">
        <w:t>заседании.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1A353E" w:rsidP="00D674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67408" w:rsidRPr="004419F4">
        <w:tab/>
        <w:t>C.</w:t>
      </w:r>
      <w:r w:rsidR="00D67408" w:rsidRPr="004419F4">
        <w:tab/>
        <w:t>Утверждение повестки дня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>6.</w:t>
      </w:r>
      <w:r w:rsidRPr="004419F4">
        <w:tab/>
        <w:t>Комитет утвердил предварительную повестку дня (</w:t>
      </w:r>
      <w:hyperlink r:id="rId92" w:history="1">
        <w:r w:rsidRPr="002952F8">
          <w:rPr>
            <w:rStyle w:val="Hyperlink"/>
          </w:rPr>
          <w:t>CEDAW/C/57/1</w:t>
        </w:r>
      </w:hyperlink>
      <w:r w:rsidRPr="004419F4">
        <w:t>) на своем 1185</w:t>
      </w:r>
      <w:r>
        <w:noBreakHyphen/>
        <w:t>м </w:t>
      </w:r>
      <w:r w:rsidRPr="004419F4">
        <w:t>заседании.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  <w:t>D.</w:t>
      </w:r>
      <w:r w:rsidRPr="004419F4">
        <w:tab/>
        <w:t>Доклад предсессионной рабочей группы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SingleTxt"/>
      </w:pPr>
      <w:r w:rsidRPr="004419F4">
        <w:t>7.</w:t>
      </w:r>
      <w:r w:rsidRPr="004419F4">
        <w:tab/>
        <w:t>Доклад предсессионной рабочей группы (</w:t>
      </w:r>
      <w:hyperlink r:id="rId93" w:history="1">
        <w:r w:rsidRPr="002952F8">
          <w:rPr>
            <w:rStyle w:val="Hyperlink"/>
          </w:rPr>
          <w:t>CEDAW/PSWG/51/1</w:t>
        </w:r>
      </w:hyperlink>
      <w:r w:rsidRPr="004419F4">
        <w:t>), которая провела свои заседания 29</w:t>
      </w:r>
      <w:r>
        <w:t> </w:t>
      </w:r>
      <w:r w:rsidRPr="004419F4">
        <w:t>июля</w:t>
      </w:r>
      <w:r>
        <w:t xml:space="preserve"> — </w:t>
      </w:r>
      <w:r w:rsidRPr="004419F4">
        <w:t>2</w:t>
      </w:r>
      <w:r>
        <w:t> </w:t>
      </w:r>
      <w:r w:rsidRPr="004419F4">
        <w:t>августа 2014</w:t>
      </w:r>
      <w:r>
        <w:t> </w:t>
      </w:r>
      <w:r w:rsidRPr="004419F4">
        <w:t>года, был представлен Пр</w:t>
      </w:r>
      <w:r w:rsidRPr="004419F4">
        <w:t>а</w:t>
      </w:r>
      <w:r w:rsidRPr="004419F4">
        <w:t>милой Паттен на 1185</w:t>
      </w:r>
      <w:r>
        <w:noBreakHyphen/>
        <w:t>м </w:t>
      </w:r>
      <w:r w:rsidRPr="004419F4">
        <w:t>заседании.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  <w:t>E.</w:t>
      </w:r>
      <w:r w:rsidRPr="004419F4">
        <w:tab/>
        <w:t>Организация работы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4419F4" w:rsidRDefault="00D67408" w:rsidP="00D67408">
      <w:pPr>
        <w:pStyle w:val="SingleTxt"/>
      </w:pPr>
      <w:r w:rsidRPr="004419F4">
        <w:t>8.</w:t>
      </w:r>
      <w:r w:rsidRPr="004419F4">
        <w:tab/>
        <w:t>10 и 17</w:t>
      </w:r>
      <w:r>
        <w:t> </w:t>
      </w:r>
      <w:r w:rsidRPr="004419F4">
        <w:t>февраля 2014</w:t>
      </w:r>
      <w:r>
        <w:t> </w:t>
      </w:r>
      <w:r w:rsidRPr="004419F4">
        <w:t>года Комитет провел закрытые заседания с предст</w:t>
      </w:r>
      <w:r w:rsidRPr="004419F4">
        <w:t>а</w:t>
      </w:r>
      <w:r w:rsidRPr="004419F4">
        <w:t>вителями специализированных учреждений, фондов и программ системы О</w:t>
      </w:r>
      <w:r w:rsidRPr="004419F4">
        <w:t>р</w:t>
      </w:r>
      <w:r w:rsidRPr="004419F4">
        <w:t>ганизации Объединенных Наций, а также других межправительственных орг</w:t>
      </w:r>
      <w:r w:rsidRPr="004419F4">
        <w:t>а</w:t>
      </w:r>
      <w:r w:rsidRPr="004419F4">
        <w:t>низаций, в ходе которых этими органами был</w:t>
      </w:r>
      <w:r>
        <w:t>и</w:t>
      </w:r>
      <w:r w:rsidRPr="004419F4">
        <w:t xml:space="preserve"> представлен</w:t>
      </w:r>
      <w:r>
        <w:t xml:space="preserve">ы данные </w:t>
      </w:r>
      <w:r w:rsidRPr="004419F4">
        <w:t>по ко</w:t>
      </w:r>
      <w:r w:rsidRPr="004419F4">
        <w:t>н</w:t>
      </w:r>
      <w:r w:rsidRPr="004419F4">
        <w:t>кретным странам</w:t>
      </w:r>
      <w:r>
        <w:t xml:space="preserve"> и </w:t>
      </w:r>
      <w:r w:rsidRPr="004419F4">
        <w:t>информация об усилиях, прилагаемых ими в поддержку осуществления Конвенции.</w:t>
      </w:r>
    </w:p>
    <w:p w:rsidR="00D67408" w:rsidRPr="004419F4" w:rsidRDefault="00D67408" w:rsidP="00D67408">
      <w:pPr>
        <w:pStyle w:val="SingleTxt"/>
      </w:pPr>
      <w:r w:rsidRPr="004419F4">
        <w:t>9.</w:t>
      </w:r>
      <w:r w:rsidRPr="004419F4">
        <w:tab/>
        <w:t>10 и 17</w:t>
      </w:r>
      <w:r>
        <w:t> </w:t>
      </w:r>
      <w:r w:rsidRPr="004419F4">
        <w:t>февраля 2014</w:t>
      </w:r>
      <w:r>
        <w:t> </w:t>
      </w:r>
      <w:r w:rsidRPr="004419F4">
        <w:t>года Комитет провел неофициальные открытые з</w:t>
      </w:r>
      <w:r w:rsidRPr="004419F4">
        <w:t>а</w:t>
      </w:r>
      <w:r w:rsidRPr="004419F4">
        <w:t>седания с представителями неправительственных организаций и национальных правозащитных учреждений, которые представили информацию об осущест</w:t>
      </w:r>
      <w:r w:rsidRPr="004419F4">
        <w:t>в</w:t>
      </w:r>
      <w:r w:rsidRPr="004419F4">
        <w:t>лении Конвенции в государствах-участниках, рассмотренную Комитетом на его пятьдесят седьмой сессии.</w:t>
      </w:r>
    </w:p>
    <w:p w:rsidR="00D67408" w:rsidRPr="004419F4" w:rsidRDefault="00D67408" w:rsidP="00D67408">
      <w:pPr>
        <w:pStyle w:val="SingleTxt"/>
      </w:pPr>
      <w:r w:rsidRPr="004419F4">
        <w:t>10.</w:t>
      </w:r>
      <w:r w:rsidRPr="004419F4">
        <w:tab/>
        <w:t>17</w:t>
      </w:r>
      <w:r>
        <w:t> </w:t>
      </w:r>
      <w:r w:rsidRPr="004419F4">
        <w:t>февраля 2014</w:t>
      </w:r>
      <w:r>
        <w:t> </w:t>
      </w:r>
      <w:r w:rsidRPr="004419F4">
        <w:t>года Комитет заслушал краткую информацию представ</w:t>
      </w:r>
      <w:r w:rsidRPr="004419F4">
        <w:t>и</w:t>
      </w:r>
      <w:r w:rsidRPr="004419F4">
        <w:t>телей Всемирной организации здравоохранения (ВОЗ) о пересмотренных р</w:t>
      </w:r>
      <w:r w:rsidRPr="004419F4">
        <w:t>е</w:t>
      </w:r>
      <w:r w:rsidRPr="004419F4">
        <w:t>комендациях ВОЗ по вопросам политики и практики в отношении безопа</w:t>
      </w:r>
      <w:r w:rsidRPr="004419F4">
        <w:t>с</w:t>
      </w:r>
      <w:r w:rsidRPr="004419F4">
        <w:t xml:space="preserve">ных абортов. </w:t>
      </w:r>
    </w:p>
    <w:p w:rsidR="00D67408" w:rsidRDefault="00D67408" w:rsidP="00D67408">
      <w:pPr>
        <w:pStyle w:val="SingleTxt"/>
      </w:pPr>
      <w:r w:rsidRPr="004419F4">
        <w:t>11.</w:t>
      </w:r>
      <w:r w:rsidRPr="004419F4">
        <w:tab/>
        <w:t>27</w:t>
      </w:r>
      <w:r>
        <w:t> </w:t>
      </w:r>
      <w:r w:rsidRPr="004419F4">
        <w:t>февраля 2014</w:t>
      </w:r>
      <w:r>
        <w:t> </w:t>
      </w:r>
      <w:r w:rsidRPr="004419F4">
        <w:t>года Комитет провел встречу с руководителем секции по правам женщин и гендерным вопросам Управления Верховного комиссара О</w:t>
      </w:r>
      <w:r w:rsidRPr="004419F4">
        <w:t>р</w:t>
      </w:r>
      <w:r w:rsidRPr="004419F4">
        <w:t xml:space="preserve">ганизации Объединенных Наций по правам человека Вероникой Бирга, которая кратко проинформировала Комитет об учете прав женщин в стратегическом плане УВКПЧ на </w:t>
      </w:r>
      <w:r>
        <w:t xml:space="preserve">период </w:t>
      </w:r>
      <w:r w:rsidRPr="004419F4">
        <w:t>2014</w:t>
      </w:r>
      <w:r>
        <w:t>–</w:t>
      </w:r>
      <w:r w:rsidRPr="004419F4">
        <w:t>2017</w:t>
      </w:r>
      <w:r>
        <w:t> </w:t>
      </w:r>
      <w:r w:rsidRPr="004419F4">
        <w:t>год</w:t>
      </w:r>
      <w:r>
        <w:t>ов</w:t>
      </w:r>
      <w:r w:rsidRPr="004419F4">
        <w:t xml:space="preserve"> и о ведущемся исследовании вопр</w:t>
      </w:r>
      <w:r w:rsidRPr="004419F4">
        <w:t>о</w:t>
      </w:r>
      <w:r w:rsidRPr="004419F4">
        <w:t>са гендерных стереотипов.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4419F4" w:rsidRDefault="00D67408" w:rsidP="00D674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19F4">
        <w:tab/>
        <w:t>F.</w:t>
      </w:r>
      <w:r w:rsidRPr="004419F4">
        <w:tab/>
        <w:t>Членский состав Комитета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</w:pPr>
      <w:r w:rsidRPr="004419F4">
        <w:t>12.</w:t>
      </w:r>
      <w:r w:rsidRPr="004419F4">
        <w:tab/>
        <w:t xml:space="preserve">В работе пятьдесят седьмой сессии приняли участие все члены, кроме Нур </w:t>
      </w:r>
      <w:r>
        <w:t>а</w:t>
      </w:r>
      <w:r w:rsidRPr="004419F4">
        <w:t>ль-Джехани и Марьям Бельмихуб-Зердани. Фериде Аджар не присутств</w:t>
      </w:r>
      <w:r w:rsidRPr="004419F4">
        <w:t>о</w:t>
      </w:r>
      <w:r w:rsidRPr="004419F4">
        <w:t>вала на сессии 10 и 11</w:t>
      </w:r>
      <w:r>
        <w:t> </w:t>
      </w:r>
      <w:r w:rsidRPr="004419F4">
        <w:t>февраля 2014</w:t>
      </w:r>
      <w:r>
        <w:t> </w:t>
      </w:r>
      <w:r w:rsidRPr="004419F4">
        <w:t>года. Николь Амелин не смогла принять участие в работе сессии 10, 11 и 17</w:t>
      </w:r>
      <w:r>
        <w:t> </w:t>
      </w:r>
      <w:r w:rsidRPr="004419F4">
        <w:t>февраля 2014</w:t>
      </w:r>
      <w:r>
        <w:t> </w:t>
      </w:r>
      <w:r w:rsidRPr="004419F4">
        <w:t>года. Никлас Брун не прису</w:t>
      </w:r>
      <w:r w:rsidRPr="004419F4">
        <w:t>т</w:t>
      </w:r>
      <w:r w:rsidRPr="004419F4">
        <w:t>ствовал на сессии 13</w:t>
      </w:r>
      <w:r>
        <w:t> </w:t>
      </w:r>
      <w:r w:rsidRPr="004419F4">
        <w:t>февраля 2014</w:t>
      </w:r>
      <w:r>
        <w:t> </w:t>
      </w:r>
      <w:r w:rsidRPr="004419F4">
        <w:t>года. Руфь Гальперин-Каддари отсутствов</w:t>
      </w:r>
      <w:r w:rsidRPr="004419F4">
        <w:t>а</w:t>
      </w:r>
      <w:r w:rsidRPr="004419F4">
        <w:t>ла с 10 по 14</w:t>
      </w:r>
      <w:r>
        <w:t> </w:t>
      </w:r>
      <w:r w:rsidRPr="004419F4">
        <w:t>февраля, а также 21 и 28</w:t>
      </w:r>
      <w:r>
        <w:t> </w:t>
      </w:r>
      <w:r w:rsidRPr="004419F4">
        <w:t>февраля 2014</w:t>
      </w:r>
      <w:r>
        <w:t> </w:t>
      </w:r>
      <w:r w:rsidRPr="004419F4">
        <w:t>года. Список членов Ком</w:t>
      </w:r>
      <w:r w:rsidRPr="004419F4">
        <w:t>и</w:t>
      </w:r>
      <w:r w:rsidRPr="004419F4">
        <w:t>тета с указанием срока их полномочий содержится в приложении</w:t>
      </w:r>
      <w:r>
        <w:t> </w:t>
      </w:r>
      <w:r w:rsidRPr="004419F4">
        <w:t>VIII к части второй настоящего доклада.</w:t>
      </w:r>
    </w:p>
    <w:p w:rsidR="00D6740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247D4">
        <w:t>Глава</w:t>
      </w:r>
      <w:r>
        <w:t> </w:t>
      </w:r>
      <w:r w:rsidRPr="008247D4">
        <w:t>III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8247D4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247D4">
        <w:t>Доклад Председателя о мероприятиях, проведенных в</w:t>
      </w:r>
      <w:r>
        <w:t> </w:t>
      </w:r>
      <w:r w:rsidRPr="008247D4">
        <w:t>период между пятьдесят шестой и пятьдесят седьмой сессиями Комитета</w:t>
      </w: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6C1F67" w:rsidRDefault="00D67408" w:rsidP="00D67408">
      <w:pPr>
        <w:pStyle w:val="SingleTxt"/>
      </w:pPr>
      <w:r w:rsidRPr="008247D4">
        <w:t>13.</w:t>
      </w:r>
      <w:r w:rsidRPr="008247D4">
        <w:tab/>
        <w:t>На 1185</w:t>
      </w:r>
      <w:r>
        <w:noBreakHyphen/>
        <w:t>м </w:t>
      </w:r>
      <w:r w:rsidRPr="008247D4">
        <w:t xml:space="preserve">заседании заместитель </w:t>
      </w:r>
      <w:r>
        <w:t>П</w:t>
      </w:r>
      <w:r w:rsidRPr="008247D4">
        <w:t>редседателя Прамила Паттен предст</w:t>
      </w:r>
      <w:r w:rsidRPr="008247D4">
        <w:t>а</w:t>
      </w:r>
      <w:r w:rsidRPr="008247D4">
        <w:t xml:space="preserve">вила доклад </w:t>
      </w:r>
      <w:r>
        <w:t>П</w:t>
      </w:r>
      <w:r w:rsidRPr="008247D4">
        <w:t xml:space="preserve">редседателя Николь Амелин о деятельности, осуществленной </w:t>
      </w:r>
      <w:r>
        <w:t>П</w:t>
      </w:r>
      <w:r w:rsidRPr="008247D4">
        <w:t>редседателем после пятьдесят шестой сессии Комитета.</w:t>
      </w:r>
    </w:p>
    <w:p w:rsidR="00D67408" w:rsidRPr="006C1F67" w:rsidRDefault="00D67408" w:rsidP="00D67408">
      <w:pPr>
        <w:pStyle w:val="SingleTxt"/>
      </w:pPr>
    </w:p>
    <w:p w:rsidR="00D6740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C1F67">
        <w:br w:type="page"/>
      </w:r>
      <w:r w:rsidRPr="008247D4">
        <w:t>Глава</w:t>
      </w:r>
      <w:r>
        <w:t> </w:t>
      </w:r>
      <w:r w:rsidRPr="008247D4">
        <w:t>IV</w:t>
      </w:r>
    </w:p>
    <w:p w:rsidR="00D67408" w:rsidRPr="0029459C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47D4">
        <w:tab/>
      </w:r>
      <w:r w:rsidRPr="008247D4">
        <w:tab/>
        <w:t>Рассмотрение докладов, представляемых государствами-участниками в соответствии со</w:t>
      </w:r>
      <w:r>
        <w:t> </w:t>
      </w:r>
      <w:r w:rsidRPr="008247D4">
        <w:t>статьей</w:t>
      </w:r>
      <w:r>
        <w:t> </w:t>
      </w:r>
      <w:r w:rsidRPr="008247D4">
        <w:t xml:space="preserve">18 Конвенции </w:t>
      </w:r>
    </w:p>
    <w:p w:rsidR="00D67408" w:rsidRPr="0029459C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29459C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8247D4" w:rsidRDefault="00D67408" w:rsidP="00D67408">
      <w:pPr>
        <w:pStyle w:val="SingleTxt"/>
      </w:pPr>
      <w:r w:rsidRPr="008247D4">
        <w:t>14.</w:t>
      </w:r>
      <w:r w:rsidRPr="008247D4">
        <w:tab/>
        <w:t>На своей пятьдесят седьмой сессии Комитет рассмотрел доклады семи государств-участников, представленные в соответствии со статьей</w:t>
      </w:r>
      <w:r>
        <w:t> </w:t>
      </w:r>
      <w:r w:rsidRPr="008247D4">
        <w:t>18 Конве</w:t>
      </w:r>
      <w:r w:rsidRPr="008247D4">
        <w:t>н</w:t>
      </w:r>
      <w:r w:rsidRPr="008247D4">
        <w:t>ции: третий периодический доклад Бахрейна; объединенные четвертый и п</w:t>
      </w:r>
      <w:r w:rsidRPr="008247D4">
        <w:t>я</w:t>
      </w:r>
      <w:r w:rsidRPr="008247D4">
        <w:t>тый периодические доклады Камеруна; седьмой периодический доклад Фи</w:t>
      </w:r>
      <w:r w:rsidRPr="008247D4">
        <w:t>н</w:t>
      </w:r>
      <w:r w:rsidRPr="008247D4">
        <w:t>ляндии; объединенные четвертый, пятый и шестой периодические доклады Ирака; объединенные третий и четвертый периодические доклады Казахстана; первоначальный доклад Катара; и шестой периодический доклад Сьерра-Леоне.</w:t>
      </w:r>
    </w:p>
    <w:p w:rsidR="00D67408" w:rsidRPr="002E5786" w:rsidRDefault="00D67408" w:rsidP="00D67408">
      <w:pPr>
        <w:pStyle w:val="SingleTxt"/>
      </w:pPr>
      <w:r w:rsidRPr="008247D4">
        <w:t>15.</w:t>
      </w:r>
      <w:r w:rsidRPr="008247D4">
        <w:tab/>
        <w:t>Комитет утвердил заключительные замечания по каждому рассмотренн</w:t>
      </w:r>
      <w:r w:rsidRPr="008247D4">
        <w:t>о</w:t>
      </w:r>
      <w:r w:rsidRPr="008247D4">
        <w:t xml:space="preserve">му докладу. Заключительные замечания размещены на веб-сайте </w:t>
      </w:r>
      <w:r>
        <w:t xml:space="preserve">Системы </w:t>
      </w:r>
      <w:r w:rsidRPr="008247D4">
        <w:t>официальн</w:t>
      </w:r>
      <w:r>
        <w:t>ой</w:t>
      </w:r>
      <w:r w:rsidRPr="008247D4">
        <w:t xml:space="preserve"> документ</w:t>
      </w:r>
      <w:r>
        <w:t xml:space="preserve">ации </w:t>
      </w:r>
      <w:r w:rsidRPr="008247D4">
        <w:t>Организации Объединенных Наций (http://documents.un.org/) с указанием условных обозначений документов, кот</w:t>
      </w:r>
      <w:r w:rsidRPr="008247D4">
        <w:t>о</w:t>
      </w:r>
      <w:r w:rsidRPr="008247D4">
        <w:t>рые приведены ниже:</w:t>
      </w:r>
    </w:p>
    <w:p w:rsidR="00D67408" w:rsidRPr="002E5786" w:rsidRDefault="00D67408" w:rsidP="00D67408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7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7"/>
        <w:gridCol w:w="3576"/>
      </w:tblGrid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pacing w:val="2"/>
                <w:szCs w:val="20"/>
              </w:rPr>
            </w:pPr>
            <w:r w:rsidRPr="008247D4">
              <w:rPr>
                <w:spacing w:val="2"/>
                <w:szCs w:val="20"/>
              </w:rPr>
              <w:t>Бахрейн</w:t>
            </w:r>
          </w:p>
        </w:tc>
        <w:tc>
          <w:tcPr>
            <w:tcW w:w="3576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72" w:right="43"/>
              <w:jc w:val="both"/>
              <w:rPr>
                <w:szCs w:val="20"/>
              </w:rPr>
            </w:pPr>
            <w:r w:rsidRPr="008247D4">
              <w:rPr>
                <w:szCs w:val="20"/>
              </w:rPr>
              <w:t>(</w:t>
            </w:r>
            <w:hyperlink r:id="rId94" w:history="1">
              <w:r w:rsidRPr="009E50BB">
                <w:rPr>
                  <w:rStyle w:val="Hyperlink"/>
                  <w:szCs w:val="20"/>
                </w:rPr>
                <w:t>CEDAW/C/BHR/CO/3</w:t>
              </w:r>
            </w:hyperlink>
            <w:r w:rsidRPr="008247D4">
              <w:rPr>
                <w:szCs w:val="20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pacing w:val="2"/>
                <w:szCs w:val="20"/>
              </w:rPr>
            </w:pPr>
            <w:r w:rsidRPr="008247D4">
              <w:rPr>
                <w:spacing w:val="2"/>
                <w:szCs w:val="20"/>
              </w:rPr>
              <w:t>Камерун</w:t>
            </w:r>
          </w:p>
        </w:tc>
        <w:tc>
          <w:tcPr>
            <w:tcW w:w="3576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72" w:right="43"/>
              <w:jc w:val="both"/>
              <w:rPr>
                <w:szCs w:val="20"/>
              </w:rPr>
            </w:pPr>
            <w:r w:rsidRPr="008247D4">
              <w:rPr>
                <w:szCs w:val="20"/>
              </w:rPr>
              <w:t>(</w:t>
            </w:r>
            <w:hyperlink r:id="rId95" w:history="1">
              <w:r w:rsidRPr="009E50BB">
                <w:rPr>
                  <w:rStyle w:val="Hyperlink"/>
                  <w:szCs w:val="20"/>
                </w:rPr>
                <w:t>CEDAW/C/CMR/CO/4-5</w:t>
              </w:r>
            </w:hyperlink>
            <w:r w:rsidRPr="008247D4">
              <w:rPr>
                <w:szCs w:val="20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pacing w:val="2"/>
                <w:szCs w:val="20"/>
              </w:rPr>
            </w:pPr>
            <w:r w:rsidRPr="008247D4">
              <w:rPr>
                <w:spacing w:val="2"/>
                <w:szCs w:val="20"/>
              </w:rPr>
              <w:t>Финляндия</w:t>
            </w:r>
          </w:p>
        </w:tc>
        <w:tc>
          <w:tcPr>
            <w:tcW w:w="3576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72" w:right="43"/>
              <w:jc w:val="both"/>
              <w:rPr>
                <w:szCs w:val="20"/>
              </w:rPr>
            </w:pPr>
            <w:hyperlink r:id="rId96" w:history="1">
              <w:r w:rsidRPr="009E50BB">
                <w:rPr>
                  <w:rStyle w:val="Hyperlink"/>
                  <w:szCs w:val="20"/>
                </w:rPr>
                <w:t>CEDAW/C/FIN/CO/7</w:t>
              </w:r>
            </w:hyperlink>
            <w:r w:rsidRPr="008247D4">
              <w:rPr>
                <w:szCs w:val="20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pacing w:val="2"/>
                <w:szCs w:val="20"/>
              </w:rPr>
            </w:pPr>
            <w:r w:rsidRPr="008247D4">
              <w:rPr>
                <w:spacing w:val="2"/>
                <w:szCs w:val="20"/>
              </w:rPr>
              <w:t>Ирак</w:t>
            </w:r>
          </w:p>
        </w:tc>
        <w:tc>
          <w:tcPr>
            <w:tcW w:w="3576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72" w:right="43"/>
              <w:jc w:val="both"/>
              <w:rPr>
                <w:szCs w:val="20"/>
              </w:rPr>
            </w:pPr>
            <w:r w:rsidRPr="008247D4">
              <w:rPr>
                <w:szCs w:val="20"/>
              </w:rPr>
              <w:t>(</w:t>
            </w:r>
            <w:hyperlink r:id="rId97" w:history="1">
              <w:r w:rsidRPr="009E50BB">
                <w:rPr>
                  <w:rStyle w:val="Hyperlink"/>
                  <w:szCs w:val="20"/>
                </w:rPr>
                <w:t>CEDAW/C/IRQ/CO/4-6</w:t>
              </w:r>
            </w:hyperlink>
            <w:r w:rsidRPr="008247D4">
              <w:rPr>
                <w:szCs w:val="20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pacing w:val="2"/>
                <w:szCs w:val="20"/>
              </w:rPr>
            </w:pPr>
            <w:r w:rsidRPr="008247D4">
              <w:rPr>
                <w:spacing w:val="2"/>
                <w:szCs w:val="20"/>
              </w:rPr>
              <w:t>Казахстан</w:t>
            </w:r>
          </w:p>
        </w:tc>
        <w:tc>
          <w:tcPr>
            <w:tcW w:w="3576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72" w:right="43"/>
              <w:jc w:val="both"/>
              <w:rPr>
                <w:szCs w:val="20"/>
              </w:rPr>
            </w:pPr>
            <w:r w:rsidRPr="008247D4">
              <w:rPr>
                <w:szCs w:val="20"/>
              </w:rPr>
              <w:t>(</w:t>
            </w:r>
            <w:hyperlink r:id="rId98" w:history="1">
              <w:r w:rsidRPr="009E50BB">
                <w:rPr>
                  <w:rStyle w:val="Hyperlink"/>
                  <w:szCs w:val="20"/>
                </w:rPr>
                <w:t>CEDAW/C/KAZ/CO/3-4</w:t>
              </w:r>
            </w:hyperlink>
            <w:r w:rsidRPr="008247D4">
              <w:rPr>
                <w:szCs w:val="20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pacing w:val="2"/>
                <w:szCs w:val="20"/>
              </w:rPr>
            </w:pPr>
            <w:r w:rsidRPr="008247D4">
              <w:rPr>
                <w:spacing w:val="2"/>
                <w:szCs w:val="20"/>
              </w:rPr>
              <w:t>Катар</w:t>
            </w:r>
          </w:p>
        </w:tc>
        <w:tc>
          <w:tcPr>
            <w:tcW w:w="3576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72" w:right="43"/>
              <w:jc w:val="both"/>
              <w:rPr>
                <w:szCs w:val="20"/>
              </w:rPr>
            </w:pPr>
            <w:r w:rsidRPr="008247D4">
              <w:rPr>
                <w:szCs w:val="20"/>
              </w:rPr>
              <w:t>(</w:t>
            </w:r>
            <w:hyperlink r:id="rId99" w:history="1">
              <w:r w:rsidRPr="009E50BB">
                <w:rPr>
                  <w:rStyle w:val="Hyperlink"/>
                  <w:szCs w:val="20"/>
                </w:rPr>
                <w:t>CEDAW/C/QAT/CO/1</w:t>
              </w:r>
            </w:hyperlink>
            <w:r w:rsidRPr="008247D4">
              <w:rPr>
                <w:szCs w:val="20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pacing w:val="2"/>
                <w:szCs w:val="20"/>
              </w:rPr>
            </w:pPr>
            <w:r w:rsidRPr="008247D4">
              <w:rPr>
                <w:spacing w:val="2"/>
                <w:szCs w:val="20"/>
              </w:rPr>
              <w:t>Сьерра-Леоне</w:t>
            </w:r>
          </w:p>
        </w:tc>
        <w:tc>
          <w:tcPr>
            <w:tcW w:w="3576" w:type="dxa"/>
            <w:shd w:val="clear" w:color="auto" w:fill="auto"/>
          </w:tcPr>
          <w:p w:rsidR="00D67408" w:rsidRPr="008247D4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left="72" w:right="43"/>
              <w:jc w:val="both"/>
              <w:rPr>
                <w:szCs w:val="20"/>
              </w:rPr>
            </w:pPr>
            <w:r w:rsidRPr="008247D4">
              <w:rPr>
                <w:szCs w:val="20"/>
              </w:rPr>
              <w:t>(</w:t>
            </w:r>
            <w:hyperlink r:id="rId100" w:history="1">
              <w:r w:rsidRPr="009E50BB">
                <w:rPr>
                  <w:rStyle w:val="Hyperlink"/>
                  <w:szCs w:val="20"/>
                </w:rPr>
                <w:t>CEDAW/C/SLE/CO/6</w:t>
              </w:r>
            </w:hyperlink>
            <w:r w:rsidRPr="008247D4">
              <w:rPr>
                <w:szCs w:val="20"/>
              </w:rPr>
              <w:t>)</w:t>
            </w:r>
          </w:p>
        </w:tc>
      </w:tr>
    </w:tbl>
    <w:p w:rsidR="00D67408" w:rsidRPr="002E5786" w:rsidRDefault="00D67408" w:rsidP="00D67408">
      <w:pPr>
        <w:pStyle w:val="SingleTxt"/>
        <w:spacing w:after="0" w:line="120" w:lineRule="exact"/>
        <w:rPr>
          <w:sz w:val="10"/>
          <w:lang w:val="en-US"/>
        </w:rPr>
      </w:pPr>
    </w:p>
    <w:p w:rsidR="00D67408" w:rsidRDefault="00D67408" w:rsidP="00D67408">
      <w:pPr>
        <w:pStyle w:val="SingleTxt"/>
      </w:pPr>
      <w:r w:rsidRPr="008247D4">
        <w:t>16.</w:t>
      </w:r>
      <w:r w:rsidRPr="008247D4">
        <w:tab/>
        <w:t>Следует отметить, что рассмотрение вопроса о Сенегале в отсутствие д</w:t>
      </w:r>
      <w:r w:rsidRPr="008247D4">
        <w:t>о</w:t>
      </w:r>
      <w:r w:rsidRPr="008247D4">
        <w:t>клада также было запланировано на пятьдесят седьмую сессию. Однако Сен</w:t>
      </w:r>
      <w:r w:rsidRPr="008247D4">
        <w:t>е</w:t>
      </w:r>
      <w:r w:rsidRPr="008247D4">
        <w:t>гал представил свои объединенные с третьего по седьмой периодические д</w:t>
      </w:r>
      <w:r w:rsidRPr="008247D4">
        <w:t>о</w:t>
      </w:r>
      <w:r w:rsidRPr="008247D4">
        <w:t>клады 31</w:t>
      </w:r>
      <w:r>
        <w:t> </w:t>
      </w:r>
      <w:r w:rsidRPr="008247D4">
        <w:t>июля 2013</w:t>
      </w:r>
      <w:r>
        <w:t> </w:t>
      </w:r>
      <w:r w:rsidRPr="008247D4">
        <w:t>года, и таким образом рассмотрение было перенесено на шестьдесят первую сессию, с тем чтобы можно было сделать перевод доклада и чтобы предсессионная рабочая группа подготовила обновленный перечень вопросов.</w:t>
      </w:r>
    </w:p>
    <w:p w:rsidR="00D67408" w:rsidRPr="002E5786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Default="00D67408" w:rsidP="00D674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47D4">
        <w:tab/>
      </w:r>
      <w:r w:rsidRPr="008247D4">
        <w:tab/>
        <w:t>Последующая деятельность в связи с заключительными замеч</w:t>
      </w:r>
      <w:r w:rsidRPr="008247D4">
        <w:t>а</w:t>
      </w:r>
      <w:r w:rsidRPr="008247D4">
        <w:t>ниями</w:t>
      </w:r>
    </w:p>
    <w:p w:rsidR="00D67408" w:rsidRPr="002E5786" w:rsidRDefault="00D67408" w:rsidP="00D67408">
      <w:pPr>
        <w:pStyle w:val="SingleTxt"/>
        <w:spacing w:after="0" w:line="120" w:lineRule="exact"/>
        <w:rPr>
          <w:sz w:val="10"/>
        </w:rPr>
      </w:pPr>
    </w:p>
    <w:p w:rsidR="00D67408" w:rsidRPr="008247D4" w:rsidRDefault="00D67408" w:rsidP="00D67408">
      <w:pPr>
        <w:pStyle w:val="SingleTxt"/>
      </w:pPr>
      <w:r w:rsidRPr="008247D4">
        <w:t>17.</w:t>
      </w:r>
      <w:r w:rsidRPr="008247D4">
        <w:tab/>
        <w:t>Комитет рассмотрел доклады о последующей деятельности следующих государств-участников:</w:t>
      </w:r>
    </w:p>
    <w:p w:rsidR="00D67408" w:rsidRPr="002E5786" w:rsidRDefault="00D67408" w:rsidP="00D67408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7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7"/>
        <w:gridCol w:w="3576"/>
      </w:tblGrid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2E5786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zCs w:val="20"/>
              </w:rPr>
            </w:pPr>
            <w:r w:rsidRPr="002E5786">
              <w:rPr>
                <w:szCs w:val="20"/>
              </w:rPr>
              <w:t>Бангладеш</w:t>
            </w:r>
          </w:p>
        </w:tc>
        <w:tc>
          <w:tcPr>
            <w:tcW w:w="3576" w:type="dxa"/>
            <w:shd w:val="clear" w:color="auto" w:fill="auto"/>
          </w:tcPr>
          <w:p w:rsidR="00D67408" w:rsidRPr="002E5786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  <w:rPr>
                <w:szCs w:val="20"/>
                <w:lang w:val="en-US"/>
              </w:rPr>
            </w:pPr>
            <w:r w:rsidRPr="002E5786">
              <w:rPr>
                <w:szCs w:val="20"/>
                <w:lang w:val="en-US"/>
              </w:rPr>
              <w:t>(</w:t>
            </w:r>
            <w:hyperlink r:id="rId101" w:history="1">
              <w:r w:rsidRPr="009E50BB">
                <w:rPr>
                  <w:rStyle w:val="Hyperlink"/>
                  <w:szCs w:val="20"/>
                  <w:lang w:val="en-US"/>
                </w:rPr>
                <w:t>CEDAW/C/BGD/CO/7/Add.1</w:t>
              </w:r>
            </w:hyperlink>
            <w:r w:rsidRPr="002E5786">
              <w:rPr>
                <w:szCs w:val="20"/>
                <w:lang w:val="en-US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2E5786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zCs w:val="20"/>
              </w:rPr>
            </w:pPr>
            <w:r w:rsidRPr="002E5786">
              <w:rPr>
                <w:szCs w:val="20"/>
              </w:rPr>
              <w:t>Итали</w:t>
            </w:r>
            <w:r>
              <w:rPr>
                <w:szCs w:val="20"/>
              </w:rPr>
              <w:t>я</w:t>
            </w:r>
          </w:p>
        </w:tc>
        <w:tc>
          <w:tcPr>
            <w:tcW w:w="3576" w:type="dxa"/>
            <w:shd w:val="clear" w:color="auto" w:fill="auto"/>
          </w:tcPr>
          <w:p w:rsidR="00D67408" w:rsidRPr="002E5786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  <w:rPr>
                <w:szCs w:val="20"/>
                <w:lang w:val="en-US"/>
              </w:rPr>
            </w:pPr>
            <w:r w:rsidRPr="007E73A2">
              <w:rPr>
                <w:szCs w:val="20"/>
                <w:lang w:val="en-US"/>
              </w:rPr>
              <w:t>(</w:t>
            </w:r>
            <w:hyperlink r:id="rId102" w:history="1">
              <w:r w:rsidRPr="009E50BB">
                <w:rPr>
                  <w:rStyle w:val="Hyperlink"/>
                  <w:szCs w:val="20"/>
                  <w:lang w:val="en-US"/>
                </w:rPr>
                <w:t>CEDAW/C/ITA/CO/6/Add.1</w:t>
              </w:r>
            </w:hyperlink>
            <w:r w:rsidRPr="002E5786">
              <w:rPr>
                <w:szCs w:val="20"/>
                <w:lang w:val="en-US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2E5786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zCs w:val="20"/>
              </w:rPr>
            </w:pPr>
            <w:r w:rsidRPr="002E5786">
              <w:rPr>
                <w:szCs w:val="20"/>
              </w:rPr>
              <w:t>Лесото</w:t>
            </w:r>
          </w:p>
        </w:tc>
        <w:tc>
          <w:tcPr>
            <w:tcW w:w="3576" w:type="dxa"/>
            <w:shd w:val="clear" w:color="auto" w:fill="auto"/>
          </w:tcPr>
          <w:p w:rsidR="00D67408" w:rsidRPr="002E5786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  <w:rPr>
                <w:szCs w:val="20"/>
                <w:lang w:val="en-US"/>
              </w:rPr>
            </w:pPr>
            <w:r w:rsidRPr="002E5786">
              <w:rPr>
                <w:szCs w:val="20"/>
                <w:lang w:val="en-US"/>
              </w:rPr>
              <w:t>(</w:t>
            </w:r>
            <w:hyperlink r:id="rId103" w:history="1">
              <w:r w:rsidRPr="009E50BB">
                <w:rPr>
                  <w:rStyle w:val="Hyperlink"/>
                  <w:szCs w:val="20"/>
                  <w:lang w:val="en-US"/>
                </w:rPr>
                <w:t>CEDAW/C/LSO/CO/1-4/Add.1</w:t>
              </w:r>
            </w:hyperlink>
            <w:r w:rsidRPr="002E5786">
              <w:rPr>
                <w:szCs w:val="20"/>
                <w:lang w:val="en-US"/>
              </w:rPr>
              <w:t>)</w:t>
            </w:r>
          </w:p>
        </w:tc>
      </w:tr>
      <w:tr w:rsidR="00D67408" w:rsidRPr="002E5786" w:rsidTr="002B263E">
        <w:tc>
          <w:tcPr>
            <w:tcW w:w="3267" w:type="dxa"/>
            <w:shd w:val="clear" w:color="auto" w:fill="auto"/>
          </w:tcPr>
          <w:p w:rsidR="00D67408" w:rsidRPr="002E5786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0"/>
              <w:jc w:val="both"/>
              <w:rPr>
                <w:szCs w:val="20"/>
              </w:rPr>
            </w:pPr>
            <w:r w:rsidRPr="002E5786">
              <w:rPr>
                <w:szCs w:val="20"/>
              </w:rPr>
              <w:t>Шри-Ланк</w:t>
            </w:r>
            <w:r>
              <w:rPr>
                <w:szCs w:val="20"/>
              </w:rPr>
              <w:t>а</w:t>
            </w:r>
          </w:p>
        </w:tc>
        <w:tc>
          <w:tcPr>
            <w:tcW w:w="3576" w:type="dxa"/>
            <w:shd w:val="clear" w:color="auto" w:fill="auto"/>
          </w:tcPr>
          <w:p w:rsidR="00D67408" w:rsidRPr="002E5786" w:rsidRDefault="00D67408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  <w:rPr>
                <w:szCs w:val="20"/>
                <w:lang w:val="en-US"/>
              </w:rPr>
            </w:pPr>
            <w:r w:rsidRPr="002E5786">
              <w:rPr>
                <w:szCs w:val="20"/>
                <w:lang w:val="en-US"/>
              </w:rPr>
              <w:t>(</w:t>
            </w:r>
            <w:hyperlink r:id="rId104" w:history="1">
              <w:r w:rsidRPr="009E50BB">
                <w:rPr>
                  <w:rStyle w:val="Hyperlink"/>
                  <w:szCs w:val="20"/>
                  <w:lang w:val="en-US"/>
                </w:rPr>
                <w:t>CEDAW/C/LKA/CO/7/Add.1</w:t>
              </w:r>
            </w:hyperlink>
            <w:r w:rsidRPr="002E5786">
              <w:rPr>
                <w:szCs w:val="20"/>
                <w:lang w:val="en-US"/>
              </w:rPr>
              <w:t>)</w:t>
            </w:r>
          </w:p>
        </w:tc>
      </w:tr>
    </w:tbl>
    <w:p w:rsidR="00D67408" w:rsidRPr="002E5786" w:rsidRDefault="00D67408" w:rsidP="00D67408">
      <w:pPr>
        <w:pStyle w:val="SingleTxt"/>
        <w:spacing w:after="0" w:line="120" w:lineRule="exact"/>
        <w:rPr>
          <w:sz w:val="10"/>
          <w:lang w:val="en-US"/>
        </w:rPr>
      </w:pPr>
    </w:p>
    <w:p w:rsidR="00D67408" w:rsidRPr="008247D4" w:rsidRDefault="00D67408" w:rsidP="00D67408">
      <w:pPr>
        <w:pStyle w:val="SingleTxt"/>
      </w:pPr>
      <w:r w:rsidRPr="008247D4">
        <w:t>18.</w:t>
      </w:r>
      <w:r w:rsidRPr="008247D4">
        <w:tab/>
        <w:t>Комитет также рассмотрел дополнительную информацию, представле</w:t>
      </w:r>
      <w:r w:rsidRPr="008247D4">
        <w:t>н</w:t>
      </w:r>
      <w:r w:rsidRPr="008247D4">
        <w:t>ную Мьянмой (</w:t>
      </w:r>
      <w:hyperlink r:id="rId105" w:history="1">
        <w:r w:rsidRPr="002952F8">
          <w:rPr>
            <w:rStyle w:val="Hyperlink"/>
          </w:rPr>
          <w:t>CEDAW/C/MMR/CO/3/Add.4</w:t>
        </w:r>
      </w:hyperlink>
      <w:r w:rsidRPr="008247D4">
        <w:t xml:space="preserve">). </w:t>
      </w:r>
    </w:p>
    <w:p w:rsidR="00D67408" w:rsidRPr="008247D4" w:rsidRDefault="00D67408" w:rsidP="00D67408">
      <w:pPr>
        <w:pStyle w:val="SingleTxt"/>
      </w:pPr>
      <w:r w:rsidRPr="008247D4">
        <w:t>19.</w:t>
      </w:r>
      <w:r w:rsidRPr="008247D4">
        <w:tab/>
        <w:t>Комитет направил первые напоминания следующим государствам-участникам, которые задержали представление докладов о последующей де</w:t>
      </w:r>
      <w:r w:rsidRPr="008247D4">
        <w:t>я</w:t>
      </w:r>
      <w:r w:rsidRPr="008247D4">
        <w:t>тельности: Чаду, Кот</w:t>
      </w:r>
      <w:r>
        <w:t>-</w:t>
      </w:r>
      <w:r w:rsidRPr="008247D4">
        <w:t>д’Ивуару, Кувейту, Черногории и Оману.</w:t>
      </w:r>
    </w:p>
    <w:p w:rsidR="00D67408" w:rsidRPr="008247D4" w:rsidRDefault="00D67408" w:rsidP="00D67408">
      <w:pPr>
        <w:pStyle w:val="SingleTxt"/>
      </w:pPr>
      <w:r w:rsidRPr="008247D4">
        <w:t>20.</w:t>
      </w:r>
      <w:r w:rsidRPr="008247D4">
        <w:tab/>
        <w:t>Комитет направил повторные напоминания следующим государствам-участникам, которые задержали представление докладов о последующей де</w:t>
      </w:r>
      <w:r w:rsidRPr="008247D4">
        <w:t>я</w:t>
      </w:r>
      <w:r w:rsidRPr="008247D4">
        <w:t>тельности: Буркина-Фасо, Кении, Мальте, Южной Африке и Уганде.</w:t>
      </w:r>
    </w:p>
    <w:p w:rsidR="00D67408" w:rsidRPr="008247D4" w:rsidRDefault="00D67408" w:rsidP="00D67408">
      <w:pPr>
        <w:pStyle w:val="SingleTxt"/>
      </w:pPr>
      <w:r w:rsidRPr="008247D4">
        <w:t>21.</w:t>
      </w:r>
      <w:r w:rsidRPr="008247D4">
        <w:tab/>
        <w:t xml:space="preserve">Комитет направил напоминание </w:t>
      </w:r>
      <w:r>
        <w:t xml:space="preserve">Объединенной Республике </w:t>
      </w:r>
      <w:r w:rsidRPr="008247D4">
        <w:t>Танзани</w:t>
      </w:r>
      <w:r>
        <w:t>я</w:t>
      </w:r>
      <w:r w:rsidRPr="008247D4">
        <w:t xml:space="preserve"> о представлении дополнительной информации, которая не была представлена вовремя.</w:t>
      </w:r>
    </w:p>
    <w:p w:rsidR="00D67408" w:rsidRDefault="00D67408" w:rsidP="00D67408">
      <w:pPr>
        <w:pStyle w:val="SingleTxt"/>
      </w:pPr>
      <w:r w:rsidRPr="008247D4">
        <w:t>22.</w:t>
      </w:r>
      <w:r w:rsidRPr="008247D4">
        <w:tab/>
        <w:t>Докладчик по последующей деятельности и е</w:t>
      </w:r>
      <w:r>
        <w:t>го</w:t>
      </w:r>
      <w:r w:rsidRPr="008247D4">
        <w:t xml:space="preserve"> заместитель встретились с представителями Ливии, доклад которой о последующей деятельности был просрочен.</w:t>
      </w:r>
    </w:p>
    <w:p w:rsidR="00D67408" w:rsidRDefault="00D67408" w:rsidP="00D67408">
      <w:pPr>
        <w:pStyle w:val="SingleTxt"/>
      </w:pPr>
    </w:p>
    <w:p w:rsidR="00236FCB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sectPr w:rsidR="00236FCB" w:rsidSect="00D67408">
          <w:footnotePr>
            <w:numRestart w:val="eachSect"/>
          </w:footnotePr>
          <w:pgSz w:w="12240" w:h="15840"/>
          <w:pgMar w:top="1742" w:right="1195" w:bottom="1898" w:left="1195" w:header="576" w:footer="1030" w:gutter="0"/>
          <w:cols w:space="720"/>
          <w:noEndnote/>
          <w:docGrid w:linePitch="360"/>
        </w:sectPr>
      </w:pPr>
    </w:p>
    <w:p w:rsidR="00236FCB" w:rsidRPr="00236FCB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Pr="00E04769">
        <w:t>Глава V</w:t>
      </w:r>
    </w:p>
    <w:p w:rsidR="00236FCB" w:rsidRPr="00236FCB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36FCB" w:rsidRPr="00E04769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6FCB">
        <w:tab/>
      </w:r>
      <w:r w:rsidRPr="00236FCB">
        <w:tab/>
      </w:r>
      <w:r w:rsidRPr="00E04769">
        <w:t>Деятельность, осуществляемая в соответствии</w:t>
      </w:r>
      <w:r w:rsidRPr="00E04769">
        <w:br/>
        <w:t>с Факультативным протоколом к Конвенции</w:t>
      </w:r>
      <w:r w:rsidRPr="00E04769">
        <w:br/>
        <w:t xml:space="preserve">о ликвидации всех форм дискриминации </w:t>
      </w:r>
      <w:r>
        <w:br/>
      </w:r>
      <w:r w:rsidRPr="00E04769">
        <w:t>в отношении женщин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23.</w:t>
      </w:r>
      <w:r w:rsidRPr="00E04769">
        <w:tab/>
        <w:t>Статьей</w:t>
      </w:r>
      <w:r>
        <w:t> </w:t>
      </w:r>
      <w:r w:rsidRPr="00E04769">
        <w:t>12 Факультативного протокола к Конвенции предусмотрено, что Комитет включает в свой ежегодный доклад, в соответствии со статьей</w:t>
      </w:r>
      <w:r>
        <w:t> </w:t>
      </w:r>
      <w:r w:rsidRPr="00E04769">
        <w:t>21 Ко</w:t>
      </w:r>
      <w:r w:rsidRPr="00E04769">
        <w:t>н</w:t>
      </w:r>
      <w:r w:rsidRPr="00E04769">
        <w:t>венции, краткий отчет о своей деятельности в рамках Факультативного прот</w:t>
      </w:r>
      <w:r w:rsidRPr="00E04769">
        <w:t>о</w:t>
      </w:r>
      <w:r w:rsidRPr="00E04769">
        <w:t>кола.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  <w:t>A.</w:t>
      </w:r>
      <w:r w:rsidRPr="00E04769">
        <w:tab/>
        <w:t>Решения, принятые Комитетом в отношении вопросов, вытекающих из статьи 2 Факультативного протокола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24.</w:t>
      </w:r>
      <w:r w:rsidRPr="00E04769">
        <w:tab/>
        <w:t>Комитет обсудил деятельность, осуществляемую в соответствии со стат</w:t>
      </w:r>
      <w:r w:rsidRPr="00E04769">
        <w:t>ь</w:t>
      </w:r>
      <w:r w:rsidRPr="00E04769">
        <w:t>ей</w:t>
      </w:r>
      <w:r>
        <w:t> </w:t>
      </w:r>
      <w:r w:rsidRPr="00E04769">
        <w:t>2 Факультативного протокола, 17 и 24</w:t>
      </w:r>
      <w:r>
        <w:t> </w:t>
      </w:r>
      <w:r w:rsidRPr="00E04769">
        <w:t>февраля 2014</w:t>
      </w:r>
      <w:r>
        <w:t> </w:t>
      </w:r>
      <w:r w:rsidRPr="00E04769">
        <w:t>года. Он одобрил д</w:t>
      </w:r>
      <w:r w:rsidRPr="00E04769">
        <w:t>о</w:t>
      </w:r>
      <w:r w:rsidRPr="00E04769">
        <w:t xml:space="preserve">клад Рабочей группы по сообщениям </w:t>
      </w:r>
      <w:r>
        <w:t xml:space="preserve">в соответствии с </w:t>
      </w:r>
      <w:r w:rsidRPr="00E04769">
        <w:t>Факультативн</w:t>
      </w:r>
      <w:r>
        <w:t>ым</w:t>
      </w:r>
      <w:r w:rsidRPr="00E04769">
        <w:t xml:space="preserve"> прот</w:t>
      </w:r>
      <w:r w:rsidRPr="00E04769">
        <w:t>о</w:t>
      </w:r>
      <w:r w:rsidRPr="00E04769">
        <w:t>кол</w:t>
      </w:r>
      <w:r>
        <w:t>ом</w:t>
      </w:r>
      <w:r w:rsidRPr="00E04769">
        <w:t xml:space="preserve"> о р</w:t>
      </w:r>
      <w:r w:rsidRPr="00E04769">
        <w:t>а</w:t>
      </w:r>
      <w:r w:rsidRPr="00E04769">
        <w:t>боте ее двадцать восьмой сессии (см.</w:t>
      </w:r>
      <w:r>
        <w:t> </w:t>
      </w:r>
      <w:r w:rsidRPr="00E04769">
        <w:t>приложение</w:t>
      </w:r>
      <w:r>
        <w:t> IV</w:t>
      </w:r>
      <w:r w:rsidRPr="00E04769">
        <w:t>).</w:t>
      </w:r>
    </w:p>
    <w:p w:rsidR="00236FCB" w:rsidRPr="00E04769" w:rsidRDefault="00236FCB" w:rsidP="00236FCB">
      <w:pPr>
        <w:pStyle w:val="SingleTxt"/>
      </w:pPr>
      <w:r w:rsidRPr="00E04769">
        <w:t>25.</w:t>
      </w:r>
      <w:r w:rsidRPr="00E04769">
        <w:tab/>
        <w:t>Комитет принял окончательные решения в связи с тремя индивидуальн</w:t>
      </w:r>
      <w:r w:rsidRPr="00E04769">
        <w:t>ы</w:t>
      </w:r>
      <w:r w:rsidRPr="00E04769">
        <w:t>ми сообщениями, представленными в соответствии со статьей</w:t>
      </w:r>
      <w:r>
        <w:t> </w:t>
      </w:r>
      <w:r w:rsidRPr="00E04769">
        <w:t>2 Факультати</w:t>
      </w:r>
      <w:r w:rsidRPr="00E04769">
        <w:t>в</w:t>
      </w:r>
      <w:r w:rsidRPr="00E04769">
        <w:t xml:space="preserve">ного протокола. Комитет утвердил </w:t>
      </w:r>
      <w:r>
        <w:t>м</w:t>
      </w:r>
      <w:r w:rsidRPr="00E04769">
        <w:t xml:space="preserve">нения, устанавливающие нарушения по сообщениям № </w:t>
      </w:r>
      <w:r w:rsidRPr="00311F95">
        <w:t>34/201</w:t>
      </w:r>
      <w:r w:rsidRPr="00E04769">
        <w:t>1 (</w:t>
      </w:r>
      <w:r w:rsidRPr="00E04769">
        <w:rPr>
          <w:i/>
        </w:rPr>
        <w:t>Р. П. Б. против Филиппин</w:t>
      </w:r>
      <w:r w:rsidRPr="00E04769">
        <w:t>) и №</w:t>
      </w:r>
      <w:r>
        <w:t> </w:t>
      </w:r>
      <w:r w:rsidRPr="00311F95">
        <w:t>36/201</w:t>
      </w:r>
      <w:r w:rsidRPr="00E04769">
        <w:t>2 (</w:t>
      </w:r>
      <w:r w:rsidRPr="00E04769">
        <w:rPr>
          <w:i/>
        </w:rPr>
        <w:t>Де Блок и др. против Нидерландов</w:t>
      </w:r>
      <w:r w:rsidRPr="00E04769">
        <w:t xml:space="preserve">), а также решение о неприемлемости </w:t>
      </w:r>
      <w:r>
        <w:t>в отношении</w:t>
      </w:r>
      <w:r w:rsidRPr="00E04769">
        <w:t xml:space="preserve"> соо</w:t>
      </w:r>
      <w:r w:rsidRPr="00E04769">
        <w:t>б</w:t>
      </w:r>
      <w:r w:rsidRPr="00E04769">
        <w:t>щени</w:t>
      </w:r>
      <w:r>
        <w:t>я</w:t>
      </w:r>
      <w:r w:rsidRPr="00E04769">
        <w:t xml:space="preserve"> №</w:t>
      </w:r>
      <w:r>
        <w:t> </w:t>
      </w:r>
      <w:r w:rsidRPr="00311F95">
        <w:t>39/201</w:t>
      </w:r>
      <w:r w:rsidRPr="00E04769">
        <w:t>2 (</w:t>
      </w:r>
      <w:r w:rsidRPr="00E04769">
        <w:rPr>
          <w:i/>
        </w:rPr>
        <w:t>Н. против Нидерландов</w:t>
      </w:r>
      <w:r w:rsidRPr="00E04769">
        <w:t>). Все решения были приняты на о</w:t>
      </w:r>
      <w:r w:rsidRPr="00E04769">
        <w:t>с</w:t>
      </w:r>
      <w:r w:rsidRPr="00E04769">
        <w:t>нове консенсуса. Комитет также постановил прекратить рассмотрение одного сообщения (№</w:t>
      </w:r>
      <w:r>
        <w:t> </w:t>
      </w:r>
      <w:r w:rsidRPr="00311F95">
        <w:t>41/201</w:t>
      </w:r>
      <w:r w:rsidRPr="00E04769">
        <w:t>2)</w:t>
      </w:r>
      <w:r>
        <w:t>, касающегося</w:t>
      </w:r>
      <w:r w:rsidRPr="00E04769">
        <w:t xml:space="preserve"> Эквадор</w:t>
      </w:r>
      <w:r>
        <w:t>а</w:t>
      </w:r>
      <w:r w:rsidRPr="00E04769">
        <w:t xml:space="preserve">. Текст этих </w:t>
      </w:r>
      <w:r>
        <w:t>м</w:t>
      </w:r>
      <w:r w:rsidRPr="00E04769">
        <w:t>нений и решени</w:t>
      </w:r>
      <w:r>
        <w:t>я</w:t>
      </w:r>
      <w:r w:rsidRPr="00E04769">
        <w:t xml:space="preserve"> можно получить через Систему официальной документации Организации Об</w:t>
      </w:r>
      <w:r w:rsidRPr="00E04769">
        <w:t>ъ</w:t>
      </w:r>
      <w:r w:rsidRPr="00E04769">
        <w:t>единенных Наций (http://documents.un.org/) с указанием условных обозн</w:t>
      </w:r>
      <w:r w:rsidRPr="00E04769">
        <w:t>а</w:t>
      </w:r>
      <w:r w:rsidRPr="00E04769">
        <w:t xml:space="preserve">чений </w:t>
      </w:r>
      <w:hyperlink r:id="rId106" w:history="1">
        <w:r w:rsidRPr="00CE2E77">
          <w:rPr>
            <w:rStyle w:val="Hyperlink"/>
          </w:rPr>
          <w:t>CEDAW/C/57/D/34/2011</w:t>
        </w:r>
      </w:hyperlink>
      <w:r w:rsidRPr="00E04769">
        <w:t xml:space="preserve">, </w:t>
      </w:r>
      <w:hyperlink r:id="rId107" w:history="1">
        <w:r w:rsidRPr="00CE2E77">
          <w:rPr>
            <w:rStyle w:val="Hyperlink"/>
          </w:rPr>
          <w:t>CEDAW/C/57/D/36/2012</w:t>
        </w:r>
      </w:hyperlink>
      <w:r w:rsidRPr="00E04769">
        <w:t xml:space="preserve"> и </w:t>
      </w:r>
      <w:hyperlink r:id="rId108" w:history="1">
        <w:r w:rsidRPr="00CE2E77">
          <w:rPr>
            <w:rStyle w:val="Hyperlink"/>
          </w:rPr>
          <w:t>CEDAW/C/57/D/39/2012</w:t>
        </w:r>
      </w:hyperlink>
      <w:r w:rsidRPr="00E04769">
        <w:t>, соответственно.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  <w:t>B.</w:t>
      </w:r>
      <w:r w:rsidRPr="00E04769">
        <w:tab/>
        <w:t>Последующ</w:t>
      </w:r>
      <w:r>
        <w:t>ая</w:t>
      </w:r>
      <w:r w:rsidRPr="00E04769">
        <w:t xml:space="preserve"> </w:t>
      </w:r>
      <w:r>
        <w:t xml:space="preserve">деятельность </w:t>
      </w:r>
      <w:r w:rsidRPr="00E04769">
        <w:t>в связи с мнениями Комитета</w:t>
      </w:r>
      <w:r w:rsidRPr="00E04769">
        <w:br/>
        <w:t>по индивидуальным сообщениям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26.</w:t>
      </w:r>
      <w:r w:rsidRPr="00E04769">
        <w:tab/>
        <w:t xml:space="preserve">В течение отчетного периода доклад о последующей деятельности не представлялся, однако Комитет был проинформирован о том, что Рабочая группа на своей двадцать восьмой сессии обсуждала </w:t>
      </w:r>
      <w:r>
        <w:t>последующую ситуацию по каждому делу</w:t>
      </w:r>
      <w:r w:rsidRPr="00E04769">
        <w:t>, по которому ведется диалог о п</w:t>
      </w:r>
      <w:r w:rsidRPr="00E04769">
        <w:t>о</w:t>
      </w:r>
      <w:r w:rsidRPr="00E04769">
        <w:t>следующей деятельности, и принимала решения относительно действий, которые следует предпринять. Комитет решил не прекращать диалог о последующей деятельности ни по о</w:t>
      </w:r>
      <w:r w:rsidRPr="00E04769">
        <w:t>д</w:t>
      </w:r>
      <w:r w:rsidRPr="00E04769">
        <w:t>ному из</w:t>
      </w:r>
      <w:r>
        <w:t xml:space="preserve"> дел</w:t>
      </w:r>
      <w:r w:rsidRPr="00E04769">
        <w:t xml:space="preserve">, </w:t>
      </w:r>
      <w:r>
        <w:t xml:space="preserve">которые </w:t>
      </w:r>
      <w:r w:rsidRPr="00E04769">
        <w:t>в настоящее время</w:t>
      </w:r>
      <w:r>
        <w:t xml:space="preserve"> находятся на последующем рассмо</w:t>
      </w:r>
      <w:r>
        <w:t>т</w:t>
      </w:r>
      <w:r>
        <w:t>рении</w:t>
      </w:r>
      <w:r w:rsidRPr="00E04769">
        <w:t>. Из 11 дел, рассматриваемых в настоящее время в рамках процедуры п</w:t>
      </w:r>
      <w:r w:rsidRPr="00E04769">
        <w:t>о</w:t>
      </w:r>
      <w:r w:rsidRPr="00E04769">
        <w:t>следующ</w:t>
      </w:r>
      <w:r>
        <w:t>ей деятельности</w:t>
      </w:r>
      <w:r w:rsidRPr="00E04769">
        <w:t xml:space="preserve">, </w:t>
      </w:r>
      <w:r>
        <w:t>1 </w:t>
      </w:r>
      <w:r w:rsidRPr="00E04769">
        <w:t xml:space="preserve">дело касается Беларуси, </w:t>
      </w:r>
      <w:r>
        <w:t xml:space="preserve">1 — </w:t>
      </w:r>
      <w:r w:rsidRPr="00E04769">
        <w:t xml:space="preserve">Бразилии, </w:t>
      </w:r>
      <w:r>
        <w:t xml:space="preserve">3 — </w:t>
      </w:r>
      <w:r w:rsidRPr="00E04769">
        <w:t>Болг</w:t>
      </w:r>
      <w:r w:rsidRPr="00E04769">
        <w:t>а</w:t>
      </w:r>
      <w:r w:rsidRPr="00E04769">
        <w:t xml:space="preserve">рии, </w:t>
      </w:r>
      <w:r>
        <w:t xml:space="preserve">1 — </w:t>
      </w:r>
      <w:r w:rsidRPr="00E04769">
        <w:t xml:space="preserve">Канады, </w:t>
      </w:r>
      <w:r>
        <w:t xml:space="preserve">1 — </w:t>
      </w:r>
      <w:r w:rsidRPr="00E04769">
        <w:t xml:space="preserve">Перу, </w:t>
      </w:r>
      <w:r>
        <w:t xml:space="preserve">1 — </w:t>
      </w:r>
      <w:r w:rsidRPr="00E04769">
        <w:t xml:space="preserve">Филиппин и </w:t>
      </w:r>
      <w:r>
        <w:t xml:space="preserve">1 — </w:t>
      </w:r>
      <w:r w:rsidRPr="00E04769">
        <w:t>Турции</w:t>
      </w:r>
      <w:r w:rsidRPr="00C62420">
        <w:rPr>
          <w:vertAlign w:val="superscript"/>
        </w:rPr>
        <w:footnoteReference w:id="15"/>
      </w:r>
      <w:r w:rsidRPr="00E04769">
        <w:t xml:space="preserve">; и в </w:t>
      </w:r>
      <w:r>
        <w:t>отношении 2 дел</w:t>
      </w:r>
      <w:r w:rsidRPr="00E04769">
        <w:t>, утвержденных на пятьдесят седьмой сессии, по которым Комитет пр</w:t>
      </w:r>
      <w:r w:rsidRPr="00E04769">
        <w:t>и</w:t>
      </w:r>
      <w:r w:rsidRPr="00E04769">
        <w:t>знал наличие нарушений (</w:t>
      </w:r>
      <w:r>
        <w:t xml:space="preserve">1 дело касается </w:t>
      </w:r>
      <w:r w:rsidRPr="00E04769">
        <w:t xml:space="preserve">Филиппин и </w:t>
      </w:r>
      <w:r>
        <w:t xml:space="preserve">1 — </w:t>
      </w:r>
      <w:r w:rsidRPr="00E04769">
        <w:t>Нидерланд</w:t>
      </w:r>
      <w:r>
        <w:t>ов</w:t>
      </w:r>
      <w:r w:rsidRPr="00E04769">
        <w:t>), го</w:t>
      </w:r>
      <w:r w:rsidRPr="00E04769">
        <w:t>с</w:t>
      </w:r>
      <w:r w:rsidRPr="00E04769">
        <w:t xml:space="preserve">ударствам-участникам было дано шесть месяцев для представления </w:t>
      </w:r>
      <w:r>
        <w:t>своих п</w:t>
      </w:r>
      <w:r>
        <w:t>о</w:t>
      </w:r>
      <w:r>
        <w:t xml:space="preserve">следующих </w:t>
      </w:r>
      <w:r w:rsidRPr="00E04769">
        <w:t>ответов.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  <w:t>C.</w:t>
      </w:r>
      <w:r w:rsidRPr="00E04769">
        <w:tab/>
        <w:t>Решения, принятые Комитетом в отношении вопросов, вытекающих из статьи 8 Факультативного протокола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27.</w:t>
      </w:r>
      <w:r w:rsidRPr="00E04769">
        <w:tab/>
        <w:t xml:space="preserve">Комитет был кратко информирован о </w:t>
      </w:r>
      <w:r>
        <w:t xml:space="preserve">положении дел в отношении </w:t>
      </w:r>
      <w:r w:rsidRPr="00E04769">
        <w:t xml:space="preserve">всех </w:t>
      </w:r>
      <w:r>
        <w:t xml:space="preserve">еще не рассмотренных сообщений и незавершенных </w:t>
      </w:r>
      <w:r w:rsidRPr="00E04769">
        <w:t>разбирательств в рамках процедуры расслед</w:t>
      </w:r>
      <w:r w:rsidRPr="00E04769">
        <w:t>о</w:t>
      </w:r>
      <w:r w:rsidRPr="00E04769">
        <w:t>ван</w:t>
      </w:r>
      <w:r>
        <w:t>ия</w:t>
      </w:r>
      <w:r w:rsidRPr="00E04769">
        <w:t>.</w:t>
      </w:r>
    </w:p>
    <w:p w:rsidR="00236FCB" w:rsidRPr="00E04769" w:rsidRDefault="00236FCB" w:rsidP="00236FCB">
      <w:pPr>
        <w:pStyle w:val="SingleTxt"/>
      </w:pPr>
      <w:r w:rsidRPr="00E04769">
        <w:t>28.</w:t>
      </w:r>
      <w:r w:rsidRPr="00E04769">
        <w:tab/>
        <w:t>В отношении расследования</w:t>
      </w:r>
      <w:r>
        <w:t> </w:t>
      </w:r>
      <w:r w:rsidRPr="00E04769">
        <w:t>№</w:t>
      </w:r>
      <w:r>
        <w:rPr>
          <w:lang w:val="en-US"/>
        </w:rPr>
        <w:t> </w:t>
      </w:r>
      <w:r w:rsidRPr="00E04769">
        <w:t>2010/1 Комитет постановил включить краткую информацию о своей деятельности в этой связи</w:t>
      </w:r>
      <w:r w:rsidRPr="00C62420">
        <w:rPr>
          <w:vertAlign w:val="superscript"/>
        </w:rPr>
        <w:footnoteReference w:id="16"/>
      </w:r>
      <w:r w:rsidRPr="00E04769">
        <w:t xml:space="preserve"> в свой ежегодный д</w:t>
      </w:r>
      <w:r w:rsidRPr="00E04769">
        <w:t>о</w:t>
      </w:r>
      <w:r w:rsidRPr="00E04769">
        <w:t>клад Генеральной Ассамблее в соответствии со статьей</w:t>
      </w:r>
      <w:r>
        <w:t> </w:t>
      </w:r>
      <w:r w:rsidRPr="00E04769">
        <w:t>12 Факультативного протокола.</w:t>
      </w:r>
    </w:p>
    <w:p w:rsidR="00236FCB" w:rsidRPr="00E04769" w:rsidRDefault="00236FCB" w:rsidP="00236FCB">
      <w:pPr>
        <w:pStyle w:val="SingleTxt"/>
      </w:pPr>
      <w:r w:rsidRPr="00E04769">
        <w:t>29.</w:t>
      </w:r>
      <w:r w:rsidRPr="00E04769">
        <w:tab/>
        <w:t>24, 27 и 28</w:t>
      </w:r>
      <w:r>
        <w:t> </w:t>
      </w:r>
      <w:r w:rsidRPr="00E04769">
        <w:t>февраля 2014</w:t>
      </w:r>
      <w:r>
        <w:t> </w:t>
      </w:r>
      <w:r w:rsidRPr="00E04769">
        <w:t>года Комитет обсудил проект</w:t>
      </w:r>
      <w:r>
        <w:t>ы</w:t>
      </w:r>
      <w:r w:rsidRPr="00E04769">
        <w:t xml:space="preserve"> своих выводов, комментариев и рекомендаций в отношении расследования №</w:t>
      </w:r>
      <w:r>
        <w:t> </w:t>
      </w:r>
      <w:r w:rsidRPr="00E04769">
        <w:t>2011/1.</w:t>
      </w:r>
    </w:p>
    <w:p w:rsidR="00236FCB" w:rsidRPr="00E04769" w:rsidRDefault="00236FCB" w:rsidP="00236FCB">
      <w:pPr>
        <w:pStyle w:val="SingleTxt"/>
      </w:pPr>
      <w:r w:rsidRPr="00E04769">
        <w:t>30.</w:t>
      </w:r>
      <w:r w:rsidRPr="00E04769">
        <w:tab/>
        <w:t xml:space="preserve">В отношении </w:t>
      </w:r>
      <w:r>
        <w:t xml:space="preserve">сообщений </w:t>
      </w:r>
      <w:r w:rsidRPr="00E04769">
        <w:t>№</w:t>
      </w:r>
      <w:r>
        <w:t> </w:t>
      </w:r>
      <w:r w:rsidRPr="00E04769">
        <w:t>2011/2 и №</w:t>
      </w:r>
      <w:r>
        <w:t> </w:t>
      </w:r>
      <w:r w:rsidRPr="00E04769">
        <w:t xml:space="preserve">2011/3 Комитет, проанализировав информацию, полученную от источника, а также замечания, представленные </w:t>
      </w:r>
      <w:r>
        <w:t xml:space="preserve">соответствующим </w:t>
      </w:r>
      <w:r w:rsidRPr="00E04769">
        <w:t>государством-участником, в обоих случаях постановил о</w:t>
      </w:r>
      <w:r w:rsidRPr="00E04769">
        <w:t>т</w:t>
      </w:r>
      <w:r w:rsidRPr="00E04769">
        <w:t>ложить до пятьдесят восьмой сессии Комитета принятие решения о том, след</w:t>
      </w:r>
      <w:r w:rsidRPr="00E04769">
        <w:t>у</w:t>
      </w:r>
      <w:r w:rsidRPr="00E04769">
        <w:t>ет ли ему назначить одного или нескольких своих членов для проведения ра</w:t>
      </w:r>
      <w:r w:rsidRPr="00E04769">
        <w:t>с</w:t>
      </w:r>
      <w:r w:rsidRPr="00E04769">
        <w:t>следования.</w:t>
      </w:r>
    </w:p>
    <w:p w:rsidR="00236FCB" w:rsidRPr="00E04769" w:rsidRDefault="00236FCB" w:rsidP="00236FCB">
      <w:pPr>
        <w:pStyle w:val="SingleTxt"/>
      </w:pPr>
      <w:r w:rsidRPr="00E04769">
        <w:t>31.</w:t>
      </w:r>
      <w:r w:rsidRPr="00E04769">
        <w:tab/>
        <w:t xml:space="preserve">В отношении </w:t>
      </w:r>
      <w:r>
        <w:t xml:space="preserve">сообщений </w:t>
      </w:r>
      <w:r w:rsidRPr="00E04769">
        <w:t>№</w:t>
      </w:r>
      <w:r>
        <w:t> </w:t>
      </w:r>
      <w:r w:rsidRPr="00E04769">
        <w:t>2011/4 и №</w:t>
      </w:r>
      <w:r>
        <w:t> </w:t>
      </w:r>
      <w:r w:rsidRPr="00E04769">
        <w:t>2012/1 Комитет постановил з</w:t>
      </w:r>
      <w:r w:rsidRPr="00E04769">
        <w:t>а</w:t>
      </w:r>
      <w:r w:rsidRPr="00E04769">
        <w:t xml:space="preserve">просить дополнительную информацию </w:t>
      </w:r>
      <w:r>
        <w:t>у</w:t>
      </w:r>
      <w:r w:rsidRPr="00E04769">
        <w:t xml:space="preserve"> источников информации.</w:t>
      </w:r>
    </w:p>
    <w:p w:rsidR="00236FCB" w:rsidRPr="00E04769" w:rsidRDefault="00236FCB" w:rsidP="00236FCB">
      <w:pPr>
        <w:pStyle w:val="SingleTxt"/>
      </w:pPr>
      <w:r w:rsidRPr="00E04769">
        <w:t>32.</w:t>
      </w:r>
      <w:r w:rsidRPr="00E04769">
        <w:tab/>
        <w:t xml:space="preserve">В связи с </w:t>
      </w:r>
      <w:r>
        <w:t xml:space="preserve">сообщением </w:t>
      </w:r>
      <w:r w:rsidRPr="00E04769">
        <w:t>№</w:t>
      </w:r>
      <w:r>
        <w:t> </w:t>
      </w:r>
      <w:r w:rsidRPr="00E04769">
        <w:t>201</w:t>
      </w:r>
      <w:r>
        <w:t>3</w:t>
      </w:r>
      <w:r w:rsidRPr="00E04769">
        <w:t>/</w:t>
      </w:r>
      <w:r>
        <w:t>1</w:t>
      </w:r>
      <w:r w:rsidRPr="00E04769">
        <w:t xml:space="preserve"> Комитет постановил направить соотве</w:t>
      </w:r>
      <w:r w:rsidRPr="00E04769">
        <w:t>т</w:t>
      </w:r>
      <w:r w:rsidRPr="00E04769">
        <w:t>ствующему государству-участнику напоминание с просьбой представить в т</w:t>
      </w:r>
      <w:r w:rsidRPr="00E04769">
        <w:t>е</w:t>
      </w:r>
      <w:r w:rsidRPr="00E04769">
        <w:t xml:space="preserve">чение двух месяцев замечания </w:t>
      </w:r>
      <w:r>
        <w:t xml:space="preserve">в отношении </w:t>
      </w:r>
      <w:r w:rsidRPr="00E04769">
        <w:t>информации, полученной в соо</w:t>
      </w:r>
      <w:r w:rsidRPr="00E04769">
        <w:t>т</w:t>
      </w:r>
      <w:r w:rsidRPr="00E04769">
        <w:t>ветствии со статьей</w:t>
      </w:r>
      <w:r>
        <w:t> </w:t>
      </w:r>
      <w:r w:rsidRPr="00E04769">
        <w:t>8 Факультативного протокола.</w:t>
      </w:r>
    </w:p>
    <w:p w:rsidR="00236FCB" w:rsidRPr="00E04769" w:rsidRDefault="00236FCB" w:rsidP="00236FCB">
      <w:pPr>
        <w:pStyle w:val="SingleTxt"/>
      </w:pPr>
      <w:r w:rsidRPr="00E04769">
        <w:t>33.</w:t>
      </w:r>
      <w:r w:rsidRPr="00E04769">
        <w:tab/>
        <w:t xml:space="preserve">Что касается </w:t>
      </w:r>
      <w:r>
        <w:t xml:space="preserve">сообщения </w:t>
      </w:r>
      <w:r w:rsidRPr="00E04769">
        <w:t>№</w:t>
      </w:r>
      <w:r>
        <w:t> </w:t>
      </w:r>
      <w:r w:rsidRPr="00E04769">
        <w:t>2013/2, Комитет постановил отложить до пятьдесят восьмой сессии Комитета рассмотрение информации, полученной согласно статье 8 Факультативного протокола.</w:t>
      </w:r>
    </w:p>
    <w:p w:rsidR="00236FCB" w:rsidRPr="00E04769" w:rsidRDefault="00236FCB" w:rsidP="00236FCB">
      <w:pPr>
        <w:pStyle w:val="SingleTxt"/>
      </w:pPr>
      <w:r w:rsidRPr="00E04769">
        <w:t>34.</w:t>
      </w:r>
      <w:r w:rsidRPr="00E04769">
        <w:tab/>
        <w:t xml:space="preserve">Комитет получил еще одно </w:t>
      </w:r>
      <w:r>
        <w:t xml:space="preserve">сообщение </w:t>
      </w:r>
      <w:r w:rsidRPr="00E04769">
        <w:t>в соответствии со статьей 8 Ф</w:t>
      </w:r>
      <w:r w:rsidRPr="00E04769">
        <w:t>а</w:t>
      </w:r>
      <w:r w:rsidRPr="00E04769">
        <w:t>культативного протокола, которое было зарегистрировано под номером</w:t>
      </w:r>
      <w:r>
        <w:t> </w:t>
      </w:r>
      <w:r w:rsidRPr="00E04769">
        <w:t xml:space="preserve">2014/1, и просил </w:t>
      </w:r>
      <w:r>
        <w:t>с</w:t>
      </w:r>
      <w:r w:rsidRPr="00E04769">
        <w:t>екретариат подготовить резюме этого</w:t>
      </w:r>
      <w:r>
        <w:t xml:space="preserve"> сообщения</w:t>
      </w:r>
      <w:r w:rsidRPr="00E04769">
        <w:t>.</w:t>
      </w:r>
    </w:p>
    <w:p w:rsidR="00236FCB" w:rsidRPr="00F366F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F366F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236FCB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66F9">
        <w:br w:type="page"/>
      </w:r>
      <w:r w:rsidRPr="00F366F9">
        <w:tab/>
      </w:r>
      <w:r w:rsidRPr="00E04769">
        <w:t>Глава VI</w:t>
      </w:r>
    </w:p>
    <w:p w:rsidR="00236FCB" w:rsidRPr="0064683A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36FCB" w:rsidRPr="00E04769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6FCB">
        <w:tab/>
      </w:r>
      <w:r w:rsidRPr="00236FCB">
        <w:tab/>
      </w:r>
      <w:r w:rsidRPr="00E04769">
        <w:t>Пути и средства повышения оперативности работы Комитета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35.</w:t>
      </w:r>
      <w:r w:rsidRPr="00E04769">
        <w:tab/>
        <w:t>На своей пятьдесят седьмой сессии Комитет рассмотрел пункт 7 повестки дня о путях и средствах повышения оперативности работы Комитета.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Решения, принятые Комитетом по пункту 7 повестки дня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Совершенствование методов работы Комитета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36.</w:t>
      </w:r>
      <w:r w:rsidRPr="00E04769">
        <w:tab/>
        <w:t>Секретариат проинформировал Комитет о положении дел в связи с пре</w:t>
      </w:r>
      <w:r w:rsidRPr="00E04769">
        <w:t>д</w:t>
      </w:r>
      <w:r w:rsidRPr="00E04769">
        <w:t>ставлением государствами-участниками просроченных докладов в соотве</w:t>
      </w:r>
      <w:r w:rsidRPr="00E04769">
        <w:t>т</w:t>
      </w:r>
      <w:r w:rsidRPr="00E04769">
        <w:t>ствии со статьей 18 Конвенции.</w:t>
      </w:r>
    </w:p>
    <w:p w:rsidR="00236FCB" w:rsidRPr="00E04769" w:rsidRDefault="00236FCB" w:rsidP="00236FCB">
      <w:pPr>
        <w:pStyle w:val="SingleTxt"/>
      </w:pPr>
      <w:r w:rsidRPr="00E04769">
        <w:t>37.</w:t>
      </w:r>
      <w:r w:rsidRPr="00E04769">
        <w:tab/>
        <w:t>14</w:t>
      </w:r>
      <w:r>
        <w:t> </w:t>
      </w:r>
      <w:r w:rsidRPr="00E04769">
        <w:t>февраля 2014</w:t>
      </w:r>
      <w:r>
        <w:t> </w:t>
      </w:r>
      <w:r w:rsidRPr="00E04769">
        <w:t xml:space="preserve">года </w:t>
      </w:r>
      <w:r>
        <w:t>П</w:t>
      </w:r>
      <w:r w:rsidRPr="00E04769">
        <w:t xml:space="preserve">редседатель </w:t>
      </w:r>
      <w:r>
        <w:t xml:space="preserve">Николь </w:t>
      </w:r>
      <w:r w:rsidRPr="00E04769">
        <w:t>Амелин кратко проинформ</w:t>
      </w:r>
      <w:r w:rsidRPr="00E04769">
        <w:t>и</w:t>
      </w:r>
      <w:r w:rsidRPr="00E04769">
        <w:t>ровала Комитет о своем участии в неофициальных консультациях председат</w:t>
      </w:r>
      <w:r w:rsidRPr="00E04769">
        <w:t>е</w:t>
      </w:r>
      <w:r w:rsidRPr="00E04769">
        <w:t xml:space="preserve">лей договорных органов по правам человека, которые </w:t>
      </w:r>
      <w:r>
        <w:t xml:space="preserve">проходили </w:t>
      </w:r>
      <w:r w:rsidRPr="00E04769">
        <w:t>в Вашин</w:t>
      </w:r>
      <w:r w:rsidRPr="00E04769">
        <w:t>г</w:t>
      </w:r>
      <w:r w:rsidRPr="00E04769">
        <w:t>тоне, округ Колумбия, 31</w:t>
      </w:r>
      <w:r>
        <w:t> </w:t>
      </w:r>
      <w:r w:rsidRPr="00E04769">
        <w:t>января и 1</w:t>
      </w:r>
      <w:r>
        <w:t> </w:t>
      </w:r>
      <w:r w:rsidRPr="00E04769">
        <w:t>февраля 2014</w:t>
      </w:r>
      <w:r>
        <w:t> </w:t>
      </w:r>
      <w:r w:rsidRPr="00E04769">
        <w:t>года, в ходе которых предс</w:t>
      </w:r>
      <w:r w:rsidRPr="00E04769">
        <w:t>е</w:t>
      </w:r>
      <w:r w:rsidRPr="00E04769">
        <w:t>датели встретились с координаторами межправительственного процесса Ген</w:t>
      </w:r>
      <w:r w:rsidRPr="00E04769">
        <w:t>е</w:t>
      </w:r>
      <w:r w:rsidRPr="00E04769">
        <w:t>ральной Ассамблеи по укреплению договорных органов, постоянными пре</w:t>
      </w:r>
      <w:r w:rsidRPr="00E04769">
        <w:t>д</w:t>
      </w:r>
      <w:r w:rsidRPr="00E04769">
        <w:t>ставителями Исландии и Туниса при Организации Объединенных Наций в Нью-Йорке.</w:t>
      </w:r>
    </w:p>
    <w:p w:rsidR="00236FCB" w:rsidRPr="00E04769" w:rsidRDefault="00236FCB" w:rsidP="00236FCB">
      <w:pPr>
        <w:pStyle w:val="SingleTxt"/>
      </w:pPr>
      <w:r w:rsidRPr="00E04769">
        <w:t>38.</w:t>
      </w:r>
      <w:r w:rsidRPr="00E04769">
        <w:tab/>
        <w:t>17 и 21</w:t>
      </w:r>
      <w:r>
        <w:t> </w:t>
      </w:r>
      <w:r w:rsidRPr="00E04769">
        <w:t>февраля 2014</w:t>
      </w:r>
      <w:r>
        <w:t> </w:t>
      </w:r>
      <w:r w:rsidRPr="00E04769">
        <w:t xml:space="preserve">года </w:t>
      </w:r>
      <w:r>
        <w:t>с</w:t>
      </w:r>
      <w:r w:rsidRPr="00E04769">
        <w:t>екретариат проинформировал Комитет об ит</w:t>
      </w:r>
      <w:r w:rsidRPr="00E04769">
        <w:t>о</w:t>
      </w:r>
      <w:r w:rsidRPr="00E04769">
        <w:t>гах осуществляемого в Генеральной Ассамблее межправительственного пр</w:t>
      </w:r>
      <w:r w:rsidRPr="00E04769">
        <w:t>о</w:t>
      </w:r>
      <w:r w:rsidRPr="00E04769">
        <w:t>цесса, направленного на укрепление и повышение эффективности функцион</w:t>
      </w:r>
      <w:r w:rsidRPr="00E04769">
        <w:t>и</w:t>
      </w:r>
      <w:r w:rsidRPr="00E04769">
        <w:t>рования системы договорных органов по правам человека.</w:t>
      </w:r>
    </w:p>
    <w:p w:rsidR="00236FCB" w:rsidRPr="00E04769" w:rsidRDefault="00236FCB" w:rsidP="00236FCB">
      <w:pPr>
        <w:pStyle w:val="SingleTxt"/>
      </w:pPr>
      <w:r w:rsidRPr="00E04769">
        <w:t>39.</w:t>
      </w:r>
      <w:r w:rsidRPr="00E04769">
        <w:tab/>
        <w:t>27</w:t>
      </w:r>
      <w:r>
        <w:t> </w:t>
      </w:r>
      <w:r w:rsidRPr="00E04769">
        <w:t>февраля 2014</w:t>
      </w:r>
      <w:r>
        <w:t> </w:t>
      </w:r>
      <w:r w:rsidRPr="00E04769">
        <w:t>года секретарь Комитета против пыток Жуан Натаф пр</w:t>
      </w:r>
      <w:r w:rsidRPr="00E04769">
        <w:t>о</w:t>
      </w:r>
      <w:r w:rsidRPr="00E04769">
        <w:t xml:space="preserve">информировал Комитет об опыте </w:t>
      </w:r>
      <w:r>
        <w:t xml:space="preserve">Комитета против пыток </w:t>
      </w:r>
      <w:r w:rsidRPr="00E04769">
        <w:t>в деле применения упрощенной процедуры представления докладов (или перечня вопросов до представления докладов) и проведения расследований в соответствии со стат</w:t>
      </w:r>
      <w:r w:rsidRPr="00E04769">
        <w:t>ь</w:t>
      </w:r>
      <w:r w:rsidRPr="00E04769">
        <w:t>ей</w:t>
      </w:r>
      <w:r>
        <w:t> </w:t>
      </w:r>
      <w:r w:rsidRPr="00E04769">
        <w:t>20 Конвенции против пыток и других жестоких, бесчеловечных или униж</w:t>
      </w:r>
      <w:r w:rsidRPr="00E04769">
        <w:t>а</w:t>
      </w:r>
      <w:r w:rsidRPr="00E04769">
        <w:t>ющих достоинство видов о</w:t>
      </w:r>
      <w:r w:rsidRPr="00E04769">
        <w:t>б</w:t>
      </w:r>
      <w:r w:rsidRPr="00E04769">
        <w:t>ращения и наказания.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Сроки проведения будущих сессий Комитета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40.</w:t>
      </w:r>
      <w:r w:rsidRPr="00E04769">
        <w:tab/>
        <w:t xml:space="preserve">В соответствии с расписанием конференций был утвержден следующий график проведения пятьдесят </w:t>
      </w:r>
      <w:r>
        <w:t xml:space="preserve">восьмой </w:t>
      </w:r>
      <w:r w:rsidRPr="00E04769">
        <w:t xml:space="preserve">и пятьдесят </w:t>
      </w:r>
      <w:r>
        <w:t xml:space="preserve">девятой </w:t>
      </w:r>
      <w:r w:rsidRPr="00E04769">
        <w:t>сессий Комитета и связанных с ними заседаний:</w:t>
      </w:r>
    </w:p>
    <w:p w:rsidR="00236FCB" w:rsidRPr="00922963" w:rsidRDefault="00236FCB" w:rsidP="00236FCB">
      <w:pPr>
        <w:pStyle w:val="SingleTxt"/>
      </w:pPr>
      <w:r w:rsidRPr="00E04769">
        <w:tab/>
      </w:r>
      <w:r w:rsidRPr="00922963">
        <w:t>Пятьдесят восьмая сессия (Женева)</w:t>
      </w:r>
    </w:p>
    <w:p w:rsidR="00236FCB" w:rsidRPr="00E04769" w:rsidRDefault="00236FCB" w:rsidP="00236FCB">
      <w:pPr>
        <w:pStyle w:val="SingleTxt"/>
      </w:pPr>
      <w:r w:rsidRPr="00E04769">
        <w:tab/>
        <w:t>a)</w:t>
      </w:r>
      <w:r w:rsidRPr="00E04769">
        <w:tab/>
        <w:t xml:space="preserve">двадцать девятая сессия Рабочей группы по сообщениям </w:t>
      </w:r>
      <w:r>
        <w:t>в соотве</w:t>
      </w:r>
      <w:r>
        <w:t>т</w:t>
      </w:r>
      <w:r>
        <w:t xml:space="preserve">ствии с </w:t>
      </w:r>
      <w:r w:rsidRPr="00E04769">
        <w:t>Ф</w:t>
      </w:r>
      <w:r w:rsidRPr="00E04769">
        <w:t>а</w:t>
      </w:r>
      <w:r w:rsidRPr="00E04769">
        <w:t>культативн</w:t>
      </w:r>
      <w:r>
        <w:t>ым</w:t>
      </w:r>
      <w:r w:rsidRPr="00E04769">
        <w:t xml:space="preserve"> протокол</w:t>
      </w:r>
      <w:r>
        <w:t>ом</w:t>
      </w:r>
      <w:r w:rsidRPr="00E04769">
        <w:t>: 25</w:t>
      </w:r>
      <w:r>
        <w:t>–</w:t>
      </w:r>
      <w:r w:rsidRPr="00E04769">
        <w:t>27</w:t>
      </w:r>
      <w:r>
        <w:t> </w:t>
      </w:r>
      <w:r w:rsidRPr="00E04769">
        <w:t>июня 2014</w:t>
      </w:r>
      <w:r>
        <w:t> </w:t>
      </w:r>
      <w:r w:rsidRPr="00E04769">
        <w:t>года;</w:t>
      </w:r>
    </w:p>
    <w:p w:rsidR="00236FCB" w:rsidRPr="00E04769" w:rsidRDefault="00236FCB" w:rsidP="00236FCB">
      <w:pPr>
        <w:pStyle w:val="SingleTxt"/>
      </w:pPr>
      <w:r w:rsidRPr="00E04769">
        <w:tab/>
        <w:t>b)</w:t>
      </w:r>
      <w:r w:rsidRPr="00E04769">
        <w:tab/>
        <w:t>пятьдесят восьмая сессия: 30 июня</w:t>
      </w:r>
      <w:r>
        <w:t xml:space="preserve"> — </w:t>
      </w:r>
      <w:r w:rsidRPr="00E04769">
        <w:t>18 июля 2014</w:t>
      </w:r>
      <w:r>
        <w:t> </w:t>
      </w:r>
      <w:r w:rsidRPr="00E04769">
        <w:t>года;</w:t>
      </w:r>
    </w:p>
    <w:p w:rsidR="00236FCB" w:rsidRPr="00E04769" w:rsidRDefault="00236FCB" w:rsidP="00236FCB">
      <w:pPr>
        <w:pStyle w:val="SingleTxt"/>
      </w:pPr>
      <w:r w:rsidRPr="00E04769">
        <w:tab/>
        <w:t>c)</w:t>
      </w:r>
      <w:r w:rsidRPr="00E04769">
        <w:tab/>
        <w:t xml:space="preserve">предсессионная рабочая группа для шестидесятой сессии: </w:t>
      </w:r>
      <w:r>
        <w:br/>
      </w:r>
      <w:r w:rsidRPr="00E04769">
        <w:t>21–25</w:t>
      </w:r>
      <w:r>
        <w:t> </w:t>
      </w:r>
      <w:r w:rsidRPr="00E04769">
        <w:t>июля 2014</w:t>
      </w:r>
      <w:r>
        <w:t> </w:t>
      </w:r>
      <w:r w:rsidRPr="00E04769">
        <w:t>года.</w:t>
      </w:r>
    </w:p>
    <w:p w:rsidR="00236FCB" w:rsidRPr="00922963" w:rsidRDefault="00236FCB" w:rsidP="00236FCB">
      <w:pPr>
        <w:pStyle w:val="SingleTxt"/>
      </w:pPr>
      <w:r w:rsidRPr="00922963">
        <w:tab/>
        <w:t>Пятьдесят девятая сессия (Женева)</w:t>
      </w:r>
    </w:p>
    <w:p w:rsidR="00236FCB" w:rsidRPr="00E04769" w:rsidRDefault="00236FCB" w:rsidP="00236FCB">
      <w:pPr>
        <w:pStyle w:val="SingleTxt"/>
      </w:pPr>
      <w:r w:rsidRPr="00E04769">
        <w:tab/>
        <w:t>d)</w:t>
      </w:r>
      <w:r w:rsidRPr="00E04769">
        <w:tab/>
        <w:t xml:space="preserve">тридцатая сессия Рабочей группы по сообщениям </w:t>
      </w:r>
      <w:r>
        <w:t xml:space="preserve">в соответствии с </w:t>
      </w:r>
      <w:r w:rsidRPr="00E04769">
        <w:t>Факульт</w:t>
      </w:r>
      <w:r w:rsidRPr="00E04769">
        <w:t>а</w:t>
      </w:r>
      <w:r w:rsidRPr="00E04769">
        <w:t>тивн</w:t>
      </w:r>
      <w:r>
        <w:t>ым</w:t>
      </w:r>
      <w:r w:rsidRPr="00E04769">
        <w:t xml:space="preserve"> протокол</w:t>
      </w:r>
      <w:r>
        <w:t>ом</w:t>
      </w:r>
      <w:r w:rsidRPr="00E04769">
        <w:t>: 15</w:t>
      </w:r>
      <w:r>
        <w:t>–</w:t>
      </w:r>
      <w:r w:rsidRPr="00E04769">
        <w:t>17</w:t>
      </w:r>
      <w:r>
        <w:t> </w:t>
      </w:r>
      <w:r w:rsidRPr="00E04769">
        <w:t>октября 2014</w:t>
      </w:r>
      <w:r>
        <w:t> года</w:t>
      </w:r>
      <w:r w:rsidRPr="00E04769">
        <w:t>;</w:t>
      </w:r>
    </w:p>
    <w:p w:rsidR="00236FCB" w:rsidRPr="00E04769" w:rsidRDefault="00236FCB" w:rsidP="00236FCB">
      <w:pPr>
        <w:pStyle w:val="SingleTxt"/>
      </w:pPr>
      <w:r w:rsidRPr="00E04769">
        <w:tab/>
        <w:t>e)</w:t>
      </w:r>
      <w:r w:rsidRPr="00E04769">
        <w:tab/>
        <w:t>пятьдесят девятая сессия: 20 октября</w:t>
      </w:r>
      <w:r>
        <w:t xml:space="preserve"> — </w:t>
      </w:r>
      <w:r w:rsidRPr="00E04769">
        <w:t>7 ноября 2014 года;</w:t>
      </w:r>
    </w:p>
    <w:p w:rsidR="00236FCB" w:rsidRPr="00E04769" w:rsidRDefault="00236FCB" w:rsidP="00236FCB">
      <w:pPr>
        <w:pStyle w:val="SingleTxt"/>
      </w:pPr>
      <w:r w:rsidRPr="00E04769">
        <w:tab/>
        <w:t>f)</w:t>
      </w:r>
      <w:r w:rsidRPr="00E04769">
        <w:tab/>
        <w:t xml:space="preserve">предсессионная рабочая группа для шестьдесят первой сессии: </w:t>
      </w:r>
      <w:r>
        <w:br/>
      </w:r>
      <w:r w:rsidRPr="00E04769">
        <w:t>10</w:t>
      </w:r>
      <w:r>
        <w:t>–</w:t>
      </w:r>
      <w:r w:rsidRPr="00E04769">
        <w:t>14</w:t>
      </w:r>
      <w:r>
        <w:t> </w:t>
      </w:r>
      <w:r w:rsidRPr="00E04769">
        <w:t>ноября 2014</w:t>
      </w:r>
      <w:r>
        <w:t> </w:t>
      </w:r>
      <w:r w:rsidRPr="00E04769">
        <w:t xml:space="preserve">года. 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Доклады, которые будут рассматриваться на будущих сессиях Комитета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41.</w:t>
      </w:r>
      <w:r w:rsidRPr="00E04769">
        <w:tab/>
        <w:t>Комитет подтвердил, что на своих пятьдесят восьмой и пятьдесят девятой сессиях он рассмотрит доклады следующих государств-участников.</w:t>
      </w:r>
    </w:p>
    <w:p w:rsidR="00236FCB" w:rsidRPr="00E04769" w:rsidRDefault="00236FCB" w:rsidP="00236FCB">
      <w:pPr>
        <w:pStyle w:val="SingleTxt"/>
      </w:pPr>
      <w:r w:rsidRPr="00E04769">
        <w:tab/>
        <w:t>На пятьдесят восьмой сессии Комитет рассмотрит доклады: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Центральноафриканской Республики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Грузии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Индии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Литвы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Мавритании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Перу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Свазиленда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Сирии</w:t>
      </w:r>
    </w:p>
    <w:p w:rsidR="00236FCB" w:rsidRPr="00E04769" w:rsidRDefault="00236FCB" w:rsidP="00236FCB">
      <w:pPr>
        <w:pStyle w:val="SingleTxt"/>
      </w:pPr>
      <w:r w:rsidRPr="00E04769">
        <w:t>Следует отметить, что рассмотрение вопроса о Центральноафриканской Ре</w:t>
      </w:r>
      <w:r w:rsidRPr="00E04769">
        <w:t>с</w:t>
      </w:r>
      <w:r w:rsidRPr="00E04769">
        <w:t>публике в отсутствие доклада первоначально было запланировано на пят</w:t>
      </w:r>
      <w:r w:rsidRPr="00E04769">
        <w:t>ь</w:t>
      </w:r>
      <w:r w:rsidRPr="00E04769">
        <w:t>десят третью сессию. Однако Центральноафриканская Республика представила свои объединенные с перво</w:t>
      </w:r>
      <w:r>
        <w:t>начального</w:t>
      </w:r>
      <w:r w:rsidRPr="00E04769">
        <w:t xml:space="preserve"> по пятый периодические доклады 26</w:t>
      </w:r>
      <w:r>
        <w:t> </w:t>
      </w:r>
      <w:r w:rsidRPr="00E04769">
        <w:t>июня 2012</w:t>
      </w:r>
      <w:r>
        <w:t> </w:t>
      </w:r>
      <w:r w:rsidRPr="00E04769">
        <w:t>года, и таким образом рассмотрение было перенесено на пятьдесят вос</w:t>
      </w:r>
      <w:r w:rsidRPr="00E04769">
        <w:t>ь</w:t>
      </w:r>
      <w:r w:rsidRPr="00E04769">
        <w:t>мую сессию, с тем чтобы можно было сделать перевод доклада и чтобы пре</w:t>
      </w:r>
      <w:r w:rsidRPr="00E04769">
        <w:t>д</w:t>
      </w:r>
      <w:r w:rsidRPr="00E04769">
        <w:t xml:space="preserve">сессионная рабочая группа подготовила новый и/или обновленный перечень вопросов. </w:t>
      </w:r>
    </w:p>
    <w:p w:rsidR="00236FCB" w:rsidRPr="00E04769" w:rsidRDefault="00236FCB" w:rsidP="00236FCB">
      <w:pPr>
        <w:pStyle w:val="SingleTxt"/>
      </w:pPr>
      <w:r w:rsidRPr="00E04769">
        <w:tab/>
        <w:t>На пятьдесят девятой сессии Комитет рассмотрит доклады: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Бельгии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Брунея-Даруссалама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Китая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Ганы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Гвинеи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Польши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Соломоновых Островов</w:t>
      </w:r>
    </w:p>
    <w:p w:rsidR="00236FCB" w:rsidRPr="00E04769" w:rsidRDefault="00236FCB" w:rsidP="00236FCB">
      <w:pPr>
        <w:pStyle w:val="SingleTxt"/>
      </w:pPr>
      <w:r w:rsidRPr="00E04769">
        <w:tab/>
      </w:r>
      <w:r w:rsidRPr="00E04769">
        <w:tab/>
        <w:t>Венесуэлы</w:t>
      </w:r>
    </w:p>
    <w:p w:rsidR="00236FCB" w:rsidRPr="00922963" w:rsidRDefault="00236FCB" w:rsidP="00236FCB">
      <w:pPr>
        <w:pStyle w:val="SingleTxt"/>
      </w:pPr>
      <w:r w:rsidRPr="00E04769">
        <w:t>Следует отметить, что рассмотрение вопроса о Соломоновых Островах в о</w:t>
      </w:r>
      <w:r w:rsidRPr="00E04769">
        <w:t>т</w:t>
      </w:r>
      <w:r w:rsidRPr="00E04769">
        <w:t>сутствие доклада первоначально было запланировано на пятьдесят четвертую сессию. Однако Соломоновы Острова представили свои объединенные с пе</w:t>
      </w:r>
      <w:r w:rsidRPr="00E04769">
        <w:t>р</w:t>
      </w:r>
      <w:r w:rsidRPr="00E04769">
        <w:t>во</w:t>
      </w:r>
      <w:r>
        <w:t>начального</w:t>
      </w:r>
      <w:r w:rsidRPr="00E04769">
        <w:t xml:space="preserve"> по третий периодические доклады 30</w:t>
      </w:r>
      <w:r>
        <w:t> </w:t>
      </w:r>
      <w:r w:rsidRPr="00E04769">
        <w:t>января 2013</w:t>
      </w:r>
      <w:r>
        <w:t> </w:t>
      </w:r>
      <w:r w:rsidRPr="00E04769">
        <w:t>года, и таким образом рассмотрение было перенесено на пятьдесят девятую сессию, с тем чтобы можно было сделать перевод доклада и чтобы предсессионная рабочая группа подготовила новый и/или обновленный перечень вопросов.</w:t>
      </w:r>
    </w:p>
    <w:p w:rsidR="00236FCB" w:rsidRPr="00922963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922963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236FCB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2963">
        <w:br w:type="page"/>
      </w:r>
      <w:r w:rsidRPr="00922963">
        <w:tab/>
      </w:r>
      <w:r w:rsidRPr="00E04769">
        <w:t>Глава VII</w:t>
      </w:r>
    </w:p>
    <w:p w:rsidR="00236FCB" w:rsidRPr="0064683A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36FCB" w:rsidRPr="00E04769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6FCB">
        <w:tab/>
      </w:r>
      <w:r w:rsidRPr="00236FCB">
        <w:tab/>
      </w:r>
      <w:r w:rsidRPr="00E04769">
        <w:t>Осуществление статьи 21 Конвенции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42.</w:t>
      </w:r>
      <w:r w:rsidRPr="00E04769">
        <w:tab/>
        <w:t>В ходе своей пятьдесят седьмой сессии Комитет рассмотрел пункт 6 п</w:t>
      </w:r>
      <w:r w:rsidRPr="00E04769">
        <w:t>о</w:t>
      </w:r>
      <w:r w:rsidRPr="00E04769">
        <w:t>вестки дня об осуществлении статьи 21 Конвенции.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Решения, принятые Комитетом по пункту 6 повестки дня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Рабочая группа по вредной практике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43.</w:t>
      </w:r>
      <w:r w:rsidRPr="00E04769">
        <w:tab/>
        <w:t>Во время сессии рабочая группа провела заседание и внесла поправки в последнюю версию проекта совместной общей рекомендации/</w:t>
      </w:r>
      <w:r>
        <w:t>замечания</w:t>
      </w:r>
      <w:r w:rsidRPr="00E04769">
        <w:t xml:space="preserve"> </w:t>
      </w:r>
      <w:r>
        <w:t>п</w:t>
      </w:r>
      <w:r w:rsidRPr="00E04769">
        <w:t>о вредной практике Комитета по ликвидации дискриминации в отношении же</w:t>
      </w:r>
      <w:r w:rsidRPr="00E04769">
        <w:t>н</w:t>
      </w:r>
      <w:r w:rsidRPr="00E04769">
        <w:t>щин/Комитета по правам ребенка.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Рабочая группа по гендерным аспектам статуса беженца, убежища</w:t>
      </w:r>
      <w:r>
        <w:br/>
      </w:r>
      <w:r w:rsidRPr="00E04769">
        <w:t xml:space="preserve">и безгражданства 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44.</w:t>
      </w:r>
      <w:r w:rsidRPr="00E04769">
        <w:tab/>
        <w:t>Рабочая группа пров</w:t>
      </w:r>
      <w:r>
        <w:t>оди</w:t>
      </w:r>
      <w:r w:rsidRPr="00E04769">
        <w:t>ла заседани</w:t>
      </w:r>
      <w:r>
        <w:t>я</w:t>
      </w:r>
      <w:r w:rsidRPr="00E04769">
        <w:t xml:space="preserve"> в </w:t>
      </w:r>
      <w:r>
        <w:t xml:space="preserve">ходе </w:t>
      </w:r>
      <w:r w:rsidRPr="00E04769">
        <w:t>сессии.</w:t>
      </w:r>
    </w:p>
    <w:p w:rsidR="00236FCB" w:rsidRPr="00E04769" w:rsidRDefault="00236FCB" w:rsidP="00236FCB">
      <w:pPr>
        <w:pStyle w:val="SingleTxt"/>
      </w:pPr>
      <w:r w:rsidRPr="00E04769">
        <w:t>45.</w:t>
      </w:r>
      <w:r w:rsidRPr="00E04769">
        <w:tab/>
        <w:t>25</w:t>
      </w:r>
      <w:r>
        <w:t> </w:t>
      </w:r>
      <w:r w:rsidRPr="00E04769">
        <w:t>февраля 2014</w:t>
      </w:r>
      <w:r>
        <w:t> </w:t>
      </w:r>
      <w:r w:rsidRPr="00E04769">
        <w:t xml:space="preserve">года Комитет обсудил вторую часть </w:t>
      </w:r>
      <w:r>
        <w:t xml:space="preserve">текста </w:t>
      </w:r>
      <w:r w:rsidRPr="00E04769">
        <w:t>проекта о</w:t>
      </w:r>
      <w:r w:rsidRPr="00E04769">
        <w:t>б</w:t>
      </w:r>
      <w:r w:rsidRPr="00E04769">
        <w:t>щей рекомендации о гендерных аспектах статуса беженца, убежища и безгра</w:t>
      </w:r>
      <w:r w:rsidRPr="00E04769">
        <w:t>ж</w:t>
      </w:r>
      <w:r w:rsidRPr="00E04769">
        <w:t>данства, каса</w:t>
      </w:r>
      <w:r>
        <w:t>ющегося</w:t>
      </w:r>
      <w:r w:rsidRPr="00E04769">
        <w:t xml:space="preserve"> гражданства и безгражданства.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Рабочая группа по доступ</w:t>
      </w:r>
      <w:r>
        <w:t>у</w:t>
      </w:r>
      <w:r w:rsidRPr="00E04769">
        <w:t xml:space="preserve"> к правосудию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46.</w:t>
      </w:r>
      <w:r w:rsidRPr="00E04769">
        <w:tab/>
        <w:t>Рабочая группа пров</w:t>
      </w:r>
      <w:r>
        <w:t>оди</w:t>
      </w:r>
      <w:r w:rsidRPr="00E04769">
        <w:t>ла заседани</w:t>
      </w:r>
      <w:r>
        <w:t>я</w:t>
      </w:r>
      <w:r w:rsidRPr="00E04769">
        <w:t xml:space="preserve"> во время сессии и обсудила первый проект общей рекомендации </w:t>
      </w:r>
      <w:r>
        <w:t>п</w:t>
      </w:r>
      <w:r w:rsidRPr="00E04769">
        <w:t>о доступ</w:t>
      </w:r>
      <w:r>
        <w:t>у</w:t>
      </w:r>
      <w:r w:rsidRPr="00E04769">
        <w:t xml:space="preserve"> женщин к правосудию. Она </w:t>
      </w:r>
      <w:r>
        <w:t>постан</w:t>
      </w:r>
      <w:r>
        <w:t>о</w:t>
      </w:r>
      <w:r>
        <w:t xml:space="preserve">вила </w:t>
      </w:r>
      <w:r w:rsidRPr="00E04769">
        <w:t>распространить окончательную версию первого проекта другим членам Комитета и заинтересованным сторонам в межсессионный период.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 xml:space="preserve">Рабочая группа по сельским женщинам 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922963" w:rsidRDefault="00236FCB" w:rsidP="00236FCB">
      <w:pPr>
        <w:pStyle w:val="SingleTxt"/>
      </w:pPr>
      <w:r w:rsidRPr="00E04769">
        <w:t>47.</w:t>
      </w:r>
      <w:r w:rsidRPr="00E04769">
        <w:tab/>
        <w:t>Рабочая группа пров</w:t>
      </w:r>
      <w:r>
        <w:t>оди</w:t>
      </w:r>
      <w:r w:rsidRPr="00E04769">
        <w:t>ла заседани</w:t>
      </w:r>
      <w:r>
        <w:t>я</w:t>
      </w:r>
      <w:r w:rsidRPr="00E04769">
        <w:t xml:space="preserve"> во время сессии и согласовала план проекта общей рекомендации.</w:t>
      </w:r>
    </w:p>
    <w:p w:rsidR="00236FCB" w:rsidRPr="00922963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 xml:space="preserve">Рабочая группа по вопросам гендерного равенства в контексте изменения климата и стихийных бедствий 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48.</w:t>
      </w:r>
      <w:r w:rsidRPr="00E04769">
        <w:tab/>
        <w:t>Во время сессии рабочая группа пров</w:t>
      </w:r>
      <w:r>
        <w:t>одила</w:t>
      </w:r>
      <w:r w:rsidRPr="00E04769">
        <w:t xml:space="preserve"> заседани</w:t>
      </w:r>
      <w:r>
        <w:t>я и</w:t>
      </w:r>
      <w:r w:rsidRPr="00E04769">
        <w:t xml:space="preserve"> в присутствии представителей Управления по вопросам уменьшения опасности бедствий о</w:t>
      </w:r>
      <w:r w:rsidRPr="00E04769">
        <w:t>б</w:t>
      </w:r>
      <w:r w:rsidRPr="00E04769">
        <w:t>судила общий план концептуальной записки.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 xml:space="preserve">Рабочая группа по </w:t>
      </w:r>
      <w:r>
        <w:t xml:space="preserve">вопросу о </w:t>
      </w:r>
      <w:r w:rsidRPr="00E04769">
        <w:t>прав</w:t>
      </w:r>
      <w:r>
        <w:t>е</w:t>
      </w:r>
      <w:r w:rsidRPr="00E04769">
        <w:t xml:space="preserve"> на образование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49.</w:t>
      </w:r>
      <w:r w:rsidRPr="00E04769">
        <w:tab/>
        <w:t>Рабочая группа пров</w:t>
      </w:r>
      <w:r>
        <w:t>одила</w:t>
      </w:r>
      <w:r w:rsidRPr="00E04769">
        <w:t xml:space="preserve"> заседани</w:t>
      </w:r>
      <w:r>
        <w:t>я</w:t>
      </w:r>
      <w:r w:rsidRPr="00E04769">
        <w:t xml:space="preserve"> во время сессии и представила К</w:t>
      </w:r>
      <w:r w:rsidRPr="00E04769">
        <w:t>о</w:t>
      </w:r>
      <w:r w:rsidRPr="00E04769">
        <w:t>митету пересмотренную концептуальную записку. Комитет одобрил концепт</w:t>
      </w:r>
      <w:r w:rsidRPr="00E04769">
        <w:t>у</w:t>
      </w:r>
      <w:r w:rsidRPr="00E04769">
        <w:t>альную записку и принял решение посвятить на пятьдесят восьмой сессии п</w:t>
      </w:r>
      <w:r w:rsidRPr="00E04769">
        <w:t>о</w:t>
      </w:r>
      <w:r w:rsidRPr="00E04769">
        <w:t xml:space="preserve">ловину дня для общей дискуссии </w:t>
      </w:r>
      <w:r>
        <w:t xml:space="preserve">по вопросу </w:t>
      </w:r>
      <w:r w:rsidRPr="00E04769">
        <w:t>о праве на образование.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236FCB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E04769">
        <w:tab/>
      </w:r>
      <w:r w:rsidRPr="00E04769">
        <w:tab/>
        <w:t>Рабочая группа по методам работы</w:t>
      </w:r>
    </w:p>
    <w:p w:rsidR="00236FCB" w:rsidRPr="00236FCB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50.</w:t>
      </w:r>
      <w:r w:rsidRPr="00E04769">
        <w:tab/>
        <w:t>Рабочая группа пров</w:t>
      </w:r>
      <w:r>
        <w:t>одила</w:t>
      </w:r>
      <w:r w:rsidRPr="00E04769">
        <w:t xml:space="preserve"> заседани</w:t>
      </w:r>
      <w:r>
        <w:t>я</w:t>
      </w:r>
      <w:r w:rsidRPr="00E04769">
        <w:t xml:space="preserve"> во время сессии и, помимо прочего, обсудила возможность создания межсессионного механизма реагирования на неотложные вопросы. Рабочая группа также сформулировала решение, которое было принято Комитетом (см.</w:t>
      </w:r>
      <w:r>
        <w:t> </w:t>
      </w:r>
      <w:r w:rsidRPr="00E04769">
        <w:t>решение 57/III выше).</w:t>
      </w:r>
    </w:p>
    <w:p w:rsidR="00236FCB" w:rsidRPr="00E04769" w:rsidRDefault="00236FCB" w:rsidP="00236FCB">
      <w:pPr>
        <w:pStyle w:val="SingleTxt"/>
        <w:spacing w:after="0" w:line="120" w:lineRule="exact"/>
        <w:rPr>
          <w:b/>
          <w:sz w:val="10"/>
        </w:rPr>
      </w:pPr>
    </w:p>
    <w:p w:rsidR="00236FCB" w:rsidRPr="00E04769" w:rsidRDefault="00236FCB" w:rsidP="00236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tab/>
      </w:r>
      <w:r w:rsidRPr="00E04769">
        <w:tab/>
        <w:t>Координаторы по вопросам сексуальных и репродуктивных прав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51.</w:t>
      </w:r>
      <w:r w:rsidRPr="00E04769">
        <w:tab/>
        <w:t>Координаторы и заместители координаторов пров</w:t>
      </w:r>
      <w:r>
        <w:t>одили</w:t>
      </w:r>
      <w:r w:rsidRPr="00E04769">
        <w:t xml:space="preserve"> заседани</w:t>
      </w:r>
      <w:r>
        <w:t>я</w:t>
      </w:r>
      <w:r w:rsidRPr="00E04769">
        <w:t xml:space="preserve"> во вр</w:t>
      </w:r>
      <w:r w:rsidRPr="00E04769">
        <w:t>е</w:t>
      </w:r>
      <w:r w:rsidRPr="00E04769">
        <w:t>мя сессии, чтобы пересмотреть проект заявления о сексуальном и репроду</w:t>
      </w:r>
      <w:r w:rsidRPr="00E04769">
        <w:t>к</w:t>
      </w:r>
      <w:r w:rsidRPr="00E04769">
        <w:t>тивном здоровье и правах. (См.</w:t>
      </w:r>
      <w:r>
        <w:t> </w:t>
      </w:r>
      <w:r w:rsidRPr="00E04769">
        <w:t>приложение</w:t>
      </w:r>
      <w:r>
        <w:t> </w:t>
      </w:r>
      <w:r w:rsidRPr="00E04769">
        <w:t>II к части третьей настоящего д</w:t>
      </w:r>
      <w:r w:rsidRPr="00E04769">
        <w:t>о</w:t>
      </w:r>
      <w:r w:rsidRPr="00E04769">
        <w:t>клада</w:t>
      </w:r>
      <w:r>
        <w:t>.</w:t>
      </w:r>
      <w:r w:rsidRPr="00E04769">
        <w:t>)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236FCB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6FCB">
        <w:br w:type="page"/>
      </w:r>
      <w:r w:rsidRPr="00236FCB">
        <w:tab/>
      </w:r>
      <w:r w:rsidRPr="00E04769">
        <w:t>Глава VIII</w:t>
      </w:r>
    </w:p>
    <w:p w:rsidR="00236FCB" w:rsidRPr="0064683A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36FCB" w:rsidRPr="00E04769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6FCB">
        <w:tab/>
      </w:r>
      <w:r w:rsidRPr="00236FCB">
        <w:tab/>
      </w:r>
      <w:r w:rsidRPr="00E04769">
        <w:t>Предварительная повестка дня пятьдесят восьмой сессии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52.</w:t>
      </w:r>
      <w:r w:rsidRPr="00E04769">
        <w:tab/>
        <w:t>Комитет рассмотрел проект предварительной повестки дня своей пятьд</w:t>
      </w:r>
      <w:r w:rsidRPr="00E04769">
        <w:t>е</w:t>
      </w:r>
      <w:r w:rsidRPr="00E04769">
        <w:t xml:space="preserve">сят </w:t>
      </w:r>
      <w:r>
        <w:t xml:space="preserve">восьмой </w:t>
      </w:r>
      <w:r w:rsidRPr="00E04769">
        <w:t xml:space="preserve">сессии </w:t>
      </w:r>
      <w:r>
        <w:t xml:space="preserve">28 февраля </w:t>
      </w:r>
      <w:r w:rsidRPr="00E04769">
        <w:t>201</w:t>
      </w:r>
      <w:r>
        <w:t>4 </w:t>
      </w:r>
      <w:r w:rsidRPr="00E04769">
        <w:t>года и утвердил следующую предвар</w:t>
      </w:r>
      <w:r w:rsidRPr="00E04769">
        <w:t>и</w:t>
      </w:r>
      <w:r w:rsidRPr="00E04769">
        <w:t>тельную повестку дня этой сессии:</w:t>
      </w:r>
    </w:p>
    <w:p w:rsidR="00236FCB" w:rsidRPr="00E04769" w:rsidRDefault="00236FCB" w:rsidP="00236FCB">
      <w:pPr>
        <w:pStyle w:val="SingleTxt"/>
      </w:pPr>
      <w:r w:rsidRPr="00E04769">
        <w:tab/>
        <w:t>1.</w:t>
      </w:r>
      <w:r w:rsidRPr="00E04769">
        <w:tab/>
        <w:t>Открытие сессии.</w:t>
      </w:r>
    </w:p>
    <w:p w:rsidR="00236FCB" w:rsidRPr="00E04769" w:rsidRDefault="00236FCB" w:rsidP="00236FCB">
      <w:pPr>
        <w:pStyle w:val="SingleTxt"/>
      </w:pPr>
      <w:r w:rsidRPr="00E04769">
        <w:tab/>
        <w:t>2.</w:t>
      </w:r>
      <w:r w:rsidRPr="00E04769">
        <w:tab/>
        <w:t>Утверждение повестки дня и организация работы.</w:t>
      </w:r>
    </w:p>
    <w:p w:rsidR="00236FCB" w:rsidRPr="00E04769" w:rsidRDefault="00236FCB" w:rsidP="00236FCB">
      <w:pPr>
        <w:pStyle w:val="SingleTxt"/>
        <w:ind w:left="2218" w:hanging="951"/>
      </w:pPr>
      <w:r w:rsidRPr="00E04769">
        <w:tab/>
        <w:t>3.</w:t>
      </w:r>
      <w:r>
        <w:tab/>
      </w:r>
      <w:r w:rsidRPr="00E04769">
        <w:t>Доклад Председателя о мероприятиях, проведенных в период между пятьдесят седьмой и пятьдесят восьмой сессиями Комитета.</w:t>
      </w:r>
    </w:p>
    <w:p w:rsidR="00236FCB" w:rsidRPr="00E04769" w:rsidRDefault="00236FCB" w:rsidP="00236FCB">
      <w:pPr>
        <w:pStyle w:val="SingleTxt"/>
        <w:ind w:left="2218" w:hanging="951"/>
      </w:pPr>
      <w:r w:rsidRPr="00E04769">
        <w:tab/>
        <w:t>4.</w:t>
      </w:r>
      <w:r>
        <w:tab/>
      </w:r>
      <w:r w:rsidRPr="00E04769">
        <w:t>Рассмотрение докладов, представленных государствами-участни</w:t>
      </w:r>
      <w:r>
        <w:softHyphen/>
      </w:r>
      <w:r w:rsidRPr="00E04769">
        <w:t>ками в соответствии со статьей</w:t>
      </w:r>
      <w:r>
        <w:t> </w:t>
      </w:r>
      <w:r w:rsidRPr="00E04769">
        <w:t>18 Конвенции о ликвидации всех форм ди</w:t>
      </w:r>
      <w:r w:rsidRPr="00E04769">
        <w:t>с</w:t>
      </w:r>
      <w:r w:rsidRPr="00E04769">
        <w:t>криминации в отношении женщин.</w:t>
      </w:r>
    </w:p>
    <w:p w:rsidR="00236FCB" w:rsidRPr="00E04769" w:rsidRDefault="00236FCB" w:rsidP="00236FCB">
      <w:pPr>
        <w:pStyle w:val="SingleTxt"/>
        <w:ind w:left="2218" w:hanging="951"/>
      </w:pPr>
      <w:r w:rsidRPr="00E04769">
        <w:tab/>
        <w:t>5.</w:t>
      </w:r>
      <w:r>
        <w:tab/>
      </w:r>
      <w:r w:rsidRPr="00E04769">
        <w:t>Последующ</w:t>
      </w:r>
      <w:r>
        <w:t>ая</w:t>
      </w:r>
      <w:r w:rsidRPr="00E04769">
        <w:t xml:space="preserve"> </w:t>
      </w:r>
      <w:r>
        <w:t xml:space="preserve">деятельность </w:t>
      </w:r>
      <w:r w:rsidRPr="00E04769">
        <w:t>в связи с заключительными замечани</w:t>
      </w:r>
      <w:r w:rsidRPr="00E04769">
        <w:t>я</w:t>
      </w:r>
      <w:r w:rsidRPr="00E04769">
        <w:t>ми</w:t>
      </w:r>
      <w:r>
        <w:t>, содержащимися</w:t>
      </w:r>
      <w:r w:rsidRPr="00E04769">
        <w:t xml:space="preserve"> в доклад</w:t>
      </w:r>
      <w:r>
        <w:t>ах</w:t>
      </w:r>
      <w:r w:rsidRPr="00E04769">
        <w:t>, представляемых госуда</w:t>
      </w:r>
      <w:r w:rsidRPr="00E04769">
        <w:t>р</w:t>
      </w:r>
      <w:r w:rsidRPr="00E04769">
        <w:t>ствами-участниками в соответствии со статьей</w:t>
      </w:r>
      <w:r>
        <w:t> </w:t>
      </w:r>
      <w:r w:rsidRPr="00E04769">
        <w:t>18 Конвенции о ли</w:t>
      </w:r>
      <w:r w:rsidRPr="00E04769">
        <w:t>к</w:t>
      </w:r>
      <w:r w:rsidRPr="00E04769">
        <w:t>видации всех форм дискриминации в отнош</w:t>
      </w:r>
      <w:r w:rsidRPr="00E04769">
        <w:t>е</w:t>
      </w:r>
      <w:r w:rsidRPr="00E04769">
        <w:t xml:space="preserve">нии женщин. </w:t>
      </w:r>
    </w:p>
    <w:p w:rsidR="00236FCB" w:rsidRPr="00E04769" w:rsidRDefault="00236FCB" w:rsidP="00236FCB">
      <w:pPr>
        <w:pStyle w:val="SingleTxt"/>
        <w:ind w:left="2218" w:hanging="951"/>
      </w:pPr>
      <w:r w:rsidRPr="00E04769">
        <w:tab/>
        <w:t>6.</w:t>
      </w:r>
      <w:r>
        <w:tab/>
      </w:r>
      <w:r w:rsidRPr="00E04769">
        <w:t>Осуществление статей</w:t>
      </w:r>
      <w:r>
        <w:t> </w:t>
      </w:r>
      <w:r w:rsidRPr="00E04769">
        <w:t>21 и 22 Конвенции о ликвидации всех форм дискриминации в отношении женщин.</w:t>
      </w:r>
    </w:p>
    <w:p w:rsidR="00236FCB" w:rsidRPr="00E04769" w:rsidRDefault="00236FCB" w:rsidP="00236FCB">
      <w:pPr>
        <w:pStyle w:val="SingleTxt"/>
      </w:pPr>
      <w:r w:rsidRPr="00E04769">
        <w:tab/>
        <w:t>7.</w:t>
      </w:r>
      <w:r w:rsidRPr="00E04769">
        <w:tab/>
        <w:t>Пути и средства повышения оперативности работы Комитета.</w:t>
      </w:r>
    </w:p>
    <w:p w:rsidR="00236FCB" w:rsidRPr="00E04769" w:rsidRDefault="00236FCB" w:rsidP="00236FCB">
      <w:pPr>
        <w:pStyle w:val="SingleTxt"/>
        <w:ind w:left="2218" w:hanging="951"/>
      </w:pPr>
      <w:r w:rsidRPr="00E04769">
        <w:tab/>
        <w:t>8.</w:t>
      </w:r>
      <w:r>
        <w:tab/>
      </w:r>
      <w:r w:rsidRPr="00E04769">
        <w:t>Деятельность Комитета в соответствии с Факультативным проток</w:t>
      </w:r>
      <w:r w:rsidRPr="00E04769">
        <w:t>о</w:t>
      </w:r>
      <w:r w:rsidRPr="00E04769">
        <w:t>лом к Конвенции о ликвидации всех форм дискриминации в отнош</w:t>
      </w:r>
      <w:r w:rsidRPr="00E04769">
        <w:t>е</w:t>
      </w:r>
      <w:r w:rsidRPr="00E04769">
        <w:t>нии женщин.</w:t>
      </w:r>
    </w:p>
    <w:p w:rsidR="00236FCB" w:rsidRPr="00E04769" w:rsidRDefault="00236FCB" w:rsidP="00236FCB">
      <w:pPr>
        <w:pStyle w:val="SingleTxt"/>
      </w:pPr>
      <w:r w:rsidRPr="00E04769">
        <w:tab/>
        <w:t>9.</w:t>
      </w:r>
      <w:r w:rsidRPr="00E04769">
        <w:tab/>
        <w:t>Предварительная повестка дня пятьдесят девятой сессии Комитета.</w:t>
      </w:r>
    </w:p>
    <w:p w:rsidR="00236FCB" w:rsidRPr="00E04769" w:rsidRDefault="00236FCB" w:rsidP="00236FCB">
      <w:pPr>
        <w:pStyle w:val="SingleTxt"/>
        <w:ind w:left="2218" w:hanging="951"/>
      </w:pPr>
      <w:r w:rsidRPr="00E04769">
        <w:tab/>
        <w:t>10.</w:t>
      </w:r>
      <w:r>
        <w:tab/>
      </w:r>
      <w:r w:rsidRPr="00E04769">
        <w:t>Утверждение доклада Комитета о работе его пятьдесят восьмой се</w:t>
      </w:r>
      <w:r w:rsidRPr="00E04769">
        <w:t>с</w:t>
      </w:r>
      <w:r w:rsidRPr="00E04769">
        <w:t>сии.</w:t>
      </w:r>
    </w:p>
    <w:p w:rsidR="00236FCB" w:rsidRPr="00236FCB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4769">
        <w:br w:type="page"/>
      </w:r>
      <w:r w:rsidRPr="00E04769">
        <w:tab/>
        <w:t>Глава IX</w:t>
      </w:r>
    </w:p>
    <w:p w:rsidR="00236FCB" w:rsidRPr="0064683A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36FCB" w:rsidRPr="00E04769" w:rsidRDefault="00236FCB" w:rsidP="00236F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6FCB">
        <w:tab/>
      </w:r>
      <w:r w:rsidRPr="00236FCB">
        <w:tab/>
      </w:r>
      <w:r w:rsidRPr="00E04769">
        <w:t>Утверждение доклада</w:t>
      </w: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  <w:spacing w:after="0" w:line="120" w:lineRule="exact"/>
        <w:rPr>
          <w:sz w:val="10"/>
        </w:rPr>
      </w:pPr>
    </w:p>
    <w:p w:rsidR="00236FCB" w:rsidRPr="00E04769" w:rsidRDefault="00236FCB" w:rsidP="00236FCB">
      <w:pPr>
        <w:pStyle w:val="SingleTxt"/>
      </w:pPr>
      <w:r w:rsidRPr="00E04769">
        <w:t>53.</w:t>
      </w:r>
      <w:r w:rsidRPr="00E04769">
        <w:tab/>
        <w:t>28</w:t>
      </w:r>
      <w:r>
        <w:t> </w:t>
      </w:r>
      <w:r w:rsidRPr="00E04769">
        <w:t>февраля 2014</w:t>
      </w:r>
      <w:r>
        <w:t> </w:t>
      </w:r>
      <w:r w:rsidRPr="00E04769">
        <w:t>года Комитет рассмотрел проект доклада о работе своей пятьдесят седьмой сессии и утвердил его с внесенными в него в ходе обсужд</w:t>
      </w:r>
      <w:r w:rsidRPr="00E04769">
        <w:t>е</w:t>
      </w:r>
      <w:r w:rsidRPr="00E04769">
        <w:t>ния устными поправками.</w:t>
      </w:r>
    </w:p>
    <w:p w:rsidR="00236FCB" w:rsidRPr="00E04769" w:rsidRDefault="00236FCB" w:rsidP="00236FCB">
      <w:pPr>
        <w:pStyle w:val="SingleTxt"/>
      </w:pPr>
    </w:p>
    <w:p w:rsidR="00D70C05" w:rsidRPr="00D70C05" w:rsidRDefault="00D70C05" w:rsidP="00D70C0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522349">
        <w:t xml:space="preserve">Приложение </w:t>
      </w:r>
      <w:r w:rsidRPr="00522349">
        <w:rPr>
          <w:lang w:val="en-GB"/>
        </w:rPr>
        <w:t>I</w:t>
      </w:r>
    </w:p>
    <w:p w:rsidR="00D70C05" w:rsidRPr="00D70C05" w:rsidRDefault="00D70C05" w:rsidP="00D70C05">
      <w:pPr>
        <w:spacing w:line="120" w:lineRule="exact"/>
        <w:rPr>
          <w:sz w:val="10"/>
        </w:rPr>
      </w:pPr>
    </w:p>
    <w:p w:rsidR="008F1754" w:rsidRDefault="00D70C05" w:rsidP="00D70C0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522349">
        <w:tab/>
      </w:r>
      <w:r w:rsidRPr="00522349">
        <w:tab/>
        <w:t>Решение 57/</w:t>
      </w:r>
      <w:r w:rsidRPr="00522349">
        <w:rPr>
          <w:lang w:val="en-GB"/>
        </w:rPr>
        <w:t>I</w:t>
      </w:r>
    </w:p>
    <w:p w:rsidR="00D70C05" w:rsidRPr="00522349" w:rsidRDefault="008F1754" w:rsidP="00D70C0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GB"/>
        </w:rPr>
        <w:tab/>
      </w:r>
      <w:r>
        <w:rPr>
          <w:lang w:val="en-GB"/>
        </w:rPr>
        <w:tab/>
      </w:r>
      <w:r w:rsidR="00D70C05" w:rsidRPr="00522349">
        <w:t>Заявление Комитета по ликвидации дискриминации</w:t>
      </w:r>
      <w:r w:rsidR="00D70C05" w:rsidRPr="00522349">
        <w:br/>
        <w:t>в отношении женщин по вопросу о повестке дня</w:t>
      </w:r>
      <w:r w:rsidR="00D70C05" w:rsidRPr="00522349">
        <w:br/>
        <w:t>в области развития на период после 2015 года</w:t>
      </w:r>
      <w:r w:rsidR="00D70C05" w:rsidRPr="00522349">
        <w:br/>
        <w:t xml:space="preserve">и </w:t>
      </w:r>
      <w:r w:rsidR="00D70C05">
        <w:t xml:space="preserve">ликвидации </w:t>
      </w:r>
      <w:r w:rsidR="00D70C05" w:rsidRPr="00522349">
        <w:t>дискриминации в отношении женщин</w:t>
      </w:r>
    </w:p>
    <w:p w:rsidR="00D70C05" w:rsidRPr="00522349" w:rsidRDefault="00D70C05" w:rsidP="00D70C05">
      <w:pPr>
        <w:pStyle w:val="SingleTxt"/>
        <w:spacing w:after="0" w:line="120" w:lineRule="exact"/>
        <w:rPr>
          <w:b/>
          <w:sz w:val="10"/>
        </w:rPr>
      </w:pPr>
    </w:p>
    <w:p w:rsidR="00D70C05" w:rsidRPr="00522349" w:rsidRDefault="00D70C05" w:rsidP="00D70C05">
      <w:pPr>
        <w:pStyle w:val="SingleTxt"/>
        <w:spacing w:after="0" w:line="120" w:lineRule="exact"/>
        <w:rPr>
          <w:b/>
          <w:sz w:val="10"/>
        </w:rPr>
      </w:pPr>
    </w:p>
    <w:p w:rsidR="00D70C05" w:rsidRDefault="00D70C05" w:rsidP="00D70C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</w:t>
      </w:r>
      <w:r w:rsidRPr="00522349">
        <w:t>ринято 26 февраля 2014 года</w:t>
      </w:r>
    </w:p>
    <w:p w:rsidR="00D70C05" w:rsidRPr="00522349" w:rsidRDefault="00D70C05" w:rsidP="00D70C05">
      <w:pPr>
        <w:pStyle w:val="SingleTxt"/>
        <w:spacing w:after="0" w:line="120" w:lineRule="exact"/>
        <w:rPr>
          <w:sz w:val="10"/>
        </w:rPr>
      </w:pPr>
    </w:p>
    <w:p w:rsidR="00D70C05" w:rsidRPr="00522349" w:rsidRDefault="00D70C05" w:rsidP="00D70C05">
      <w:pPr>
        <w:pStyle w:val="SingleTxt"/>
      </w:pPr>
      <w:r w:rsidRPr="00522349">
        <w:t>1.</w:t>
      </w:r>
      <w:r w:rsidRPr="00522349">
        <w:tab/>
        <w:t>Комитет по ликвидации дискриминации в отношении женщин приве</w:t>
      </w:r>
      <w:r w:rsidRPr="00522349">
        <w:t>т</w:t>
      </w:r>
      <w:r w:rsidRPr="00522349">
        <w:t>ствует возможность внести вклад</w:t>
      </w:r>
      <w:r>
        <w:t xml:space="preserve"> </w:t>
      </w:r>
      <w:r w:rsidRPr="00522349">
        <w:t>в обсуждение повестки дня в области разв</w:t>
      </w:r>
      <w:r w:rsidRPr="00522349">
        <w:t>и</w:t>
      </w:r>
      <w:r w:rsidRPr="00522349">
        <w:t>тия на период после 2015 года. В качестве международного органа, на кот</w:t>
      </w:r>
      <w:r w:rsidRPr="00522349">
        <w:t>о</w:t>
      </w:r>
      <w:r w:rsidRPr="00522349">
        <w:t>рый возложена обязанность осуществлять надзор за осуществлением правовых об</w:t>
      </w:r>
      <w:r w:rsidRPr="00522349">
        <w:t>я</w:t>
      </w:r>
      <w:r w:rsidRPr="00522349">
        <w:t>зательств 187 государств, являющихся сторонами Конвенции, Комитет ясно о</w:t>
      </w:r>
      <w:r w:rsidRPr="00522349">
        <w:t>т</w:t>
      </w:r>
      <w:r w:rsidRPr="00522349">
        <w:t>дает себе отчет о взаимосвязи между развитием и осуществлением прав же</w:t>
      </w:r>
      <w:r w:rsidRPr="00522349">
        <w:t>н</w:t>
      </w:r>
      <w:r w:rsidRPr="00522349">
        <w:t>щин. С учетом почти всеобщей ратификации Конвенции и обширного опыта работы Комитета в области женщин и развития, приобретенного с момента с</w:t>
      </w:r>
      <w:r w:rsidRPr="00522349">
        <w:t>о</w:t>
      </w:r>
      <w:r w:rsidRPr="00522349">
        <w:t>здания Комитета в 1982 году в ходе выполнения его мандата по надзору, пр</w:t>
      </w:r>
      <w:r w:rsidRPr="00522349">
        <w:t>о</w:t>
      </w:r>
      <w:r w:rsidRPr="00522349">
        <w:t>фессиональные знания Комитета играют важную роль в деле разработки ко</w:t>
      </w:r>
      <w:r w:rsidRPr="00522349">
        <w:t>н</w:t>
      </w:r>
      <w:r w:rsidRPr="00522349">
        <w:t>цепции повестки дня в области развития на период после 2015 года.</w:t>
      </w:r>
    </w:p>
    <w:p w:rsidR="00D70C05" w:rsidRDefault="00D70C05" w:rsidP="00D70C05">
      <w:pPr>
        <w:pStyle w:val="SingleTxt"/>
      </w:pPr>
      <w:r w:rsidRPr="00522349">
        <w:tab/>
        <w:t>Комитет напоминает, что в Декларации тысячелетия</w:t>
      </w:r>
      <w:r>
        <w:t xml:space="preserve"> — </w:t>
      </w:r>
      <w:r w:rsidRPr="00522349">
        <w:t>беспрецедентном глобальном консенсусе</w:t>
      </w:r>
      <w:r>
        <w:t xml:space="preserve"> </w:t>
      </w:r>
      <w:r w:rsidRPr="00522349">
        <w:t>государств</w:t>
      </w:r>
      <w:r>
        <w:t xml:space="preserve"> — </w:t>
      </w:r>
      <w:r w:rsidRPr="00522349">
        <w:t>членов Организации Объединенных Наций, представивших концепцию устойчивого развития,</w:t>
      </w:r>
      <w:r>
        <w:t xml:space="preserve"> — </w:t>
      </w:r>
      <w:r w:rsidRPr="00522349">
        <w:t>гендерное раве</w:t>
      </w:r>
      <w:r w:rsidRPr="00522349">
        <w:t>н</w:t>
      </w:r>
      <w:r w:rsidRPr="00522349">
        <w:t xml:space="preserve">ство признается одним из основных элементов достижения сформулированных в данной </w:t>
      </w:r>
      <w:r>
        <w:t>Д</w:t>
      </w:r>
      <w:r w:rsidRPr="00522349">
        <w:t>екларации целей в области развития. Комитет также напоминает об обязательствах, принятых международным сообществом в Пекинской деклар</w:t>
      </w:r>
      <w:r w:rsidRPr="00522349">
        <w:t>а</w:t>
      </w:r>
      <w:r w:rsidRPr="00522349">
        <w:t>ции и Платформе действий. В обоих документах заявляется о необходимости борьбы с насилием в отношении женщин и осуществления Конвенции. Ком</w:t>
      </w:r>
      <w:r w:rsidRPr="00522349">
        <w:t>и</w:t>
      </w:r>
      <w:r w:rsidRPr="00522349">
        <w:t>тет признает положительные результаты осуществления целей в области разв</w:t>
      </w:r>
      <w:r w:rsidRPr="00522349">
        <w:t>и</w:t>
      </w:r>
      <w:r w:rsidRPr="00522349">
        <w:t>тия, сформулированных в Декларации тысячелетия. Он напоминает, что Цель</w:t>
      </w:r>
      <w:r>
        <w:t> </w:t>
      </w:r>
      <w:r w:rsidRPr="00522349">
        <w:t>3 в явном виде предусматривает поощрение</w:t>
      </w:r>
      <w:r>
        <w:t xml:space="preserve"> </w:t>
      </w:r>
      <w:r w:rsidRPr="00522349">
        <w:t>гендерного равенства и расширение прав и возможностей женщин. Вместе с тем цели в области развития, сформ</w:t>
      </w:r>
      <w:r w:rsidRPr="00522349">
        <w:t>у</w:t>
      </w:r>
      <w:r w:rsidRPr="00522349">
        <w:t>лированные в Декларации тысячелетия,</w:t>
      </w:r>
      <w:r>
        <w:t xml:space="preserve"> </w:t>
      </w:r>
      <w:r w:rsidRPr="00522349">
        <w:t>не в полной мере отражают полное в</w:t>
      </w:r>
      <w:r w:rsidRPr="00522349">
        <w:t>и</w:t>
      </w:r>
      <w:r w:rsidRPr="00522349">
        <w:t>дение гендерного равенства и предусматривают лишь ограниченный ряд пок</w:t>
      </w:r>
      <w:r w:rsidRPr="00522349">
        <w:t>а</w:t>
      </w:r>
      <w:r w:rsidRPr="00522349">
        <w:t xml:space="preserve">зателей, соответствующих крайне ограниченному кругу вопросов, важных с точки зрения </w:t>
      </w:r>
      <w:r>
        <w:t>ликвидации</w:t>
      </w:r>
      <w:r w:rsidRPr="00522349">
        <w:t xml:space="preserve"> дискриминации в отношении женщин. Комитет та</w:t>
      </w:r>
      <w:r w:rsidRPr="00522349">
        <w:t>к</w:t>
      </w:r>
      <w:r w:rsidRPr="00522349">
        <w:t>же отмечает, что прогресс в достижении указанной цели оценивается по</w:t>
      </w:r>
      <w:r>
        <w:t xml:space="preserve"> </w:t>
      </w:r>
      <w:r w:rsidRPr="00522349">
        <w:t>чет</w:t>
      </w:r>
      <w:r w:rsidRPr="00522349">
        <w:t>ы</w:t>
      </w:r>
      <w:r w:rsidRPr="00522349">
        <w:t>рем показателям, которые отражают узкие, хотя и важные, аспекты гендерного равенства, а именно получение женщинами и девочками образования, повыш</w:t>
      </w:r>
      <w:r w:rsidRPr="00522349">
        <w:t>е</w:t>
      </w:r>
      <w:r w:rsidRPr="00522349">
        <w:t>ние показателя грамотности, занятость и увеличение доли женщин в наци</w:t>
      </w:r>
      <w:r w:rsidRPr="00522349">
        <w:t>о</w:t>
      </w:r>
      <w:r w:rsidRPr="00522349">
        <w:t>нальных парламентах. Посредством проведения регулярных обсуждений с го</w:t>
      </w:r>
      <w:r w:rsidRPr="00522349">
        <w:t>с</w:t>
      </w:r>
      <w:r w:rsidRPr="00522349">
        <w:t>ударствами-участниками по вопросу об осуществлении Конвенции Комитет следит за тем, в какой степени женщины и девочки осуществляют свои права. У межд</w:t>
      </w:r>
      <w:r w:rsidRPr="00522349">
        <w:t>у</w:t>
      </w:r>
      <w:r w:rsidRPr="00522349">
        <w:t>народного сообщества в настоящий момент есть возможность принять новую мировоззренческую парадигму, которая способствовала бы устранению пробелов, характерных для целей в области развития, сформулированных в Деклар</w:t>
      </w:r>
      <w:r w:rsidRPr="00522349">
        <w:t>а</w:t>
      </w:r>
      <w:r w:rsidRPr="00522349">
        <w:t>ции тысячелетия, и учитывала уроки, извлеченные из реализации этих целей, и которая была бы действительно направлена на ликвидацию</w:t>
      </w:r>
      <w:r>
        <w:t xml:space="preserve"> </w:t>
      </w:r>
      <w:r w:rsidRPr="00522349">
        <w:t>дискрим</w:t>
      </w:r>
      <w:r w:rsidRPr="00522349">
        <w:t>и</w:t>
      </w:r>
      <w:r w:rsidRPr="00522349">
        <w:t>нации в отношении женщин. Комитет считает, что международное сообщество</w:t>
      </w:r>
      <w:r>
        <w:t xml:space="preserve"> </w:t>
      </w:r>
      <w:r w:rsidRPr="00522349">
        <w:t>должно выполнить принятое во Всеобщей декларации прав человека обещание</w:t>
      </w:r>
      <w:r>
        <w:t xml:space="preserve"> </w:t>
      </w:r>
      <w:r w:rsidRPr="00522349">
        <w:t>об установлении такого социального и международного порядка, при котором все права человека могут быть полностью осущест</w:t>
      </w:r>
      <w:r w:rsidRPr="00522349">
        <w:t>в</w:t>
      </w:r>
      <w:r w:rsidRPr="00522349">
        <w:t>лены для всех.</w:t>
      </w:r>
    </w:p>
    <w:p w:rsidR="00D70C05" w:rsidRDefault="00D70C05" w:rsidP="006D51EA">
      <w:pPr>
        <w:pStyle w:val="SingleTxt"/>
      </w:pPr>
      <w:r w:rsidRPr="00522349">
        <w:t>2.</w:t>
      </w:r>
      <w:r w:rsidRPr="00522349">
        <w:tab/>
        <w:t>Основанный на правах человека подход к устойчивому развитию</w:t>
      </w:r>
    </w:p>
    <w:p w:rsidR="00D70C05" w:rsidRPr="00522349" w:rsidRDefault="00D70C05" w:rsidP="00D70C05">
      <w:pPr>
        <w:pStyle w:val="SingleTxt"/>
      </w:pPr>
      <w:r w:rsidRPr="00522349">
        <w:tab/>
        <w:t>Международные нормы в области прав человека обеспечивают наличие крайне важных нормативных стандартов, тесно связанных с развитием, в час</w:t>
      </w:r>
      <w:r w:rsidRPr="00522349">
        <w:t>т</w:t>
      </w:r>
      <w:r w:rsidRPr="00522349">
        <w:t>ности стандартов, касающихся питания, образования, здравоохран</w:t>
      </w:r>
      <w:r w:rsidRPr="00522349">
        <w:t>е</w:t>
      </w:r>
      <w:r w:rsidRPr="00522349">
        <w:t xml:space="preserve">ния, жилья, борьбы с дискриминацией, политического участия, свободы выражения </w:t>
      </w:r>
      <w:r>
        <w:t>мн</w:t>
      </w:r>
      <w:r>
        <w:t>е</w:t>
      </w:r>
      <w:r>
        <w:t xml:space="preserve">ний </w:t>
      </w:r>
      <w:r w:rsidRPr="00522349">
        <w:t>и свободы собраний. Они также предусматривают четкие стандарты р</w:t>
      </w:r>
      <w:r w:rsidRPr="00522349">
        <w:t>а</w:t>
      </w:r>
      <w:r w:rsidRPr="00522349">
        <w:t>венства и недопущения дискриминации для всех. Конвенция запрещает</w:t>
      </w:r>
      <w:r>
        <w:t xml:space="preserve"> любое различие, исключение или ограничение по признаку пола, которое направлено на ослабление или отрицание пользования или осуществления женщинами </w:t>
      </w:r>
      <w:r w:rsidRPr="00522349">
        <w:t>своих прав на равноправной с мужчинами основе. Таким образом, Комитет н</w:t>
      </w:r>
      <w:r w:rsidRPr="00522349">
        <w:t>е</w:t>
      </w:r>
      <w:r w:rsidRPr="00522349">
        <w:t>однократно формулировал концепцию реального равенства, которая учитывает фактические обстоятельства жизни женщин и девочек, формирующиеся как под влиянием последствий прошлых событий, так и существующего нераве</w:t>
      </w:r>
      <w:r w:rsidRPr="00522349">
        <w:t>н</w:t>
      </w:r>
      <w:r w:rsidRPr="00522349">
        <w:t>ства между женщинами и мужчинами, и которая предусматривает необход</w:t>
      </w:r>
      <w:r w:rsidRPr="00522349">
        <w:t>и</w:t>
      </w:r>
      <w:r w:rsidRPr="00522349">
        <w:t>мость мер для ликвидации как прямой, так и косвенной дискриминации в о</w:t>
      </w:r>
      <w:r w:rsidRPr="00522349">
        <w:t>т</w:t>
      </w:r>
      <w:r w:rsidRPr="00522349">
        <w:t>ношении же</w:t>
      </w:r>
      <w:r w:rsidRPr="00522349">
        <w:t>н</w:t>
      </w:r>
      <w:r>
        <w:t>щин.</w:t>
      </w:r>
    </w:p>
    <w:p w:rsidR="00D70C05" w:rsidRDefault="00D70C05" w:rsidP="00D70C05">
      <w:pPr>
        <w:pStyle w:val="SingleTxt"/>
      </w:pPr>
      <w:r w:rsidRPr="00522349">
        <w:tab/>
        <w:t>Рамочная программа на период после 2015 года должна быть осн</w:t>
      </w:r>
      <w:r w:rsidRPr="00522349">
        <w:t>о</w:t>
      </w:r>
      <w:r w:rsidRPr="00522349">
        <w:t>вана на этих существующих международных стандартах в области прав человека в ц</w:t>
      </w:r>
      <w:r w:rsidRPr="00522349">
        <w:t>е</w:t>
      </w:r>
      <w:r w:rsidRPr="00522349">
        <w:t xml:space="preserve">лях учета всех аспектов </w:t>
      </w:r>
      <w:r>
        <w:t xml:space="preserve">задачи </w:t>
      </w:r>
      <w:r w:rsidRPr="00522349">
        <w:t>развития. Конвенция вместе с другими межд</w:t>
      </w:r>
      <w:r w:rsidRPr="00522349">
        <w:t>у</w:t>
      </w:r>
      <w:r w:rsidRPr="00522349">
        <w:t>народными договорами по вопросам прав человека устанавливает нормативные рамки, разработанные и принятые государствами и четко определяющие мин</w:t>
      </w:r>
      <w:r w:rsidRPr="00522349">
        <w:t>и</w:t>
      </w:r>
      <w:r w:rsidRPr="00522349">
        <w:t>мальные гарантии для индивидуума. Основанный на правах человека подход к развитию обеспечивает использование прав в качестве средства поощрения развития; устойчивое развитие будет продолжать оставаться далекой мечтой, если</w:t>
      </w:r>
      <w:r>
        <w:t>, в частности,</w:t>
      </w:r>
      <w:r w:rsidRPr="00522349">
        <w:t xml:space="preserve"> правам женщин не будет уделяться приоритетное внимание. Кроме того, в более глобальном плане основанный на правах человека подход обеспечивает, чтобы права, включая права, связанные с гендерным равенством, являлись окончательной целью развития. Комитет подчеркивает, что если в о</w:t>
      </w:r>
      <w:r w:rsidRPr="00522349">
        <w:t>с</w:t>
      </w:r>
      <w:r w:rsidRPr="00522349">
        <w:t>нову рамочной программы на период после 2015 года будут положены станда</w:t>
      </w:r>
      <w:r w:rsidRPr="00522349">
        <w:t>р</w:t>
      </w:r>
      <w:r w:rsidRPr="00522349">
        <w:t>ты в области прав человека, то это позволит обеспечить, чтобы развитие явл</w:t>
      </w:r>
      <w:r w:rsidRPr="00522349">
        <w:t>я</w:t>
      </w:r>
      <w:r w:rsidRPr="00522349">
        <w:t>лось не только вопросом</w:t>
      </w:r>
      <w:r>
        <w:t xml:space="preserve"> </w:t>
      </w:r>
      <w:r w:rsidRPr="00522349">
        <w:t>политического выбора стран, но, скорее, вопросом</w:t>
      </w:r>
      <w:r>
        <w:t xml:space="preserve"> </w:t>
      </w:r>
      <w:r w:rsidRPr="00522349">
        <w:t>выполнения обязательств по осуществлению прав человека. Это привносит в повестку дня в области развития необходимость обеспечения подотчетности тех, кто несет обязательства, и укрепления потенциала тех, кто наделен прав</w:t>
      </w:r>
      <w:r w:rsidRPr="00522349">
        <w:t>а</w:t>
      </w:r>
      <w:r w:rsidRPr="00522349">
        <w:t>ми. Формирование новой повестки дня на основе твердых принципов раве</w:t>
      </w:r>
      <w:r w:rsidRPr="00522349">
        <w:t>н</w:t>
      </w:r>
      <w:r w:rsidRPr="00522349">
        <w:t>ства и</w:t>
      </w:r>
      <w:r>
        <w:t xml:space="preserve"> </w:t>
      </w:r>
      <w:r w:rsidRPr="00522349">
        <w:t>недопущения дискриминации обеспечит, чтобы никто не остался поз</w:t>
      </w:r>
      <w:r w:rsidRPr="00522349">
        <w:t>а</w:t>
      </w:r>
      <w:r w:rsidRPr="00522349">
        <w:t>бытым. Также крайне важно еще раз обратить внимание на неделимый хара</w:t>
      </w:r>
      <w:r w:rsidRPr="00522349">
        <w:t>к</w:t>
      </w:r>
      <w:r w:rsidRPr="00522349">
        <w:t>тер прав человека и признать, что усилия, направленные, например, на ликв</w:t>
      </w:r>
      <w:r w:rsidRPr="00522349">
        <w:t>и</w:t>
      </w:r>
      <w:r w:rsidRPr="00522349">
        <w:t>дацию дискриминации при доступе к услугам здравоохранения для женщин, не будут успешными без уважения права на свободу выбора и независимость в отнош</w:t>
      </w:r>
      <w:r w:rsidRPr="00522349">
        <w:t>е</w:t>
      </w:r>
      <w:r w:rsidRPr="00522349">
        <w:t>нии услуг по охране сексуального и репродуктивного здоровья.</w:t>
      </w:r>
    </w:p>
    <w:p w:rsidR="00D70C05" w:rsidRPr="00522349" w:rsidRDefault="00D70C05" w:rsidP="00D70C05">
      <w:pPr>
        <w:pStyle w:val="SingleTxt"/>
        <w:spacing w:after="0" w:line="120" w:lineRule="exact"/>
        <w:rPr>
          <w:sz w:val="10"/>
        </w:rPr>
      </w:pPr>
    </w:p>
    <w:p w:rsidR="00D70C05" w:rsidRDefault="00D70C05" w:rsidP="006D51EA">
      <w:pPr>
        <w:pStyle w:val="SingleTxt"/>
      </w:pPr>
      <w:r>
        <w:br w:type="page"/>
      </w:r>
      <w:r w:rsidRPr="00522349">
        <w:t>3.</w:t>
      </w:r>
      <w:r w:rsidRPr="00522349">
        <w:tab/>
        <w:t>Сформулированные в Декларации тысячелетия цели в области развития, касающиеся гендерного равенства и расширения прав и возможностей женщин</w:t>
      </w:r>
    </w:p>
    <w:p w:rsidR="00D70C05" w:rsidRPr="00522349" w:rsidRDefault="00D70C05" w:rsidP="00D70C05">
      <w:pPr>
        <w:pStyle w:val="SingleTxt"/>
      </w:pPr>
      <w:r w:rsidRPr="00522349">
        <w:tab/>
        <w:t>По своему опыту Комитет знает, что традиционные модели развития, о</w:t>
      </w:r>
      <w:r w:rsidRPr="00522349">
        <w:t>с</w:t>
      </w:r>
      <w:r w:rsidRPr="00522349">
        <w:t>нованные главным образом на экономическом росте, расширении демократ</w:t>
      </w:r>
      <w:r w:rsidRPr="00522349">
        <w:t>и</w:t>
      </w:r>
      <w:r w:rsidRPr="00522349">
        <w:t>ческого пространства и укреплении мира, не ведут автоматически к установл</w:t>
      </w:r>
      <w:r w:rsidRPr="00522349">
        <w:t>е</w:t>
      </w:r>
      <w:r w:rsidRPr="00522349">
        <w:t>нию гендерного равенства и реализации прав женщин и расширению их прав и возможностей. По этой причине новые модели, разработанные в рамках фем</w:t>
      </w:r>
      <w:r w:rsidRPr="00522349">
        <w:t>и</w:t>
      </w:r>
      <w:r w:rsidRPr="00522349">
        <w:t>нистского направления исследований, предусматривали учет потребностей</w:t>
      </w:r>
      <w:r>
        <w:t xml:space="preserve"> </w:t>
      </w:r>
      <w:r w:rsidRPr="00522349">
        <w:t xml:space="preserve">и роли женщин в процессах развития. Вместе с тем эти модели также не имели своим результатом полную ликвидацию гендерной дискриминации и полную реализацию прав женщин и расширение их </w:t>
      </w:r>
      <w:r>
        <w:t xml:space="preserve">прав и </w:t>
      </w:r>
      <w:r w:rsidRPr="00522349">
        <w:t>возможностей. Уделение п</w:t>
      </w:r>
      <w:r w:rsidRPr="00522349">
        <w:t>о</w:t>
      </w:r>
      <w:r w:rsidRPr="00522349">
        <w:t>вышенного внимания только симптомам и внешним проявлениям проблемы исключения женщин из жизни общества (таким как отсутствие источника д</w:t>
      </w:r>
      <w:r w:rsidRPr="00522349">
        <w:t>о</w:t>
      </w:r>
      <w:r w:rsidRPr="00522349">
        <w:t>хода, образования или доступа к услугам здравоохранения), а не их структу</w:t>
      </w:r>
      <w:r w:rsidRPr="00522349">
        <w:t>р</w:t>
      </w:r>
      <w:r w:rsidRPr="00522349">
        <w:t>ным причинам (например, дискриминации, отсутстви</w:t>
      </w:r>
      <w:r>
        <w:t>ю</w:t>
      </w:r>
      <w:r w:rsidRPr="00522349">
        <w:t xml:space="preserve"> доступа к правосудию и к ресурсам, недостаточной политической представленности) часто ведет к принятию узких, дискреционных мер, направленных на удовлетворение кра</w:t>
      </w:r>
      <w:r w:rsidRPr="00522349">
        <w:t>т</w:t>
      </w:r>
      <w:r w:rsidRPr="00522349">
        <w:t>косрочных потребностей и не ведущих к пониманию реального вклада женщин в устойчивое развитие. Более того, недавние исследования показывают, что б</w:t>
      </w:r>
      <w:r w:rsidRPr="00522349">
        <w:t>о</w:t>
      </w:r>
      <w:r w:rsidRPr="00522349">
        <w:t>лее одной трети женщин во всем мире становятся жертвами насилия в течение своей жизни, что крайне негативно сказывается на способности женщин ос</w:t>
      </w:r>
      <w:r w:rsidRPr="00522349">
        <w:t>у</w:t>
      </w:r>
      <w:r w:rsidRPr="00522349">
        <w:t>ществлять права человека, а также на их экономическом, социальном и кул</w:t>
      </w:r>
      <w:r w:rsidRPr="00522349">
        <w:t>ь</w:t>
      </w:r>
      <w:r w:rsidRPr="00522349">
        <w:t>турном потенциале. Тот факт, что сформулированные в Декларации тысячел</w:t>
      </w:r>
      <w:r w:rsidRPr="00522349">
        <w:t>е</w:t>
      </w:r>
      <w:r w:rsidRPr="00522349">
        <w:t>тия цели в области развития не предусматривают борьбу с гендерным насил</w:t>
      </w:r>
      <w:r w:rsidRPr="00522349">
        <w:t>и</w:t>
      </w:r>
      <w:r w:rsidRPr="00522349">
        <w:t>ем, а также необходимость ликвидации дискриминации в отношении женщин при доступе к правосудию, является серьезным недостатком, который необх</w:t>
      </w:r>
      <w:r w:rsidRPr="00522349">
        <w:t>о</w:t>
      </w:r>
      <w:r w:rsidRPr="00522349">
        <w:t>димо испр</w:t>
      </w:r>
      <w:r w:rsidRPr="00522349">
        <w:t>а</w:t>
      </w:r>
      <w:r w:rsidRPr="00522349">
        <w:t>вить.</w:t>
      </w:r>
    </w:p>
    <w:p w:rsidR="00D70C05" w:rsidRDefault="00D70C05" w:rsidP="00D70C05">
      <w:pPr>
        <w:pStyle w:val="SingleTxt"/>
      </w:pPr>
      <w:r w:rsidRPr="00522349">
        <w:tab/>
        <w:t>Очевидно, что устойчивого развития никак нельзя достигнуть, если игн</w:t>
      </w:r>
      <w:r w:rsidRPr="00522349">
        <w:t>о</w:t>
      </w:r>
      <w:r w:rsidRPr="00522349">
        <w:t xml:space="preserve">рировать </w:t>
      </w:r>
      <w:r>
        <w:t>интересы 50 </w:t>
      </w:r>
      <w:r w:rsidRPr="00522349">
        <w:t>процентов населения. Мы знаем, что расширение прав и возможностей женщин и девочек не только повышает их способность треб</w:t>
      </w:r>
      <w:r w:rsidRPr="00522349">
        <w:t>о</w:t>
      </w:r>
      <w:r w:rsidRPr="00522349">
        <w:t>вать реализации своих прав, но также оказывает</w:t>
      </w:r>
      <w:r>
        <w:t xml:space="preserve"> </w:t>
      </w:r>
      <w:r w:rsidRPr="00522349">
        <w:t>мощное воздействие с точки зрения социальных преобразований и экономического роста.</w:t>
      </w:r>
    </w:p>
    <w:p w:rsidR="00D70C05" w:rsidRDefault="00D70C05" w:rsidP="006D51EA">
      <w:pPr>
        <w:pStyle w:val="SingleTxt"/>
      </w:pPr>
      <w:r w:rsidRPr="00522349">
        <w:t>4.</w:t>
      </w:r>
      <w:r w:rsidRPr="00522349">
        <w:tab/>
        <w:t>Путь вперед</w:t>
      </w:r>
    </w:p>
    <w:p w:rsidR="00D70C05" w:rsidRPr="00522349" w:rsidRDefault="00D70C05" w:rsidP="00D70C05">
      <w:pPr>
        <w:pStyle w:val="SingleTxt"/>
      </w:pPr>
      <w:r>
        <w:tab/>
      </w:r>
      <w:r w:rsidRPr="00522349">
        <w:t>Таким образом, усилия Комитета уже помогли сформировать твердую о</w:t>
      </w:r>
      <w:r w:rsidRPr="00522349">
        <w:t>с</w:t>
      </w:r>
      <w:r w:rsidRPr="00522349">
        <w:t>нову для ликвидации пробелов в механизме обеспечения подотчетности в св</w:t>
      </w:r>
      <w:r w:rsidRPr="00522349">
        <w:t>я</w:t>
      </w:r>
      <w:r w:rsidRPr="00522349">
        <w:t>зи с реализацией целей в области развития, сформулированных в Декларации тысячелетия,</w:t>
      </w:r>
      <w:r>
        <w:t xml:space="preserve"> </w:t>
      </w:r>
      <w:r w:rsidRPr="00522349">
        <w:t>а также для привлечения внимания к актуальным страновым да</w:t>
      </w:r>
      <w:r w:rsidRPr="00522349">
        <w:t>н</w:t>
      </w:r>
      <w:r w:rsidRPr="00522349">
        <w:t>ным по женщинам и развитию. С учетом своего опыта Комитет предлагает следующее</w:t>
      </w:r>
      <w:r>
        <w:t>:</w:t>
      </w:r>
    </w:p>
    <w:p w:rsidR="00D70C05" w:rsidRPr="00522349" w:rsidRDefault="00D70C05" w:rsidP="00D70C0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522349">
        <w:t>во-первых, нужна такая архитектура на период после 2015</w:t>
      </w:r>
      <w:r>
        <w:t> </w:t>
      </w:r>
      <w:r w:rsidRPr="00522349">
        <w:t>года, к</w:t>
      </w:r>
      <w:r w:rsidRPr="00522349">
        <w:t>о</w:t>
      </w:r>
      <w:r w:rsidRPr="00522349">
        <w:t>торая в явном виде была бы основана на поощрении всех прав человека и напра</w:t>
      </w:r>
      <w:r w:rsidRPr="00522349">
        <w:t>в</w:t>
      </w:r>
      <w:r w:rsidRPr="00522349">
        <w:t>лена</w:t>
      </w:r>
      <w:r>
        <w:t xml:space="preserve"> </w:t>
      </w:r>
      <w:r w:rsidRPr="00522349">
        <w:t>на обеспечение права людей на жизнь, свободную от нужды, но та</w:t>
      </w:r>
      <w:r w:rsidRPr="00522349">
        <w:t>к</w:t>
      </w:r>
      <w:r w:rsidRPr="00522349">
        <w:t>же и на жизнь, свободную от страха;</w:t>
      </w:r>
    </w:p>
    <w:p w:rsidR="00D70C05" w:rsidRPr="00522349" w:rsidRDefault="00D70C05" w:rsidP="00D70C0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522349">
        <w:t>во-вторых, повестка дня на период после 2015</w:t>
      </w:r>
      <w:r>
        <w:t> </w:t>
      </w:r>
      <w:r w:rsidRPr="00522349">
        <w:t>года должна включать «</w:t>
      </w:r>
      <w:r>
        <w:t xml:space="preserve">преобразующую </w:t>
      </w:r>
      <w:r w:rsidRPr="00522349">
        <w:t xml:space="preserve">отдельную цель» </w:t>
      </w:r>
      <w:r>
        <w:t xml:space="preserve">по достижению </w:t>
      </w:r>
      <w:r w:rsidRPr="00522349">
        <w:t>гендерного раве</w:t>
      </w:r>
      <w:r w:rsidRPr="00522349">
        <w:t>н</w:t>
      </w:r>
      <w:r w:rsidRPr="00522349">
        <w:t>ства и расширени</w:t>
      </w:r>
      <w:r>
        <w:t>ю</w:t>
      </w:r>
      <w:r w:rsidRPr="00522349">
        <w:t xml:space="preserve"> прав и возможностей женщин, для того чтобы по</w:t>
      </w:r>
      <w:r w:rsidRPr="00522349">
        <w:t>д</w:t>
      </w:r>
      <w:r w:rsidRPr="00522349">
        <w:t>черкнуть центральную роль прав женщин и девочек в будущем процессе развития, который будет направлен на установление не только формального, но и реального равенства. Особое внимание следует уделять показателям, о</w:t>
      </w:r>
      <w:r w:rsidRPr="00522349">
        <w:t>т</w:t>
      </w:r>
      <w:r w:rsidRPr="00522349">
        <w:t>ражающим проблемы, стоящие в основном перед женщинами и девочк</w:t>
      </w:r>
      <w:r w:rsidRPr="00522349">
        <w:t>а</w:t>
      </w:r>
      <w:r w:rsidRPr="00522349">
        <w:t>ми и связанные с гендерным насилием, сексуальным и репродуктивным здоровьем, материнством, политикой в отношении отпусков по семейным обстоятельствам, а также браками по принуждени</w:t>
      </w:r>
      <w:r>
        <w:t>ю</w:t>
      </w:r>
      <w:r w:rsidRPr="00522349">
        <w:t xml:space="preserve"> и детскими бр</w:t>
      </w:r>
      <w:r w:rsidRPr="00522349">
        <w:t>а</w:t>
      </w:r>
      <w:r w:rsidRPr="00522349">
        <w:t>ками;</w:t>
      </w:r>
    </w:p>
    <w:p w:rsidR="00D70C05" w:rsidRPr="00522349" w:rsidRDefault="00D70C05" w:rsidP="00D70C0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522349">
        <w:t>в-третьих, приверженность идее гендерного равенства и принципам р</w:t>
      </w:r>
      <w:r w:rsidRPr="00522349">
        <w:t>а</w:t>
      </w:r>
      <w:r w:rsidRPr="00522349">
        <w:t>венства и недопущения дискриминации в более широком смысле должн</w:t>
      </w:r>
      <w:r>
        <w:t>а</w:t>
      </w:r>
      <w:r w:rsidRPr="00522349">
        <w:t xml:space="preserve"> быть отражен</w:t>
      </w:r>
      <w:r>
        <w:t>а</w:t>
      </w:r>
      <w:r w:rsidRPr="00522349">
        <w:t xml:space="preserve"> во всех целях для обеспечения того, чтобы новая повестка дня не допускала исключения тех, кто сталкивается с дискриминацией, и чтобы она, более того, не приводила к усугублению существующего нер</w:t>
      </w:r>
      <w:r w:rsidRPr="00522349">
        <w:t>а</w:t>
      </w:r>
      <w:r w:rsidRPr="00522349">
        <w:t>венства. Этого можно достигнуть посредством обеспечения дезагрегации всех показателей по признаку пола, с тем чтобы дать четкую картину пр</w:t>
      </w:r>
      <w:r w:rsidRPr="00522349">
        <w:t>о</w:t>
      </w:r>
      <w:r w:rsidRPr="00522349">
        <w:t xml:space="preserve">гресса </w:t>
      </w:r>
      <w:r>
        <w:t xml:space="preserve">во </w:t>
      </w:r>
      <w:r w:rsidRPr="00522349">
        <w:t>врем</w:t>
      </w:r>
      <w:r w:rsidRPr="00522349">
        <w:t>е</w:t>
      </w:r>
      <w:r w:rsidRPr="00522349">
        <w:t>ни с учетом различий по признаку пола. В рамках данного процесса помимо борьбы с дискриминацией по признаку пола необход</w:t>
      </w:r>
      <w:r w:rsidRPr="00522349">
        <w:t>и</w:t>
      </w:r>
      <w:r w:rsidRPr="00522349">
        <w:t>мо принять меры к ликвидации всех других типов</w:t>
      </w:r>
      <w:r>
        <w:t xml:space="preserve"> </w:t>
      </w:r>
      <w:r w:rsidRPr="00522349">
        <w:t>дискриминации, з</w:t>
      </w:r>
      <w:r w:rsidRPr="00522349">
        <w:t>а</w:t>
      </w:r>
      <w:r w:rsidRPr="00522349">
        <w:t>прещенных международными нормами в области прав человека, поскол</w:t>
      </w:r>
      <w:r w:rsidRPr="00522349">
        <w:t>ь</w:t>
      </w:r>
      <w:r w:rsidRPr="00522349">
        <w:t>ку женщины регулярно сталкиваются одновременно с несколькими вид</w:t>
      </w:r>
      <w:r w:rsidRPr="00522349">
        <w:t>а</w:t>
      </w:r>
      <w:r w:rsidRPr="00522349">
        <w:t>ми дискриминации или с пересекающимися формами дискриминации. Т</w:t>
      </w:r>
      <w:r w:rsidRPr="00522349">
        <w:t>а</w:t>
      </w:r>
      <w:r w:rsidRPr="00522349">
        <w:t>кой подход мог бы существенно расширить возможности учета не просто положения женщин в целом, но также положения сельских и городских женщин, женщин-инвалидов, женщин</w:t>
      </w:r>
      <w:r>
        <w:t>-</w:t>
      </w:r>
      <w:r w:rsidRPr="00522349">
        <w:t>представительниц коренных нар</w:t>
      </w:r>
      <w:r w:rsidRPr="00522349">
        <w:t>о</w:t>
      </w:r>
      <w:r w:rsidRPr="00522349">
        <w:t>дов и женщин и девочек, принадлежащих к другим группам меньшинств</w:t>
      </w:r>
      <w:r>
        <w:t>;</w:t>
      </w:r>
    </w:p>
    <w:p w:rsidR="00D70C05" w:rsidRPr="00522349" w:rsidRDefault="00D70C05" w:rsidP="00D70C0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522349">
        <w:t>в-четвертых, целевые показатели должны носить универсальный х</w:t>
      </w:r>
      <w:r w:rsidRPr="00522349">
        <w:t>а</w:t>
      </w:r>
      <w:r w:rsidRPr="00522349">
        <w:t>рактер или «нивелировать» целевые показатели, которые являются более амб</w:t>
      </w:r>
      <w:r w:rsidRPr="00522349">
        <w:t>и</w:t>
      </w:r>
      <w:r w:rsidRPr="00522349">
        <w:t>циозными, чем целевые показатели</w:t>
      </w:r>
      <w:r>
        <w:t>,</w:t>
      </w:r>
      <w:r w:rsidRPr="00522349">
        <w:t xml:space="preserve"> предусмотренные целями в области развития, сформулированными в Декларации тысячелетия, для обеспеч</w:t>
      </w:r>
      <w:r w:rsidRPr="00522349">
        <w:t>е</w:t>
      </w:r>
      <w:r w:rsidRPr="00522349">
        <w:t>ния того, чтобы никто не остался позабытым, включая женщин, сталк</w:t>
      </w:r>
      <w:r w:rsidRPr="00522349">
        <w:t>и</w:t>
      </w:r>
      <w:r w:rsidRPr="00522349">
        <w:t>вающихся с множественными или пересекающимися формами дискрим</w:t>
      </w:r>
      <w:r w:rsidRPr="00522349">
        <w:t>и</w:t>
      </w:r>
      <w:r w:rsidRPr="00522349">
        <w:t>нации и принадлежащих к наиболее уязвимым группам в большинстве обществ. Следует установить четкие сроки в целях обеспечения устойч</w:t>
      </w:r>
      <w:r w:rsidRPr="00522349">
        <w:t>и</w:t>
      </w:r>
      <w:r w:rsidRPr="00522349">
        <w:t>вого прогресса в деле охвата всех групп населения и сокращения масшт</w:t>
      </w:r>
      <w:r w:rsidRPr="00522349">
        <w:t>а</w:t>
      </w:r>
      <w:r w:rsidRPr="00522349">
        <w:t>бов неравенства между различными группами. Так, например, установл</w:t>
      </w:r>
      <w:r w:rsidRPr="00522349">
        <w:t>е</w:t>
      </w:r>
      <w:r w:rsidRPr="00522349">
        <w:t>ние промежуточных целевых показателей будет играть важную роль в обеспечении осуществления последовательных шагов</w:t>
      </w:r>
      <w:r>
        <w:t>,</w:t>
      </w:r>
      <w:r w:rsidRPr="00522349">
        <w:t xml:space="preserve"> направленных на то, чтобы никто</w:t>
      </w:r>
      <w:r>
        <w:t xml:space="preserve"> </w:t>
      </w:r>
      <w:r w:rsidRPr="00522349">
        <w:t>больше не страдал от дискриминации;</w:t>
      </w:r>
    </w:p>
    <w:p w:rsidR="00D70C05" w:rsidRDefault="00D70C05" w:rsidP="00D70C0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522349">
        <w:t>в-пятых, механизмы подотчетности будут играть существенно важную роль в отслеживании прогресса и в обеспечении того, чтобы государства несли ответственност</w:t>
      </w:r>
      <w:r>
        <w:t>ь</w:t>
      </w:r>
      <w:r w:rsidRPr="00522349">
        <w:t xml:space="preserve"> перед своими гражданами. Обеспечение в явном виде привязки целей в области развития к общепризнанным обязател</w:t>
      </w:r>
      <w:r w:rsidRPr="00522349">
        <w:t>ь</w:t>
      </w:r>
      <w:r w:rsidRPr="00522349">
        <w:t>ствам в области прав человека способствует смене</w:t>
      </w:r>
      <w:r>
        <w:t xml:space="preserve"> парадигмы</w:t>
      </w:r>
      <w:r w:rsidRPr="00522349">
        <w:t>, а именно переходу от</w:t>
      </w:r>
      <w:r>
        <w:t xml:space="preserve"> рассуждений о </w:t>
      </w:r>
      <w:r w:rsidRPr="00522349">
        <w:t>благотворительности и практической целес</w:t>
      </w:r>
      <w:r w:rsidRPr="00522349">
        <w:t>о</w:t>
      </w:r>
      <w:r w:rsidRPr="00522349">
        <w:t xml:space="preserve">образности к </w:t>
      </w:r>
      <w:r>
        <w:t xml:space="preserve">уделению внимания </w:t>
      </w:r>
      <w:r w:rsidRPr="00522349">
        <w:t>права</w:t>
      </w:r>
      <w:r>
        <w:t>м</w:t>
      </w:r>
      <w:r w:rsidRPr="00522349">
        <w:t xml:space="preserve"> и правовы</w:t>
      </w:r>
      <w:r>
        <w:t>м</w:t>
      </w:r>
      <w:r w:rsidRPr="00522349">
        <w:t xml:space="preserve"> обязательства</w:t>
      </w:r>
      <w:r>
        <w:t>м</w:t>
      </w:r>
      <w:r w:rsidRPr="00522349">
        <w:t>. Этот подход подразумевает необходимость того, чтобы уполномоченные органы несли ответственность за достижение результатов. Какие бы ни были приняты механизмы подотчетности, Комитет (вместе с другими д</w:t>
      </w:r>
      <w:r w:rsidRPr="00522349">
        <w:t>о</w:t>
      </w:r>
      <w:r w:rsidRPr="00522349">
        <w:t>говорными органами по правам человека) должен играть принципиал</w:t>
      </w:r>
      <w:r w:rsidRPr="00522349">
        <w:t>ь</w:t>
      </w:r>
      <w:r w:rsidRPr="00522349">
        <w:t>ную роль в обеспечении подо</w:t>
      </w:r>
      <w:r w:rsidRPr="00522349">
        <w:t>т</w:t>
      </w:r>
      <w:r w:rsidRPr="00522349">
        <w:t>четности в вопросах гендерного равенства посредством проведения периодических обзоров докл</w:t>
      </w:r>
      <w:r w:rsidRPr="00522349">
        <w:t>а</w:t>
      </w:r>
      <w:r w:rsidRPr="00522349">
        <w:t>дов государств-участников, рассмотрения индивидуальных сообщений и ос</w:t>
      </w:r>
      <w:r w:rsidRPr="00522349">
        <w:t>у</w:t>
      </w:r>
      <w:r w:rsidRPr="00522349">
        <w:t>ществления процедуры расследования. В связи с этим было бы целесообразно, напр</w:t>
      </w:r>
      <w:r w:rsidRPr="00522349">
        <w:t>и</w:t>
      </w:r>
      <w:r w:rsidRPr="00522349">
        <w:t>мер, если бы новые рамки подотчетности могли обеспечить систематич</w:t>
      </w:r>
      <w:r w:rsidRPr="00522349">
        <w:t>е</w:t>
      </w:r>
      <w:r w:rsidRPr="00522349">
        <w:t xml:space="preserve">ский обмен информацией между договорными органами и </w:t>
      </w:r>
      <w:r>
        <w:t>любым</w:t>
      </w:r>
      <w:r w:rsidRPr="00522349">
        <w:t xml:space="preserve"> новым механизмом подотчетности, созданным для отслеживания реализации н</w:t>
      </w:r>
      <w:r w:rsidRPr="00522349">
        <w:t>о</w:t>
      </w:r>
      <w:r w:rsidRPr="00522349">
        <w:t>вых целей, задач и показателей. В рамках своей процедуры предоставл</w:t>
      </w:r>
      <w:r w:rsidRPr="00522349">
        <w:t>е</w:t>
      </w:r>
      <w:r w:rsidRPr="00522349">
        <w:t>ния докладов Комитет пришел к выводу о том, что сформулированная в Декларации тысячел</w:t>
      </w:r>
      <w:r w:rsidRPr="00522349">
        <w:t>е</w:t>
      </w:r>
      <w:r w:rsidRPr="00522349">
        <w:t>тия цель в области развития 3, несмотря на ее узкий характер, имела огромное значение для стимулирования усилий, обесп</w:t>
      </w:r>
      <w:r w:rsidRPr="00522349">
        <w:t>е</w:t>
      </w:r>
      <w:r w:rsidRPr="00522349">
        <w:t>чивших улучшение сбора данных и подотчетности. В своем авторитетном руководстве государствам</w:t>
      </w:r>
      <w:r>
        <w:t xml:space="preserve"> — </w:t>
      </w:r>
      <w:r w:rsidRPr="00522349">
        <w:t>участн</w:t>
      </w:r>
      <w:r w:rsidRPr="00522349">
        <w:t>и</w:t>
      </w:r>
      <w:r w:rsidRPr="00522349">
        <w:t>кам Конвенции, изложенном в</w:t>
      </w:r>
      <w:r>
        <w:t xml:space="preserve"> </w:t>
      </w:r>
      <w:r w:rsidRPr="00522349">
        <w:t>общей рекомендации</w:t>
      </w:r>
      <w:r>
        <w:t> </w:t>
      </w:r>
      <w:r w:rsidRPr="00522349">
        <w:t>№ 9, Комитет просит гос</w:t>
      </w:r>
      <w:r w:rsidRPr="00522349">
        <w:t>у</w:t>
      </w:r>
      <w:r w:rsidRPr="00522349">
        <w:t>дарства-участники</w:t>
      </w:r>
      <w:r>
        <w:t xml:space="preserve"> </w:t>
      </w:r>
      <w:r w:rsidRPr="00522349">
        <w:t>представлять надежные данные в разбивке по признаку пола, с тем чтобы сформир</w:t>
      </w:r>
      <w:r w:rsidRPr="00522349">
        <w:t>о</w:t>
      </w:r>
      <w:r w:rsidRPr="00522349">
        <w:t>вать полное представление о положении женщин.</w:t>
      </w:r>
    </w:p>
    <w:p w:rsidR="00D70C05" w:rsidRDefault="00D70C05" w:rsidP="006D51EA">
      <w:pPr>
        <w:pStyle w:val="SingleTxt"/>
      </w:pPr>
      <w:r w:rsidRPr="00522349">
        <w:t>5.</w:t>
      </w:r>
      <w:r w:rsidRPr="00522349">
        <w:tab/>
        <w:t>Выводы</w:t>
      </w:r>
    </w:p>
    <w:p w:rsidR="00D70C05" w:rsidRPr="00522349" w:rsidRDefault="00D70C05" w:rsidP="00D70C05">
      <w:pPr>
        <w:pStyle w:val="SingleTxt"/>
      </w:pPr>
      <w:r w:rsidRPr="00522349">
        <w:tab/>
        <w:t>Комитет считает, что принятие повестки дня в области развития на период после 2015</w:t>
      </w:r>
      <w:r>
        <w:t> </w:t>
      </w:r>
      <w:r w:rsidRPr="00522349">
        <w:t>года представляет собой уникальную возможность для ускорения осуществления мер, направленных на решение принципиально важных вопр</w:t>
      </w:r>
      <w:r w:rsidRPr="00522349">
        <w:t>о</w:t>
      </w:r>
      <w:r w:rsidRPr="00522349">
        <w:t>сов, касающихся гендерного равенства и расширения прав и возможностей женщин, путем утверждения отдельной цели по гендерному раве</w:t>
      </w:r>
      <w:r w:rsidRPr="00522349">
        <w:t>н</w:t>
      </w:r>
      <w:r w:rsidRPr="00522349">
        <w:t>ству и учета гендерной проблематики во всех остальных целях, в том числе посредством приведения всех показателей в разбивке по признаку пола. Все цели, задачи и показатели должны быть приведены в соответствие со стандартами в области прав человека. На основании своего мандата Комитет продолжит выполнять принципиально важную роль в будущей работе по повестке дня в области ра</w:t>
      </w:r>
      <w:r w:rsidRPr="00522349">
        <w:t>з</w:t>
      </w:r>
      <w:r w:rsidRPr="00522349">
        <w:t>вития на период после 2015 года, в частности, в рамках своих различных пр</w:t>
      </w:r>
      <w:r w:rsidRPr="00522349">
        <w:t>о</w:t>
      </w:r>
      <w:r w:rsidRPr="00522349">
        <w:t>цедур в соответствии с Конвенцией, которая остается наиболее комплексным обязательным к исполнению международным документом по правам ч</w:t>
      </w:r>
      <w:r w:rsidRPr="00522349">
        <w:t>е</w:t>
      </w:r>
      <w:r w:rsidRPr="00522349">
        <w:t xml:space="preserve">ловека, </w:t>
      </w:r>
      <w:r>
        <w:t xml:space="preserve">в деле устранения недостатков </w:t>
      </w:r>
      <w:r w:rsidRPr="00522349">
        <w:t>в подотчетности и осуществлени</w:t>
      </w:r>
      <w:r>
        <w:t>и</w:t>
      </w:r>
      <w:r w:rsidRPr="00522349">
        <w:t xml:space="preserve"> многост</w:t>
      </w:r>
      <w:r w:rsidRPr="00522349">
        <w:t>о</w:t>
      </w:r>
      <w:r w:rsidRPr="00522349">
        <w:t>ронн</w:t>
      </w:r>
      <w:r>
        <w:t>ей</w:t>
      </w:r>
      <w:r w:rsidRPr="00522349">
        <w:t xml:space="preserve"> систем</w:t>
      </w:r>
      <w:r>
        <w:t>ы</w:t>
      </w:r>
      <w:r w:rsidRPr="00522349">
        <w:t xml:space="preserve"> и различны</w:t>
      </w:r>
      <w:r>
        <w:t>х</w:t>
      </w:r>
      <w:r w:rsidRPr="00522349">
        <w:t xml:space="preserve"> заинтересованны</w:t>
      </w:r>
      <w:r>
        <w:t>х</w:t>
      </w:r>
      <w:r w:rsidRPr="00522349">
        <w:t xml:space="preserve"> </w:t>
      </w:r>
      <w:r>
        <w:t xml:space="preserve">сторон </w:t>
      </w:r>
      <w:r w:rsidRPr="00522349">
        <w:t>в данной области. К</w:t>
      </w:r>
      <w:r w:rsidRPr="00522349">
        <w:t>о</w:t>
      </w:r>
      <w:r w:rsidRPr="00522349">
        <w:t>митет также признает критически важную роль, которую организации гра</w:t>
      </w:r>
      <w:r w:rsidRPr="00522349">
        <w:t>ж</w:t>
      </w:r>
      <w:r w:rsidRPr="00522349">
        <w:t>данского общества играют в развитии и осуществлении Конвенции. В связи с этим Комитет выражает надежду, что международное сообщество продолжит взаимодействовать с такими организациями в процессе будущей работы по п</w:t>
      </w:r>
      <w:r w:rsidRPr="00522349">
        <w:t>о</w:t>
      </w:r>
      <w:r w:rsidRPr="00522349">
        <w:t>вестке дня в области развития на период после 2015</w:t>
      </w:r>
      <w:r>
        <w:t> </w:t>
      </w:r>
      <w:r w:rsidRPr="00522349">
        <w:t>года.</w:t>
      </w:r>
    </w:p>
    <w:p w:rsidR="00D70C05" w:rsidRPr="00522349" w:rsidRDefault="00D70C05" w:rsidP="00D70C05">
      <w:pPr>
        <w:pStyle w:val="SingleTxt"/>
      </w:pPr>
      <w:r w:rsidRPr="00522349">
        <w:tab/>
        <w:t>Кроме того, Комитет призывает международное сообщество создать надежные механизмы подотчетности в целях обеспечения того, чтобы госуда</w:t>
      </w:r>
      <w:r w:rsidRPr="00522349">
        <w:t>р</w:t>
      </w:r>
      <w:r w:rsidRPr="00522349">
        <w:t>ства несли ответственность перед своими гражданами. По этому вопросу К</w:t>
      </w:r>
      <w:r w:rsidRPr="00522349">
        <w:t>о</w:t>
      </w:r>
      <w:r w:rsidRPr="00522349">
        <w:t>митет присоединяется к заявлению председателей договорных органов по пр</w:t>
      </w:r>
      <w:r w:rsidRPr="00522349">
        <w:t>а</w:t>
      </w:r>
      <w:r w:rsidRPr="00522349">
        <w:t>вам человека касательно повестки дня в области развития на период после 2015 года</w:t>
      </w:r>
      <w:r>
        <w:t>, обратившихся с просьбой</w:t>
      </w:r>
      <w:r w:rsidRPr="00522349">
        <w:t xml:space="preserve"> укрепить договорные органы, которые и</w:t>
      </w:r>
      <w:r w:rsidRPr="00522349">
        <w:t>г</w:t>
      </w:r>
      <w:r w:rsidRPr="00522349">
        <w:t>рают критически важную роль в достижении результатов и создании механи</w:t>
      </w:r>
      <w:r w:rsidRPr="00522349">
        <w:t>з</w:t>
      </w:r>
      <w:r w:rsidRPr="00522349">
        <w:t>мов подотчетности в рамках архитектуры развития на период после 2015</w:t>
      </w:r>
      <w:r>
        <w:t> </w:t>
      </w:r>
      <w:r w:rsidRPr="00522349">
        <w:t>года.</w:t>
      </w:r>
    </w:p>
    <w:p w:rsidR="00D70C05" w:rsidRDefault="00D70C05" w:rsidP="00D70C0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86753F">
        <w:t xml:space="preserve">Приложение </w:t>
      </w:r>
      <w:r w:rsidRPr="0086753F">
        <w:rPr>
          <w:lang w:val="en-GB"/>
        </w:rPr>
        <w:t>II</w:t>
      </w:r>
    </w:p>
    <w:p w:rsidR="00D70C05" w:rsidRPr="00D22E2A" w:rsidRDefault="00D70C05" w:rsidP="00D70C05">
      <w:pPr>
        <w:pStyle w:val="SingleTxt"/>
        <w:spacing w:after="0" w:line="120" w:lineRule="exact"/>
        <w:rPr>
          <w:sz w:val="10"/>
        </w:rPr>
      </w:pPr>
    </w:p>
    <w:p w:rsidR="008F1754" w:rsidRDefault="00D70C05" w:rsidP="00D70C0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86753F">
        <w:tab/>
      </w:r>
      <w:r w:rsidRPr="0086753F">
        <w:tab/>
        <w:t>Решение 57/</w:t>
      </w:r>
      <w:r w:rsidRPr="0086753F">
        <w:rPr>
          <w:lang w:val="en-GB"/>
        </w:rPr>
        <w:t>II</w:t>
      </w:r>
    </w:p>
    <w:p w:rsidR="00D70C05" w:rsidRDefault="008F1754" w:rsidP="00D70C0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GB"/>
        </w:rPr>
        <w:tab/>
      </w:r>
      <w:r>
        <w:rPr>
          <w:lang w:val="en-GB"/>
        </w:rPr>
        <w:tab/>
      </w:r>
      <w:r w:rsidR="00D70C05" w:rsidRPr="0086753F">
        <w:t>Заявление Комитета по ликвидации дискриминации</w:t>
      </w:r>
      <w:r w:rsidR="00D70C05">
        <w:br/>
      </w:r>
      <w:r w:rsidR="00D70C05" w:rsidRPr="0086753F">
        <w:t>в отношении женщин по вопросу «Сексуальное</w:t>
      </w:r>
      <w:r w:rsidR="00D70C05">
        <w:br/>
      </w:r>
      <w:r w:rsidR="00D70C05" w:rsidRPr="0086753F">
        <w:t>и репродуктивное здоровье: обзор последующей деятельности в связи с Международной конференцией по народонаселению и развитию в период после 2014 года»</w:t>
      </w:r>
    </w:p>
    <w:p w:rsidR="00D70C05" w:rsidRPr="0086753F" w:rsidRDefault="00D70C05" w:rsidP="00D70C05">
      <w:pPr>
        <w:pStyle w:val="SingleTxt"/>
        <w:spacing w:after="0" w:line="120" w:lineRule="exact"/>
        <w:rPr>
          <w:sz w:val="10"/>
        </w:rPr>
      </w:pPr>
    </w:p>
    <w:p w:rsidR="00D70C05" w:rsidRPr="0086753F" w:rsidRDefault="00D70C05" w:rsidP="00D70C05">
      <w:pPr>
        <w:pStyle w:val="SingleTxt"/>
        <w:spacing w:after="0" w:line="120" w:lineRule="exact"/>
        <w:rPr>
          <w:sz w:val="10"/>
        </w:rPr>
      </w:pPr>
    </w:p>
    <w:p w:rsidR="00D70C05" w:rsidRPr="0086753F" w:rsidRDefault="00D70C05" w:rsidP="00D70C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</w:t>
      </w:r>
      <w:r w:rsidRPr="0086753F">
        <w:t>ринято 26 февраля 2014 года</w:t>
      </w:r>
    </w:p>
    <w:p w:rsidR="00D70C05" w:rsidRPr="0086753F" w:rsidRDefault="00D70C05" w:rsidP="00D70C05">
      <w:pPr>
        <w:pStyle w:val="SingleTxt"/>
        <w:spacing w:after="0" w:line="120" w:lineRule="exact"/>
        <w:rPr>
          <w:b/>
          <w:sz w:val="10"/>
        </w:rPr>
      </w:pPr>
    </w:p>
    <w:p w:rsidR="00D70C05" w:rsidRPr="0086753F" w:rsidRDefault="00D70C05" w:rsidP="00D70C05">
      <w:pPr>
        <w:pStyle w:val="SingleTxt"/>
      </w:pPr>
      <w:r w:rsidRPr="0086753F">
        <w:tab/>
        <w:t>Комитет по ликвидации дискриминации в отношении женщин приве</w:t>
      </w:r>
      <w:r w:rsidRPr="0086753F">
        <w:t>т</w:t>
      </w:r>
      <w:r w:rsidRPr="0086753F">
        <w:t>ствует продолжающийся обзор</w:t>
      </w:r>
      <w:r>
        <w:t xml:space="preserve"> Программы действий Международной конф</w:t>
      </w:r>
      <w:r>
        <w:t>е</w:t>
      </w:r>
      <w:r>
        <w:t xml:space="preserve">ренции по народонаселению и развитию. </w:t>
      </w:r>
      <w:r w:rsidRPr="0086753F">
        <w:t>Программа действий, принятая на основе консенсуса 179</w:t>
      </w:r>
      <w:r>
        <w:t> </w:t>
      </w:r>
      <w:r w:rsidRPr="0086753F">
        <w:t>государствами в Каире в 1994 году, стала крайне ва</w:t>
      </w:r>
      <w:r w:rsidRPr="0086753F">
        <w:t>ж</w:t>
      </w:r>
      <w:r w:rsidRPr="0086753F">
        <w:t>ным достижением и положила начало новой эре, в которой права человека каждого индивидуума играют важнейшую роль. Государства</w:t>
      </w:r>
      <w:r>
        <w:t xml:space="preserve"> — </w:t>
      </w:r>
      <w:r w:rsidRPr="0086753F">
        <w:t>члены Орган</w:t>
      </w:r>
      <w:r w:rsidRPr="0086753F">
        <w:t>и</w:t>
      </w:r>
      <w:r w:rsidRPr="0086753F">
        <w:t>зации Объединенных Наций признали, что репродуктивные права основаны на принятых на международном уровне</w:t>
      </w:r>
      <w:r>
        <w:t xml:space="preserve"> </w:t>
      </w:r>
      <w:r w:rsidRPr="0086753F">
        <w:t>стандартах в области прав человека и</w:t>
      </w:r>
      <w:r>
        <w:t xml:space="preserve"> </w:t>
      </w:r>
      <w:r w:rsidRPr="0086753F">
        <w:t>з</w:t>
      </w:r>
      <w:r w:rsidRPr="0086753F">
        <w:t>а</w:t>
      </w:r>
      <w:r w:rsidRPr="0086753F">
        <w:t>креплены в международных договорах по правам человека, включая Конве</w:t>
      </w:r>
      <w:r w:rsidRPr="0086753F">
        <w:t>н</w:t>
      </w:r>
      <w:r w:rsidRPr="0086753F">
        <w:t>цию о ликв</w:t>
      </w:r>
      <w:r w:rsidRPr="0086753F">
        <w:t>и</w:t>
      </w:r>
      <w:r w:rsidRPr="0086753F">
        <w:t>дации всех форм дискриминации в отношении женщин, надзор за осуществлением которой осуществляет Комитет. Эти обязательства были по</w:t>
      </w:r>
      <w:r w:rsidRPr="0086753F">
        <w:t>д</w:t>
      </w:r>
      <w:r w:rsidRPr="0086753F">
        <w:t>тверждены в Пекинской декларации и Платформе действий. В целях соде</w:t>
      </w:r>
      <w:r w:rsidRPr="0086753F">
        <w:t>й</w:t>
      </w:r>
      <w:r w:rsidRPr="0086753F">
        <w:t>ствия дальнейшему осуществлению Конвенции Комитет представляет данное заявление в качестве вклада в процесс обзора последующей деятельности в связи с Международной конференцией по народонаселению и развитию в п</w:t>
      </w:r>
      <w:r w:rsidRPr="0086753F">
        <w:t>е</w:t>
      </w:r>
      <w:r w:rsidRPr="0086753F">
        <w:t>риод после 2014 года. Оно основано на его специальных знаниях в вопросах, касающихся Конвенции и Факультативного протокола к ней, и разработано с учетом докладов, индивидуальных жалоб и процедур расследования, а также общей рекомендации</w:t>
      </w:r>
      <w:r>
        <w:t> </w:t>
      </w:r>
      <w:r w:rsidRPr="0086753F">
        <w:t>№</w:t>
      </w:r>
      <w:r>
        <w:t> </w:t>
      </w:r>
      <w:r w:rsidRPr="0086753F">
        <w:t>24 (1999 год) по статье</w:t>
      </w:r>
      <w:r>
        <w:t> </w:t>
      </w:r>
      <w:r w:rsidRPr="0086753F">
        <w:t>12 (женщины и здравоохран</w:t>
      </w:r>
      <w:r w:rsidRPr="0086753F">
        <w:t>е</w:t>
      </w:r>
      <w:r w:rsidRPr="0086753F">
        <w:t>ние), все из которых показывают, что неравенство и дискриминация являются главными факторами, преп</w:t>
      </w:r>
      <w:r>
        <w:t>ятствующими женщинам и девочкам</w:t>
      </w:r>
      <w:r w:rsidRPr="0086753F">
        <w:t xml:space="preserve"> в реализации своего права «на наивысший достижимый уровень физического и психическ</w:t>
      </w:r>
      <w:r w:rsidRPr="0086753F">
        <w:t>о</w:t>
      </w:r>
      <w:r w:rsidRPr="0086753F">
        <w:t>го здоровья»</w:t>
      </w:r>
      <w:r>
        <w:t>.</w:t>
      </w:r>
    </w:p>
    <w:p w:rsidR="00D70C05" w:rsidRPr="0086753F" w:rsidRDefault="00D70C05" w:rsidP="00D70C05">
      <w:pPr>
        <w:pStyle w:val="SingleTxt"/>
      </w:pPr>
      <w:r w:rsidRPr="0086753F">
        <w:tab/>
        <w:t>Комитет признает, что был достигнут значительный прогресс. Вместе с тем каждое государство может и обязано делать больше в целях обеспечения полного уважения, защиты и реализации сексуальных и репродуктивных прав в соответствии с обязательствами в области прав человека. С учетом вышеск</w:t>
      </w:r>
      <w:r w:rsidRPr="0086753F">
        <w:t>а</w:t>
      </w:r>
      <w:r w:rsidRPr="0086753F">
        <w:t>занного, процесс обзора последующей деятельности в связи с Международной конференцией по народонаселению и развитию в период после 2014</w:t>
      </w:r>
      <w:r>
        <w:t> </w:t>
      </w:r>
      <w:r w:rsidRPr="0086753F">
        <w:t>года явл</w:t>
      </w:r>
      <w:r w:rsidRPr="0086753F">
        <w:t>я</w:t>
      </w:r>
      <w:r w:rsidRPr="0086753F">
        <w:t>ется критически важным моментом для того, чтобы подтвердить приверже</w:t>
      </w:r>
      <w:r w:rsidRPr="0086753F">
        <w:t>н</w:t>
      </w:r>
      <w:r w:rsidRPr="0086753F">
        <w:t>ность стандартам в области прав человека, касающимся прав на охрану секс</w:t>
      </w:r>
      <w:r w:rsidRPr="0086753F">
        <w:t>у</w:t>
      </w:r>
      <w:r w:rsidRPr="0086753F">
        <w:t>ального и репродуктивного здоровья женщин и мужчин, девочек и</w:t>
      </w:r>
      <w:r>
        <w:t xml:space="preserve"> </w:t>
      </w:r>
      <w:r w:rsidRPr="0086753F">
        <w:t>мальчиков, и чтобы обеспечить уделение приоритетного внимания запрету дискриминации по полов</w:t>
      </w:r>
      <w:r>
        <w:t>ому</w:t>
      </w:r>
      <w:r w:rsidRPr="0086753F">
        <w:t xml:space="preserve"> и гендерн</w:t>
      </w:r>
      <w:r>
        <w:t>ому</w:t>
      </w:r>
      <w:r w:rsidRPr="0086753F">
        <w:t xml:space="preserve"> признакам и защите и поощрению прав человека в рамках любых усилий, направленных на обеспечение устойчивого развития и социальной справедливости. Вышеуказанный обзор также определит одну из наиболее важных составляющих повестки дня в области развития на период после 2015 года, касающуюся</w:t>
      </w:r>
      <w:r>
        <w:t xml:space="preserve"> </w:t>
      </w:r>
      <w:r w:rsidRPr="0086753F">
        <w:t>женщин и девочек. В связи с этим по результ</w:t>
      </w:r>
      <w:r w:rsidRPr="0086753F">
        <w:t>а</w:t>
      </w:r>
      <w:r w:rsidRPr="0086753F">
        <w:t>там обзора должны быть предусмотрены надежные механизмы подотчетности, а также обеспечено сотрудничество в рамках всей системы между различными структурами Организации Объединенных Наций</w:t>
      </w:r>
      <w:r>
        <w:t xml:space="preserve">, </w:t>
      </w:r>
      <w:r w:rsidRPr="0086753F">
        <w:t>на региональном и наци</w:t>
      </w:r>
      <w:r w:rsidRPr="0086753F">
        <w:t>о</w:t>
      </w:r>
      <w:r w:rsidRPr="0086753F">
        <w:t>нальном уровнях и с</w:t>
      </w:r>
      <w:r>
        <w:t xml:space="preserve"> </w:t>
      </w:r>
      <w:r w:rsidRPr="0086753F">
        <w:t>неправительственными организациями.</w:t>
      </w:r>
    </w:p>
    <w:p w:rsidR="00D70C05" w:rsidRPr="0086753F" w:rsidRDefault="00D70C05" w:rsidP="00D70C05">
      <w:pPr>
        <w:pStyle w:val="SingleTxt"/>
      </w:pPr>
      <w:r w:rsidRPr="0086753F">
        <w:tab/>
        <w:t>Многие государства</w:t>
      </w:r>
      <w:r>
        <w:t xml:space="preserve"> — </w:t>
      </w:r>
      <w:r w:rsidRPr="0086753F">
        <w:t>члены Организации Объединенных Наций разр</w:t>
      </w:r>
      <w:r w:rsidRPr="0086753F">
        <w:t>а</w:t>
      </w:r>
      <w:r w:rsidRPr="0086753F">
        <w:t>ботали инновационные стратегии и программы по поощрению охраны секс</w:t>
      </w:r>
      <w:r w:rsidRPr="0086753F">
        <w:t>у</w:t>
      </w:r>
      <w:r w:rsidRPr="0086753F">
        <w:t>ального и репродуктивного здоровья и соответствующих прав. Вместе с тем во всех регионах по-прежнему имеются серьезные пробелы в области защиты этих основных прав и свобод. Право на здоровье, которое включает право на физическую неприкосновенность и предполагает сексуальную и репродукти</w:t>
      </w:r>
      <w:r w:rsidRPr="0086753F">
        <w:t>в</w:t>
      </w:r>
      <w:r w:rsidRPr="0086753F">
        <w:t>ную свободу, часто нарушается. Насилие в отношение женщин и девочек (</w:t>
      </w:r>
      <w:r>
        <w:t>и даже</w:t>
      </w:r>
      <w:r w:rsidRPr="0086753F">
        <w:t xml:space="preserve"> настоящие пытки и</w:t>
      </w:r>
      <w:r>
        <w:t>ли</w:t>
      </w:r>
      <w:r w:rsidRPr="0086753F">
        <w:t xml:space="preserve"> жестокое и бесчеловечное и унижающее человеч</w:t>
      </w:r>
      <w:r w:rsidRPr="0086753F">
        <w:t>е</w:t>
      </w:r>
      <w:r w:rsidRPr="0086753F">
        <w:t>ское достоинство обращение) и множественные и пересекающиеся формы ди</w:t>
      </w:r>
      <w:r w:rsidRPr="0086753F">
        <w:t>с</w:t>
      </w:r>
      <w:r w:rsidRPr="0086753F">
        <w:t xml:space="preserve">криминации </w:t>
      </w:r>
      <w:r>
        <w:t xml:space="preserve">по </w:t>
      </w:r>
      <w:r w:rsidRPr="0086753F">
        <w:t>полов</w:t>
      </w:r>
      <w:r>
        <w:t>ому</w:t>
      </w:r>
      <w:r w:rsidRPr="0086753F">
        <w:t xml:space="preserve"> и гендерн</w:t>
      </w:r>
      <w:r>
        <w:t>ому</w:t>
      </w:r>
      <w:r w:rsidRPr="0086753F">
        <w:t xml:space="preserve"> признак</w:t>
      </w:r>
      <w:r>
        <w:t>ам</w:t>
      </w:r>
      <w:r w:rsidRPr="0086753F">
        <w:t>, с которыми женщинам и девочкам приходится сталкиваться, оказывают серьезное негативное возде</w:t>
      </w:r>
      <w:r w:rsidRPr="0086753F">
        <w:t>й</w:t>
      </w:r>
      <w:r w:rsidRPr="0086753F">
        <w:t>ствие на их сексуальное и репродуктивное здоровье и права. Комитет постоя</w:t>
      </w:r>
      <w:r w:rsidRPr="0086753F">
        <w:t>н</w:t>
      </w:r>
      <w:r w:rsidRPr="0086753F">
        <w:t>но борется с</w:t>
      </w:r>
      <w:r>
        <w:t xml:space="preserve"> </w:t>
      </w:r>
      <w:r w:rsidRPr="0086753F">
        <w:t>ведущими к дискриминации гендерными стереотипами и вредн</w:t>
      </w:r>
      <w:r w:rsidRPr="0086753F">
        <w:t>ы</w:t>
      </w:r>
      <w:r w:rsidRPr="0086753F">
        <w:t>ми практиками, которые способствуют указанным нарушениям и обеспечивают их продолжение. В связи с этим Комитет</w:t>
      </w:r>
      <w:r>
        <w:t xml:space="preserve"> </w:t>
      </w:r>
      <w:r w:rsidRPr="0086753F">
        <w:t>на систематической основе рекоме</w:t>
      </w:r>
      <w:r w:rsidRPr="0086753F">
        <w:t>н</w:t>
      </w:r>
      <w:r w:rsidRPr="0086753F">
        <w:t>дует государствам</w:t>
      </w:r>
      <w:r>
        <w:t xml:space="preserve"> — </w:t>
      </w:r>
      <w:r w:rsidRPr="0086753F">
        <w:t>участникам Конвенции принимать все практические и з</w:t>
      </w:r>
      <w:r w:rsidRPr="0086753F">
        <w:t>а</w:t>
      </w:r>
      <w:r w:rsidRPr="0086753F">
        <w:t>конодательные меры</w:t>
      </w:r>
      <w:r>
        <w:t xml:space="preserve"> </w:t>
      </w:r>
      <w:r w:rsidRPr="0086753F">
        <w:t>для предотвращения и запрещения таких актов, наказания виновных в их совершении и возмещения вреда вне зависимости от того, с</w:t>
      </w:r>
      <w:r w:rsidRPr="0086753F">
        <w:t>о</w:t>
      </w:r>
      <w:r w:rsidRPr="0086753F">
        <w:t>вершаются ли они государственными или негосударственными субъе</w:t>
      </w:r>
      <w:r w:rsidRPr="0086753F">
        <w:t>к</w:t>
      </w:r>
      <w:r w:rsidRPr="0086753F">
        <w:t>тами.</w:t>
      </w:r>
    </w:p>
    <w:p w:rsidR="00D70C05" w:rsidRPr="0086753F" w:rsidRDefault="00D70C05" w:rsidP="00D70C05">
      <w:pPr>
        <w:pStyle w:val="SingleTxt"/>
      </w:pPr>
      <w:r w:rsidRPr="0086753F">
        <w:tab/>
        <w:t>Для того чтобы защитить право женщин и девочек на здоровье требуются услуги здравоохранения, включая доступ к информации о сексуальном и р</w:t>
      </w:r>
      <w:r w:rsidRPr="0086753F">
        <w:t>е</w:t>
      </w:r>
      <w:r w:rsidRPr="0086753F">
        <w:t>продуктивном здоровье, предоставление консультаций и услуг, которые дол</w:t>
      </w:r>
      <w:r w:rsidRPr="0086753F">
        <w:t>ж</w:t>
      </w:r>
      <w:r w:rsidRPr="0086753F">
        <w:t>ны быть в наличии, доступными, приемлемыми по цене и качественными. К</w:t>
      </w:r>
      <w:r w:rsidRPr="0086753F">
        <w:t>о</w:t>
      </w:r>
      <w:r w:rsidRPr="0086753F">
        <w:t>митет отмечает, что непредоставление государством-участником таких услуг и введение уголовной ответственности за оказание ряда услуг, предназначенных исключительно для женщин, является нарушением репродуктивных прав же</w:t>
      </w:r>
      <w:r w:rsidRPr="0086753F">
        <w:t>н</w:t>
      </w:r>
      <w:r w:rsidRPr="0086753F">
        <w:t xml:space="preserve">щин и дискриминацией в отношении женщин. </w:t>
      </w:r>
    </w:p>
    <w:p w:rsidR="00D70C05" w:rsidRPr="0086753F" w:rsidRDefault="00D70C05" w:rsidP="00D70C05">
      <w:pPr>
        <w:pStyle w:val="SingleTxt"/>
      </w:pPr>
      <w:r w:rsidRPr="0086753F">
        <w:tab/>
        <w:t>По мнению Комитета, для защиты прав человека, связанных с сексуал</w:t>
      </w:r>
      <w:r w:rsidRPr="0086753F">
        <w:t>ь</w:t>
      </w:r>
      <w:r w:rsidRPr="0086753F">
        <w:t xml:space="preserve">ным и репродуктивным здоровьем, необходимо, чтобы </w:t>
      </w:r>
      <w:r>
        <w:t>«все медицинские усл</w:t>
      </w:r>
      <w:r>
        <w:t>у</w:t>
      </w:r>
      <w:r>
        <w:t>ги соответствовали правам человека женщин, включая их права на независ</w:t>
      </w:r>
      <w:r>
        <w:t>и</w:t>
      </w:r>
      <w:r>
        <w:t xml:space="preserve">мость, частную жизнь, конфиденциальность, осознанное согласие и выбор». </w:t>
      </w:r>
      <w:r w:rsidRPr="0086753F">
        <w:t xml:space="preserve">Таким образом, расширение </w:t>
      </w:r>
      <w:r>
        <w:t xml:space="preserve">прав и </w:t>
      </w:r>
      <w:r w:rsidRPr="0086753F">
        <w:t>возможностей женщин и их способност</w:t>
      </w:r>
      <w:r>
        <w:t>ь</w:t>
      </w:r>
      <w:r w:rsidRPr="0086753F">
        <w:t xml:space="preserve"> принимать решения явля</w:t>
      </w:r>
      <w:r>
        <w:t>ю</w:t>
      </w:r>
      <w:r w:rsidRPr="0086753F">
        <w:t>тся ключевым элементом защиты их прав в данной области. Для осуществления права на независимость</w:t>
      </w:r>
      <w:r>
        <w:t xml:space="preserve"> </w:t>
      </w:r>
      <w:r w:rsidRPr="0086753F">
        <w:t>требу</w:t>
      </w:r>
      <w:r>
        <w:t>ю</w:t>
      </w:r>
      <w:r w:rsidRPr="0086753F">
        <w:t>тся меры, позв</w:t>
      </w:r>
      <w:r w:rsidRPr="0086753F">
        <w:t>о</w:t>
      </w:r>
      <w:r w:rsidRPr="0086753F">
        <w:t>ляющие гарантировать женщинам право на свободное и ответственное прин</w:t>
      </w:r>
      <w:r w:rsidRPr="0086753F">
        <w:t>я</w:t>
      </w:r>
      <w:r w:rsidRPr="0086753F">
        <w:t>тие решения относительно количества своих детей и промежутков между их рождениями, а также право доступа к информации по вопросам се</w:t>
      </w:r>
      <w:r w:rsidRPr="0086753F">
        <w:t>к</w:t>
      </w:r>
      <w:r w:rsidRPr="0086753F">
        <w:t>суального и репродуктивного здоровья и соответствующим услугам по желанию самой женщины без требования получения согласия какой-либо другой стороны. Право на свободное вступление в брак также связано с правом выбора и пр</w:t>
      </w:r>
      <w:r w:rsidRPr="0086753F">
        <w:t>а</w:t>
      </w:r>
      <w:r>
        <w:t>вом на независимость.</w:t>
      </w:r>
    </w:p>
    <w:p w:rsidR="00D70C05" w:rsidRPr="0086753F" w:rsidRDefault="00D70C05" w:rsidP="00D70C05">
      <w:pPr>
        <w:pStyle w:val="SingleTxt"/>
      </w:pPr>
      <w:r w:rsidRPr="0086753F">
        <w:tab/>
        <w:t>Кроме того, требуются меры для запрещения и искоренения практики браков по принуждению и детских браков, которые часто ведут к</w:t>
      </w:r>
      <w:r>
        <w:t xml:space="preserve"> </w:t>
      </w:r>
      <w:r w:rsidRPr="0086753F">
        <w:t>беременн</w:t>
      </w:r>
      <w:r w:rsidRPr="0086753F">
        <w:t>о</w:t>
      </w:r>
      <w:r w:rsidRPr="0086753F">
        <w:t>стям в подростковом возрасте, представляющим риск для жизни и/или здор</w:t>
      </w:r>
      <w:r w:rsidRPr="0086753F">
        <w:t>о</w:t>
      </w:r>
      <w:r w:rsidRPr="0086753F">
        <w:t>вья девочек. Право на сексуальное и репродуктивное здоровье предусматрив</w:t>
      </w:r>
      <w:r w:rsidRPr="0086753F">
        <w:t>а</w:t>
      </w:r>
      <w:r w:rsidRPr="0086753F">
        <w:t>ет, в частности, предоставление услуг по безопасному прерыванию беременн</w:t>
      </w:r>
      <w:r w:rsidRPr="0086753F">
        <w:t>о</w:t>
      </w:r>
      <w:r w:rsidRPr="0086753F">
        <w:t>сти и уходу после аборта; ведение беременности; своевременную диагностику и лечение заболеваний, передаваемых половым путем (включая ВИЧ), рака груди и репродуктивных органов, и бесплодия; а также доступ к достоверной и всесторонней информации по вопросам сексуальной жизни и репродуктивной функции. Кроме того, доступ к комплексным услугам и широкому ряду мет</w:t>
      </w:r>
      <w:r w:rsidRPr="0086753F">
        <w:t>о</w:t>
      </w:r>
      <w:r w:rsidRPr="0086753F">
        <w:t>дов контрацепции, включая экстренную контрацепцию, является ключевым элементом обеспечения сексуальных и репродуктивных прав. Государства-участники несут обязательства по обеспечению женщинам возможности предотвращать нежелательную беременность, в том числе путем предоставл</w:t>
      </w:r>
      <w:r w:rsidRPr="0086753F">
        <w:t>е</w:t>
      </w:r>
      <w:r w:rsidRPr="0086753F">
        <w:t>ния услуг по планированию семьи и просвещения по вопросам сексуального и репродуктивного здоровья. Комитет также призывает государства-участники принять меры к ликвидации «дисбаланса сил» между мужчинами и женщин</w:t>
      </w:r>
      <w:r w:rsidRPr="0086753F">
        <w:t>а</w:t>
      </w:r>
      <w:r w:rsidRPr="0086753F">
        <w:t xml:space="preserve">ми, что часто препятствует </w:t>
      </w:r>
      <w:r>
        <w:t>самостоятельности</w:t>
      </w:r>
      <w:r w:rsidRPr="0086753F">
        <w:t xml:space="preserve"> женщин, особенно в том, что касается права выбора безопасной и ответственной практики сексуальных о</w:t>
      </w:r>
      <w:r w:rsidRPr="0086753F">
        <w:t>т</w:t>
      </w:r>
      <w:r w:rsidRPr="0086753F">
        <w:t>ношений.</w:t>
      </w:r>
    </w:p>
    <w:p w:rsidR="00D70C05" w:rsidRPr="0086753F" w:rsidRDefault="00D70C05" w:rsidP="00D70C05">
      <w:pPr>
        <w:pStyle w:val="SingleTxt"/>
      </w:pPr>
      <w:r w:rsidRPr="0086753F">
        <w:tab/>
        <w:t>Небезопасный аборт является ведущей причиной материнской смертности и заболеваемости. В этой связи государствам-участникам следует легализовать аборт</w:t>
      </w:r>
      <w:r>
        <w:t xml:space="preserve"> </w:t>
      </w:r>
      <w:r w:rsidRPr="0086753F">
        <w:t>по крайне мере в случаях изнасилования, инцеста, угрозы жизни и/или здоровью матери или тяжелых аномалий плода, а также предоставить женщ</w:t>
      </w:r>
      <w:r w:rsidRPr="0086753F">
        <w:t>и</w:t>
      </w:r>
      <w:r w:rsidRPr="0086753F">
        <w:t>нам доступ к качественным услугам по уходу после аборта, особенно в случае осложнений после проведения небезопасных абортов. Государствам-участникам также следует отменить меры наказания для женщин, прибега</w:t>
      </w:r>
      <w:r w:rsidRPr="0086753F">
        <w:t>ю</w:t>
      </w:r>
      <w:r w:rsidRPr="0086753F">
        <w:t>щих к аборту. Государствам-участникам следует далее организовать услуги здравоохранения таким образом, чтобы осуществление права на</w:t>
      </w:r>
      <w:r>
        <w:t xml:space="preserve"> </w:t>
      </w:r>
      <w:r w:rsidRPr="0086753F">
        <w:t>отказ от ок</w:t>
      </w:r>
      <w:r w:rsidRPr="0086753F">
        <w:t>а</w:t>
      </w:r>
      <w:r w:rsidRPr="0086753F">
        <w:t>зания определенных услуг по религиозным или иным убеждениям не препя</w:t>
      </w:r>
      <w:r w:rsidRPr="0086753F">
        <w:t>т</w:t>
      </w:r>
      <w:r w:rsidRPr="0086753F">
        <w:t>ствовало бы эффективному доступу женщин к услугам по охране репродукти</w:t>
      </w:r>
      <w:r w:rsidRPr="0086753F">
        <w:t>в</w:t>
      </w:r>
      <w:r w:rsidRPr="0086753F">
        <w:t>ного здоровья, включая аборт и услуги по уходу после аборта</w:t>
      </w:r>
      <w:r>
        <w:t>.</w:t>
      </w:r>
    </w:p>
    <w:p w:rsidR="00D70C05" w:rsidRPr="0086753F" w:rsidRDefault="00D70C05" w:rsidP="00D70C05">
      <w:pPr>
        <w:pStyle w:val="SingleTxt"/>
      </w:pPr>
      <w:r w:rsidRPr="0086753F">
        <w:tab/>
        <w:t>Кроме того, следует уделять особое внимание обеспечению того, чтобы у подростков был доступ к достоверной информации об их сексуальном и репр</w:t>
      </w:r>
      <w:r w:rsidRPr="0086753F">
        <w:t>о</w:t>
      </w:r>
      <w:r w:rsidRPr="0086753F">
        <w:t>дуктивном здоровье и соответствующих правах, включая ответственное секс</w:t>
      </w:r>
      <w:r w:rsidRPr="0086753F">
        <w:t>у</w:t>
      </w:r>
      <w:r w:rsidRPr="0086753F">
        <w:t>альное поведение, предотвращение ранних беременностей и заражения забол</w:t>
      </w:r>
      <w:r w:rsidRPr="0086753F">
        <w:t>е</w:t>
      </w:r>
      <w:r w:rsidRPr="0086753F">
        <w:t>ваниями, передающимися половым путем. В этих целях соответствующие во</w:t>
      </w:r>
      <w:r w:rsidRPr="0086753F">
        <w:t>з</w:t>
      </w:r>
      <w:r w:rsidRPr="0086753F">
        <w:t>расту учебные занятия по вопросам сексуального и репродуктивного здоровья</w:t>
      </w:r>
      <w:r>
        <w:t xml:space="preserve"> </w:t>
      </w:r>
      <w:r w:rsidRPr="0086753F">
        <w:t>должны быть включены в школьную программу. Государствам-участникам сл</w:t>
      </w:r>
      <w:r w:rsidRPr="0086753F">
        <w:t>е</w:t>
      </w:r>
      <w:r w:rsidRPr="0086753F">
        <w:t>дует проводить дальнейшую работу по ликвидации отрицательных стереот</w:t>
      </w:r>
      <w:r w:rsidRPr="0086753F">
        <w:t>и</w:t>
      </w:r>
      <w:r w:rsidRPr="0086753F">
        <w:t>пов и приводящих к дискриминации установок, касающихся сексуальности подростков, для обеспечения того, чтобы такие стереотипы и установки не препятствовали доступу к информации и просвещению по вопросам сексуал</w:t>
      </w:r>
      <w:r w:rsidRPr="0086753F">
        <w:t>ь</w:t>
      </w:r>
      <w:r w:rsidRPr="0086753F">
        <w:t>ного и репродуктивного здоровья и соответствующих прав.</w:t>
      </w:r>
    </w:p>
    <w:p w:rsidR="00D70C05" w:rsidRPr="0086753F" w:rsidRDefault="00D70C05" w:rsidP="00D70C05">
      <w:pPr>
        <w:pStyle w:val="SingleTxt"/>
      </w:pPr>
      <w:r w:rsidRPr="0086753F">
        <w:tab/>
        <w:t>Укрепление систем здравоохранения, улучшение их функционирования, отслеживание и оценка итогов с точки зрения гендерного равенства и прав ч</w:t>
      </w:r>
      <w:r w:rsidRPr="0086753F">
        <w:t>е</w:t>
      </w:r>
      <w:r w:rsidRPr="0086753F">
        <w:t>ловека способствуют улучшению сексуального и репродуктивного здоровья женщин, и в частности сокращению материнской смертности и заболеваем</w:t>
      </w:r>
      <w:r w:rsidRPr="0086753F">
        <w:t>о</w:t>
      </w:r>
      <w:r w:rsidRPr="0086753F">
        <w:t>сти, а также более эффективной профилактике и лечению ВИЧ/СПИДа и др</w:t>
      </w:r>
      <w:r w:rsidRPr="0086753F">
        <w:t>у</w:t>
      </w:r>
      <w:r w:rsidRPr="0086753F">
        <w:t>гих заболеваний, передающихся половым путем, которые считаются по крайне мере частично обусловленными дискриминацией в отношении женщин. По этой причине государствам-участникам следует обеспечить выделение дост</w:t>
      </w:r>
      <w:r w:rsidRPr="0086753F">
        <w:t>а</w:t>
      </w:r>
      <w:r w:rsidRPr="0086753F">
        <w:t>точных бюджетных ресурсов на программы по обеспечению репродуктивного здоровья и соответствующих прав.</w:t>
      </w:r>
    </w:p>
    <w:p w:rsidR="00D70C05" w:rsidRPr="0086753F" w:rsidRDefault="00D70C05" w:rsidP="00D70C05">
      <w:pPr>
        <w:pStyle w:val="SingleTxt"/>
      </w:pPr>
      <w:r w:rsidRPr="0086753F">
        <w:tab/>
        <w:t>Процесс обзора последующей деятельности в связи с Международной конференцией по народонаселению и развитию в период после 2014</w:t>
      </w:r>
      <w:r>
        <w:t> </w:t>
      </w:r>
      <w:r w:rsidRPr="0086753F">
        <w:t>года дает международного сообществу и всем заинтересованным сторонам возможность оценить прогресс, достигнутый в области сексуального и репродуктивного здоровья и соответствующих прав. Что самое главное, этот процесс дает ун</w:t>
      </w:r>
      <w:r w:rsidRPr="0086753F">
        <w:t>и</w:t>
      </w:r>
      <w:r w:rsidRPr="0086753F">
        <w:t>кальную возможность</w:t>
      </w:r>
      <w:r>
        <w:t xml:space="preserve"> </w:t>
      </w:r>
      <w:r w:rsidRPr="0086753F">
        <w:t>расширения масштаба мер в данной области в целях обеспечения того, чтобы право на</w:t>
      </w:r>
      <w:r>
        <w:t xml:space="preserve"> «наивысший достижимый уровень физич</w:t>
      </w:r>
      <w:r>
        <w:t>е</w:t>
      </w:r>
      <w:r>
        <w:t xml:space="preserve">ского и психического здоровья» </w:t>
      </w:r>
      <w:r w:rsidRPr="0086753F">
        <w:t>не оставалось для женщин и</w:t>
      </w:r>
      <w:r>
        <w:t xml:space="preserve"> </w:t>
      </w:r>
      <w:r w:rsidRPr="0086753F">
        <w:t>девочек всего лишь далекой мечтой. В связи с этим Комитет призывает международное с</w:t>
      </w:r>
      <w:r w:rsidRPr="0086753F">
        <w:t>о</w:t>
      </w:r>
      <w:r w:rsidRPr="0086753F">
        <w:t>общество воспользоваться</w:t>
      </w:r>
      <w:r>
        <w:t xml:space="preserve"> </w:t>
      </w:r>
      <w:r w:rsidRPr="0086753F">
        <w:t>данной возможностью, чтобы подтвердить свою приверженность обеспечению сексуального и репродуктивного здоровья и с</w:t>
      </w:r>
      <w:r w:rsidRPr="0086753F">
        <w:t>о</w:t>
      </w:r>
      <w:r w:rsidRPr="0086753F">
        <w:t>ответствующих прав.</w:t>
      </w:r>
    </w:p>
    <w:p w:rsidR="00D70C05" w:rsidRPr="00522349" w:rsidRDefault="00D70C05" w:rsidP="00D70C05">
      <w:pPr>
        <w:pStyle w:val="SingleTxt"/>
      </w:pPr>
    </w:p>
    <w:p w:rsidR="00A307DE" w:rsidRPr="00FA3FC7" w:rsidRDefault="00A307DE" w:rsidP="00A307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0C1651">
        <w:t>Приложение</w:t>
      </w:r>
      <w:r>
        <w:rPr>
          <w:lang w:val="en-US"/>
        </w:rPr>
        <w:t> </w:t>
      </w:r>
      <w:r w:rsidRPr="000C1651">
        <w:rPr>
          <w:lang w:val="en-GB"/>
        </w:rPr>
        <w:t>III</w:t>
      </w:r>
    </w:p>
    <w:p w:rsidR="00A307DE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Default="00A307DE" w:rsidP="00A307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C1651">
        <w:t>Решение</w:t>
      </w:r>
      <w:r>
        <w:t> </w:t>
      </w:r>
      <w:r w:rsidRPr="000C1651">
        <w:t>57/</w:t>
      </w:r>
      <w:r w:rsidRPr="000C1651">
        <w:rPr>
          <w:lang w:val="en-GB"/>
        </w:rPr>
        <w:t>V</w:t>
      </w:r>
    </w:p>
    <w:p w:rsidR="00A307DE" w:rsidRDefault="00A307DE" w:rsidP="00A307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C1651">
        <w:t>Решение Комитета по ликвидации дискриминации в</w:t>
      </w:r>
      <w:r>
        <w:t> </w:t>
      </w:r>
      <w:r w:rsidRPr="000C1651">
        <w:t>отношении женщин об</w:t>
      </w:r>
      <w:r>
        <w:t> </w:t>
      </w:r>
      <w:r w:rsidRPr="000C1651">
        <w:t>обслуживании своей работы в</w:t>
      </w:r>
      <w:r>
        <w:t> </w:t>
      </w:r>
      <w:r w:rsidRPr="000C1651">
        <w:t>соответствии со статьей</w:t>
      </w:r>
      <w:r>
        <w:rPr>
          <w:lang w:val="en-US"/>
        </w:rPr>
        <w:t> </w:t>
      </w:r>
      <w:r w:rsidRPr="000C1651">
        <w:t>8 Факультативного протокола</w:t>
      </w:r>
    </w:p>
    <w:p w:rsidR="00A307DE" w:rsidRDefault="00A307DE" w:rsidP="00A307DE">
      <w:pPr>
        <w:pStyle w:val="SingleTxt"/>
        <w:spacing w:after="0" w:line="120" w:lineRule="exact"/>
        <w:rPr>
          <w:sz w:val="10"/>
        </w:rPr>
      </w:pPr>
    </w:p>
    <w:p w:rsidR="00A307DE" w:rsidRPr="00FA3FC7" w:rsidRDefault="00A307DE" w:rsidP="00A307DE">
      <w:pPr>
        <w:pStyle w:val="SingleTxt"/>
        <w:spacing w:after="0" w:line="120" w:lineRule="exact"/>
        <w:rPr>
          <w:sz w:val="10"/>
        </w:rPr>
      </w:pPr>
    </w:p>
    <w:p w:rsidR="00A307DE" w:rsidRPr="00667F85" w:rsidRDefault="00A307DE" w:rsidP="00A307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</w:t>
      </w:r>
      <w:r w:rsidRPr="000C1651">
        <w:t>ринято 28</w:t>
      </w:r>
      <w:r>
        <w:rPr>
          <w:lang w:val="en-US"/>
        </w:rPr>
        <w:t> </w:t>
      </w:r>
      <w:r w:rsidRPr="000C1651">
        <w:t>февраля 2014</w:t>
      </w:r>
      <w:r>
        <w:rPr>
          <w:lang w:val="en-US"/>
        </w:rPr>
        <w:t> </w:t>
      </w:r>
      <w:r w:rsidRPr="000C1651">
        <w:t>года</w:t>
      </w:r>
    </w:p>
    <w:p w:rsidR="00A307DE" w:rsidRPr="00667F85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Pr="007033F4" w:rsidRDefault="00A307DE" w:rsidP="00A307DE">
      <w:pPr>
        <w:pStyle w:val="SingleTxt"/>
      </w:pPr>
      <w:r w:rsidRPr="007033F4">
        <w:tab/>
      </w:r>
      <w:r w:rsidRPr="007033F4">
        <w:rPr>
          <w:i/>
        </w:rPr>
        <w:t>Комитет по ликвидации дискриминации в отношении женщин</w:t>
      </w:r>
      <w:r w:rsidRPr="007033F4">
        <w:t>,</w:t>
      </w:r>
    </w:p>
    <w:p w:rsidR="00A307DE" w:rsidRPr="007033F4" w:rsidRDefault="00A307DE" w:rsidP="00A307DE">
      <w:pPr>
        <w:pStyle w:val="SingleTxt"/>
      </w:pPr>
      <w:r w:rsidRPr="007033F4">
        <w:tab/>
      </w:r>
      <w:r w:rsidRPr="007033F4">
        <w:rPr>
          <w:i/>
        </w:rPr>
        <w:t>учитывая</w:t>
      </w:r>
      <w:r w:rsidRPr="007033F4">
        <w:t xml:space="preserve"> свой мандат в соответствии со статьей</w:t>
      </w:r>
      <w:r>
        <w:t> </w:t>
      </w:r>
      <w:r w:rsidRPr="007033F4">
        <w:t>8 Факультативного пр</w:t>
      </w:r>
      <w:r w:rsidRPr="007033F4">
        <w:t>о</w:t>
      </w:r>
      <w:r w:rsidRPr="007033F4">
        <w:t>токола к Конвенции о ликвидации всех форм дискриминации в отношении женщин,</w:t>
      </w:r>
    </w:p>
    <w:p w:rsidR="00A307DE" w:rsidRPr="007033F4" w:rsidRDefault="00A307DE" w:rsidP="00A307DE">
      <w:pPr>
        <w:pStyle w:val="SingleTxt"/>
      </w:pPr>
      <w:r w:rsidRPr="007033F4">
        <w:tab/>
      </w:r>
      <w:r w:rsidRPr="007033F4">
        <w:rPr>
          <w:i/>
        </w:rPr>
        <w:t>отмечая</w:t>
      </w:r>
      <w:r w:rsidRPr="007033F4">
        <w:t>, что у Комитета имеется значительное отставание в рассмотр</w:t>
      </w:r>
      <w:r w:rsidRPr="007033F4">
        <w:t>е</w:t>
      </w:r>
      <w:r w:rsidRPr="007033F4">
        <w:t>ни</w:t>
      </w:r>
      <w:r>
        <w:t>и</w:t>
      </w:r>
      <w:r w:rsidRPr="007033F4">
        <w:t xml:space="preserve"> сообщений, служащих основанием для</w:t>
      </w:r>
      <w:r>
        <w:t xml:space="preserve"> </w:t>
      </w:r>
      <w:r w:rsidRPr="007033F4">
        <w:t>проведения расследований в соо</w:t>
      </w:r>
      <w:r w:rsidRPr="007033F4">
        <w:t>т</w:t>
      </w:r>
      <w:r w:rsidRPr="007033F4">
        <w:t>ветствии со статьей</w:t>
      </w:r>
      <w:r>
        <w:t> </w:t>
      </w:r>
      <w:r w:rsidRPr="007033F4">
        <w:t>8 Факультативного протокола, и это отставание постоя</w:t>
      </w:r>
      <w:r w:rsidRPr="007033F4">
        <w:t>н</w:t>
      </w:r>
      <w:r w:rsidRPr="007033F4">
        <w:t>но растет</w:t>
      </w:r>
      <w:r>
        <w:t>,</w:t>
      </w:r>
    </w:p>
    <w:p w:rsidR="00A307DE" w:rsidRPr="007033F4" w:rsidRDefault="00A307DE" w:rsidP="00A307DE">
      <w:pPr>
        <w:pStyle w:val="SingleTxt"/>
      </w:pPr>
      <w:r w:rsidRPr="007033F4">
        <w:tab/>
      </w:r>
      <w:r w:rsidRPr="007033F4">
        <w:rPr>
          <w:i/>
        </w:rPr>
        <w:t>отмечая также</w:t>
      </w:r>
      <w:r w:rsidRPr="007033F4">
        <w:t>, что предварительные оценки информации, приведенной в нескольких таких сообщениях, которые были получены Комитетом на наст</w:t>
      </w:r>
      <w:r w:rsidRPr="007033F4">
        <w:t>о</w:t>
      </w:r>
      <w:r w:rsidRPr="007033F4">
        <w:t>ящий момент в соответствии со статьей</w:t>
      </w:r>
      <w:r>
        <w:t> </w:t>
      </w:r>
      <w:r w:rsidRPr="007033F4">
        <w:t>8 Факультативного протокола, свид</w:t>
      </w:r>
      <w:r w:rsidRPr="007033F4">
        <w:t>е</w:t>
      </w:r>
      <w:r w:rsidRPr="007033F4">
        <w:t>тельствуют о серьезных и систематических нарушениях прав, изложенных в Конвенции,</w:t>
      </w:r>
    </w:p>
    <w:p w:rsidR="00A307DE" w:rsidRPr="000C1651" w:rsidRDefault="00A307DE" w:rsidP="00A307DE">
      <w:pPr>
        <w:pStyle w:val="SingleTxt"/>
      </w:pPr>
      <w:r w:rsidRPr="007033F4">
        <w:rPr>
          <w:i/>
        </w:rPr>
        <w:tab/>
        <w:t>признавая</w:t>
      </w:r>
      <w:r w:rsidRPr="000C1651">
        <w:rPr>
          <w:i/>
        </w:rPr>
        <w:t xml:space="preserve"> </w:t>
      </w:r>
      <w:r w:rsidRPr="000C1651">
        <w:t>поддержку, оказываемую нынешним секретариатом Комитета в о</w:t>
      </w:r>
      <w:r w:rsidRPr="000C1651">
        <w:t>б</w:t>
      </w:r>
      <w:r w:rsidRPr="000C1651">
        <w:t>служивании работы Комитета в соответствии со статьей</w:t>
      </w:r>
      <w:r>
        <w:t> </w:t>
      </w:r>
      <w:r w:rsidRPr="000C1651">
        <w:t>8 Факультативного протокола,</w:t>
      </w:r>
    </w:p>
    <w:p w:rsidR="00A307DE" w:rsidRPr="000C1651" w:rsidRDefault="00A307DE" w:rsidP="00A307DE">
      <w:pPr>
        <w:pStyle w:val="SingleTxt"/>
      </w:pPr>
      <w:r w:rsidRPr="007033F4">
        <w:rPr>
          <w:i/>
        </w:rPr>
        <w:tab/>
        <w:t xml:space="preserve">будучи обеспокоен </w:t>
      </w:r>
      <w:r w:rsidRPr="0098438C">
        <w:t>тем</w:t>
      </w:r>
      <w:r w:rsidRPr="007033F4">
        <w:t>,</w:t>
      </w:r>
      <w:r w:rsidRPr="000C1651">
        <w:t xml:space="preserve"> что Комитету и его секретариату не хватает нео</w:t>
      </w:r>
      <w:r w:rsidRPr="000C1651">
        <w:t>б</w:t>
      </w:r>
      <w:r w:rsidRPr="000C1651">
        <w:t>ходимых ресурсов, для того чтобы своевременно проводить предварительную оценку представляемых сообщений и принимать меры в связи со всеми пост</w:t>
      </w:r>
      <w:r w:rsidRPr="000C1651">
        <w:t>у</w:t>
      </w:r>
      <w:r w:rsidRPr="000C1651">
        <w:t>пающими прось</w:t>
      </w:r>
      <w:r>
        <w:t>бами о проведении расследований,</w:t>
      </w:r>
    </w:p>
    <w:p w:rsidR="00A307DE" w:rsidRPr="000C1651" w:rsidRDefault="00A307DE" w:rsidP="00A307DE">
      <w:pPr>
        <w:pStyle w:val="SingleTxt"/>
      </w:pPr>
      <w:r w:rsidRPr="007033F4">
        <w:tab/>
      </w:r>
      <w:r w:rsidRPr="007033F4">
        <w:rPr>
          <w:i/>
        </w:rPr>
        <w:t>будучи обеспокоен далее</w:t>
      </w:r>
      <w:r w:rsidRPr="007033F4">
        <w:t>,</w:t>
      </w:r>
      <w:r w:rsidRPr="000C1651">
        <w:t xml:space="preserve"> что нехватка необходимых ресурсов привела к задержкам в рассмотрении сообщений о необходимости проведени</w:t>
      </w:r>
      <w:r>
        <w:t>я</w:t>
      </w:r>
      <w:r w:rsidRPr="000C1651">
        <w:t xml:space="preserve"> расслед</w:t>
      </w:r>
      <w:r w:rsidRPr="000C1651">
        <w:t>о</w:t>
      </w:r>
      <w:r w:rsidRPr="000C1651">
        <w:t>ваний и создает риск задержки в рассмотрении информации, свидетельству</w:t>
      </w:r>
      <w:r w:rsidRPr="000C1651">
        <w:t>ю</w:t>
      </w:r>
      <w:r w:rsidRPr="000C1651">
        <w:t>щей о серьезных</w:t>
      </w:r>
      <w:r>
        <w:t xml:space="preserve"> или систематических нарушениях,</w:t>
      </w:r>
    </w:p>
    <w:p w:rsidR="00A307DE" w:rsidRPr="000C1651" w:rsidRDefault="00A307DE" w:rsidP="00A307DE">
      <w:pPr>
        <w:pStyle w:val="SingleTxt"/>
      </w:pPr>
      <w:r w:rsidRPr="007033F4">
        <w:rPr>
          <w:i/>
        </w:rPr>
        <w:tab/>
        <w:t>признавая</w:t>
      </w:r>
      <w:r w:rsidRPr="000C1651">
        <w:t xml:space="preserve"> профессиональную компетенцию </w:t>
      </w:r>
      <w:r>
        <w:t>Секции по вопросам ра</w:t>
      </w:r>
      <w:r>
        <w:t>с</w:t>
      </w:r>
      <w:r>
        <w:t xml:space="preserve">смотрения жалоб и проведения расследований </w:t>
      </w:r>
      <w:r w:rsidRPr="000C1651">
        <w:t>в рассмотрении индивидуал</w:t>
      </w:r>
      <w:r w:rsidRPr="000C1651">
        <w:t>ь</w:t>
      </w:r>
      <w:r w:rsidRPr="000C1651">
        <w:t>ных сообщений и тот факт, что она в лучшей степени оснащена, чем секрет</w:t>
      </w:r>
      <w:r w:rsidRPr="000C1651">
        <w:t>а</w:t>
      </w:r>
      <w:r w:rsidRPr="000C1651">
        <w:t>риат Комитета, а также необходимость обеспечения последовательного подх</w:t>
      </w:r>
      <w:r w:rsidRPr="000C1651">
        <w:t>о</w:t>
      </w:r>
      <w:r w:rsidRPr="000C1651">
        <w:t>да во всех вопросах, предусмотренных в Факультативном пр</w:t>
      </w:r>
      <w:r w:rsidRPr="000C1651">
        <w:t>о</w:t>
      </w:r>
      <w:r w:rsidRPr="000C1651">
        <w:t>токоле,</w:t>
      </w:r>
    </w:p>
    <w:p w:rsidR="00A307DE" w:rsidRPr="000C1651" w:rsidRDefault="00A307DE" w:rsidP="00A307DE">
      <w:pPr>
        <w:pStyle w:val="SingleTxt"/>
      </w:pPr>
      <w:r w:rsidRPr="007033F4">
        <w:tab/>
      </w:r>
      <w:r w:rsidRPr="007033F4">
        <w:rPr>
          <w:i/>
        </w:rPr>
        <w:t>постановляет</w:t>
      </w:r>
      <w:r>
        <w:rPr>
          <w:i/>
        </w:rPr>
        <w:t xml:space="preserve"> </w:t>
      </w:r>
      <w:r w:rsidRPr="007033F4">
        <w:rPr>
          <w:i/>
        </w:rPr>
        <w:t>просить</w:t>
      </w:r>
      <w:r w:rsidRPr="000C1651">
        <w:t xml:space="preserve"> Управление Верховного комиссара по правам ч</w:t>
      </w:r>
      <w:r w:rsidRPr="000C1651">
        <w:t>е</w:t>
      </w:r>
      <w:r w:rsidRPr="000C1651">
        <w:t>ловека в свете последних изменений, связанных с укреплением договорных о</w:t>
      </w:r>
      <w:r w:rsidRPr="000C1651">
        <w:t>р</w:t>
      </w:r>
      <w:r w:rsidRPr="000C1651">
        <w:t>ганов, назначить и уполномочить Секцию по вопросам рассмотрения жалоб и проведения расследований в структуре Управления Верховного комиссара О</w:t>
      </w:r>
      <w:r w:rsidRPr="000C1651">
        <w:t>р</w:t>
      </w:r>
      <w:r w:rsidRPr="000C1651">
        <w:t>ганизации Объединенных Наций по правам человека в качестве секции, отв</w:t>
      </w:r>
      <w:r w:rsidRPr="000C1651">
        <w:t>е</w:t>
      </w:r>
      <w:r w:rsidRPr="000C1651">
        <w:t>чающей за обслуживание работы Комитета в соответствии со статьей</w:t>
      </w:r>
      <w:r>
        <w:t> </w:t>
      </w:r>
      <w:r w:rsidRPr="000C1651">
        <w:t>8 Ф</w:t>
      </w:r>
      <w:r w:rsidRPr="000C1651">
        <w:t>а</w:t>
      </w:r>
      <w:r w:rsidRPr="000C1651">
        <w:t xml:space="preserve">культативного протокола, и обеспечить указанную </w:t>
      </w:r>
      <w:r>
        <w:t>С</w:t>
      </w:r>
      <w:r w:rsidRPr="000C1651">
        <w:t>екцию необходимыми д</w:t>
      </w:r>
      <w:r w:rsidRPr="000C1651">
        <w:t>о</w:t>
      </w:r>
      <w:r w:rsidRPr="000C1651">
        <w:t>полнительными кадр</w:t>
      </w:r>
      <w:r w:rsidRPr="000C1651">
        <w:t>о</w:t>
      </w:r>
      <w:r w:rsidRPr="000C1651">
        <w:t>выми и финансовыми ресурсами.</w:t>
      </w:r>
    </w:p>
    <w:p w:rsidR="00A307DE" w:rsidRDefault="00A307DE" w:rsidP="00A307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C1651">
        <w:t>Приложение</w:t>
      </w:r>
      <w:r>
        <w:t> </w:t>
      </w:r>
      <w:r w:rsidRPr="000C1651">
        <w:rPr>
          <w:lang w:val="en-GB"/>
        </w:rPr>
        <w:t>IV</w:t>
      </w:r>
    </w:p>
    <w:p w:rsidR="00A307DE" w:rsidRPr="007033F4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Pr="007033F4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Default="00A307DE" w:rsidP="008F17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</w:r>
      <w:r w:rsidRPr="000C1651">
        <w:t>Документы, имевшиеся в распоряжении Комитета на его пятьдесят сед</w:t>
      </w:r>
      <w:r w:rsidRPr="000C1651">
        <w:t>ь</w:t>
      </w:r>
      <w:r w:rsidRPr="000C1651">
        <w:t>мой сессии</w:t>
      </w:r>
    </w:p>
    <w:p w:rsidR="008F1754" w:rsidRPr="008F1754" w:rsidRDefault="008F1754" w:rsidP="008F1754">
      <w:pPr>
        <w:pStyle w:val="SingleTxt"/>
        <w:spacing w:after="0" w:line="120" w:lineRule="exact"/>
        <w:rPr>
          <w:sz w:val="10"/>
          <w:lang w:val="en-US"/>
        </w:rPr>
      </w:pPr>
    </w:p>
    <w:p w:rsidR="008F1754" w:rsidRPr="008F1754" w:rsidRDefault="008F1754" w:rsidP="008F1754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9"/>
        <w:gridCol w:w="5121"/>
      </w:tblGrid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349" w:type="dxa"/>
            <w:tcBorders>
              <w:top w:val="single" w:sz="4" w:space="0" w:color="auto"/>
            </w:tcBorders>
          </w:tcPr>
          <w:p w:rsidR="00A307DE" w:rsidRDefault="00A307DE" w:rsidP="002B263E">
            <w:pPr>
              <w:spacing w:before="81" w:after="81" w:line="160" w:lineRule="exact"/>
              <w:ind w:right="115"/>
              <w:rPr>
                <w:i/>
                <w:sz w:val="14"/>
              </w:rPr>
            </w:pPr>
            <w:r>
              <w:rPr>
                <w:i/>
                <w:sz w:val="14"/>
              </w:rPr>
              <w:t>Номер документа</w:t>
            </w: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A307DE" w:rsidRDefault="00A307DE" w:rsidP="002B263E">
            <w:pPr>
              <w:spacing w:before="81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Название или описание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349" w:type="dxa"/>
            <w:tcBorders>
              <w:top w:val="single" w:sz="12" w:space="0" w:color="auto"/>
            </w:tcBorders>
          </w:tcPr>
          <w:p w:rsidR="00A307DE" w:rsidRDefault="00A307DE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5"/>
              <w:rPr>
                <w:sz w:val="17"/>
              </w:rPr>
            </w:pPr>
          </w:p>
        </w:tc>
        <w:tc>
          <w:tcPr>
            <w:tcW w:w="5121" w:type="dxa"/>
            <w:tcBorders>
              <w:top w:val="single" w:sz="12" w:space="0" w:color="auto"/>
            </w:tcBorders>
          </w:tcPr>
          <w:p w:rsidR="00A307DE" w:rsidRDefault="00A307DE" w:rsidP="002B26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09" w:history="1">
              <w:r w:rsidRPr="00FA3FC7">
                <w:rPr>
                  <w:rStyle w:val="Hyperlink"/>
                  <w:lang w:val="en-GB"/>
                </w:rPr>
                <w:t>CEDAW/C/57/1</w:t>
              </w:r>
            </w:hyperlink>
          </w:p>
        </w:tc>
        <w:tc>
          <w:tcPr>
            <w:tcW w:w="5121" w:type="dxa"/>
          </w:tcPr>
          <w:p w:rsidR="00A307DE" w:rsidRPr="0014158C" w:rsidRDefault="00A307DE" w:rsidP="002B263E">
            <w:pPr>
              <w:tabs>
                <w:tab w:val="left" w:pos="414"/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Предварительная повестка дня и а</w:t>
            </w:r>
            <w:r w:rsidRPr="000C1651">
              <w:t>н</w:t>
            </w:r>
            <w:r w:rsidRPr="000C1651">
              <w:t>нотации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0" w:history="1">
              <w:r w:rsidRPr="00FA3FC7">
                <w:rPr>
                  <w:rStyle w:val="Hyperlink"/>
                  <w:lang w:val="en-GB"/>
                </w:rPr>
                <w:t>CEDAW/C/57/2</w:t>
              </w:r>
            </w:hyperlink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Доклад Организации Объединенных Наций по вопр</w:t>
            </w:r>
            <w:r w:rsidRPr="000C1651">
              <w:t>о</w:t>
            </w:r>
            <w:r w:rsidRPr="000C1651">
              <w:t>сам образования, науки и культуры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  <w:vAlign w:val="bottom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1" w:history="1">
              <w:r w:rsidRPr="00FA3FC7">
                <w:rPr>
                  <w:rStyle w:val="Hyperlink"/>
                  <w:lang w:val="en-GB"/>
                </w:rPr>
                <w:t>CEDAW/C/57/3</w:t>
              </w:r>
            </w:hyperlink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rPr>
                <w:lang w:val="en-GB"/>
              </w:rPr>
              <w:t>Доклад Международной организации тр</w:t>
            </w:r>
            <w:r w:rsidRPr="000C1651">
              <w:t>уда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  <w:vAlign w:val="bottom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r w:rsidRPr="00300FCF">
              <w:rPr>
                <w:b/>
              </w:rPr>
              <w:t>Доклады государств-участников</w:t>
            </w:r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2" w:history="1">
              <w:r w:rsidRPr="00FA3FC7">
                <w:rPr>
                  <w:rStyle w:val="Hyperlink"/>
                  <w:lang w:val="en-GB"/>
                </w:rPr>
                <w:t>CEDAW/C/BHR/3</w:t>
              </w:r>
            </w:hyperlink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Третий периодический доклад Ба</w:t>
            </w:r>
            <w:r w:rsidRPr="000C1651">
              <w:t>х</w:t>
            </w:r>
            <w:r w:rsidRPr="000C1651">
              <w:t>рейна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3" w:history="1">
              <w:r w:rsidRPr="00FA3FC7">
                <w:rPr>
                  <w:rStyle w:val="Hyperlink"/>
                  <w:lang w:val="en-GB"/>
                </w:rPr>
                <w:t>CEDAW/C/CMR/4-5</w:t>
              </w:r>
            </w:hyperlink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Объединенные четвертый и пятый периодические д</w:t>
            </w:r>
            <w:r w:rsidRPr="000C1651">
              <w:t>о</w:t>
            </w:r>
            <w:r w:rsidRPr="000C1651">
              <w:t>клады Камеруна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4" w:history="1">
              <w:r w:rsidRPr="00FA3FC7">
                <w:rPr>
                  <w:rStyle w:val="Hyperlink"/>
                  <w:lang w:val="en-GB"/>
                </w:rPr>
                <w:t>CEDAW/C/FIN/7</w:t>
              </w:r>
            </w:hyperlink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Седьмой периодический доклад Фи</w:t>
            </w:r>
            <w:r w:rsidRPr="000C1651">
              <w:t>н</w:t>
            </w:r>
            <w:r w:rsidRPr="000C1651">
              <w:t>ляндии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5" w:history="1">
              <w:r w:rsidRPr="00FA3FC7">
                <w:rPr>
                  <w:rStyle w:val="Hyperlink"/>
                  <w:lang w:val="en-GB"/>
                </w:rPr>
                <w:t>CEDAW/C/IRQ/4-6</w:t>
              </w:r>
            </w:hyperlink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Объединенные четвертый, пятый и шестой периодич</w:t>
            </w:r>
            <w:r w:rsidRPr="000C1651">
              <w:t>е</w:t>
            </w:r>
            <w:r w:rsidRPr="000C1651">
              <w:t>ские доклады Ирака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6" w:history="1">
              <w:r w:rsidRPr="00FA3FC7">
                <w:rPr>
                  <w:rStyle w:val="Hyperlink"/>
                  <w:lang w:val="en-GB"/>
                </w:rPr>
                <w:t>CEDAW/C/KAZ/3-4</w:t>
              </w:r>
            </w:hyperlink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Объединенные третий и четвертый периодически</w:t>
            </w:r>
            <w:r>
              <w:t>е</w:t>
            </w:r>
            <w:r w:rsidRPr="000C1651">
              <w:t xml:space="preserve"> д</w:t>
            </w:r>
            <w:r w:rsidRPr="000C1651">
              <w:t>о</w:t>
            </w:r>
            <w:r w:rsidRPr="000C1651">
              <w:t>клады Казахстана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7" w:history="1">
              <w:r w:rsidRPr="00FA3FC7">
                <w:rPr>
                  <w:rStyle w:val="Hyperlink"/>
                  <w:lang w:val="en-GB"/>
                </w:rPr>
                <w:t>CEDAW/C/QAT/1</w:t>
              </w:r>
            </w:hyperlink>
          </w:p>
        </w:tc>
        <w:tc>
          <w:tcPr>
            <w:tcW w:w="5121" w:type="dxa"/>
          </w:tcPr>
          <w:p w:rsidR="00A307DE" w:rsidRPr="00F0525F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Первоначальный доклад Катара</w:t>
            </w:r>
          </w:p>
        </w:tc>
      </w:tr>
      <w:tr w:rsidR="00A307DE" w:rsidTr="002B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9" w:type="dxa"/>
            <w:tcBorders>
              <w:bottom w:val="single" w:sz="4" w:space="0" w:color="auto"/>
            </w:tcBorders>
          </w:tcPr>
          <w:p w:rsidR="00A307DE" w:rsidRPr="003C5259" w:rsidRDefault="00A307DE" w:rsidP="002B263E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right="144"/>
            </w:pPr>
            <w:hyperlink r:id="rId118" w:history="1">
              <w:r w:rsidRPr="00FA3FC7">
                <w:rPr>
                  <w:rStyle w:val="Hyperlink"/>
                  <w:lang w:val="en-GB"/>
                </w:rPr>
                <w:t>CEDAW/C/SLE/6</w:t>
              </w:r>
            </w:hyperlink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A307DE" w:rsidRPr="007033F4" w:rsidRDefault="00A307DE" w:rsidP="002B263E">
            <w:pPr>
              <w:tabs>
                <w:tab w:val="left" w:pos="569"/>
                <w:tab w:val="left" w:pos="864"/>
                <w:tab w:val="left" w:pos="1152"/>
              </w:tabs>
              <w:spacing w:after="120"/>
            </w:pPr>
            <w:r w:rsidRPr="000C1651">
              <w:t>Шестой периодич</w:t>
            </w:r>
            <w:r w:rsidRPr="000C1651">
              <w:t>е</w:t>
            </w:r>
            <w:r w:rsidRPr="000C1651">
              <w:t>ский доклад Сьерра-Леоне</w:t>
            </w:r>
          </w:p>
        </w:tc>
      </w:tr>
    </w:tbl>
    <w:p w:rsidR="00A307DE" w:rsidRPr="00FA3FC7" w:rsidRDefault="00A307DE" w:rsidP="00A307DE">
      <w:pPr>
        <w:pStyle w:val="SingleTxt"/>
        <w:spacing w:after="0" w:line="120" w:lineRule="exact"/>
        <w:rPr>
          <w:sz w:val="10"/>
        </w:rPr>
      </w:pPr>
    </w:p>
    <w:p w:rsidR="00A307DE" w:rsidRPr="00FA3FC7" w:rsidRDefault="00A307DE" w:rsidP="00A307DE">
      <w:pPr>
        <w:pStyle w:val="SingleTxt"/>
        <w:spacing w:after="0" w:line="120" w:lineRule="exact"/>
        <w:rPr>
          <w:sz w:val="10"/>
        </w:rPr>
      </w:pPr>
    </w:p>
    <w:p w:rsidR="00A307DE" w:rsidRPr="00FA3FC7" w:rsidRDefault="00A307DE" w:rsidP="00A307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 </w:t>
      </w:r>
      <w:r>
        <w:rPr>
          <w:lang w:val="en-US"/>
        </w:rPr>
        <w:t>V</w:t>
      </w:r>
    </w:p>
    <w:p w:rsidR="00A307DE" w:rsidRDefault="00A307DE" w:rsidP="00A307DE">
      <w:pPr>
        <w:pStyle w:val="SingleTxt"/>
        <w:spacing w:after="0" w:line="120" w:lineRule="exact"/>
        <w:rPr>
          <w:sz w:val="10"/>
        </w:rPr>
      </w:pPr>
    </w:p>
    <w:p w:rsidR="00A307DE" w:rsidRPr="007033F4" w:rsidRDefault="00A307DE" w:rsidP="00A307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3FC7">
        <w:tab/>
      </w:r>
      <w:r w:rsidRPr="00FA3FC7">
        <w:tab/>
      </w:r>
      <w:r w:rsidRPr="000C1651">
        <w:t>Доклад Рабочей группы по сообщениям в соответствии с Факультативным протоколом к Конвенции о</w:t>
      </w:r>
      <w:r>
        <w:rPr>
          <w:lang w:val="en-US"/>
        </w:rPr>
        <w:t> </w:t>
      </w:r>
      <w:r w:rsidRPr="000C1651">
        <w:t>ликвидации всех форм дискриминации в отношении женщин о работе ее двадцать восьмой сессии</w:t>
      </w:r>
    </w:p>
    <w:p w:rsidR="00A307DE" w:rsidRPr="007033F4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Pr="007033F4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Pr="000C1651" w:rsidRDefault="00A307DE" w:rsidP="00A307DE">
      <w:pPr>
        <w:pStyle w:val="SingleTxt"/>
      </w:pPr>
      <w:r w:rsidRPr="000C1651">
        <w:t>1.</w:t>
      </w:r>
      <w:r w:rsidRPr="007033F4">
        <w:tab/>
      </w:r>
      <w:r w:rsidRPr="000C1651">
        <w:t>Рабочая группа по сообщениям в соответствии с Факультативным прот</w:t>
      </w:r>
      <w:r w:rsidRPr="000C1651">
        <w:t>о</w:t>
      </w:r>
      <w:r w:rsidRPr="000C1651">
        <w:t>колом к Конвенции о ликвидации всех форм дискриминации в отношении женщин провела свою двадцать восьмую сессию 4</w:t>
      </w:r>
      <w:r w:rsidRPr="00FA3FC7">
        <w:t>–</w:t>
      </w:r>
      <w:r w:rsidRPr="000C1651">
        <w:t>7</w:t>
      </w:r>
      <w:r>
        <w:rPr>
          <w:lang w:val="en-US"/>
        </w:rPr>
        <w:t> </w:t>
      </w:r>
      <w:r w:rsidRPr="000C1651">
        <w:t>февраля 2014</w:t>
      </w:r>
      <w:r>
        <w:rPr>
          <w:lang w:val="en-US"/>
        </w:rPr>
        <w:t> </w:t>
      </w:r>
      <w:r w:rsidRPr="000C1651">
        <w:t>года в Ж</w:t>
      </w:r>
      <w:r w:rsidRPr="000C1651">
        <w:t>е</w:t>
      </w:r>
      <w:r w:rsidRPr="000C1651">
        <w:t>неве. В работе сессии принимали участие все члены Рабочей группы.</w:t>
      </w:r>
    </w:p>
    <w:p w:rsidR="00A307DE" w:rsidRPr="000C1651" w:rsidRDefault="00A307DE" w:rsidP="00A307DE">
      <w:pPr>
        <w:pStyle w:val="SingleTxt"/>
      </w:pPr>
      <w:r w:rsidRPr="000C1651">
        <w:t>2.</w:t>
      </w:r>
      <w:r w:rsidRPr="007033F4">
        <w:tab/>
      </w:r>
      <w:r w:rsidRPr="000C1651">
        <w:t>В начале сессии Рабочая группа утвердила свою повестку дня, которая содержится в дополнении к настоящему докладу.</w:t>
      </w:r>
    </w:p>
    <w:p w:rsidR="00A307DE" w:rsidRPr="000C1651" w:rsidRDefault="00A307DE" w:rsidP="00A307DE">
      <w:pPr>
        <w:pStyle w:val="SingleTxt"/>
      </w:pPr>
      <w:r w:rsidRPr="000C1651">
        <w:t>3.</w:t>
      </w:r>
      <w:r w:rsidRPr="007033F4">
        <w:tab/>
      </w:r>
      <w:r w:rsidRPr="000C1651">
        <w:t>Рабочая группа затем рассмотрела подготовленную секретариатом обно</w:t>
      </w:r>
      <w:r w:rsidRPr="000C1651">
        <w:t>в</w:t>
      </w:r>
      <w:r w:rsidRPr="000C1651">
        <w:t>ленную информацию о 16</w:t>
      </w:r>
      <w:r>
        <w:rPr>
          <w:lang w:val="en-US"/>
        </w:rPr>
        <w:t> </w:t>
      </w:r>
      <w:r w:rsidRPr="000C1651">
        <w:t>новых сообщениях, полученных с 20</w:t>
      </w:r>
      <w:r>
        <w:rPr>
          <w:lang w:val="en-US"/>
        </w:rPr>
        <w:t> </w:t>
      </w:r>
      <w:r w:rsidRPr="000C1651">
        <w:t>сентября 2013</w:t>
      </w:r>
      <w:r>
        <w:rPr>
          <w:lang w:val="en-US"/>
        </w:rPr>
        <w:t> </w:t>
      </w:r>
      <w:r w:rsidRPr="000C1651">
        <w:t>года.</w:t>
      </w:r>
    </w:p>
    <w:p w:rsidR="00A307DE" w:rsidRPr="000C1651" w:rsidRDefault="00A307DE" w:rsidP="00A307DE">
      <w:pPr>
        <w:pStyle w:val="SingleTxt"/>
      </w:pPr>
      <w:r w:rsidRPr="000C1651">
        <w:t>4.</w:t>
      </w:r>
      <w:r w:rsidRPr="007033F4">
        <w:tab/>
      </w:r>
      <w:r w:rsidRPr="000C1651">
        <w:t>Рабочая группа постановила назначить Олинду Барейро-Бобади</w:t>
      </w:r>
      <w:r>
        <w:t>лью</w:t>
      </w:r>
      <w:r w:rsidRPr="000C1651">
        <w:t xml:space="preserve"> в к</w:t>
      </w:r>
      <w:r w:rsidRPr="000C1651">
        <w:t>а</w:t>
      </w:r>
      <w:r w:rsidRPr="000C1651">
        <w:t>честве докладчика по делу в связи с сообщением №</w:t>
      </w:r>
      <w:r>
        <w:t> </w:t>
      </w:r>
      <w:r w:rsidRPr="0098438C">
        <w:t>61/201</w:t>
      </w:r>
      <w:r w:rsidRPr="000C1651">
        <w:t>3, Дубравку Шим</w:t>
      </w:r>
      <w:r w:rsidRPr="000C1651">
        <w:t>о</w:t>
      </w:r>
      <w:r w:rsidRPr="000C1651">
        <w:t>нович</w:t>
      </w:r>
      <w:r>
        <w:t xml:space="preserve"> — </w:t>
      </w:r>
      <w:r w:rsidRPr="000C1651">
        <w:t>в качестве докладчика по делу в связи с сообщением №</w:t>
      </w:r>
      <w:r>
        <w:t> </w:t>
      </w:r>
      <w:r w:rsidRPr="0098438C">
        <w:t>62/201</w:t>
      </w:r>
      <w:r w:rsidRPr="000C1651">
        <w:t>4 и Й</w:t>
      </w:r>
      <w:r w:rsidRPr="000C1651">
        <w:t>о</w:t>
      </w:r>
      <w:r w:rsidRPr="000C1651">
        <w:t>ко Хая</w:t>
      </w:r>
      <w:r>
        <w:t>с</w:t>
      </w:r>
      <w:r w:rsidRPr="000C1651">
        <w:t>и</w:t>
      </w:r>
      <w:r>
        <w:t xml:space="preserve"> — </w:t>
      </w:r>
      <w:r w:rsidRPr="000C1651">
        <w:t>в качестве докладчика по делу в связи с сообщением №</w:t>
      </w:r>
      <w:r>
        <w:t> </w:t>
      </w:r>
      <w:r w:rsidRPr="0098438C">
        <w:t>65/201</w:t>
      </w:r>
      <w:r w:rsidRPr="000C1651">
        <w:t>4; все три сообщения были зарегистрированы. Рабочая группа также постановила зарегистрировать два новых сообщения (№</w:t>
      </w:r>
      <w:r>
        <w:t> </w:t>
      </w:r>
      <w:r w:rsidRPr="0098438C">
        <w:t>66/201</w:t>
      </w:r>
      <w:r w:rsidRPr="000C1651">
        <w:t xml:space="preserve">4 и </w:t>
      </w:r>
      <w:r>
        <w:t>№ </w:t>
      </w:r>
      <w:r w:rsidRPr="0098438C">
        <w:t>67/201</w:t>
      </w:r>
      <w:r w:rsidRPr="000C1651">
        <w:t>4)</w:t>
      </w:r>
      <w:r w:rsidRPr="000C1651">
        <w:rPr>
          <w:rFonts w:hint="eastAsia"/>
        </w:rPr>
        <w:t xml:space="preserve"> </w:t>
      </w:r>
      <w:r w:rsidRPr="000C1651">
        <w:t>и передать их заинтересованным государствам-участникам. Никлас Брун и Прамила Паттен были назначены в качестве докладчиков по делу в связи с сообщениями №</w:t>
      </w:r>
      <w:r>
        <w:t> </w:t>
      </w:r>
      <w:r w:rsidRPr="0098438C">
        <w:t>66/201</w:t>
      </w:r>
      <w:r w:rsidRPr="000C1651">
        <w:t xml:space="preserve">4 и </w:t>
      </w:r>
      <w:r>
        <w:t>№ </w:t>
      </w:r>
      <w:r w:rsidRPr="0098438C">
        <w:t>67/201</w:t>
      </w:r>
      <w:r w:rsidRPr="000C1651">
        <w:t>4, соответственно.</w:t>
      </w:r>
    </w:p>
    <w:p w:rsidR="00A307DE" w:rsidRPr="000C1651" w:rsidRDefault="00A307DE" w:rsidP="00A307DE">
      <w:pPr>
        <w:pStyle w:val="SingleTxt"/>
      </w:pPr>
      <w:r w:rsidRPr="000C1651">
        <w:t>5.</w:t>
      </w:r>
      <w:r>
        <w:tab/>
      </w:r>
      <w:r w:rsidRPr="000C1651">
        <w:t>Рабочая группа затем рассмотрела все незарегистрированные сообщения, п</w:t>
      </w:r>
      <w:r w:rsidRPr="000C1651">
        <w:t>о</w:t>
      </w:r>
      <w:r w:rsidRPr="000C1651">
        <w:t>лученные с момента проведения ее предыдущей сессии. Она отметила меры, принятые секретариатом на текущий момент, и вынесла решение по ряду просьб о предоставлении разъяснений/объяснений и</w:t>
      </w:r>
      <w:r>
        <w:t>ли</w:t>
      </w:r>
      <w:r w:rsidRPr="000C1651">
        <w:t xml:space="preserve"> о направлении ответов авторам сообщений.</w:t>
      </w:r>
    </w:p>
    <w:p w:rsidR="00A307DE" w:rsidRPr="000C1651" w:rsidRDefault="00A307DE" w:rsidP="00A307DE">
      <w:pPr>
        <w:pStyle w:val="SingleTxt"/>
      </w:pPr>
      <w:r w:rsidRPr="000C1651">
        <w:t>6.</w:t>
      </w:r>
      <w:r>
        <w:tab/>
      </w:r>
      <w:r w:rsidRPr="000C1651">
        <w:t>Рабочая группа обсудила три проекта рекомендаций относительно соо</w:t>
      </w:r>
      <w:r w:rsidRPr="000C1651">
        <w:t>б</w:t>
      </w:r>
      <w:r w:rsidRPr="000C1651">
        <w:t>щения №</w:t>
      </w:r>
      <w:r>
        <w:t> </w:t>
      </w:r>
      <w:r w:rsidRPr="0098438C">
        <w:t>34/201</w:t>
      </w:r>
      <w:r w:rsidRPr="000C1651">
        <w:t>1 касательно Филиппин, сообщения №</w:t>
      </w:r>
      <w:r>
        <w:t> </w:t>
      </w:r>
      <w:r w:rsidRPr="0098438C">
        <w:t>36/201</w:t>
      </w:r>
      <w:r w:rsidRPr="000C1651">
        <w:t>1 касательно Н</w:t>
      </w:r>
      <w:r w:rsidRPr="000C1651">
        <w:t>и</w:t>
      </w:r>
      <w:r w:rsidRPr="000C1651">
        <w:t>дерландов (обе рекомендации представляют собой проект</w:t>
      </w:r>
      <w:r>
        <w:t>ы</w:t>
      </w:r>
      <w:r w:rsidRPr="000C1651">
        <w:t xml:space="preserve"> мнений о наруш</w:t>
      </w:r>
      <w:r w:rsidRPr="000C1651">
        <w:t>е</w:t>
      </w:r>
      <w:r w:rsidRPr="000C1651">
        <w:t>ниях) и сообщения №</w:t>
      </w:r>
      <w:r>
        <w:t> </w:t>
      </w:r>
      <w:r w:rsidRPr="0098438C">
        <w:t>39/201</w:t>
      </w:r>
      <w:r w:rsidRPr="000C1651">
        <w:t>2 касательно Нидерландов (проект решения о н</w:t>
      </w:r>
      <w:r w:rsidRPr="000C1651">
        <w:t>е</w:t>
      </w:r>
      <w:r w:rsidRPr="000C1651">
        <w:t>приемлемости). Все три рекомендации были приняты на основе консенсуса и будут переданы в Комитет для их принятия.</w:t>
      </w:r>
    </w:p>
    <w:p w:rsidR="00A307DE" w:rsidRPr="000C1651" w:rsidRDefault="00A307DE" w:rsidP="00A307DE">
      <w:pPr>
        <w:pStyle w:val="SingleTxt"/>
      </w:pPr>
      <w:r w:rsidRPr="000C1651">
        <w:t>7.</w:t>
      </w:r>
      <w:r>
        <w:tab/>
      </w:r>
      <w:r w:rsidRPr="000C1651">
        <w:t>Рабочая группа постановила прекратить рассмотрение сообщ</w:t>
      </w:r>
      <w:r w:rsidRPr="000C1651">
        <w:t>е</w:t>
      </w:r>
      <w:r w:rsidRPr="000C1651">
        <w:t>ния</w:t>
      </w:r>
      <w:r>
        <w:t> </w:t>
      </w:r>
      <w:r w:rsidRPr="000C1651">
        <w:t>№</w:t>
      </w:r>
      <w:r>
        <w:t> </w:t>
      </w:r>
      <w:r w:rsidRPr="0098438C">
        <w:t>41/201</w:t>
      </w:r>
      <w:r w:rsidRPr="000C1651">
        <w:t>2 касательно Эквадора, поскольку автор сообщения не представил доказательства согласия предполагаемого потерпевшего на представление да</w:t>
      </w:r>
      <w:r w:rsidRPr="000C1651">
        <w:t>н</w:t>
      </w:r>
      <w:r w:rsidRPr="000C1651">
        <w:t>ного соо</w:t>
      </w:r>
      <w:r w:rsidRPr="000C1651">
        <w:t>б</w:t>
      </w:r>
      <w:r w:rsidRPr="000C1651">
        <w:t>щения.</w:t>
      </w:r>
    </w:p>
    <w:p w:rsidR="00A307DE" w:rsidRPr="000C1651" w:rsidRDefault="00A307DE" w:rsidP="00A307DE">
      <w:pPr>
        <w:pStyle w:val="SingleTxt"/>
      </w:pPr>
      <w:r w:rsidRPr="000C1651">
        <w:t>8.</w:t>
      </w:r>
      <w:r>
        <w:tab/>
      </w:r>
      <w:r w:rsidRPr="000C1651">
        <w:t>Члены Рабочей группы перешли к рассмотрению всех дел в связи с соо</w:t>
      </w:r>
      <w:r w:rsidRPr="000C1651">
        <w:t>б</w:t>
      </w:r>
      <w:r w:rsidRPr="000C1651">
        <w:t>щениями, по которым они были назначены докладчиками. Рабочая группа з</w:t>
      </w:r>
      <w:r w:rsidRPr="000C1651">
        <w:t>а</w:t>
      </w:r>
      <w:r w:rsidRPr="000C1651">
        <w:t>тем рассмотрела статус всех зарегистрированных незакрытых дел</w:t>
      </w:r>
      <w:r>
        <w:t xml:space="preserve"> </w:t>
      </w:r>
      <w:r w:rsidRPr="000C1651">
        <w:t>и провела обсуждение по каждому из них.</w:t>
      </w:r>
    </w:p>
    <w:p w:rsidR="00A307DE" w:rsidRPr="000C1651" w:rsidRDefault="00A307DE" w:rsidP="00A307DE">
      <w:pPr>
        <w:pStyle w:val="SingleTxt"/>
      </w:pPr>
      <w:r w:rsidRPr="000C1651">
        <w:t>9.</w:t>
      </w:r>
      <w:r>
        <w:tab/>
      </w:r>
      <w:r w:rsidRPr="000C1651">
        <w:t>Рабочая группа далее постановила удовлетворить просьбы заинтерес</w:t>
      </w:r>
      <w:r w:rsidRPr="000C1651">
        <w:t>о</w:t>
      </w:r>
      <w:r w:rsidRPr="000C1651">
        <w:t>ванных государств-участников о рассмотрении приемлемости сообщений о</w:t>
      </w:r>
      <w:r w:rsidRPr="000C1651">
        <w:t>т</w:t>
      </w:r>
      <w:r w:rsidRPr="000C1651">
        <w:t>дельно от рассмотрения дела по существу (просьбы о раздельном рассмотр</w:t>
      </w:r>
      <w:r w:rsidRPr="000C1651">
        <w:t>е</w:t>
      </w:r>
      <w:r w:rsidRPr="000C1651">
        <w:t>нии) в отношении четырех сообщений (№</w:t>
      </w:r>
      <w:r>
        <w:t> </w:t>
      </w:r>
      <w:r w:rsidRPr="0098438C">
        <w:t>51/201</w:t>
      </w:r>
      <w:r w:rsidRPr="000C1651">
        <w:t xml:space="preserve">3, </w:t>
      </w:r>
      <w:r>
        <w:t>№ </w:t>
      </w:r>
      <w:r w:rsidRPr="0098438C">
        <w:t>59/201</w:t>
      </w:r>
      <w:r w:rsidRPr="000C1651">
        <w:t xml:space="preserve">3, </w:t>
      </w:r>
      <w:r>
        <w:t>№ </w:t>
      </w:r>
      <w:r w:rsidRPr="0098438C">
        <w:t>62/201</w:t>
      </w:r>
      <w:r w:rsidRPr="000C1651">
        <w:t xml:space="preserve">3 и </w:t>
      </w:r>
      <w:r>
        <w:t>№ </w:t>
      </w:r>
      <w:r w:rsidRPr="0098438C">
        <w:t>64/201</w:t>
      </w:r>
      <w:r w:rsidRPr="000C1651">
        <w:t>3). Рабочая группа отклонила просьбу о раздельном рассмотрении, поданную заинтересованным государством-участником в отношении сообщ</w:t>
      </w:r>
      <w:r w:rsidRPr="000C1651">
        <w:t>е</w:t>
      </w:r>
      <w:r w:rsidRPr="000C1651">
        <w:t>ния №</w:t>
      </w:r>
      <w:r>
        <w:t> </w:t>
      </w:r>
      <w:r w:rsidRPr="0098438C">
        <w:t>52/201</w:t>
      </w:r>
      <w:r w:rsidRPr="000C1651">
        <w:t>3.</w:t>
      </w:r>
    </w:p>
    <w:p w:rsidR="00A307DE" w:rsidRPr="000C1651" w:rsidRDefault="00A307DE" w:rsidP="00A307DE">
      <w:pPr>
        <w:pStyle w:val="SingleTxt"/>
      </w:pPr>
      <w:r w:rsidRPr="000C1651">
        <w:t>10.</w:t>
      </w:r>
      <w:r>
        <w:tab/>
      </w:r>
      <w:r w:rsidRPr="000C1651">
        <w:t>Рабочая группа просила секретариат подготовить в приоритетном порядке проекты рекомендаций для следующей сессии с учетом вышеупомянутых о</w:t>
      </w:r>
      <w:r w:rsidRPr="000C1651">
        <w:t>б</w:t>
      </w:r>
      <w:r w:rsidRPr="000C1651">
        <w:t>суждений. Так, для своей двадцать девятой сессии (25</w:t>
      </w:r>
      <w:r>
        <w:t>–</w:t>
      </w:r>
      <w:r w:rsidRPr="000C1651">
        <w:t>27</w:t>
      </w:r>
      <w:r>
        <w:rPr>
          <w:lang w:val="en-US"/>
        </w:rPr>
        <w:t> </w:t>
      </w:r>
      <w:r w:rsidRPr="000C1651">
        <w:t>июня 2014</w:t>
      </w:r>
      <w:r>
        <w:rPr>
          <w:lang w:val="en-US"/>
        </w:rPr>
        <w:t> </w:t>
      </w:r>
      <w:r w:rsidRPr="000C1651">
        <w:t>года) Р</w:t>
      </w:r>
      <w:r w:rsidRPr="000C1651">
        <w:t>а</w:t>
      </w:r>
      <w:r w:rsidRPr="000C1651">
        <w:t>бочая группа просила секретариат подготовить проекты трех рекомендаций в отношении сообщений №</w:t>
      </w:r>
      <w:r>
        <w:rPr>
          <w:lang w:val="en-US"/>
        </w:rPr>
        <w:t> </w:t>
      </w:r>
      <w:r w:rsidRPr="0098438C">
        <w:t>30/201</w:t>
      </w:r>
      <w:r w:rsidRPr="000C1651">
        <w:t>1</w:t>
      </w:r>
      <w:r w:rsidRPr="000C1651">
        <w:rPr>
          <w:rFonts w:hint="eastAsia"/>
        </w:rPr>
        <w:t>,</w:t>
      </w:r>
      <w:r w:rsidRPr="000C1651">
        <w:t xml:space="preserve"> </w:t>
      </w:r>
      <w:r>
        <w:t>№</w:t>
      </w:r>
      <w:r>
        <w:rPr>
          <w:lang w:val="en-US"/>
        </w:rPr>
        <w:t> </w:t>
      </w:r>
      <w:r w:rsidRPr="0098438C">
        <w:t>46/201</w:t>
      </w:r>
      <w:r w:rsidRPr="000C1651">
        <w:t xml:space="preserve">2 и </w:t>
      </w:r>
      <w:r>
        <w:t>№ </w:t>
      </w:r>
      <w:r w:rsidRPr="0098438C">
        <w:t>47/201</w:t>
      </w:r>
      <w:r w:rsidRPr="000C1651">
        <w:t>2.</w:t>
      </w:r>
    </w:p>
    <w:p w:rsidR="00A307DE" w:rsidRPr="000C1651" w:rsidRDefault="00A307DE" w:rsidP="00A307DE">
      <w:pPr>
        <w:pStyle w:val="SingleTxt"/>
      </w:pPr>
      <w:r w:rsidRPr="000C1651">
        <w:t>11.</w:t>
      </w:r>
      <w:r>
        <w:tab/>
      </w:r>
      <w:r w:rsidRPr="000C1651">
        <w:t>Рабочая группа обсудила последующую ситуацию в связи с девятью д</w:t>
      </w:r>
      <w:r w:rsidRPr="000C1651">
        <w:t>е</w:t>
      </w:r>
      <w:r w:rsidRPr="000C1651">
        <w:t>лами, по которым продолжается последующий диалог</w:t>
      </w:r>
      <w:r w:rsidRPr="000C1651">
        <w:rPr>
          <w:rFonts w:hint="eastAsia"/>
        </w:rPr>
        <w:t xml:space="preserve">, </w:t>
      </w:r>
      <w:r w:rsidRPr="000C1651">
        <w:t>и согласовала возмо</w:t>
      </w:r>
      <w:r w:rsidRPr="000C1651">
        <w:t>ж</w:t>
      </w:r>
      <w:r w:rsidRPr="000C1651">
        <w:t>ные меры для принятия Комитетом. Она признала продолжение последующего диалога с государствами-участниками по всем девяти делам, в отношении к</w:t>
      </w:r>
      <w:r w:rsidRPr="000C1651">
        <w:t>о</w:t>
      </w:r>
      <w:r w:rsidRPr="000C1651">
        <w:t>торых проводятся дальнейшие расследования, в частности по делам, каса</w:t>
      </w:r>
      <w:r w:rsidRPr="000C1651">
        <w:t>ю</w:t>
      </w:r>
      <w:r w:rsidRPr="000C1651">
        <w:t xml:space="preserve">щимся Беларуси </w:t>
      </w:r>
      <w:r w:rsidRPr="000C1651">
        <w:rPr>
          <w:rFonts w:hint="eastAsia"/>
        </w:rPr>
        <w:t>(</w:t>
      </w:r>
      <w:r w:rsidRPr="000C1651">
        <w:t>№</w:t>
      </w:r>
      <w:r>
        <w:t> </w:t>
      </w:r>
      <w:r w:rsidRPr="0098438C">
        <w:rPr>
          <w:rFonts w:hint="eastAsia"/>
        </w:rPr>
        <w:t>23/200</w:t>
      </w:r>
      <w:r w:rsidRPr="000C1651">
        <w:rPr>
          <w:rFonts w:hint="eastAsia"/>
        </w:rPr>
        <w:t>9)</w:t>
      </w:r>
      <w:r w:rsidRPr="000C1651">
        <w:t>, Бразилии</w:t>
      </w:r>
      <w:r w:rsidRPr="000C1651">
        <w:rPr>
          <w:rFonts w:hint="eastAsia"/>
        </w:rPr>
        <w:t xml:space="preserve"> </w:t>
      </w:r>
      <w:r w:rsidRPr="000C1651">
        <w:t>(№</w:t>
      </w:r>
      <w:r>
        <w:t> </w:t>
      </w:r>
      <w:r w:rsidRPr="0098438C">
        <w:rPr>
          <w:rFonts w:hint="eastAsia"/>
        </w:rPr>
        <w:t>17/200</w:t>
      </w:r>
      <w:r w:rsidRPr="000C1651">
        <w:rPr>
          <w:rFonts w:hint="eastAsia"/>
        </w:rPr>
        <w:t>8)</w:t>
      </w:r>
      <w:r w:rsidRPr="000C1651">
        <w:t>, Болгарии</w:t>
      </w:r>
      <w:r w:rsidRPr="000C1651">
        <w:rPr>
          <w:rFonts w:hint="eastAsia"/>
        </w:rPr>
        <w:t xml:space="preserve"> (</w:t>
      </w:r>
      <w:r w:rsidRPr="000C1651">
        <w:t>№</w:t>
      </w:r>
      <w:r>
        <w:t> </w:t>
      </w:r>
      <w:r w:rsidRPr="0098438C">
        <w:rPr>
          <w:rFonts w:hint="eastAsia"/>
        </w:rPr>
        <w:t>20/200</w:t>
      </w:r>
      <w:r w:rsidRPr="000C1651">
        <w:rPr>
          <w:rFonts w:hint="eastAsia"/>
        </w:rPr>
        <w:t xml:space="preserve">8, </w:t>
      </w:r>
      <w:r>
        <w:t>№ </w:t>
      </w:r>
      <w:r w:rsidRPr="0098438C">
        <w:rPr>
          <w:rFonts w:hint="eastAsia"/>
        </w:rPr>
        <w:t>31/201</w:t>
      </w:r>
      <w:r w:rsidRPr="000C1651">
        <w:rPr>
          <w:rFonts w:hint="eastAsia"/>
        </w:rPr>
        <w:t xml:space="preserve">1, </w:t>
      </w:r>
      <w:r>
        <w:t>№ </w:t>
      </w:r>
      <w:r w:rsidRPr="0098438C">
        <w:rPr>
          <w:rFonts w:hint="eastAsia"/>
        </w:rPr>
        <w:t>32/201</w:t>
      </w:r>
      <w:r w:rsidRPr="000C1651">
        <w:rPr>
          <w:rFonts w:hint="eastAsia"/>
        </w:rPr>
        <w:t>1)</w:t>
      </w:r>
      <w:r w:rsidRPr="000C1651">
        <w:t xml:space="preserve">, Канады </w:t>
      </w:r>
      <w:r w:rsidRPr="000C1651">
        <w:rPr>
          <w:rFonts w:hint="eastAsia"/>
        </w:rPr>
        <w:t>(</w:t>
      </w:r>
      <w:r w:rsidRPr="000C1651">
        <w:t>№</w:t>
      </w:r>
      <w:r>
        <w:t> </w:t>
      </w:r>
      <w:r w:rsidRPr="0098438C">
        <w:rPr>
          <w:rFonts w:hint="eastAsia"/>
        </w:rPr>
        <w:t>19/200</w:t>
      </w:r>
      <w:r w:rsidRPr="000C1651">
        <w:rPr>
          <w:rFonts w:hint="eastAsia"/>
        </w:rPr>
        <w:t>8)</w:t>
      </w:r>
      <w:r w:rsidRPr="000C1651">
        <w:t>, Перу</w:t>
      </w:r>
      <w:r w:rsidRPr="000C1651">
        <w:rPr>
          <w:rFonts w:hint="eastAsia"/>
        </w:rPr>
        <w:t xml:space="preserve"> (</w:t>
      </w:r>
      <w:r w:rsidRPr="000C1651">
        <w:t>№</w:t>
      </w:r>
      <w:r>
        <w:t> </w:t>
      </w:r>
      <w:r w:rsidRPr="0098438C">
        <w:rPr>
          <w:rFonts w:hint="eastAsia"/>
        </w:rPr>
        <w:t>22/200</w:t>
      </w:r>
      <w:r w:rsidRPr="000C1651">
        <w:rPr>
          <w:rFonts w:hint="eastAsia"/>
        </w:rPr>
        <w:t>9)</w:t>
      </w:r>
      <w:r w:rsidRPr="000C1651">
        <w:t xml:space="preserve">, Филиппин </w:t>
      </w:r>
      <w:r w:rsidRPr="000C1651">
        <w:rPr>
          <w:rFonts w:hint="eastAsia"/>
        </w:rPr>
        <w:t>(</w:t>
      </w:r>
      <w:r w:rsidRPr="000C1651">
        <w:t>№</w:t>
      </w:r>
      <w:r>
        <w:t> </w:t>
      </w:r>
      <w:r w:rsidRPr="0098438C">
        <w:rPr>
          <w:rFonts w:hint="eastAsia"/>
        </w:rPr>
        <w:t>18/200</w:t>
      </w:r>
      <w:r w:rsidRPr="000C1651">
        <w:rPr>
          <w:rFonts w:hint="eastAsia"/>
        </w:rPr>
        <w:t xml:space="preserve">8) </w:t>
      </w:r>
      <w:r w:rsidRPr="000C1651">
        <w:t>и Турции</w:t>
      </w:r>
      <w:r w:rsidRPr="000C1651">
        <w:rPr>
          <w:rFonts w:hint="eastAsia"/>
        </w:rPr>
        <w:t xml:space="preserve"> (</w:t>
      </w:r>
      <w:r w:rsidRPr="000C1651">
        <w:t>№</w:t>
      </w:r>
      <w:r>
        <w:t> </w:t>
      </w:r>
      <w:r w:rsidRPr="0098438C">
        <w:rPr>
          <w:rFonts w:hint="eastAsia"/>
        </w:rPr>
        <w:t>28/201</w:t>
      </w:r>
      <w:r w:rsidRPr="000C1651">
        <w:rPr>
          <w:rFonts w:hint="eastAsia"/>
        </w:rPr>
        <w:t>0)</w:t>
      </w:r>
      <w:r w:rsidRPr="000C1651">
        <w:t>.</w:t>
      </w:r>
    </w:p>
    <w:p w:rsidR="00A307DE" w:rsidRPr="000C1651" w:rsidRDefault="00A307DE" w:rsidP="00A307DE">
      <w:pPr>
        <w:pStyle w:val="SingleTxt"/>
      </w:pPr>
      <w:r w:rsidRPr="000C1651">
        <w:t>12.</w:t>
      </w:r>
      <w:r>
        <w:tab/>
      </w:r>
      <w:r w:rsidRPr="000C1651">
        <w:t>Рабочая группа постановила просить в рамках неофициальных заседаний в ходе пятьдесят седьмой се</w:t>
      </w:r>
      <w:r w:rsidRPr="000C1651">
        <w:t>с</w:t>
      </w:r>
      <w:r w:rsidRPr="000C1651">
        <w:t>сии Комитета (10–28</w:t>
      </w:r>
      <w:r>
        <w:t> </w:t>
      </w:r>
      <w:r w:rsidRPr="000C1651">
        <w:t>февраля 2014</w:t>
      </w:r>
      <w:r>
        <w:t> </w:t>
      </w:r>
      <w:r w:rsidRPr="000C1651">
        <w:t>года) обсудить вопросы последующей деятельности с представителями постоянных предст</w:t>
      </w:r>
      <w:r w:rsidRPr="000C1651">
        <w:t>а</w:t>
      </w:r>
      <w:r w:rsidRPr="000C1651">
        <w:t>вительств Беларуси, Бразилии, Перу и Филиппин при Отделении Организации Об</w:t>
      </w:r>
      <w:r w:rsidRPr="000C1651">
        <w:t>ъ</w:t>
      </w:r>
      <w:r w:rsidRPr="000C1651">
        <w:t>единенных Наций в Женеве.</w:t>
      </w:r>
    </w:p>
    <w:p w:rsidR="00A307DE" w:rsidRDefault="00A307DE" w:rsidP="00A307DE">
      <w:pPr>
        <w:pStyle w:val="SingleTxt"/>
      </w:pPr>
      <w:r w:rsidRPr="000C1651">
        <w:t>13.</w:t>
      </w:r>
      <w:r>
        <w:tab/>
      </w:r>
      <w:r w:rsidRPr="000C1651">
        <w:t>Рабочая группа выразила признательность за услуги материально-технического обеспечения, а также основное обслуживание, предоставленные ей Секцией по вопросам рассмотрения жалоб и проведения расследований, входящей в Управление Верховного комиссара по правам человека (УВКПЧ), в частности за подготовку качественных проектов и решений по индивидуал</w:t>
      </w:r>
      <w:r w:rsidRPr="000C1651">
        <w:t>ь</w:t>
      </w:r>
      <w:r w:rsidRPr="000C1651">
        <w:t>ным сообщениям в соответствии с Факультативным протоколом. В свете зн</w:t>
      </w:r>
      <w:r w:rsidRPr="000C1651">
        <w:t>а</w:t>
      </w:r>
      <w:r w:rsidRPr="000C1651">
        <w:t>чительного увеличения количества</w:t>
      </w:r>
      <w:r w:rsidRPr="000C1651">
        <w:rPr>
          <w:rFonts w:hint="eastAsia"/>
        </w:rPr>
        <w:t xml:space="preserve"> </w:t>
      </w:r>
      <w:r w:rsidRPr="000C1651">
        <w:t>дел, которые с процедурной точки зрения готовы к тому, чтобы по ним были подготовлены проекты рекомендаций, Раб</w:t>
      </w:r>
      <w:r w:rsidRPr="000C1651">
        <w:t>о</w:t>
      </w:r>
      <w:r w:rsidRPr="000C1651">
        <w:t>чая группа выразила обеспокоенность в связи с ограниченными возможност</w:t>
      </w:r>
      <w:r w:rsidRPr="000C1651">
        <w:t>я</w:t>
      </w:r>
      <w:r w:rsidRPr="000C1651">
        <w:t xml:space="preserve">ми секретариата, который в настоящий момент не может готовить более трех проектов рекомендаций </w:t>
      </w:r>
      <w:r>
        <w:t>з</w:t>
      </w:r>
      <w:r w:rsidRPr="000C1651">
        <w:t>а сессию в связи с отсутствием достаточных кадр</w:t>
      </w:r>
      <w:r w:rsidRPr="000C1651">
        <w:t>о</w:t>
      </w:r>
      <w:r w:rsidRPr="000C1651">
        <w:t>вых и финансовых ресурсов. Рабочая группа призвала УВКПЧ принять все необх</w:t>
      </w:r>
      <w:r w:rsidRPr="000C1651">
        <w:t>о</w:t>
      </w:r>
      <w:r w:rsidRPr="000C1651">
        <w:t>димые меры, чтобы дать Секции по вопросам рассмотрения жалоб и провед</w:t>
      </w:r>
      <w:r w:rsidRPr="000C1651">
        <w:t>е</w:t>
      </w:r>
      <w:r w:rsidRPr="000C1651">
        <w:t>ния расследований возможность подготовить проекты дополнительных рек</w:t>
      </w:r>
      <w:r w:rsidRPr="000C1651">
        <w:t>о</w:t>
      </w:r>
      <w:r w:rsidRPr="000C1651">
        <w:t>мендаций для Комитета, с тем чтобы избежать ухудшения существующей сит</w:t>
      </w:r>
      <w:r w:rsidRPr="000C1651">
        <w:t>у</w:t>
      </w:r>
      <w:r w:rsidRPr="000C1651">
        <w:t>ации и накопления чрезмерного отставания, что подорвало бы доверие к Ком</w:t>
      </w:r>
      <w:r w:rsidRPr="000C1651">
        <w:t>и</w:t>
      </w:r>
      <w:r w:rsidRPr="000C1651">
        <w:t>тету и УВКПЧ.</w:t>
      </w:r>
    </w:p>
    <w:p w:rsidR="00A307DE" w:rsidRPr="00FA3FC7" w:rsidRDefault="00A307DE" w:rsidP="00A307DE">
      <w:pPr>
        <w:pStyle w:val="SingleTxt"/>
        <w:spacing w:after="0" w:line="120" w:lineRule="exact"/>
        <w:rPr>
          <w:sz w:val="10"/>
        </w:rPr>
      </w:pPr>
    </w:p>
    <w:p w:rsidR="00A307DE" w:rsidRDefault="00A307DE" w:rsidP="00A307DE">
      <w:pPr>
        <w:pStyle w:val="SingleTxt"/>
        <w:rPr>
          <w:b/>
        </w:rPr>
      </w:pPr>
      <w:r>
        <w:rPr>
          <w:b/>
        </w:rPr>
        <w:t>Решения, принятые на настоящей сессии</w:t>
      </w:r>
    </w:p>
    <w:p w:rsidR="00A307DE" w:rsidRPr="00FA3FC7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Pr="00FA3FC7" w:rsidRDefault="00A307DE" w:rsidP="00A307DE">
      <w:pPr>
        <w:pStyle w:val="SingleTxt"/>
      </w:pPr>
      <w:r w:rsidRPr="00FA3FC7">
        <w:t>14.</w:t>
      </w:r>
      <w:r>
        <w:tab/>
      </w:r>
      <w:r w:rsidRPr="000C1651">
        <w:t>Рабочая группа постановила</w:t>
      </w:r>
      <w:r w:rsidRPr="00FA3FC7">
        <w:t>:</w:t>
      </w:r>
    </w:p>
    <w:p w:rsidR="00A307DE" w:rsidRPr="00FA3FC7" w:rsidRDefault="00A307DE" w:rsidP="00A307DE">
      <w:pPr>
        <w:pStyle w:val="SingleTxt"/>
      </w:pPr>
      <w:r>
        <w:tab/>
      </w:r>
      <w:r>
        <w:rPr>
          <w:lang w:val="en-US"/>
        </w:rPr>
        <w:t>a</w:t>
      </w:r>
      <w:r w:rsidRPr="00FA3FC7">
        <w:t>)</w:t>
      </w:r>
      <w:r w:rsidRPr="00FA3FC7">
        <w:tab/>
      </w:r>
      <w:r w:rsidRPr="000C1651">
        <w:t xml:space="preserve">передать для принятия Комитетом поддержанную всеми членами </w:t>
      </w:r>
      <w:r>
        <w:t>Г</w:t>
      </w:r>
      <w:r w:rsidRPr="000C1651">
        <w:t>руппы рекомендацию относительно проекта мнения (нарушение) по сообщ</w:t>
      </w:r>
      <w:r w:rsidRPr="000C1651">
        <w:t>е</w:t>
      </w:r>
      <w:r w:rsidRPr="000C1651">
        <w:t xml:space="preserve">нию </w:t>
      </w:r>
      <w:r w:rsidRPr="00FA3FC7">
        <w:t>№</w:t>
      </w:r>
      <w:r>
        <w:t> </w:t>
      </w:r>
      <w:r w:rsidRPr="0098438C">
        <w:t>34/201</w:t>
      </w:r>
      <w:r w:rsidRPr="00FA3FC7">
        <w:t xml:space="preserve">1 </w:t>
      </w:r>
      <w:r w:rsidRPr="000C1651">
        <w:t>кас</w:t>
      </w:r>
      <w:r w:rsidRPr="000C1651">
        <w:t>а</w:t>
      </w:r>
      <w:r w:rsidRPr="000C1651">
        <w:t>тельно Филиппин</w:t>
      </w:r>
      <w:r w:rsidRPr="00FA3FC7">
        <w:t>;</w:t>
      </w:r>
    </w:p>
    <w:p w:rsidR="00A307DE" w:rsidRPr="00FA3FC7" w:rsidRDefault="00A307DE" w:rsidP="00A307DE">
      <w:pPr>
        <w:pStyle w:val="SingleTxt"/>
      </w:pPr>
      <w:r>
        <w:tab/>
      </w:r>
      <w:r>
        <w:rPr>
          <w:lang w:val="en-US"/>
        </w:rPr>
        <w:t>b</w:t>
      </w:r>
      <w:r w:rsidRPr="00FA3FC7">
        <w:t>)</w:t>
      </w:r>
      <w:r w:rsidRPr="00FA3FC7">
        <w:tab/>
      </w:r>
      <w:r w:rsidRPr="000C1651">
        <w:t xml:space="preserve">передать для принятия Комитетом поддержанную всеми членами </w:t>
      </w:r>
      <w:r>
        <w:t>Г</w:t>
      </w:r>
      <w:r w:rsidRPr="000C1651">
        <w:t>руппы рекомендацию относительно проекта мнения (нарушение) по сообщ</w:t>
      </w:r>
      <w:r w:rsidRPr="000C1651">
        <w:t>е</w:t>
      </w:r>
      <w:r w:rsidRPr="000C1651">
        <w:t xml:space="preserve">нию </w:t>
      </w:r>
      <w:r w:rsidRPr="00FA3FC7">
        <w:t>№</w:t>
      </w:r>
      <w:r>
        <w:t> </w:t>
      </w:r>
      <w:r w:rsidRPr="0098438C">
        <w:t>36/201</w:t>
      </w:r>
      <w:r w:rsidRPr="00FA3FC7">
        <w:t xml:space="preserve">1 </w:t>
      </w:r>
      <w:r w:rsidRPr="000C1651">
        <w:t>кас</w:t>
      </w:r>
      <w:r w:rsidRPr="000C1651">
        <w:t>а</w:t>
      </w:r>
      <w:r w:rsidRPr="000C1651">
        <w:t>тельно</w:t>
      </w:r>
      <w:r w:rsidRPr="00FA3FC7">
        <w:t xml:space="preserve"> </w:t>
      </w:r>
      <w:r w:rsidRPr="000C1651">
        <w:t>Нидерландов</w:t>
      </w:r>
      <w:r w:rsidRPr="00FA3FC7">
        <w:t>;</w:t>
      </w:r>
    </w:p>
    <w:p w:rsidR="00A307DE" w:rsidRPr="00FA3FC7" w:rsidRDefault="00A307DE" w:rsidP="00A307DE">
      <w:pPr>
        <w:pStyle w:val="SingleTxt"/>
      </w:pPr>
      <w:r>
        <w:tab/>
      </w:r>
      <w:r>
        <w:rPr>
          <w:lang w:val="en-US"/>
        </w:rPr>
        <w:t>c</w:t>
      </w:r>
      <w:r w:rsidRPr="00FA3FC7">
        <w:t>)</w:t>
      </w:r>
      <w:r w:rsidRPr="00FA3FC7">
        <w:tab/>
      </w:r>
      <w:r w:rsidRPr="000C1651">
        <w:t xml:space="preserve">передать для принятия Комитетом поддержанную всеми членами </w:t>
      </w:r>
      <w:r>
        <w:t>Г</w:t>
      </w:r>
      <w:r w:rsidRPr="000C1651">
        <w:t>руппы рекомендацию относительно проекта решения (неприемлемость соо</w:t>
      </w:r>
      <w:r w:rsidRPr="000C1651">
        <w:t>б</w:t>
      </w:r>
      <w:r w:rsidRPr="000C1651">
        <w:t>щения</w:t>
      </w:r>
      <w:r w:rsidRPr="000C1651">
        <w:rPr>
          <w:rFonts w:hint="eastAsia"/>
        </w:rPr>
        <w:t>)</w:t>
      </w:r>
      <w:r w:rsidRPr="000C1651">
        <w:t xml:space="preserve"> по с</w:t>
      </w:r>
      <w:r w:rsidRPr="000C1651">
        <w:t>о</w:t>
      </w:r>
      <w:r w:rsidRPr="000C1651">
        <w:t xml:space="preserve">общению </w:t>
      </w:r>
      <w:r w:rsidRPr="00FA3FC7">
        <w:t>№</w:t>
      </w:r>
      <w:r>
        <w:t> </w:t>
      </w:r>
      <w:r w:rsidRPr="0098438C">
        <w:t>39/201</w:t>
      </w:r>
      <w:r w:rsidRPr="00FA3FC7">
        <w:t xml:space="preserve">2 </w:t>
      </w:r>
      <w:r w:rsidRPr="000C1651">
        <w:t>касательно</w:t>
      </w:r>
      <w:r w:rsidRPr="00FA3FC7">
        <w:t xml:space="preserve"> </w:t>
      </w:r>
      <w:r w:rsidRPr="000C1651">
        <w:t>Нидерландов</w:t>
      </w:r>
      <w:r w:rsidRPr="00FA3FC7">
        <w:t>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d</w:t>
      </w:r>
      <w:r w:rsidRPr="00FA3FC7">
        <w:t>)</w:t>
      </w:r>
      <w:r w:rsidRPr="00FA3FC7">
        <w:tab/>
      </w:r>
      <w:r w:rsidRPr="000C1651">
        <w:t>прекратить рассмотрение сообщения №</w:t>
      </w:r>
      <w:r>
        <w:t> </w:t>
      </w:r>
      <w:r w:rsidRPr="0098438C">
        <w:t>41/201</w:t>
      </w:r>
      <w:r w:rsidRPr="000C1651">
        <w:t>2 касательно Эквад</w:t>
      </w:r>
      <w:r w:rsidRPr="000C1651">
        <w:t>о</w:t>
      </w:r>
      <w:r w:rsidRPr="000C1651">
        <w:t>ра в связи с непредоставлением письменного согласия предполагаемого поте</w:t>
      </w:r>
      <w:r w:rsidRPr="000C1651">
        <w:t>р</w:t>
      </w:r>
      <w:r w:rsidRPr="000C1651">
        <w:t>певшего, несмотря на специальную просьбу Рабочей группы к автору пред</w:t>
      </w:r>
      <w:r w:rsidRPr="000C1651">
        <w:t>о</w:t>
      </w:r>
      <w:r w:rsidRPr="000C1651">
        <w:t>ставить такое письменное согл</w:t>
      </w:r>
      <w:r w:rsidRPr="000C1651">
        <w:t>а</w:t>
      </w:r>
      <w:r w:rsidRPr="000C1651">
        <w:t>сие</w:t>
      </w:r>
      <w:r w:rsidRPr="000C1651">
        <w:rPr>
          <w:rFonts w:hint="eastAsia"/>
        </w:rPr>
        <w:t>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e</w:t>
      </w:r>
      <w:r w:rsidRPr="00FA3FC7">
        <w:t>)</w:t>
      </w:r>
      <w:r>
        <w:tab/>
      </w:r>
      <w:r w:rsidRPr="000C1651">
        <w:t>просить секретариат подготовить проекты рекомендаций для дв</w:t>
      </w:r>
      <w:r w:rsidRPr="000C1651">
        <w:t>а</w:t>
      </w:r>
      <w:r w:rsidRPr="000C1651">
        <w:t>дцать девятой сессии Рабочей группы относительно сообщений №</w:t>
      </w:r>
      <w:r>
        <w:t> </w:t>
      </w:r>
      <w:r w:rsidRPr="0098438C">
        <w:t>30/201</w:t>
      </w:r>
      <w:r w:rsidRPr="000C1651">
        <w:t xml:space="preserve">1, </w:t>
      </w:r>
      <w:r>
        <w:t>№ </w:t>
      </w:r>
      <w:r w:rsidRPr="0098438C">
        <w:t>46/201</w:t>
      </w:r>
      <w:r w:rsidRPr="000C1651">
        <w:t xml:space="preserve">2 и </w:t>
      </w:r>
      <w:r>
        <w:t>№ </w:t>
      </w:r>
      <w:r w:rsidRPr="0098438C">
        <w:t>47/201</w:t>
      </w:r>
      <w:r w:rsidRPr="000C1651">
        <w:t>2;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f</w:t>
      </w:r>
      <w:r w:rsidRPr="00FA3FC7">
        <w:t>)</w:t>
      </w:r>
      <w:r>
        <w:tab/>
      </w:r>
      <w:r w:rsidRPr="000C1651">
        <w:t>присоединиться к просьбам заинтересованных государств-участников о рассмотрении приемлемости сообщения отдельно от рассмотр</w:t>
      </w:r>
      <w:r w:rsidRPr="000C1651">
        <w:t>е</w:t>
      </w:r>
      <w:r w:rsidRPr="000C1651">
        <w:t>ния существа дела (просьбы о раздельном рассмотрении) в отношении соо</w:t>
      </w:r>
      <w:r w:rsidRPr="000C1651">
        <w:t>б</w:t>
      </w:r>
      <w:r w:rsidRPr="000C1651">
        <w:t>щений №</w:t>
      </w:r>
      <w:r>
        <w:t> </w:t>
      </w:r>
      <w:r w:rsidRPr="0098438C">
        <w:t>51/201</w:t>
      </w:r>
      <w:r w:rsidRPr="000C1651">
        <w:t xml:space="preserve">3, </w:t>
      </w:r>
      <w:r>
        <w:t>№ </w:t>
      </w:r>
      <w:r w:rsidRPr="0098438C">
        <w:t>59/201</w:t>
      </w:r>
      <w:r w:rsidRPr="000C1651">
        <w:t xml:space="preserve">3, </w:t>
      </w:r>
      <w:r>
        <w:t>№ </w:t>
      </w:r>
      <w:r w:rsidRPr="0098438C">
        <w:t>62/201</w:t>
      </w:r>
      <w:r w:rsidRPr="000C1651">
        <w:t xml:space="preserve">3 и </w:t>
      </w:r>
      <w:r>
        <w:t>№ </w:t>
      </w:r>
      <w:r w:rsidRPr="0098438C">
        <w:t>64/201</w:t>
      </w:r>
      <w:r w:rsidRPr="000C1651">
        <w:t>3;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g</w:t>
      </w:r>
      <w:r w:rsidRPr="00FA3FC7">
        <w:t>)</w:t>
      </w:r>
      <w:r>
        <w:tab/>
      </w:r>
      <w:r w:rsidRPr="000C1651">
        <w:t>отклонить просьбу заинтересованного государства-участника о ра</w:t>
      </w:r>
      <w:r w:rsidRPr="000C1651">
        <w:t>з</w:t>
      </w:r>
      <w:r w:rsidRPr="000C1651">
        <w:t>дельном рассмотрении сообщения №</w:t>
      </w:r>
      <w:r>
        <w:t> </w:t>
      </w:r>
      <w:r w:rsidRPr="0098438C">
        <w:t>52/201</w:t>
      </w:r>
      <w:r w:rsidRPr="000C1651">
        <w:t>3;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h</w:t>
      </w:r>
      <w:r w:rsidRPr="00FA3FC7">
        <w:t>)</w:t>
      </w:r>
      <w:r>
        <w:tab/>
      </w:r>
      <w:r w:rsidRPr="000C1651">
        <w:t>назначить Олинду Барейро-Бобадил</w:t>
      </w:r>
      <w:r>
        <w:t>ью</w:t>
      </w:r>
      <w:r w:rsidRPr="000C1651">
        <w:t xml:space="preserve"> докладчиком по делу в св</w:t>
      </w:r>
      <w:r w:rsidRPr="000C1651">
        <w:t>я</w:t>
      </w:r>
      <w:r w:rsidRPr="000C1651">
        <w:t>зи с сообщением №</w:t>
      </w:r>
      <w:r>
        <w:t> </w:t>
      </w:r>
      <w:r w:rsidRPr="0098438C">
        <w:t>61/201</w:t>
      </w:r>
      <w:r w:rsidRPr="000C1651">
        <w:t>3;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i</w:t>
      </w:r>
      <w:r w:rsidRPr="00FA3FC7">
        <w:t>)</w:t>
      </w:r>
      <w:r w:rsidRPr="00FA3FC7">
        <w:tab/>
      </w:r>
      <w:r w:rsidRPr="000C1651">
        <w:t>назначить Дубравку Шимонович докладчиком по делу в связи с с</w:t>
      </w:r>
      <w:r w:rsidRPr="000C1651">
        <w:t>о</w:t>
      </w:r>
      <w:r w:rsidRPr="000C1651">
        <w:t>общением №</w:t>
      </w:r>
      <w:r>
        <w:t> </w:t>
      </w:r>
      <w:r w:rsidRPr="0098438C">
        <w:t>62/201</w:t>
      </w:r>
      <w:r w:rsidRPr="000C1651">
        <w:t>3;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j</w:t>
      </w:r>
      <w:r w:rsidRPr="00FA3FC7">
        <w:t>)</w:t>
      </w:r>
      <w:r w:rsidRPr="00FA3FC7">
        <w:tab/>
      </w:r>
      <w:r w:rsidRPr="000C1651">
        <w:t>назначить Йоко Хая</w:t>
      </w:r>
      <w:r>
        <w:t>с</w:t>
      </w:r>
      <w:r w:rsidRPr="000C1651">
        <w:t>и докладчиком по делу в связи с сообщен</w:t>
      </w:r>
      <w:r w:rsidRPr="000C1651">
        <w:t>и</w:t>
      </w:r>
      <w:r w:rsidRPr="000C1651">
        <w:t>ем</w:t>
      </w:r>
      <w:r>
        <w:t> </w:t>
      </w:r>
      <w:r w:rsidRPr="000C1651">
        <w:t>№</w:t>
      </w:r>
      <w:r>
        <w:t> </w:t>
      </w:r>
      <w:r w:rsidRPr="0098438C">
        <w:t>65/201</w:t>
      </w:r>
      <w:r w:rsidRPr="000C1651">
        <w:t>4;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k</w:t>
      </w:r>
      <w:r w:rsidRPr="00FA3FC7">
        <w:t>)</w:t>
      </w:r>
      <w:r>
        <w:tab/>
      </w:r>
      <w:r w:rsidRPr="000C1651">
        <w:t>зарегистрировать новое сообщение в качестве дела №</w:t>
      </w:r>
      <w:r>
        <w:t> </w:t>
      </w:r>
      <w:r w:rsidRPr="0098438C">
        <w:t>66/201</w:t>
      </w:r>
      <w:r w:rsidRPr="000C1651">
        <w:t>4 и назначить Никласа Бруна докладчиком по делу;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l</w:t>
      </w:r>
      <w:r w:rsidRPr="00FA3FC7">
        <w:t>)</w:t>
      </w:r>
      <w:r w:rsidRPr="00FA3FC7">
        <w:tab/>
      </w:r>
      <w:r w:rsidRPr="000C1651">
        <w:t>зарегистрировать новое сообщение в качестве дела №</w:t>
      </w:r>
      <w:r>
        <w:t> </w:t>
      </w:r>
      <w:r w:rsidRPr="0098438C">
        <w:t>67/201</w:t>
      </w:r>
      <w:r w:rsidRPr="000C1651">
        <w:t>4 и назначить Прамилу Паттен докладчиком по делу;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m</w:t>
      </w:r>
      <w:r w:rsidRPr="00FA3FC7">
        <w:t>)</w:t>
      </w:r>
      <w:r w:rsidRPr="00FA3FC7">
        <w:tab/>
      </w:r>
      <w:r w:rsidRPr="000C1651">
        <w:t>просить секретариат продолжать загружать на веб-сайт Факульт</w:t>
      </w:r>
      <w:r w:rsidRPr="000C1651">
        <w:t>а</w:t>
      </w:r>
      <w:r w:rsidRPr="000C1651">
        <w:t>тивного протокола научные публикации, упомянутые в записке секретариата, и по запросу пред</w:t>
      </w:r>
      <w:r w:rsidRPr="000C1651">
        <w:t>о</w:t>
      </w:r>
      <w:r w:rsidRPr="000C1651">
        <w:t>ставлять копии</w:t>
      </w:r>
      <w:r>
        <w:t xml:space="preserve"> </w:t>
      </w:r>
      <w:r w:rsidRPr="000C1651">
        <w:t>извлечений из этих публикаций;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n</w:t>
      </w:r>
      <w:r w:rsidRPr="00FA3FC7">
        <w:t>)</w:t>
      </w:r>
      <w:r w:rsidRPr="00FA3FC7">
        <w:tab/>
      </w:r>
      <w:r w:rsidRPr="000C1651">
        <w:t>просить секретариат организовать в ходе пятьдесят седьмой сессии Комитета совещания с представителями постоянных представительств Белар</w:t>
      </w:r>
      <w:r w:rsidRPr="000C1651">
        <w:t>у</w:t>
      </w:r>
      <w:r w:rsidRPr="000C1651">
        <w:t>си, Бразилии, Перу и Филиппин при Отделении Организации Объединенных Наций в Женеве для обсуждения последующ</w:t>
      </w:r>
      <w:r>
        <w:t>ей</w:t>
      </w:r>
      <w:r w:rsidRPr="000C1651">
        <w:t xml:space="preserve"> </w:t>
      </w:r>
      <w:r>
        <w:t xml:space="preserve">деятельности </w:t>
      </w:r>
      <w:r w:rsidRPr="000C1651">
        <w:t>в связи с мнени</w:t>
      </w:r>
      <w:r w:rsidRPr="000C1651">
        <w:t>я</w:t>
      </w:r>
      <w:r w:rsidRPr="000C1651">
        <w:t>ми касательно индивидуальных сообщений; организовать последующее сов</w:t>
      </w:r>
      <w:r w:rsidRPr="000C1651">
        <w:t>е</w:t>
      </w:r>
      <w:r w:rsidRPr="000C1651">
        <w:t>щание с Постоянным представительством Турции при Отделении Организации Объединенных Наций в Женеве в ходе проведения двадцать девятой сессии Р</w:t>
      </w:r>
      <w:r w:rsidRPr="000C1651">
        <w:t>а</w:t>
      </w:r>
      <w:r w:rsidRPr="000C1651">
        <w:t>бочей группы в июне 2014</w:t>
      </w:r>
      <w:r>
        <w:t> </w:t>
      </w:r>
      <w:r w:rsidRPr="000C1651">
        <w:t>года;</w:t>
      </w:r>
    </w:p>
    <w:p w:rsidR="00A307DE" w:rsidRPr="000C1651" w:rsidRDefault="00A307DE" w:rsidP="00A307DE">
      <w:pPr>
        <w:pStyle w:val="SingleTxt"/>
      </w:pPr>
      <w:r>
        <w:tab/>
      </w:r>
      <w:r>
        <w:rPr>
          <w:lang w:val="en-US"/>
        </w:rPr>
        <w:t>o</w:t>
      </w:r>
      <w:r w:rsidRPr="00FA3FC7">
        <w:t>)</w:t>
      </w:r>
      <w:r w:rsidRPr="00FA3FC7">
        <w:tab/>
      </w:r>
      <w:r w:rsidRPr="000C1651">
        <w:t xml:space="preserve">просить </w:t>
      </w:r>
      <w:r>
        <w:t>П</w:t>
      </w:r>
      <w:r w:rsidRPr="000C1651">
        <w:t>редседателя Рабочей группы обратить внимание на в</w:t>
      </w:r>
      <w:r w:rsidRPr="000C1651">
        <w:t>о</w:t>
      </w:r>
      <w:r w:rsidRPr="000C1651">
        <w:t>прос, вызывающий озабоченность Рабочей группы, как указано в пункте</w:t>
      </w:r>
      <w:r>
        <w:rPr>
          <w:lang w:val="en-US"/>
        </w:rPr>
        <w:t> </w:t>
      </w:r>
      <w:r w:rsidRPr="000C1651">
        <w:t>13 выше, на открытии пятьдесят седьмой сессии Комитета 10</w:t>
      </w:r>
      <w:r>
        <w:rPr>
          <w:lang w:val="en-US"/>
        </w:rPr>
        <w:t> </w:t>
      </w:r>
      <w:r w:rsidRPr="000C1651">
        <w:t>февраля 2014</w:t>
      </w:r>
      <w:r>
        <w:rPr>
          <w:lang w:val="en-US"/>
        </w:rPr>
        <w:t> </w:t>
      </w:r>
      <w:r w:rsidRPr="000C1651">
        <w:t>года.</w:t>
      </w:r>
    </w:p>
    <w:p w:rsidR="00A307DE" w:rsidRPr="00FA3FC7" w:rsidRDefault="00A307DE" w:rsidP="00A307DE">
      <w:pPr>
        <w:pStyle w:val="SingleTxt"/>
      </w:pPr>
      <w:r w:rsidRPr="000C1651">
        <w:t>15.</w:t>
      </w:r>
      <w:r w:rsidRPr="00FA3FC7">
        <w:tab/>
      </w:r>
      <w:r w:rsidRPr="000C1651">
        <w:t>Рабочая группа постановила провести свою двадцать девятую сессию в Женеве 25</w:t>
      </w:r>
      <w:r w:rsidRPr="00FA3FC7">
        <w:t>–</w:t>
      </w:r>
      <w:r w:rsidRPr="000C1651">
        <w:t>27</w:t>
      </w:r>
      <w:r>
        <w:rPr>
          <w:lang w:val="en-US"/>
        </w:rPr>
        <w:t> </w:t>
      </w:r>
      <w:r w:rsidRPr="000C1651">
        <w:t>июня 2014</w:t>
      </w:r>
      <w:r>
        <w:rPr>
          <w:lang w:val="en-US"/>
        </w:rPr>
        <w:t> </w:t>
      </w:r>
      <w:r w:rsidRPr="000C1651">
        <w:t>года.</w:t>
      </w:r>
    </w:p>
    <w:p w:rsidR="00A307DE" w:rsidRPr="00FA3FC7" w:rsidRDefault="00A307DE" w:rsidP="00A307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3FC7">
        <w:br w:type="page"/>
      </w:r>
      <w:r w:rsidRPr="000C1651">
        <w:t>Дополнение</w:t>
      </w:r>
    </w:p>
    <w:p w:rsidR="00A307DE" w:rsidRPr="00FA3FC7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Pr="00FA3FC7" w:rsidRDefault="00A307DE" w:rsidP="00A307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3FC7">
        <w:tab/>
      </w:r>
      <w:r w:rsidRPr="00FA3FC7">
        <w:tab/>
      </w:r>
      <w:r w:rsidRPr="000C1651">
        <w:t>Повестка дня двадцать восьмой сессии Рабочей группы</w:t>
      </w:r>
    </w:p>
    <w:p w:rsidR="00A307DE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Pr="00FA3FC7" w:rsidRDefault="00A307DE" w:rsidP="00A307DE">
      <w:pPr>
        <w:pStyle w:val="SingleTxt"/>
        <w:spacing w:after="0" w:line="120" w:lineRule="exact"/>
        <w:rPr>
          <w:b/>
          <w:sz w:val="10"/>
        </w:rPr>
      </w:pPr>
    </w:p>
    <w:p w:rsidR="00A307DE" w:rsidRPr="000C1651" w:rsidRDefault="00A307DE" w:rsidP="00A307DE">
      <w:pPr>
        <w:pStyle w:val="SingleTxt"/>
      </w:pPr>
      <w:r>
        <w:tab/>
        <w:t>1.</w:t>
      </w:r>
      <w:r>
        <w:tab/>
      </w:r>
      <w:r w:rsidRPr="000C1651">
        <w:t>Утверждение повестки дня и организация работы.</w:t>
      </w:r>
    </w:p>
    <w:p w:rsidR="00A307DE" w:rsidRPr="000C1651" w:rsidRDefault="00A307DE" w:rsidP="00A307DE">
      <w:pPr>
        <w:pStyle w:val="SingleTxt"/>
        <w:ind w:left="2218" w:hanging="951"/>
      </w:pPr>
      <w:r>
        <w:tab/>
        <w:t>2.</w:t>
      </w:r>
      <w:r>
        <w:tab/>
      </w:r>
      <w:r w:rsidRPr="000C1651">
        <w:t xml:space="preserve">Обзор </w:t>
      </w:r>
      <w:r>
        <w:t xml:space="preserve">мер </w:t>
      </w:r>
      <w:r w:rsidRPr="000C1651">
        <w:t xml:space="preserve">и мероприятий, </w:t>
      </w:r>
      <w:r>
        <w:t xml:space="preserve">осуществленных </w:t>
      </w:r>
      <w:r w:rsidRPr="000C1651">
        <w:t>после предыдущей се</w:t>
      </w:r>
      <w:r w:rsidRPr="000C1651">
        <w:t>с</w:t>
      </w:r>
      <w:r w:rsidRPr="000C1651">
        <w:t>сии.</w:t>
      </w:r>
    </w:p>
    <w:p w:rsidR="00A307DE" w:rsidRPr="000C1651" w:rsidRDefault="00A307DE" w:rsidP="00A307DE">
      <w:pPr>
        <w:pStyle w:val="SingleTxt"/>
        <w:ind w:left="2218" w:hanging="951"/>
      </w:pPr>
      <w:r>
        <w:tab/>
        <w:t>3.</w:t>
      </w:r>
      <w:r>
        <w:tab/>
      </w:r>
      <w:r w:rsidRPr="000C1651">
        <w:t>Зарегистрированные новые сообщения и назначение докладчиков по д</w:t>
      </w:r>
      <w:r w:rsidRPr="000C1651">
        <w:t>е</w:t>
      </w:r>
      <w:r w:rsidRPr="000C1651">
        <w:t>лу.</w:t>
      </w:r>
    </w:p>
    <w:p w:rsidR="00A307DE" w:rsidRPr="000C1651" w:rsidRDefault="00A307DE" w:rsidP="00A307DE">
      <w:pPr>
        <w:pStyle w:val="SingleTxt"/>
        <w:ind w:left="2218" w:hanging="951"/>
      </w:pPr>
      <w:r>
        <w:tab/>
        <w:t>4.</w:t>
      </w:r>
      <w:r>
        <w:tab/>
      </w:r>
      <w:r w:rsidRPr="000C1651">
        <w:t>Обсуждение дел, готовых к принятию/просьб о раздельном рассмо</w:t>
      </w:r>
      <w:r w:rsidRPr="000C1651">
        <w:t>т</w:t>
      </w:r>
      <w:r w:rsidRPr="000C1651">
        <w:t>рении.</w:t>
      </w:r>
    </w:p>
    <w:p w:rsidR="00A307DE" w:rsidRPr="000C1651" w:rsidRDefault="00A307DE" w:rsidP="00A307DE">
      <w:pPr>
        <w:pStyle w:val="SingleTxt"/>
      </w:pPr>
      <w:r>
        <w:tab/>
        <w:t>5.</w:t>
      </w:r>
      <w:r>
        <w:tab/>
      </w:r>
      <w:r w:rsidRPr="000C1651">
        <w:t>Дела, подлежащие прекращению.</w:t>
      </w:r>
    </w:p>
    <w:p w:rsidR="00A307DE" w:rsidRPr="000C1651" w:rsidRDefault="00A307DE" w:rsidP="00A307DE">
      <w:pPr>
        <w:pStyle w:val="SingleTxt"/>
        <w:ind w:left="2218" w:hanging="951"/>
      </w:pPr>
      <w:r>
        <w:tab/>
        <w:t>6.</w:t>
      </w:r>
      <w:r>
        <w:tab/>
      </w:r>
      <w:r w:rsidRPr="000C1651">
        <w:t>Обновленная информация по сообщениям (зарегистрированные д</w:t>
      </w:r>
      <w:r w:rsidRPr="000C1651">
        <w:t>е</w:t>
      </w:r>
      <w:r w:rsidRPr="000C1651">
        <w:t>ла).</w:t>
      </w:r>
    </w:p>
    <w:p w:rsidR="00A307DE" w:rsidRPr="000C1651" w:rsidRDefault="00A307DE" w:rsidP="00A307DE">
      <w:pPr>
        <w:pStyle w:val="SingleTxt"/>
        <w:ind w:left="2218" w:hanging="951"/>
      </w:pPr>
      <w:r>
        <w:tab/>
        <w:t>7.</w:t>
      </w:r>
      <w:r>
        <w:tab/>
      </w:r>
      <w:r w:rsidRPr="000C1651">
        <w:t>Обновленная информация о последующ</w:t>
      </w:r>
      <w:r>
        <w:t>ей</w:t>
      </w:r>
      <w:r w:rsidRPr="000C1651">
        <w:t xml:space="preserve"> </w:t>
      </w:r>
      <w:r>
        <w:t xml:space="preserve">деятельности </w:t>
      </w:r>
      <w:r w:rsidRPr="000C1651">
        <w:t>в связи с мнениями Комитета.</w:t>
      </w:r>
    </w:p>
    <w:p w:rsidR="00A307DE" w:rsidRPr="000C1651" w:rsidRDefault="00A307DE" w:rsidP="00A307DE">
      <w:pPr>
        <w:pStyle w:val="SingleTxt"/>
        <w:ind w:left="2218" w:hanging="951"/>
      </w:pPr>
      <w:r>
        <w:tab/>
        <w:t>8.</w:t>
      </w:r>
      <w:r>
        <w:tab/>
      </w:r>
      <w:r w:rsidRPr="000C1651">
        <w:t>Обсуждение по делам, готовым к принятию, и установление очере</w:t>
      </w:r>
      <w:r w:rsidRPr="000C1651">
        <w:t>д</w:t>
      </w:r>
      <w:r w:rsidRPr="000C1651">
        <w:t xml:space="preserve">ности </w:t>
      </w:r>
      <w:r>
        <w:t xml:space="preserve">рассмотрения </w:t>
      </w:r>
      <w:r w:rsidRPr="000C1651">
        <w:t>дел.</w:t>
      </w:r>
    </w:p>
    <w:p w:rsidR="00A307DE" w:rsidRDefault="00A307DE" w:rsidP="00A307DE">
      <w:pPr>
        <w:pStyle w:val="SingleTxt"/>
        <w:ind w:left="2218" w:hanging="951"/>
      </w:pPr>
      <w:r>
        <w:tab/>
        <w:t>9.</w:t>
      </w:r>
      <w:r>
        <w:tab/>
      </w:r>
      <w:r w:rsidRPr="000C1651">
        <w:t>Утверждение доклада Рабочей группы о работе ее двадцать восьмой сессии.</w:t>
      </w:r>
    </w:p>
    <w:p w:rsidR="00A307DE" w:rsidRPr="00FA3FC7" w:rsidRDefault="00A307DE" w:rsidP="00A307DE">
      <w:pPr>
        <w:pStyle w:val="SingleTxt"/>
        <w:spacing w:after="0" w:line="240" w:lineRule="auto"/>
        <w:ind w:left="2218" w:hanging="951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p w:rsidR="00E25C89" w:rsidRDefault="00E25C89" w:rsidP="00E25C89">
      <w:pPr>
        <w:framePr w:w="4320" w:h="520" w:hSpace="180" w:wrap="around" w:vAnchor="page" w:hAnchor="margin" w:x="1" w:y="13321"/>
      </w:pPr>
      <w:r>
        <w:t>14-02688 (R)        0</w:t>
      </w:r>
      <w:r>
        <w:rPr>
          <w:lang w:val="en-US"/>
        </w:rPr>
        <w:t>2</w:t>
      </w:r>
      <w:r>
        <w:t>0614    050614</w:t>
      </w:r>
    </w:p>
    <w:p w:rsidR="00E25C89" w:rsidRPr="00E25C89" w:rsidRDefault="00E25C89" w:rsidP="00E25C89">
      <w:pPr>
        <w:framePr w:w="4320" w:h="520" w:hSpace="180" w:wrap="around" w:vAnchor="page" w:hAnchor="margin" w:x="1" w:y="13321"/>
        <w:spacing w:before="80" w:line="210" w:lineRule="exact"/>
        <w:rPr>
          <w:rFonts w:ascii="Barcode 3 of 9 by request" w:hAnsi="Barcode 3 of 9 by request"/>
          <w:w w:val="100"/>
          <w:sz w:val="24"/>
        </w:rPr>
      </w:pPr>
      <w:r>
        <w:rPr>
          <w:rFonts w:ascii="Barcode 3 of 9 by request" w:hAnsi="Barcode 3 of 9 by request"/>
          <w:w w:val="100"/>
          <w:sz w:val="24"/>
        </w:rPr>
        <w:t>*1402688*</w:t>
      </w:r>
    </w:p>
    <w:p w:rsidR="00E25C89" w:rsidRDefault="00E25C89" w:rsidP="00E25C89">
      <w:pPr>
        <w:framePr w:w="3470" w:h="374" w:hSpace="180" w:wrap="around" w:vAnchor="page" w:hAnchor="page" w:x="7388" w:y="13436"/>
        <w:spacing w:line="240" w:lineRule="auto"/>
      </w:pPr>
      <w:r>
        <w:pict>
          <v:shape id="_x0000_i1026" type="#_x0000_t75" style="width:173.25pt;height:15pt">
            <v:imagedata r:id="rId119" o:title="recycle_Russian"/>
          </v:shape>
        </w:pict>
      </w:r>
    </w:p>
    <w:p w:rsidR="00D70C05" w:rsidRPr="00F449B5" w:rsidRDefault="00D70C05" w:rsidP="0039550E">
      <w:pPr>
        <w:pStyle w:val="SingleTxt"/>
      </w:pPr>
    </w:p>
    <w:sectPr w:rsidR="00D70C05" w:rsidRPr="00F449B5" w:rsidSect="00236FCB">
      <w:footnotePr>
        <w:numRestart w:val="eachSect"/>
      </w:footnotePr>
      <w:pgSz w:w="12240" w:h="15840"/>
      <w:pgMar w:top="1742" w:right="1195" w:bottom="1898" w:left="1195" w:header="576" w:footer="1030" w:gutter="0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6-05T08:55:00Z" w:initials="Start">
    <w:p w:rsidR="007218CA" w:rsidRPr="009F6F3E" w:rsidRDefault="007218CA">
      <w:pPr>
        <w:pStyle w:val="CommentText"/>
        <w:rPr>
          <w:lang w:val="en-US"/>
        </w:rPr>
      </w:pPr>
      <w:r>
        <w:fldChar w:fldCharType="begin"/>
      </w:r>
      <w:r w:rsidRPr="009F6F3E">
        <w:rPr>
          <w:rStyle w:val="CommentReference"/>
          <w:lang w:val="en-US"/>
        </w:rPr>
        <w:instrText xml:space="preserve"> </w:instrText>
      </w:r>
      <w:r w:rsidRPr="009F6F3E">
        <w:rPr>
          <w:lang w:val="en-US"/>
        </w:rPr>
        <w:instrText>PAGE \# "'Page: '#'</w:instrText>
      </w:r>
      <w:r w:rsidRPr="009F6F3E">
        <w:rPr>
          <w:lang w:val="en-US"/>
        </w:rPr>
        <w:br/>
        <w:instrText>'"</w:instrText>
      </w:r>
      <w:r w:rsidRPr="009F6F3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F6F3E">
        <w:rPr>
          <w:lang w:val="en-US"/>
        </w:rPr>
        <w:t>&lt;&lt;ODS JOB NO&gt;&gt;N1428458R&lt;&lt;ODS JOB NO&gt;&gt;</w:t>
      </w:r>
    </w:p>
    <w:p w:rsidR="007218CA" w:rsidRPr="009F6F3E" w:rsidRDefault="007218CA">
      <w:pPr>
        <w:pStyle w:val="CommentText"/>
        <w:rPr>
          <w:lang w:val="en-US"/>
        </w:rPr>
      </w:pPr>
      <w:r w:rsidRPr="009F6F3E">
        <w:rPr>
          <w:lang w:val="en-US"/>
        </w:rPr>
        <w:t>&lt;&lt;ODS DOC SYMBOL1&gt;&gt;A/69/38 (SUPP)&lt;&lt;ODS DOC SYMBOL1&gt;&gt;</w:t>
      </w:r>
    </w:p>
    <w:p w:rsidR="007218CA" w:rsidRPr="009F6F3E" w:rsidRDefault="007218CA">
      <w:pPr>
        <w:pStyle w:val="CommentText"/>
        <w:rPr>
          <w:lang w:val="en-US"/>
        </w:rPr>
      </w:pPr>
      <w:r w:rsidRPr="009F6F3E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12" w:rsidRDefault="00EA0412" w:rsidP="008A1A7A">
      <w:pPr>
        <w:spacing w:line="240" w:lineRule="auto"/>
      </w:pPr>
      <w:r>
        <w:separator/>
      </w:r>
    </w:p>
  </w:endnote>
  <w:endnote w:type="continuationSeparator" w:id="0">
    <w:p w:rsidR="00EA0412" w:rsidRDefault="00EA041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F0" w:rsidRDefault="00F301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7" w:type="dxa"/>
      <w:tblLayout w:type="fixed"/>
      <w:tblLook w:val="0000"/>
    </w:tblPr>
    <w:tblGrid>
      <w:gridCol w:w="3713"/>
      <w:gridCol w:w="5033"/>
    </w:tblGrid>
    <w:tr w:rsidR="00F301F0" w:rsidRPr="00F301F0" w:rsidTr="00F301F0">
      <w:tblPrEx>
        <w:tblCellMar>
          <w:top w:w="0" w:type="dxa"/>
          <w:bottom w:w="0" w:type="dxa"/>
        </w:tblCellMar>
      </w:tblPrEx>
      <w:tc>
        <w:tcPr>
          <w:tcW w:w="3713" w:type="dxa"/>
        </w:tcPr>
        <w:p w:rsidR="00F301F0" w:rsidRPr="00F301F0" w:rsidRDefault="00F301F0" w:rsidP="00F301F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</w:p>
      </w:tc>
      <w:tc>
        <w:tcPr>
          <w:tcW w:w="5033" w:type="dxa"/>
        </w:tcPr>
        <w:p w:rsidR="00F301F0" w:rsidRPr="00F301F0" w:rsidRDefault="00F301F0" w:rsidP="00F301F0">
          <w:pPr>
            <w:tabs>
              <w:tab w:val="center" w:pos="4320"/>
              <w:tab w:val="right" w:pos="8640"/>
            </w:tabs>
            <w:spacing w:line="240" w:lineRule="atLeast"/>
            <w:jc w:val="right"/>
            <w:rPr>
              <w:spacing w:val="0"/>
              <w:w w:val="100"/>
              <w:kern w:val="0"/>
            </w:rPr>
          </w:pPr>
          <w:r w:rsidRPr="00F301F0">
            <w:rPr>
              <w:spacing w:val="0"/>
              <w:w w:val="100"/>
              <w:kern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13pt;height:18pt">
                <v:imagedata r:id="rId1" o:title="recycle_Russian"/>
              </v:shape>
            </w:pict>
          </w:r>
        </w:p>
      </w:tc>
    </w:tr>
  </w:tbl>
  <w:p w:rsidR="007218CA" w:rsidRDefault="007218CA">
    <w:pPr>
      <w:pStyle w:val="Footer"/>
    </w:pPr>
    <w:r>
      <w:rPr>
        <w:noProof/>
      </w:rPr>
      <w:pict>
        <v:shape id="_x0000_s2049" type="#_x0000_t75" style="position:absolute;margin-left:500.65pt;margin-top:673.15pt;width:54.9pt;height:54.9pt;z-index:1;mso-position-horizontal-relative:page;mso-position-vertical-relative:page" o:preferrelative="f" filled="t">
          <v:imagedata r:id="rId2" o:title="38&amp;Size =1&amp;Lang = &quot;R&quot;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F0" w:rsidRDefault="00F301F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7218CA" w:rsidRPr="007218CA" w:rsidTr="007218C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7218CA" w:rsidRPr="006F683B" w:rsidRDefault="007218CA" w:rsidP="007218CA">
          <w:pPr>
            <w:pStyle w:val="Footer"/>
            <w:rPr>
              <w:w w:val="103"/>
              <w:szCs w:val="22"/>
              <w:lang w:eastAsia="en-US"/>
            </w:rPr>
          </w:pPr>
          <w:r w:rsidRPr="006F683B">
            <w:rPr>
              <w:w w:val="103"/>
              <w:szCs w:val="22"/>
              <w:lang w:eastAsia="en-US"/>
            </w:rPr>
            <w:fldChar w:fldCharType="begin"/>
          </w:r>
          <w:r w:rsidRPr="006F683B">
            <w:rPr>
              <w:w w:val="103"/>
              <w:szCs w:val="22"/>
              <w:lang w:eastAsia="en-US"/>
            </w:rPr>
            <w:instrText xml:space="preserve"> PAGE  \* Arabic  \* MERGEFORMAT </w:instrText>
          </w:r>
          <w:r w:rsidRPr="006F683B">
            <w:rPr>
              <w:w w:val="103"/>
              <w:szCs w:val="22"/>
              <w:lang w:eastAsia="en-US"/>
            </w:rPr>
            <w:fldChar w:fldCharType="separate"/>
          </w:r>
          <w:r w:rsidR="00FB2767" w:rsidRPr="006F683B">
            <w:rPr>
              <w:noProof/>
              <w:w w:val="103"/>
              <w:szCs w:val="22"/>
              <w:lang w:eastAsia="en-US"/>
            </w:rPr>
            <w:t>6</w:t>
          </w:r>
          <w:r w:rsidRPr="006F683B">
            <w:rPr>
              <w:w w:val="103"/>
              <w:szCs w:val="22"/>
              <w:lang w:eastAsia="en-US"/>
            </w:rPr>
            <w:fldChar w:fldCharType="end"/>
          </w:r>
          <w:r w:rsidRPr="006F683B">
            <w:rPr>
              <w:w w:val="103"/>
              <w:szCs w:val="22"/>
              <w:lang w:eastAsia="en-US"/>
            </w:rPr>
            <w:t>/</w:t>
          </w:r>
          <w:fldSimple w:instr=" NUMPAGES  \* Arabic  \* MERGEFORMAT ">
            <w:r w:rsidR="00FB2767" w:rsidRPr="006F683B">
              <w:rPr>
                <w:noProof/>
                <w:w w:val="103"/>
                <w:szCs w:val="22"/>
                <w:lang w:eastAsia="en-US"/>
              </w:rPr>
              <w:t>102</w:t>
            </w:r>
          </w:fldSimple>
        </w:p>
      </w:tc>
      <w:tc>
        <w:tcPr>
          <w:tcW w:w="5033" w:type="dxa"/>
          <w:shd w:val="clear" w:color="auto" w:fill="auto"/>
        </w:tcPr>
        <w:p w:rsidR="007218CA" w:rsidRPr="006F683B" w:rsidRDefault="007218CA" w:rsidP="007218CA">
          <w:pPr>
            <w:pStyle w:val="Footer"/>
            <w:jc w:val="right"/>
            <w:rPr>
              <w:b w:val="0"/>
              <w:w w:val="103"/>
              <w:sz w:val="14"/>
              <w:szCs w:val="22"/>
              <w:lang w:eastAsia="en-US"/>
            </w:rPr>
          </w:pPr>
          <w:fldSimple w:instr=" DOCVARIABLE &quot;FooterJN&quot; \* MERGEFORMAT ">
            <w:r w:rsidR="009A0463" w:rsidRPr="006F683B">
              <w:rPr>
                <w:b w:val="0"/>
                <w:w w:val="103"/>
                <w:sz w:val="14"/>
                <w:szCs w:val="22"/>
                <w:lang w:eastAsia="en-US"/>
              </w:rPr>
              <w:t>14-02688</w:t>
            </w:r>
          </w:fldSimple>
        </w:p>
      </w:tc>
    </w:tr>
  </w:tbl>
  <w:p w:rsidR="007218CA" w:rsidRDefault="007218C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7218CA" w:rsidRPr="007218CA" w:rsidTr="007218C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7218CA" w:rsidRPr="006F683B" w:rsidRDefault="007218CA" w:rsidP="007218CA">
          <w:pPr>
            <w:pStyle w:val="Footer"/>
            <w:rPr>
              <w:b w:val="0"/>
              <w:w w:val="103"/>
              <w:sz w:val="14"/>
              <w:szCs w:val="22"/>
              <w:lang w:eastAsia="en-US"/>
            </w:rPr>
          </w:pPr>
          <w:fldSimple w:instr=" DOCVARIABLE &quot;FooterJN&quot; \* MERGEFORMAT ">
            <w:r w:rsidR="009A0463" w:rsidRPr="006F683B">
              <w:rPr>
                <w:b w:val="0"/>
                <w:w w:val="103"/>
                <w:sz w:val="14"/>
                <w:szCs w:val="22"/>
                <w:lang w:eastAsia="en-US"/>
              </w:rPr>
              <w:t>14-02688</w:t>
            </w:r>
          </w:fldSimple>
        </w:p>
      </w:tc>
      <w:tc>
        <w:tcPr>
          <w:tcW w:w="5033" w:type="dxa"/>
          <w:shd w:val="clear" w:color="auto" w:fill="auto"/>
        </w:tcPr>
        <w:p w:rsidR="007218CA" w:rsidRPr="006F683B" w:rsidRDefault="007218CA" w:rsidP="007218CA">
          <w:pPr>
            <w:pStyle w:val="Footer"/>
            <w:jc w:val="right"/>
            <w:rPr>
              <w:w w:val="103"/>
              <w:szCs w:val="22"/>
              <w:lang w:eastAsia="en-US"/>
            </w:rPr>
          </w:pPr>
          <w:r w:rsidRPr="006F683B">
            <w:rPr>
              <w:w w:val="103"/>
              <w:szCs w:val="22"/>
              <w:lang w:eastAsia="en-US"/>
            </w:rPr>
            <w:fldChar w:fldCharType="begin"/>
          </w:r>
          <w:r w:rsidRPr="006F683B">
            <w:rPr>
              <w:w w:val="103"/>
              <w:szCs w:val="22"/>
              <w:lang w:eastAsia="en-US"/>
            </w:rPr>
            <w:instrText xml:space="preserve"> PAGE  \* Arabic  \* MERGEFORMAT </w:instrText>
          </w:r>
          <w:r w:rsidRPr="006F683B">
            <w:rPr>
              <w:w w:val="103"/>
              <w:szCs w:val="22"/>
              <w:lang w:eastAsia="en-US"/>
            </w:rPr>
            <w:fldChar w:fldCharType="separate"/>
          </w:r>
          <w:r w:rsidR="00FB2767" w:rsidRPr="006F683B">
            <w:rPr>
              <w:noProof/>
              <w:w w:val="103"/>
              <w:szCs w:val="22"/>
              <w:lang w:eastAsia="en-US"/>
            </w:rPr>
            <w:t>7</w:t>
          </w:r>
          <w:r w:rsidRPr="006F683B">
            <w:rPr>
              <w:w w:val="103"/>
              <w:szCs w:val="22"/>
              <w:lang w:eastAsia="en-US"/>
            </w:rPr>
            <w:fldChar w:fldCharType="end"/>
          </w:r>
          <w:r w:rsidRPr="006F683B">
            <w:rPr>
              <w:w w:val="103"/>
              <w:szCs w:val="22"/>
              <w:lang w:eastAsia="en-US"/>
            </w:rPr>
            <w:t>/</w:t>
          </w:r>
          <w:fldSimple w:instr=" NUMPAGES  \* Arabic  \* MERGEFORMAT ">
            <w:r w:rsidR="00FB2767" w:rsidRPr="006F683B">
              <w:rPr>
                <w:noProof/>
                <w:w w:val="103"/>
                <w:szCs w:val="22"/>
                <w:lang w:eastAsia="en-US"/>
              </w:rPr>
              <w:t>102</w:t>
            </w:r>
          </w:fldSimple>
        </w:p>
      </w:tc>
    </w:tr>
  </w:tbl>
  <w:p w:rsidR="007218CA" w:rsidRDefault="007218C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7218CA" w:rsidRPr="007218CA" w:rsidTr="007218C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7218CA" w:rsidRPr="006F683B" w:rsidRDefault="007218CA" w:rsidP="007218CA">
          <w:pPr>
            <w:pStyle w:val="Footer"/>
            <w:rPr>
              <w:w w:val="103"/>
              <w:szCs w:val="22"/>
              <w:lang w:eastAsia="en-US"/>
            </w:rPr>
          </w:pPr>
          <w:r w:rsidRPr="006F683B">
            <w:rPr>
              <w:w w:val="103"/>
              <w:szCs w:val="22"/>
              <w:lang w:eastAsia="en-US"/>
            </w:rPr>
            <w:fldChar w:fldCharType="begin"/>
          </w:r>
          <w:r w:rsidRPr="006F683B">
            <w:rPr>
              <w:w w:val="103"/>
              <w:szCs w:val="22"/>
              <w:lang w:eastAsia="en-US"/>
            </w:rPr>
            <w:instrText xml:space="preserve"> PAGE  \* Arabic  \* MERGEFORMAT </w:instrText>
          </w:r>
          <w:r w:rsidRPr="006F683B">
            <w:rPr>
              <w:w w:val="103"/>
              <w:szCs w:val="22"/>
              <w:lang w:eastAsia="en-US"/>
            </w:rPr>
            <w:fldChar w:fldCharType="separate"/>
          </w:r>
          <w:r w:rsidR="00FB2767" w:rsidRPr="006F683B">
            <w:rPr>
              <w:noProof/>
              <w:w w:val="103"/>
              <w:szCs w:val="22"/>
              <w:lang w:eastAsia="en-US"/>
            </w:rPr>
            <w:t>102</w:t>
          </w:r>
          <w:r w:rsidRPr="006F683B">
            <w:rPr>
              <w:w w:val="103"/>
              <w:szCs w:val="22"/>
              <w:lang w:eastAsia="en-US"/>
            </w:rPr>
            <w:fldChar w:fldCharType="end"/>
          </w:r>
          <w:r w:rsidRPr="006F683B">
            <w:rPr>
              <w:w w:val="103"/>
              <w:szCs w:val="22"/>
              <w:lang w:eastAsia="en-US"/>
            </w:rPr>
            <w:t>/</w:t>
          </w:r>
          <w:fldSimple w:instr=" NUMPAGES  \* Arabic  \* MERGEFORMAT ">
            <w:r w:rsidR="00FB2767" w:rsidRPr="006F683B">
              <w:rPr>
                <w:noProof/>
                <w:w w:val="103"/>
                <w:szCs w:val="22"/>
                <w:lang w:eastAsia="en-US"/>
              </w:rPr>
              <w:t>102</w:t>
            </w:r>
          </w:fldSimple>
        </w:p>
      </w:tc>
      <w:tc>
        <w:tcPr>
          <w:tcW w:w="5033" w:type="dxa"/>
          <w:shd w:val="clear" w:color="auto" w:fill="auto"/>
        </w:tcPr>
        <w:p w:rsidR="007218CA" w:rsidRPr="006F683B" w:rsidRDefault="007218CA" w:rsidP="007218CA">
          <w:pPr>
            <w:pStyle w:val="Footer"/>
            <w:jc w:val="right"/>
            <w:rPr>
              <w:b w:val="0"/>
              <w:w w:val="103"/>
              <w:sz w:val="14"/>
              <w:szCs w:val="22"/>
              <w:lang w:eastAsia="en-US"/>
            </w:rPr>
          </w:pPr>
          <w:fldSimple w:instr=" DOCVARIABLE &quot;FooterJN&quot; \* MERGEFORMAT ">
            <w:r w:rsidR="009A0463" w:rsidRPr="006F683B">
              <w:rPr>
                <w:b w:val="0"/>
                <w:w w:val="103"/>
                <w:sz w:val="14"/>
                <w:szCs w:val="22"/>
                <w:lang w:eastAsia="en-US"/>
              </w:rPr>
              <w:t>14-02688</w:t>
            </w:r>
          </w:fldSimple>
        </w:p>
      </w:tc>
    </w:tr>
  </w:tbl>
  <w:p w:rsidR="007218CA" w:rsidRDefault="007218CA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7218CA" w:rsidRPr="007218CA" w:rsidTr="007218C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7218CA" w:rsidRPr="006F683B" w:rsidRDefault="007218CA" w:rsidP="007218CA">
          <w:pPr>
            <w:pStyle w:val="Footer"/>
            <w:rPr>
              <w:b w:val="0"/>
              <w:w w:val="103"/>
              <w:sz w:val="14"/>
              <w:szCs w:val="22"/>
              <w:lang w:eastAsia="en-US"/>
            </w:rPr>
          </w:pPr>
          <w:fldSimple w:instr=" DOCVARIABLE &quot;FooterJN&quot; \* MERGEFORMAT ">
            <w:r w:rsidR="009A0463" w:rsidRPr="006F683B">
              <w:rPr>
                <w:b w:val="0"/>
                <w:w w:val="103"/>
                <w:sz w:val="14"/>
                <w:szCs w:val="22"/>
                <w:lang w:eastAsia="en-US"/>
              </w:rPr>
              <w:t>14-02688</w:t>
            </w:r>
          </w:fldSimple>
        </w:p>
      </w:tc>
      <w:tc>
        <w:tcPr>
          <w:tcW w:w="5033" w:type="dxa"/>
          <w:shd w:val="clear" w:color="auto" w:fill="auto"/>
        </w:tcPr>
        <w:p w:rsidR="007218CA" w:rsidRPr="006F683B" w:rsidRDefault="007218CA" w:rsidP="007218CA">
          <w:pPr>
            <w:pStyle w:val="Footer"/>
            <w:jc w:val="right"/>
            <w:rPr>
              <w:w w:val="103"/>
              <w:szCs w:val="22"/>
              <w:lang w:eastAsia="en-US"/>
            </w:rPr>
          </w:pPr>
          <w:r w:rsidRPr="006F683B">
            <w:rPr>
              <w:w w:val="103"/>
              <w:szCs w:val="22"/>
              <w:lang w:eastAsia="en-US"/>
            </w:rPr>
            <w:fldChar w:fldCharType="begin"/>
          </w:r>
          <w:r w:rsidRPr="006F683B">
            <w:rPr>
              <w:w w:val="103"/>
              <w:szCs w:val="22"/>
              <w:lang w:eastAsia="en-US"/>
            </w:rPr>
            <w:instrText xml:space="preserve"> PAGE  \* Arabic  \* MERGEFORMAT </w:instrText>
          </w:r>
          <w:r w:rsidRPr="006F683B">
            <w:rPr>
              <w:w w:val="103"/>
              <w:szCs w:val="22"/>
              <w:lang w:eastAsia="en-US"/>
            </w:rPr>
            <w:fldChar w:fldCharType="separate"/>
          </w:r>
          <w:r w:rsidR="00FB2767" w:rsidRPr="006F683B">
            <w:rPr>
              <w:noProof/>
              <w:w w:val="103"/>
              <w:szCs w:val="22"/>
              <w:lang w:eastAsia="en-US"/>
            </w:rPr>
            <w:t>101</w:t>
          </w:r>
          <w:r w:rsidRPr="006F683B">
            <w:rPr>
              <w:w w:val="103"/>
              <w:szCs w:val="22"/>
              <w:lang w:eastAsia="en-US"/>
            </w:rPr>
            <w:fldChar w:fldCharType="end"/>
          </w:r>
          <w:r w:rsidRPr="006F683B">
            <w:rPr>
              <w:w w:val="103"/>
              <w:szCs w:val="22"/>
              <w:lang w:eastAsia="en-US"/>
            </w:rPr>
            <w:t>/</w:t>
          </w:r>
          <w:fldSimple w:instr=" NUMPAGES  \* Arabic  \* MERGEFORMAT ">
            <w:r w:rsidR="00FB2767" w:rsidRPr="006F683B">
              <w:rPr>
                <w:noProof/>
                <w:w w:val="103"/>
                <w:szCs w:val="22"/>
                <w:lang w:eastAsia="en-US"/>
              </w:rPr>
              <w:t>102</w:t>
            </w:r>
          </w:fldSimple>
        </w:p>
      </w:tc>
    </w:tr>
  </w:tbl>
  <w:p w:rsidR="007218CA" w:rsidRDefault="00721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12" w:rsidRPr="00C62420" w:rsidRDefault="00EA0412" w:rsidP="00C62420">
      <w:pPr>
        <w:pStyle w:val="Footer"/>
        <w:spacing w:after="80"/>
        <w:ind w:left="792"/>
        <w:rPr>
          <w:sz w:val="16"/>
        </w:rPr>
      </w:pPr>
      <w:r w:rsidRPr="00C62420">
        <w:rPr>
          <w:sz w:val="16"/>
        </w:rPr>
        <w:t>__________________</w:t>
      </w:r>
    </w:p>
  </w:footnote>
  <w:footnote w:type="continuationSeparator" w:id="0">
    <w:p w:rsidR="00EA0412" w:rsidRPr="00C62420" w:rsidRDefault="00EA0412" w:rsidP="00C62420">
      <w:pPr>
        <w:pStyle w:val="Footer"/>
        <w:spacing w:after="80"/>
        <w:ind w:left="792"/>
        <w:rPr>
          <w:sz w:val="16"/>
        </w:rPr>
      </w:pPr>
      <w:r w:rsidRPr="00C62420">
        <w:rPr>
          <w:sz w:val="16"/>
        </w:rPr>
        <w:t>__________________</w:t>
      </w:r>
    </w:p>
  </w:footnote>
  <w:footnote w:id="1">
    <w:p w:rsidR="0039550E" w:rsidRPr="008F0BDA" w:rsidRDefault="0039550E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8F0BDA">
        <w:rPr>
          <w:lang w:val="en-US"/>
        </w:rPr>
        <w:tab/>
        <w:t xml:space="preserve">United Nations, </w:t>
      </w:r>
      <w:r w:rsidRPr="008F0BDA">
        <w:rPr>
          <w:i/>
          <w:iCs/>
          <w:lang w:val="en-US"/>
        </w:rPr>
        <w:t>Treaty Series</w:t>
      </w:r>
      <w:r w:rsidRPr="008F0BDA">
        <w:rPr>
          <w:lang w:val="en-US"/>
        </w:rPr>
        <w:t>, vol. 1249, No. 20378.</w:t>
      </w:r>
    </w:p>
  </w:footnote>
  <w:footnote w:id="2">
    <w:p w:rsidR="0039550E" w:rsidRDefault="0039550E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9550E">
        <w:rPr>
          <w:lang w:val="en-US"/>
        </w:rPr>
        <w:tab/>
      </w:r>
      <w:r>
        <w:rPr>
          <w:rStyle w:val="FootnoteReference"/>
        </w:rPr>
        <w:footnoteRef/>
      </w:r>
      <w:r>
        <w:tab/>
      </w:r>
      <w:r w:rsidRPr="008F0BDA">
        <w:rPr>
          <w:lang w:val="en-GB"/>
        </w:rPr>
        <w:t>Ibid., vol. 2131, No. 20378.</w:t>
      </w:r>
    </w:p>
  </w:footnote>
  <w:footnote w:id="3">
    <w:p w:rsidR="00F449B5" w:rsidRDefault="00F449B5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E186F">
        <w:t xml:space="preserve">Текст общей рекомендации № 30 размещен на веб-сайте </w:t>
      </w:r>
      <w:r>
        <w:t>Системы официальной</w:t>
      </w:r>
      <w:r w:rsidRPr="00FE186F">
        <w:t xml:space="preserve"> документ</w:t>
      </w:r>
      <w:r>
        <w:t>ации</w:t>
      </w:r>
      <w:r w:rsidRPr="00FE186F">
        <w:t xml:space="preserve"> Организации Объединенных Наций (http://documents.un.org) под </w:t>
      </w:r>
      <w:r>
        <w:t xml:space="preserve">условным обозначением </w:t>
      </w:r>
      <w:r w:rsidRPr="00FE186F">
        <w:t>CEDAW/C/GC/30.</w:t>
      </w:r>
    </w:p>
  </w:footnote>
  <w:footnote w:id="4">
    <w:p w:rsidR="00F449B5" w:rsidRDefault="00F449B5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5A606B">
        <w:t>Рабочая группа по сообщениям в соответствии с Факультативным протоколом провела встречу с представителями Постоянного представительства Болгарии при Организации Объединенных Наций в Женеве и обсудила вопросы последующей деятельности, касающиеся принятых мер по практической реализации сформулированных Комитетом мнений по трем делам. Присутствовавшие на встрече члены Рабочей группы охарактеризовали ее как вселяющую оптимизм. К государству-участнику была обращена просьба представить обновленную информацию по трем делам, рассматриваемым в рамках процедуры последующ</w:t>
      </w:r>
      <w:r>
        <w:t>ей деятельности</w:t>
      </w:r>
      <w:r w:rsidRPr="005A606B">
        <w:t>. Представители государства-участника сообщили Рабочей группе о важных событиях, касающихся создания национального координационного органа, уполномоченного, в частности, рассматривать индивидуальные сообщения, представляемые договорным органам, в том числе в отношении последующ</w:t>
      </w:r>
      <w:r>
        <w:t>ей деятельности</w:t>
      </w:r>
      <w:r w:rsidRPr="005A606B">
        <w:t xml:space="preserve"> в связи с мнениями договорных органов по индивидуальным сообщениям.</w:t>
      </w:r>
    </w:p>
  </w:footnote>
  <w:footnote w:id="5">
    <w:p w:rsidR="0077034C" w:rsidRDefault="0077034C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475EF">
        <w:t>Текст общей рекомендации</w:t>
      </w:r>
      <w:r>
        <w:t> </w:t>
      </w:r>
      <w:r w:rsidRPr="00B475EF">
        <w:t xml:space="preserve">№ 30 размещен на веб-сайте </w:t>
      </w:r>
      <w:r>
        <w:t xml:space="preserve">Системы </w:t>
      </w:r>
      <w:r w:rsidRPr="00B475EF">
        <w:t>официальн</w:t>
      </w:r>
      <w:r>
        <w:t>ой</w:t>
      </w:r>
      <w:r w:rsidRPr="00B475EF">
        <w:t xml:space="preserve"> документ</w:t>
      </w:r>
      <w:r>
        <w:t>ации</w:t>
      </w:r>
      <w:r w:rsidRPr="00B475EF">
        <w:t xml:space="preserve"> Организации Объединенных Наций (http://documents.un.org) с указанием условного обозначения документа CEDAW/C/GC/30.</w:t>
      </w:r>
    </w:p>
  </w:footnote>
  <w:footnote w:id="6">
    <w:p w:rsidR="0077034C" w:rsidRDefault="0077034C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475EF">
        <w:t>Из 18 присутствовавших членов 16 проголосовали за (Нур аль-Джехани, Николь Амелин, Барбара Бэйли, Олинда Барейро-Бобадилья, Хилари Гбедемах, Нала Хайдар, Руфь Гальперин-Каддари, Йоко Хаяси, Даля Лейнарте, Виолета Нойбауэр, Теодора Оби Нванкво, Прамила Паттен, Силвия Пиментел, Мария-Элена Пиреш, Бьянкамария Померанци и Патриция Шульц) и двое воздержались (На</w:t>
      </w:r>
      <w:r>
        <w:t>и</w:t>
      </w:r>
      <w:r w:rsidRPr="00B475EF">
        <w:t xml:space="preserve">ла Габр и Исмат Джахан). </w:t>
      </w:r>
      <w:r>
        <w:br/>
      </w:r>
      <w:r w:rsidRPr="00B475EF">
        <w:t>В соответствии с пунктом</w:t>
      </w:r>
      <w:r>
        <w:t> </w:t>
      </w:r>
      <w:r w:rsidRPr="00B475EF">
        <w:t>2 правила</w:t>
      </w:r>
      <w:r>
        <w:t> </w:t>
      </w:r>
      <w:r w:rsidRPr="00B475EF">
        <w:t>32 правил процедуры Комитета двое членов, воздержавшихся от голосования, считаются не голосовавшими.</w:t>
      </w:r>
    </w:p>
  </w:footnote>
  <w:footnote w:id="7">
    <w:p w:rsidR="0077034C" w:rsidRDefault="0077034C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Наила Габр.</w:t>
      </w:r>
    </w:p>
  </w:footnote>
  <w:footnote w:id="8">
    <w:p w:rsidR="0077034C" w:rsidRDefault="0077034C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475EF">
        <w:t>Николь Амелин, Барбара Бэйли, Олинда Барейро</w:t>
      </w:r>
      <w:r>
        <w:t>-</w:t>
      </w:r>
      <w:r w:rsidRPr="00B475EF">
        <w:t>Бобадилья, Хилари Гбедемах, Нала Хайдар, Руфь Гальперин-Каддари, Йоко Хаяси, Даля Лейнарте, Виолета Нойбауэр, Теодора Оби Нванкво, Прамила Паттен, Силвия Пиментел, Мария-Элена Пиреш, Бьянкамария Померанци и Патриция Шульц.</w:t>
      </w:r>
    </w:p>
  </w:footnote>
  <w:footnote w:id="9">
    <w:p w:rsidR="0077034C" w:rsidRDefault="0077034C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475EF">
        <w:rPr>
          <w:lang w:val="es-ES_tradnl"/>
        </w:rPr>
        <w:t xml:space="preserve">Нур аль-Джехани, </w:t>
      </w:r>
      <w:r w:rsidRPr="00B475EF">
        <w:t>На</w:t>
      </w:r>
      <w:r>
        <w:t>и</w:t>
      </w:r>
      <w:r w:rsidRPr="00B475EF">
        <w:t>ла Габр и Исмат Джахан</w:t>
      </w:r>
      <w:r w:rsidRPr="00B475EF">
        <w:rPr>
          <w:lang w:val="es-ES_tradnl"/>
        </w:rPr>
        <w:t>.</w:t>
      </w:r>
    </w:p>
  </w:footnote>
  <w:footnote w:id="10">
    <w:p w:rsidR="0077034C" w:rsidRDefault="0077034C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475EF">
        <w:rPr>
          <w:lang w:val="es-ES_tradnl"/>
        </w:rPr>
        <w:t>Сяоцяо Цзоу.</w:t>
      </w:r>
    </w:p>
  </w:footnote>
  <w:footnote w:id="11">
    <w:p w:rsidR="0077034C" w:rsidRDefault="0077034C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475EF">
        <w:rPr>
          <w:lang w:val="es-ES_tradnl"/>
        </w:rPr>
        <w:t xml:space="preserve">Нур аль-Джехани, </w:t>
      </w:r>
      <w:r w:rsidRPr="00B475EF">
        <w:t>На</w:t>
      </w:r>
      <w:r>
        <w:t>и</w:t>
      </w:r>
      <w:r w:rsidRPr="00B475EF">
        <w:t>ла Габр и Исмат Джахан</w:t>
      </w:r>
      <w:r w:rsidRPr="00B475EF">
        <w:rPr>
          <w:lang w:val="es-ES_tradnl"/>
        </w:rPr>
        <w:t>.</w:t>
      </w:r>
    </w:p>
  </w:footnote>
  <w:footnote w:id="12">
    <w:p w:rsidR="00B56B62" w:rsidRPr="006450F7" w:rsidRDefault="00B56B62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a</w:t>
      </w:r>
      <w:r w:rsidRPr="006450F7">
        <w:rPr>
          <w:rStyle w:val="FootnoteReference"/>
        </w:rPr>
        <w:tab/>
      </w:r>
      <w:r w:rsidRPr="006450F7">
        <w:t>Члены Комитета отметили, что на сегодняшний день рекомендации Комитета в отношении двух дел, касающихся Болгарии (№ 20/2008 и № 31/2011), не были полностью выполнены и что уже прошел срок представления ответа о последующей деятельности в связи с третьим делом (№ 32/2011). Представители государства-участника представили информацию о текущих институциональных реформах и изменениях в связи с тремя делами, находящ</w:t>
      </w:r>
      <w:r>
        <w:t>и</w:t>
      </w:r>
      <w:r w:rsidRPr="006450F7">
        <w:t>мися на последующем рассмотрении Комитетом, включая рассмотрение вопроса о выплате компенсации. Присутствовавшие на заседании члены Рабочей группы охарактеризовали его итоги как обнадеживающие. Государству-участнику было предложено представить обновленную информацию в отношении этих трех дел, включая информацию о Национальном координационном механизме (в отношении индивидуальных жалоб), до начала двадцать восьмой сессии Рабочей группы.</w:t>
      </w:r>
    </w:p>
  </w:footnote>
  <w:footnote w:id="13">
    <w:p w:rsidR="00D67408" w:rsidRPr="00F73EAF" w:rsidRDefault="00D67408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F73EAF">
        <w:rPr>
          <w:lang w:val="en-US"/>
        </w:rPr>
        <w:tab/>
      </w:r>
      <w:r>
        <w:rPr>
          <w:lang w:val="en-US"/>
        </w:rPr>
        <w:t xml:space="preserve">United Nations, </w:t>
      </w:r>
      <w:r w:rsidRPr="00F73EAF">
        <w:rPr>
          <w:i/>
          <w:lang w:val="en-US"/>
        </w:rPr>
        <w:t>Treaty Series</w:t>
      </w:r>
      <w:r>
        <w:rPr>
          <w:lang w:val="en-US"/>
        </w:rPr>
        <w:t>, vol. 1249, No. 20378.</w:t>
      </w:r>
    </w:p>
  </w:footnote>
  <w:footnote w:id="14">
    <w:p w:rsidR="00D67408" w:rsidRPr="006C1F67" w:rsidRDefault="00D67408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D67408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Там же, </w:t>
      </w:r>
      <w:r>
        <w:rPr>
          <w:lang w:val="en-US"/>
        </w:rPr>
        <w:t xml:space="preserve">vol. 2131, No. 20378. </w:t>
      </w:r>
    </w:p>
  </w:footnote>
  <w:footnote w:id="15">
    <w:p w:rsidR="00236FCB" w:rsidRPr="002327C3" w:rsidRDefault="00236FCB" w:rsidP="00C624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D5EF9">
        <w:tab/>
      </w:r>
      <w:r>
        <w:rPr>
          <w:rStyle w:val="FootnoteReference"/>
        </w:rPr>
        <w:footnoteRef/>
      </w:r>
      <w:r>
        <w:tab/>
        <w:t xml:space="preserve">В ходе пятьдесят седьмой сессии Председатель Рабочей группы Комитета по сообщениям в соответствии с Факультативным протоколом Йоко Хаяси и Олинда Барейро-Бобадилья провели два заседания для обсуждения последующей </w:t>
      </w:r>
      <w:r w:rsidRPr="00CE2E77">
        <w:t>деятельности</w:t>
      </w:r>
      <w:r>
        <w:t xml:space="preserve"> в отношении индивидуальных сообщений с постоянными представителями Бразилии и Беларуси при Отделении Организации Объединенных Наций в Женеве 21 и 28 февраля 2014 года, соответственно. В ходе этих заседаний постоянные представители предоставили членам Комитета обновленную информацию о последних позитивных мерах, принятых для осуществления рекомендаций, содержащихся в мнениях Комитета о сообщениях № 17/2008 (</w:t>
      </w:r>
      <w:r w:rsidRPr="00941479">
        <w:rPr>
          <w:i/>
        </w:rPr>
        <w:t>Мария да Лурдеш да Силва Пиментел против Бразилии</w:t>
      </w:r>
      <w:r>
        <w:t>) и № 23/2011</w:t>
      </w:r>
      <w:r>
        <w:br/>
        <w:t>(</w:t>
      </w:r>
      <w:r w:rsidRPr="00941479">
        <w:rPr>
          <w:i/>
        </w:rPr>
        <w:t>Инга Абрамова против Беларуси</w:t>
      </w:r>
      <w:r>
        <w:t xml:space="preserve">), соответственно. </w:t>
      </w:r>
    </w:p>
  </w:footnote>
  <w:footnote w:id="16">
    <w:p w:rsidR="00236FCB" w:rsidRPr="002D456D" w:rsidRDefault="00236FCB" w:rsidP="00C62420">
      <w:pPr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/>
        <w:spacing w:line="210" w:lineRule="exact"/>
        <w:ind w:left="1267" w:right="1260" w:hanging="432"/>
      </w:pPr>
      <w:r w:rsidRPr="0064683A">
        <w:tab/>
      </w:r>
      <w:r>
        <w:rPr>
          <w:rStyle w:val="FootnoteReference"/>
        </w:rPr>
        <w:footnoteRef/>
      </w:r>
      <w:r>
        <w:tab/>
      </w:r>
      <w:r w:rsidRPr="00E04769">
        <w:rPr>
          <w:spacing w:val="5"/>
          <w:w w:val="104"/>
          <w:sz w:val="17"/>
          <w:szCs w:val="20"/>
        </w:rPr>
        <w:t>2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июня 2008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 xml:space="preserve">года Комитет в соответствии со статьей 8 Факультативного протокола получил совместное </w:t>
      </w:r>
      <w:r>
        <w:rPr>
          <w:spacing w:val="5"/>
          <w:w w:val="104"/>
          <w:sz w:val="17"/>
          <w:szCs w:val="20"/>
        </w:rPr>
        <w:t xml:space="preserve">сообщение </w:t>
      </w:r>
      <w:r w:rsidRPr="00E04769">
        <w:rPr>
          <w:spacing w:val="5"/>
          <w:w w:val="104"/>
          <w:sz w:val="17"/>
          <w:szCs w:val="20"/>
        </w:rPr>
        <w:t>от трех неправительственных организаций о серьезных и систематических нарушениях прав, предусмотренных Конвенцией, в Филиппинах, а именно о предполагаемой неспособности государства-участника предоставить женщинам в Маниле услуги по охране сексуального и репродуктивного здоровья, результатом чего являются ненужные и предотвратимые смерти матерей, незапланированные и нежелательные беременности и небезопасные аборты. На своей сорок второй сессии, про</w:t>
      </w:r>
      <w:r>
        <w:rPr>
          <w:spacing w:val="5"/>
          <w:w w:val="104"/>
          <w:sz w:val="17"/>
          <w:szCs w:val="20"/>
        </w:rPr>
        <w:t>ходившей</w:t>
      </w:r>
      <w:r w:rsidRPr="00E04769">
        <w:rPr>
          <w:spacing w:val="5"/>
          <w:w w:val="104"/>
          <w:sz w:val="17"/>
          <w:szCs w:val="20"/>
        </w:rPr>
        <w:t xml:space="preserve"> 20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октября</w:t>
      </w:r>
      <w:r>
        <w:rPr>
          <w:spacing w:val="5"/>
          <w:w w:val="104"/>
          <w:sz w:val="17"/>
          <w:szCs w:val="20"/>
        </w:rPr>
        <w:t xml:space="preserve"> — </w:t>
      </w:r>
      <w:r w:rsidRPr="00E04769">
        <w:rPr>
          <w:spacing w:val="5"/>
          <w:w w:val="104"/>
          <w:sz w:val="17"/>
          <w:szCs w:val="20"/>
        </w:rPr>
        <w:t>7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ноября 2008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года, Комитет, исходя из предварительной оценки полученной информации, постановил препроводить информацию государству-участнику и просить его представить свои замечания в отношении этой информации к 15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марта 2009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года в соответствии с пунктом 1 статьи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8 Факультативного протокола. 5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ноября 2009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года государство-участник представило Комитету свои замечания. На своей сорок пятой сессии, про</w:t>
      </w:r>
      <w:r>
        <w:rPr>
          <w:spacing w:val="5"/>
          <w:w w:val="104"/>
          <w:sz w:val="17"/>
          <w:szCs w:val="20"/>
        </w:rPr>
        <w:t>ходившей</w:t>
      </w:r>
      <w:r w:rsidRPr="00E04769">
        <w:rPr>
          <w:spacing w:val="5"/>
          <w:w w:val="104"/>
          <w:sz w:val="17"/>
          <w:szCs w:val="20"/>
        </w:rPr>
        <w:t xml:space="preserve"> 18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января</w:t>
      </w:r>
      <w:r>
        <w:rPr>
          <w:spacing w:val="5"/>
          <w:w w:val="104"/>
          <w:sz w:val="17"/>
          <w:szCs w:val="20"/>
        </w:rPr>
        <w:t xml:space="preserve"> — </w:t>
      </w:r>
      <w:r w:rsidRPr="00E04769">
        <w:rPr>
          <w:spacing w:val="5"/>
          <w:w w:val="104"/>
          <w:sz w:val="17"/>
          <w:szCs w:val="20"/>
        </w:rPr>
        <w:t>5 февраля 2010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года, Комитет, опираясь на имеющуюся в его распоряжении информацию, постановил начать расследование. На своей сорок шестой сессии, про</w:t>
      </w:r>
      <w:r>
        <w:rPr>
          <w:spacing w:val="5"/>
          <w:w w:val="104"/>
          <w:sz w:val="17"/>
          <w:szCs w:val="20"/>
        </w:rPr>
        <w:t>ходившей</w:t>
      </w:r>
      <w:r w:rsidRPr="00E04769">
        <w:rPr>
          <w:spacing w:val="5"/>
          <w:w w:val="104"/>
          <w:sz w:val="17"/>
          <w:szCs w:val="20"/>
        </w:rPr>
        <w:t xml:space="preserve"> 12</w:t>
      </w:r>
      <w:r>
        <w:rPr>
          <w:spacing w:val="5"/>
          <w:w w:val="104"/>
          <w:sz w:val="17"/>
          <w:szCs w:val="20"/>
        </w:rPr>
        <w:t>–</w:t>
      </w:r>
      <w:r w:rsidRPr="00E04769">
        <w:rPr>
          <w:spacing w:val="5"/>
          <w:w w:val="104"/>
          <w:sz w:val="17"/>
          <w:szCs w:val="20"/>
        </w:rPr>
        <w:t>30 июля 2010 года, Комитет назначил двух своих членов, Виолету Нойбауэр и Прамилу Паттен, для проведения расследования в соответствии с пунктом 2 статьи 8 Факультативного протокола и правилом 84 правил процедуры Комитета. Назначенные члены с согласия государства-участника совершили поездку на территорию государства-участника в период с 19 по 23 ноября 2012 года. На своей пятьдесят шестой сессии, про</w:t>
      </w:r>
      <w:r>
        <w:rPr>
          <w:spacing w:val="5"/>
          <w:w w:val="104"/>
          <w:sz w:val="17"/>
          <w:szCs w:val="20"/>
        </w:rPr>
        <w:t>ходившей</w:t>
      </w:r>
      <w:r w:rsidRPr="00E04769">
        <w:rPr>
          <w:spacing w:val="5"/>
          <w:w w:val="104"/>
          <w:sz w:val="17"/>
          <w:szCs w:val="20"/>
        </w:rPr>
        <w:t xml:space="preserve"> 30 сентября</w:t>
      </w:r>
      <w:r>
        <w:rPr>
          <w:spacing w:val="5"/>
          <w:w w:val="104"/>
          <w:sz w:val="17"/>
          <w:szCs w:val="20"/>
        </w:rPr>
        <w:t xml:space="preserve"> — </w:t>
      </w:r>
      <w:r w:rsidRPr="00E04769">
        <w:rPr>
          <w:spacing w:val="5"/>
          <w:w w:val="104"/>
          <w:sz w:val="17"/>
          <w:szCs w:val="20"/>
        </w:rPr>
        <w:t>18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октября 2013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года, Комитет утвердил выводы, сделанные в ходе расследования, которые были препровождены государству-участнику 25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сентября 2013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года в соответствии с пунктом 3</w:t>
      </w:r>
      <w:r>
        <w:rPr>
          <w:spacing w:val="5"/>
          <w:w w:val="104"/>
          <w:sz w:val="17"/>
          <w:szCs w:val="20"/>
        </w:rPr>
        <w:t xml:space="preserve"> </w:t>
      </w:r>
      <w:r w:rsidRPr="00E04769">
        <w:rPr>
          <w:spacing w:val="5"/>
          <w:w w:val="104"/>
          <w:sz w:val="17"/>
          <w:szCs w:val="20"/>
        </w:rPr>
        <w:t>статьи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8 Факультативного протокола. Комитет предложил государству-участнику представить свои замечания относительно этих выводов в течение шести месяцев согласно пункту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4 статьи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8 Факультативного протокола. По истечении шестимесячного периода 26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марта 2014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года такие замечания представлены не были. В своей вербальной ноте от 28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>марта 2014</w:t>
      </w:r>
      <w:r>
        <w:rPr>
          <w:spacing w:val="5"/>
          <w:w w:val="104"/>
          <w:sz w:val="17"/>
          <w:szCs w:val="20"/>
        </w:rPr>
        <w:t> </w:t>
      </w:r>
      <w:r w:rsidRPr="00E04769">
        <w:rPr>
          <w:spacing w:val="5"/>
          <w:w w:val="104"/>
          <w:sz w:val="17"/>
          <w:szCs w:val="20"/>
        </w:rPr>
        <w:t xml:space="preserve">года государство-участник просило продлить шестимесячный срок представления замечаний о выводах работы Комитета.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F0" w:rsidRDefault="00F301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9850"/>
    </w:tblGrid>
    <w:tr w:rsidR="007218CA" w:rsidRPr="007218CA" w:rsidTr="007218CA">
      <w:tblPrEx>
        <w:tblCellMar>
          <w:top w:w="0" w:type="dxa"/>
          <w:bottom w:w="0" w:type="dxa"/>
        </w:tblCellMar>
      </w:tblPrEx>
      <w:trPr>
        <w:trHeight w:hRule="exact" w:val="1008"/>
      </w:trPr>
      <w:tc>
        <w:tcPr>
          <w:tcW w:w="9850" w:type="dxa"/>
          <w:tcBorders>
            <w:bottom w:val="nil"/>
          </w:tcBorders>
          <w:shd w:val="clear" w:color="auto" w:fill="auto"/>
          <w:vAlign w:val="bottom"/>
        </w:tcPr>
        <w:p w:rsidR="007218CA" w:rsidRPr="006F683B" w:rsidRDefault="007218CA" w:rsidP="007218CA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</w:p>
      </w:tc>
    </w:tr>
  </w:tbl>
  <w:p w:rsidR="007218CA" w:rsidRDefault="007218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F0" w:rsidRDefault="00F301F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9850"/>
    </w:tblGrid>
    <w:tr w:rsidR="007218CA" w:rsidRPr="007218CA" w:rsidTr="007218CA">
      <w:tblPrEx>
        <w:tblCellMar>
          <w:top w:w="0" w:type="dxa"/>
          <w:bottom w:w="0" w:type="dxa"/>
        </w:tblCellMar>
      </w:tblPrEx>
      <w:trPr>
        <w:trHeight w:hRule="exact" w:val="1008"/>
      </w:trPr>
      <w:tc>
        <w:tcPr>
          <w:tcW w:w="9850" w:type="dxa"/>
          <w:shd w:val="clear" w:color="auto" w:fill="auto"/>
          <w:vAlign w:val="bottom"/>
        </w:tcPr>
        <w:p w:rsidR="007218CA" w:rsidRPr="006F683B" w:rsidRDefault="007218CA" w:rsidP="007218CA">
          <w:pPr>
            <w:pStyle w:val="Header"/>
            <w:spacing w:after="80"/>
            <w:rPr>
              <w:b/>
              <w:szCs w:val="22"/>
              <w:lang w:eastAsia="en-US"/>
            </w:rPr>
          </w:pPr>
        </w:p>
      </w:tc>
    </w:tr>
  </w:tbl>
  <w:p w:rsidR="007218CA" w:rsidRDefault="007218C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9850"/>
    </w:tblGrid>
    <w:tr w:rsidR="007218CA" w:rsidRPr="007218CA" w:rsidTr="007218CA">
      <w:tblPrEx>
        <w:tblCellMar>
          <w:top w:w="0" w:type="dxa"/>
          <w:bottom w:w="0" w:type="dxa"/>
        </w:tblCellMar>
      </w:tblPrEx>
      <w:trPr>
        <w:trHeight w:hRule="exact" w:val="1008"/>
      </w:trPr>
      <w:tc>
        <w:tcPr>
          <w:tcW w:w="9850" w:type="dxa"/>
          <w:shd w:val="clear" w:color="auto" w:fill="auto"/>
          <w:vAlign w:val="bottom"/>
        </w:tcPr>
        <w:p w:rsidR="007218CA" w:rsidRPr="006F683B" w:rsidRDefault="007218CA" w:rsidP="007218CA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</w:p>
      </w:tc>
    </w:tr>
  </w:tbl>
  <w:p w:rsidR="007218CA" w:rsidRDefault="007218C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7218CA" w:rsidTr="007218C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218CA" w:rsidRPr="006F683B" w:rsidRDefault="007218CA" w:rsidP="007218CA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9A0463" w:rsidRPr="006F683B">
              <w:rPr>
                <w:b/>
                <w:szCs w:val="22"/>
                <w:lang w:eastAsia="en-US"/>
              </w:rPr>
              <w:t>A/69/38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7218CA" w:rsidRPr="006F683B" w:rsidRDefault="007218CA" w:rsidP="007218CA">
          <w:pPr>
            <w:pStyle w:val="Header"/>
            <w:rPr>
              <w:szCs w:val="22"/>
              <w:lang w:eastAsia="en-US"/>
            </w:rPr>
          </w:pPr>
        </w:p>
      </w:tc>
    </w:tr>
  </w:tbl>
  <w:p w:rsidR="007218CA" w:rsidRPr="007218CA" w:rsidRDefault="007218CA" w:rsidP="007218C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7218CA" w:rsidTr="007218C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218CA" w:rsidRPr="006F683B" w:rsidRDefault="007218CA" w:rsidP="007218CA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7218CA" w:rsidRPr="006F683B" w:rsidRDefault="007218CA" w:rsidP="007218CA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9A0463" w:rsidRPr="006F683B">
              <w:rPr>
                <w:b/>
                <w:szCs w:val="22"/>
                <w:lang w:eastAsia="en-US"/>
              </w:rPr>
              <w:t>A/69/38</w:t>
            </w:r>
          </w:fldSimple>
        </w:p>
      </w:tc>
    </w:tr>
  </w:tbl>
  <w:p w:rsidR="007218CA" w:rsidRPr="007218CA" w:rsidRDefault="007218CA" w:rsidP="00721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214E592E"/>
    <w:multiLevelType w:val="multilevel"/>
    <w:tmpl w:val="87D218A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2B33094F"/>
    <w:multiLevelType w:val="multilevel"/>
    <w:tmpl w:val="557E51B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B52BC"/>
    <w:multiLevelType w:val="multilevel"/>
    <w:tmpl w:val="F94EE5D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0">
    <w:nsid w:val="4F220723"/>
    <w:multiLevelType w:val="multilevel"/>
    <w:tmpl w:val="8758C7C0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61414FEA"/>
    <w:multiLevelType w:val="multilevel"/>
    <w:tmpl w:val="81C04BF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2">
    <w:nsid w:val="75742180"/>
    <w:multiLevelType w:val="multilevel"/>
    <w:tmpl w:val="0A1C2B6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02688*"/>
    <w:docVar w:name="CreationDt" w:val="05/06/2014 8:55: AM"/>
    <w:docVar w:name="DocCategory" w:val="Doc"/>
    <w:docVar w:name="DocType" w:val="Final"/>
    <w:docVar w:name="FooterJN" w:val="14-02688"/>
    <w:docVar w:name="jobn" w:val="14-02688 (R)"/>
    <w:docVar w:name="jobnDT" w:val="14-02688 (R)   050614"/>
    <w:docVar w:name="jobnDTDT" w:val="14-02688 (R)   050614   050614"/>
    <w:docVar w:name="JobNo" w:val="1402688R"/>
    <w:docVar w:name="JobNo2" w:val="1428458R"/>
    <w:docVar w:name="OandT" w:val=" "/>
    <w:docVar w:name="sss1" w:val="A/69/38"/>
    <w:docVar w:name="sss2" w:val="-"/>
    <w:docVar w:name="Symbol1" w:val="A/69/38"/>
    <w:docVar w:name="Symbol2" w:val="-"/>
  </w:docVars>
  <w:rsids>
    <w:rsidRoot w:val="00736049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71636"/>
    <w:rsid w:val="00074D98"/>
    <w:rsid w:val="000A111E"/>
    <w:rsid w:val="000A6390"/>
    <w:rsid w:val="000C370F"/>
    <w:rsid w:val="000C67BC"/>
    <w:rsid w:val="000E4411"/>
    <w:rsid w:val="000F1ACD"/>
    <w:rsid w:val="000F2089"/>
    <w:rsid w:val="000F4CB5"/>
    <w:rsid w:val="000F5D07"/>
    <w:rsid w:val="00105B0E"/>
    <w:rsid w:val="00107E7A"/>
    <w:rsid w:val="00140676"/>
    <w:rsid w:val="001444A3"/>
    <w:rsid w:val="00146C5E"/>
    <w:rsid w:val="00153645"/>
    <w:rsid w:val="00153E8C"/>
    <w:rsid w:val="00162E88"/>
    <w:rsid w:val="001726A4"/>
    <w:rsid w:val="00177361"/>
    <w:rsid w:val="00183E69"/>
    <w:rsid w:val="001A353E"/>
    <w:rsid w:val="001A39EE"/>
    <w:rsid w:val="001A6777"/>
    <w:rsid w:val="001C54CE"/>
    <w:rsid w:val="001D1749"/>
    <w:rsid w:val="001E25A2"/>
    <w:rsid w:val="001E61AD"/>
    <w:rsid w:val="00211A7E"/>
    <w:rsid w:val="00217A24"/>
    <w:rsid w:val="00223C57"/>
    <w:rsid w:val="00225FDB"/>
    <w:rsid w:val="002315B1"/>
    <w:rsid w:val="0023647C"/>
    <w:rsid w:val="00236FCB"/>
    <w:rsid w:val="002535D8"/>
    <w:rsid w:val="00254046"/>
    <w:rsid w:val="00261386"/>
    <w:rsid w:val="00261C41"/>
    <w:rsid w:val="00264A43"/>
    <w:rsid w:val="00277697"/>
    <w:rsid w:val="00286B20"/>
    <w:rsid w:val="002B263E"/>
    <w:rsid w:val="002B6E2A"/>
    <w:rsid w:val="002C15FD"/>
    <w:rsid w:val="002C66D0"/>
    <w:rsid w:val="002D4606"/>
    <w:rsid w:val="002E1F79"/>
    <w:rsid w:val="002F5C45"/>
    <w:rsid w:val="002F6149"/>
    <w:rsid w:val="00326EF4"/>
    <w:rsid w:val="00326F5F"/>
    <w:rsid w:val="00337D91"/>
    <w:rsid w:val="00345A16"/>
    <w:rsid w:val="00350756"/>
    <w:rsid w:val="003658B0"/>
    <w:rsid w:val="00390293"/>
    <w:rsid w:val="0039505F"/>
    <w:rsid w:val="0039550E"/>
    <w:rsid w:val="003A150E"/>
    <w:rsid w:val="003C2842"/>
    <w:rsid w:val="003D0825"/>
    <w:rsid w:val="003D2003"/>
    <w:rsid w:val="003D5DA2"/>
    <w:rsid w:val="003E5193"/>
    <w:rsid w:val="00427FE5"/>
    <w:rsid w:val="00433222"/>
    <w:rsid w:val="00436F13"/>
    <w:rsid w:val="004420FB"/>
    <w:rsid w:val="004504A6"/>
    <w:rsid w:val="00460D23"/>
    <w:rsid w:val="004645DD"/>
    <w:rsid w:val="00487989"/>
    <w:rsid w:val="004A7499"/>
    <w:rsid w:val="004B1314"/>
    <w:rsid w:val="004D275F"/>
    <w:rsid w:val="004D379F"/>
    <w:rsid w:val="004D656E"/>
    <w:rsid w:val="004E6443"/>
    <w:rsid w:val="00507D9B"/>
    <w:rsid w:val="005121DC"/>
    <w:rsid w:val="00513113"/>
    <w:rsid w:val="00515869"/>
    <w:rsid w:val="005214BA"/>
    <w:rsid w:val="00524A24"/>
    <w:rsid w:val="00526E12"/>
    <w:rsid w:val="00533411"/>
    <w:rsid w:val="00537DDC"/>
    <w:rsid w:val="0054563F"/>
    <w:rsid w:val="005469E1"/>
    <w:rsid w:val="00552E08"/>
    <w:rsid w:val="0056579C"/>
    <w:rsid w:val="00566811"/>
    <w:rsid w:val="00567706"/>
    <w:rsid w:val="005734C2"/>
    <w:rsid w:val="00574AA1"/>
    <w:rsid w:val="00590EDF"/>
    <w:rsid w:val="005933CB"/>
    <w:rsid w:val="005A1D01"/>
    <w:rsid w:val="005B3CA9"/>
    <w:rsid w:val="005D38B6"/>
    <w:rsid w:val="005D7642"/>
    <w:rsid w:val="005E0A46"/>
    <w:rsid w:val="005E7DCF"/>
    <w:rsid w:val="005F6E5C"/>
    <w:rsid w:val="00602F9D"/>
    <w:rsid w:val="006261A6"/>
    <w:rsid w:val="0063491E"/>
    <w:rsid w:val="00635AF8"/>
    <w:rsid w:val="00646363"/>
    <w:rsid w:val="00655212"/>
    <w:rsid w:val="00657EE4"/>
    <w:rsid w:val="00675052"/>
    <w:rsid w:val="0067514E"/>
    <w:rsid w:val="006A1698"/>
    <w:rsid w:val="006A1D06"/>
    <w:rsid w:val="006A3F10"/>
    <w:rsid w:val="006B62EA"/>
    <w:rsid w:val="006D51EA"/>
    <w:rsid w:val="006E0B6E"/>
    <w:rsid w:val="006E3471"/>
    <w:rsid w:val="006F3683"/>
    <w:rsid w:val="006F683B"/>
    <w:rsid w:val="00700738"/>
    <w:rsid w:val="00705549"/>
    <w:rsid w:val="00705F7E"/>
    <w:rsid w:val="0071210D"/>
    <w:rsid w:val="00714058"/>
    <w:rsid w:val="00716BC5"/>
    <w:rsid w:val="007218CA"/>
    <w:rsid w:val="00723115"/>
    <w:rsid w:val="00724550"/>
    <w:rsid w:val="00736049"/>
    <w:rsid w:val="00736A19"/>
    <w:rsid w:val="00745258"/>
    <w:rsid w:val="0075166A"/>
    <w:rsid w:val="0077034C"/>
    <w:rsid w:val="00781ACA"/>
    <w:rsid w:val="00787B44"/>
    <w:rsid w:val="00795A5A"/>
    <w:rsid w:val="007B098D"/>
    <w:rsid w:val="007B1DE5"/>
    <w:rsid w:val="007B5785"/>
    <w:rsid w:val="007B5CF3"/>
    <w:rsid w:val="007C62D1"/>
    <w:rsid w:val="007C706F"/>
    <w:rsid w:val="007D5D6B"/>
    <w:rsid w:val="007E0E39"/>
    <w:rsid w:val="007E2B60"/>
    <w:rsid w:val="007F6947"/>
    <w:rsid w:val="00803EC5"/>
    <w:rsid w:val="00821CE2"/>
    <w:rsid w:val="00830FF8"/>
    <w:rsid w:val="00844407"/>
    <w:rsid w:val="00853E2A"/>
    <w:rsid w:val="008541E9"/>
    <w:rsid w:val="00856EEB"/>
    <w:rsid w:val="008776BB"/>
    <w:rsid w:val="00880540"/>
    <w:rsid w:val="00881F7E"/>
    <w:rsid w:val="0088396E"/>
    <w:rsid w:val="008A1A7A"/>
    <w:rsid w:val="008B08A3"/>
    <w:rsid w:val="008B709D"/>
    <w:rsid w:val="008C6372"/>
    <w:rsid w:val="008D0CE3"/>
    <w:rsid w:val="008F12FD"/>
    <w:rsid w:val="008F13EA"/>
    <w:rsid w:val="008F1754"/>
    <w:rsid w:val="00904F3C"/>
    <w:rsid w:val="00907EDB"/>
    <w:rsid w:val="00910FE3"/>
    <w:rsid w:val="009110C5"/>
    <w:rsid w:val="00915944"/>
    <w:rsid w:val="009327BF"/>
    <w:rsid w:val="00935F33"/>
    <w:rsid w:val="009410C3"/>
    <w:rsid w:val="0094745A"/>
    <w:rsid w:val="0095649D"/>
    <w:rsid w:val="00984EE4"/>
    <w:rsid w:val="0099354F"/>
    <w:rsid w:val="009A0463"/>
    <w:rsid w:val="009B1F59"/>
    <w:rsid w:val="009B3444"/>
    <w:rsid w:val="009B5DCD"/>
    <w:rsid w:val="009D6E3D"/>
    <w:rsid w:val="009F0808"/>
    <w:rsid w:val="009F6F3E"/>
    <w:rsid w:val="00A14F1D"/>
    <w:rsid w:val="00A1703F"/>
    <w:rsid w:val="00A307DE"/>
    <w:rsid w:val="00A63339"/>
    <w:rsid w:val="00A90854"/>
    <w:rsid w:val="00A90F41"/>
    <w:rsid w:val="00A9600A"/>
    <w:rsid w:val="00A96C80"/>
    <w:rsid w:val="00AA0ABF"/>
    <w:rsid w:val="00AA27C2"/>
    <w:rsid w:val="00AD29EC"/>
    <w:rsid w:val="00AD6322"/>
    <w:rsid w:val="00AD78B1"/>
    <w:rsid w:val="00AF0B91"/>
    <w:rsid w:val="00B00D91"/>
    <w:rsid w:val="00B33139"/>
    <w:rsid w:val="00B407A7"/>
    <w:rsid w:val="00B5129B"/>
    <w:rsid w:val="00B56376"/>
    <w:rsid w:val="00B56B62"/>
    <w:rsid w:val="00B606B7"/>
    <w:rsid w:val="00B77FC0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57D73"/>
    <w:rsid w:val="00C60105"/>
    <w:rsid w:val="00C623BF"/>
    <w:rsid w:val="00C62420"/>
    <w:rsid w:val="00C70D59"/>
    <w:rsid w:val="00C7432F"/>
    <w:rsid w:val="00C77473"/>
    <w:rsid w:val="00CA2CF3"/>
    <w:rsid w:val="00CB2791"/>
    <w:rsid w:val="00CB519E"/>
    <w:rsid w:val="00CC5B37"/>
    <w:rsid w:val="00CD2ED3"/>
    <w:rsid w:val="00CD3C62"/>
    <w:rsid w:val="00CF021B"/>
    <w:rsid w:val="00CF07BE"/>
    <w:rsid w:val="00D028FF"/>
    <w:rsid w:val="00D1391B"/>
    <w:rsid w:val="00D1470E"/>
    <w:rsid w:val="00D14930"/>
    <w:rsid w:val="00D20AA4"/>
    <w:rsid w:val="00D3710A"/>
    <w:rsid w:val="00D434AF"/>
    <w:rsid w:val="00D61BB7"/>
    <w:rsid w:val="00D67408"/>
    <w:rsid w:val="00D70C05"/>
    <w:rsid w:val="00D7165D"/>
    <w:rsid w:val="00D75705"/>
    <w:rsid w:val="00D961D6"/>
    <w:rsid w:val="00D97B17"/>
    <w:rsid w:val="00DA1A4A"/>
    <w:rsid w:val="00DC1E7E"/>
    <w:rsid w:val="00DC2EB6"/>
    <w:rsid w:val="00DC7A5F"/>
    <w:rsid w:val="00DD2F5D"/>
    <w:rsid w:val="00DD6A66"/>
    <w:rsid w:val="00DF1CF0"/>
    <w:rsid w:val="00E04C73"/>
    <w:rsid w:val="00E079A3"/>
    <w:rsid w:val="00E124DF"/>
    <w:rsid w:val="00E15D7D"/>
    <w:rsid w:val="00E17234"/>
    <w:rsid w:val="00E25C89"/>
    <w:rsid w:val="00E261F5"/>
    <w:rsid w:val="00E564AB"/>
    <w:rsid w:val="00E6111E"/>
    <w:rsid w:val="00E616D0"/>
    <w:rsid w:val="00E65C07"/>
    <w:rsid w:val="00E8225E"/>
    <w:rsid w:val="00E90547"/>
    <w:rsid w:val="00E970B0"/>
    <w:rsid w:val="00EA0412"/>
    <w:rsid w:val="00EA1656"/>
    <w:rsid w:val="00EA1819"/>
    <w:rsid w:val="00EB40EE"/>
    <w:rsid w:val="00EB646E"/>
    <w:rsid w:val="00EC6F5D"/>
    <w:rsid w:val="00EF0683"/>
    <w:rsid w:val="00EF1FBD"/>
    <w:rsid w:val="00F07DDF"/>
    <w:rsid w:val="00F113C1"/>
    <w:rsid w:val="00F16256"/>
    <w:rsid w:val="00F231E8"/>
    <w:rsid w:val="00F301F0"/>
    <w:rsid w:val="00F33544"/>
    <w:rsid w:val="00F35ACF"/>
    <w:rsid w:val="00F449B5"/>
    <w:rsid w:val="00F54D9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B2767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  <w:rPr>
      <w:lang/>
    </w:r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uiPriority w:val="99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72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CA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7218CA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18CA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table" w:styleId="TableGrid">
    <w:name w:val="Table Grid"/>
    <w:basedOn w:val="TableNormal"/>
    <w:uiPriority w:val="59"/>
    <w:rsid w:val="0072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9550E"/>
    <w:rPr>
      <w:color w:val="0000FF"/>
      <w:u w:val="none"/>
    </w:rPr>
  </w:style>
  <w:style w:type="character" w:customStyle="1" w:styleId="SingleTxtChar">
    <w:name w:val="__Single Txt Char"/>
    <w:link w:val="SingleTxt"/>
    <w:locked/>
    <w:rsid w:val="00F449B5"/>
    <w:rPr>
      <w:rFonts w:ascii="Times New Roman" w:hAnsi="Times New Roman" w:cs="Times New Roman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docs.org/ru/CEDAW/PSWG/55/1" TargetMode="External"/><Relationship Id="rId117" Type="http://schemas.openxmlformats.org/officeDocument/2006/relationships/hyperlink" Target="http://undocs.org/ru/CEDAW/C/KAZ/3" TargetMode="External"/><Relationship Id="rId21" Type="http://schemas.openxmlformats.org/officeDocument/2006/relationships/footer" Target="footer6.xml"/><Relationship Id="rId42" Type="http://schemas.openxmlformats.org/officeDocument/2006/relationships/hyperlink" Target="http://undocs.org/ru/A/RES/35/201" TargetMode="External"/><Relationship Id="rId47" Type="http://schemas.openxmlformats.org/officeDocument/2006/relationships/hyperlink" Target="http://undocs.org/ru/A/RES/66/254" TargetMode="External"/><Relationship Id="rId63" Type="http://schemas.openxmlformats.org/officeDocument/2006/relationships/hyperlink" Target="http://undocs.org/ru/CEDAW/C/AND/CO/2&#8211;3" TargetMode="External"/><Relationship Id="rId68" Type="http://schemas.openxmlformats.org/officeDocument/2006/relationships/hyperlink" Target="http://undocs.org/ru/CEDAW/C/SYC/CO/1&#8211;5" TargetMode="External"/><Relationship Id="rId84" Type="http://schemas.openxmlformats.org/officeDocument/2006/relationships/hyperlink" Target="http://undocs.org/ru/CEDAW/C/KHM/4" TargetMode="External"/><Relationship Id="rId89" Type="http://schemas.openxmlformats.org/officeDocument/2006/relationships/hyperlink" Target="http://undocs.org/ru/A/67/222" TargetMode="External"/><Relationship Id="rId112" Type="http://schemas.openxmlformats.org/officeDocument/2006/relationships/hyperlink" Target="http://undocs.org/ru/CEDAW/C/BHR/3" TargetMode="External"/><Relationship Id="rId16" Type="http://schemas.openxmlformats.org/officeDocument/2006/relationships/header" Target="header5.xml"/><Relationship Id="rId107" Type="http://schemas.openxmlformats.org/officeDocument/2006/relationships/hyperlink" Target="http://undocs.org/ru/CEDAW/C/57/D/36/2012" TargetMode="External"/><Relationship Id="rId11" Type="http://schemas.openxmlformats.org/officeDocument/2006/relationships/footer" Target="footer1.xml"/><Relationship Id="rId32" Type="http://schemas.openxmlformats.org/officeDocument/2006/relationships/hyperlink" Target="http://undocs.org/ru/CEDAW/C/DOM/CO/6" TargetMode="External"/><Relationship Id="rId37" Type="http://schemas.openxmlformats.org/officeDocument/2006/relationships/hyperlink" Target="http://undocs.org/ru/CEDAW/C/CZE/CO/5/Add.1" TargetMode="External"/><Relationship Id="rId53" Type="http://schemas.openxmlformats.org/officeDocument/2006/relationships/hyperlink" Target="http://undocs.org/ru/CEDAW/C/CPV/7&#8211;8" TargetMode="External"/><Relationship Id="rId58" Type="http://schemas.openxmlformats.org/officeDocument/2006/relationships/hyperlink" Target="http://undocs.org/ru/A/RES/41/201" TargetMode="External"/><Relationship Id="rId74" Type="http://schemas.openxmlformats.org/officeDocument/2006/relationships/hyperlink" Target="http://undocs.org/ru/CEDAW/C/56/D/29/2011" TargetMode="External"/><Relationship Id="rId79" Type="http://schemas.openxmlformats.org/officeDocument/2006/relationships/hyperlink" Target="http://undocs.org/ru/A/RES/54/7" TargetMode="External"/><Relationship Id="rId102" Type="http://schemas.openxmlformats.org/officeDocument/2006/relationships/hyperlink" Target="http://undocs.org/ru/CEDAW/C/ITA/CO/6/Add.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undocs.org/ru/CEDAW/C/56/1" TargetMode="External"/><Relationship Id="rId82" Type="http://schemas.openxmlformats.org/officeDocument/2006/relationships/hyperlink" Target="http://undocs.org/ru/CEDAW/C/AND/2" TargetMode="External"/><Relationship Id="rId90" Type="http://schemas.openxmlformats.org/officeDocument/2006/relationships/hyperlink" Target="http://undocs.org/ru/A/RES/34/180" TargetMode="External"/><Relationship Id="rId95" Type="http://schemas.openxmlformats.org/officeDocument/2006/relationships/hyperlink" Target="http://undocs.org/ru/CEDAW/C/CMR/CO/4" TargetMode="Externa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yperlink" Target="http://undocs.org/ru/CEDAW/C/AFG/CO/1" TargetMode="External"/><Relationship Id="rId30" Type="http://schemas.openxmlformats.org/officeDocument/2006/relationships/hyperlink" Target="http://undocs.org/ru/CEDAW/C/CUB/CO/7" TargetMode="External"/><Relationship Id="rId35" Type="http://schemas.openxmlformats.org/officeDocument/2006/relationships/hyperlink" Target="http://undocs.org/ru/CEDAW/C/ARG/CO/6/Add.1" TargetMode="External"/><Relationship Id="rId43" Type="http://schemas.openxmlformats.org/officeDocument/2006/relationships/hyperlink" Target="http://undocs.org/ru/A/RES/40/201" TargetMode="External"/><Relationship Id="rId48" Type="http://schemas.openxmlformats.org/officeDocument/2006/relationships/hyperlink" Target="http://undocs.org/ru/CEDAW/C/55/1" TargetMode="External"/><Relationship Id="rId56" Type="http://schemas.openxmlformats.org/officeDocument/2006/relationships/hyperlink" Target="http://undocs.org/ru/CEDAW/C/SRB/2&#8211;3" TargetMode="External"/><Relationship Id="rId64" Type="http://schemas.openxmlformats.org/officeDocument/2006/relationships/hyperlink" Target="http://undocs.org/ru/CEDAW/C/BEN/CO/4" TargetMode="External"/><Relationship Id="rId69" Type="http://schemas.openxmlformats.org/officeDocument/2006/relationships/hyperlink" Target="http://undocs.org/ru/CEDAW/C/TJK/CO/4&#8211;5" TargetMode="External"/><Relationship Id="rId77" Type="http://schemas.openxmlformats.org/officeDocument/2006/relationships/hyperlink" Target="http://undocs.org/ru/A/67/995" TargetMode="External"/><Relationship Id="rId100" Type="http://schemas.openxmlformats.org/officeDocument/2006/relationships/hyperlink" Target="http://undocs.org/ru/CEDAW/C/SLE/CO/6" TargetMode="External"/><Relationship Id="rId105" Type="http://schemas.openxmlformats.org/officeDocument/2006/relationships/hyperlink" Target="http://undocs.org/ru/CEDAW/C/MMR/CO/3/Add.4" TargetMode="External"/><Relationship Id="rId113" Type="http://schemas.openxmlformats.org/officeDocument/2006/relationships/hyperlink" Target="http://undocs.org/ru/CEDAW/C/CMR/4" TargetMode="External"/><Relationship Id="rId118" Type="http://schemas.openxmlformats.org/officeDocument/2006/relationships/hyperlink" Target="http://undocs.org/ru/CEDAW/C/KAZ/3" TargetMode="External"/><Relationship Id="rId8" Type="http://schemas.openxmlformats.org/officeDocument/2006/relationships/comments" Target="comments.xml"/><Relationship Id="rId51" Type="http://schemas.openxmlformats.org/officeDocument/2006/relationships/hyperlink" Target="http://undocs.org/ru/CEDAW/C/55/4" TargetMode="External"/><Relationship Id="rId72" Type="http://schemas.openxmlformats.org/officeDocument/2006/relationships/hyperlink" Target="http://undocs.org/ru/CEDAW/C/MWI/CO/6/Add.1" TargetMode="External"/><Relationship Id="rId80" Type="http://schemas.openxmlformats.org/officeDocument/2006/relationships/hyperlink" Target="http://undocs.org/ru/CEDAW/C/56/1" TargetMode="External"/><Relationship Id="rId85" Type="http://schemas.openxmlformats.org/officeDocument/2006/relationships/hyperlink" Target="http://undocs.org/ru/CEDAW/C/COL/7" TargetMode="External"/><Relationship Id="rId93" Type="http://schemas.openxmlformats.org/officeDocument/2006/relationships/hyperlink" Target="http://undocs.org/ru/CEDAW/PSWG/51/1" TargetMode="External"/><Relationship Id="rId98" Type="http://schemas.openxmlformats.org/officeDocument/2006/relationships/hyperlink" Target="http://undocs.org/ru/CEDAW/C/KAZ/CO/3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undocs.org/ru/CEDAW/C/55/1" TargetMode="External"/><Relationship Id="rId33" Type="http://schemas.openxmlformats.org/officeDocument/2006/relationships/hyperlink" Target="http://undocs.org/ru/CEDAW/C/SRB/CO/2" TargetMode="External"/><Relationship Id="rId38" Type="http://schemas.openxmlformats.org/officeDocument/2006/relationships/hyperlink" Target="http://undocs.org/ru/CEDAW/C/GTM/CO/7/Add.2" TargetMode="External"/><Relationship Id="rId46" Type="http://schemas.openxmlformats.org/officeDocument/2006/relationships/hyperlink" Target="http://undocs.org/ru/CEDAW/C/55/D/40/2012" TargetMode="External"/><Relationship Id="rId59" Type="http://schemas.openxmlformats.org/officeDocument/2006/relationships/hyperlink" Target="http://undocs.org/ru/A/RES/34/180" TargetMode="External"/><Relationship Id="rId67" Type="http://schemas.openxmlformats.org/officeDocument/2006/relationships/hyperlink" Target="http://undocs.org/ru/CEDAW/C/MDA/CO/4&#8211;5" TargetMode="External"/><Relationship Id="rId103" Type="http://schemas.openxmlformats.org/officeDocument/2006/relationships/hyperlink" Target="http://undocs.org/ru/CEDAW/C/LSO/CO/1" TargetMode="External"/><Relationship Id="rId108" Type="http://schemas.openxmlformats.org/officeDocument/2006/relationships/hyperlink" Target="http://undocs.org/ru/CEDAW/C/57/D/39/2012" TargetMode="External"/><Relationship Id="rId116" Type="http://schemas.openxmlformats.org/officeDocument/2006/relationships/hyperlink" Target="http://undocs.org/ru/CEDAW/C/KAZ/3" TargetMode="External"/><Relationship Id="rId20" Type="http://schemas.openxmlformats.org/officeDocument/2006/relationships/header" Target="header7.xml"/><Relationship Id="rId41" Type="http://schemas.openxmlformats.org/officeDocument/2006/relationships/hyperlink" Target="http://undocs.org/ru/A/RES/33/201" TargetMode="External"/><Relationship Id="rId54" Type="http://schemas.openxmlformats.org/officeDocument/2006/relationships/hyperlink" Target="http://undocs.org/ru/CEDAW/C/CUB/7&#8211;8" TargetMode="External"/><Relationship Id="rId62" Type="http://schemas.openxmlformats.org/officeDocument/2006/relationships/hyperlink" Target="http://undocs.org/ru/CEDAW/PSWG/56/1" TargetMode="External"/><Relationship Id="rId70" Type="http://schemas.openxmlformats.org/officeDocument/2006/relationships/hyperlink" Target="http://undocs.org/ru/CEDAW/C/BTN/CO/7/Add.1" TargetMode="External"/><Relationship Id="rId75" Type="http://schemas.openxmlformats.org/officeDocument/2006/relationships/hyperlink" Target="http://undocs.org/ru/CEDAW/C/56/D/44/2012" TargetMode="External"/><Relationship Id="rId83" Type="http://schemas.openxmlformats.org/officeDocument/2006/relationships/hyperlink" Target="http://undocs.org/ru/CEDAW/C/AND/2" TargetMode="External"/><Relationship Id="rId88" Type="http://schemas.openxmlformats.org/officeDocument/2006/relationships/hyperlink" Target="http://undocs.org/ru/CEDAW/C/TJK/4" TargetMode="External"/><Relationship Id="rId91" Type="http://schemas.openxmlformats.org/officeDocument/2006/relationships/hyperlink" Target="http://undocs.org/ru/A/RES/54/4" TargetMode="External"/><Relationship Id="rId96" Type="http://schemas.openxmlformats.org/officeDocument/2006/relationships/hyperlink" Target="http://undocs.org/ru/CEDAW/C/FIN/CO/7" TargetMode="External"/><Relationship Id="rId111" Type="http://schemas.openxmlformats.org/officeDocument/2006/relationships/hyperlink" Target="http://undocs.org/ru/CEDAW/C/57/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http://undocs.org/ru/A/RES/34/180" TargetMode="External"/><Relationship Id="rId28" Type="http://schemas.openxmlformats.org/officeDocument/2006/relationships/hyperlink" Target="http://undocs.org/ru/CEDAW/C/BIH/CO/4" TargetMode="External"/><Relationship Id="rId36" Type="http://schemas.openxmlformats.org/officeDocument/2006/relationships/hyperlink" Target="http://undocs.org/ru/CEDAW/C/AUL/CO/7/Add.1" TargetMode="External"/><Relationship Id="rId49" Type="http://schemas.openxmlformats.org/officeDocument/2006/relationships/hyperlink" Target="http://undocs.org/ru/CEDAW/C/55/2" TargetMode="External"/><Relationship Id="rId57" Type="http://schemas.openxmlformats.org/officeDocument/2006/relationships/hyperlink" Target="http://undocs.org/ru/CEDAW/C/GBR/7" TargetMode="External"/><Relationship Id="rId106" Type="http://schemas.openxmlformats.org/officeDocument/2006/relationships/hyperlink" Target="http://undocs.org/ru/CEDAW/C/57/D/34/2011" TargetMode="External"/><Relationship Id="rId114" Type="http://schemas.openxmlformats.org/officeDocument/2006/relationships/hyperlink" Target="http://undocs.org/ru/CEDAW/C/CMR/4" TargetMode="External"/><Relationship Id="rId119" Type="http://schemas.openxmlformats.org/officeDocument/2006/relationships/image" Target="media/image2.png"/><Relationship Id="rId10" Type="http://schemas.openxmlformats.org/officeDocument/2006/relationships/header" Target="header2.xml"/><Relationship Id="rId31" Type="http://schemas.openxmlformats.org/officeDocument/2006/relationships/hyperlink" Target="http://undocs.org/ru/CEDAW/C/COD/CO/6" TargetMode="External"/><Relationship Id="rId44" Type="http://schemas.openxmlformats.org/officeDocument/2006/relationships/hyperlink" Target="http://undocs.org/ru/CEDAW/C/D/33/2011" TargetMode="External"/><Relationship Id="rId52" Type="http://schemas.openxmlformats.org/officeDocument/2006/relationships/hyperlink" Target="http://undocs.org/ru/CEDAW/C/BIH/4&#8211;5" TargetMode="External"/><Relationship Id="rId60" Type="http://schemas.openxmlformats.org/officeDocument/2006/relationships/hyperlink" Target="http://undocs.org/ru/A/RES/54/4" TargetMode="External"/><Relationship Id="rId65" Type="http://schemas.openxmlformats.org/officeDocument/2006/relationships/hyperlink" Target="http://undocs.org/ru/CEDAW/C/KHM/CO/4&#8211;5" TargetMode="External"/><Relationship Id="rId73" Type="http://schemas.openxmlformats.org/officeDocument/2006/relationships/hyperlink" Target="http://undocs.org/ru/CEDAW/C/UZB/CO/4/Add.1" TargetMode="External"/><Relationship Id="rId78" Type="http://schemas.openxmlformats.org/officeDocument/2006/relationships/hyperlink" Target="http://undocs.org/ru/A/RES/68/2" TargetMode="External"/><Relationship Id="rId81" Type="http://schemas.openxmlformats.org/officeDocument/2006/relationships/hyperlink" Target="http://undocs.org/ru/CEDAW/C/56/2" TargetMode="External"/><Relationship Id="rId86" Type="http://schemas.openxmlformats.org/officeDocument/2006/relationships/hyperlink" Target="http://undocs.org/ru/CEDAW/C/MDA/4" TargetMode="External"/><Relationship Id="rId94" Type="http://schemas.openxmlformats.org/officeDocument/2006/relationships/hyperlink" Target="http://undocs.org/ru/CEDAW/C/BHR/CO/3" TargetMode="External"/><Relationship Id="rId99" Type="http://schemas.openxmlformats.org/officeDocument/2006/relationships/hyperlink" Target="http://undocs.org/ru/CEDAW/C/QAT/CO/1" TargetMode="External"/><Relationship Id="rId101" Type="http://schemas.openxmlformats.org/officeDocument/2006/relationships/hyperlink" Target="http://undocs.org/ru/CEDAW/C/BGD/CO/7/Add.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yperlink" Target="http://undocs.org/ru/CEDAW/C/JPN/CO/6/Add.2" TargetMode="External"/><Relationship Id="rId109" Type="http://schemas.openxmlformats.org/officeDocument/2006/relationships/hyperlink" Target="http://undocs.org/ru/CEDAW/C/57/1" TargetMode="External"/><Relationship Id="rId34" Type="http://schemas.openxmlformats.org/officeDocument/2006/relationships/hyperlink" Target="http://undocs.org/ru/CEDAW/C/GBR/CO/7" TargetMode="External"/><Relationship Id="rId50" Type="http://schemas.openxmlformats.org/officeDocument/2006/relationships/hyperlink" Target="http://undocs.org/ru/CEDAW/C/55/3" TargetMode="External"/><Relationship Id="rId55" Type="http://schemas.openxmlformats.org/officeDocument/2006/relationships/hyperlink" Target="http://undocs.org/ru/CEDAW/C/DOM/6&#8211;7" TargetMode="External"/><Relationship Id="rId76" Type="http://schemas.openxmlformats.org/officeDocument/2006/relationships/hyperlink" Target="http://undocs.org/ru/A/RES/66/254" TargetMode="External"/><Relationship Id="rId97" Type="http://schemas.openxmlformats.org/officeDocument/2006/relationships/hyperlink" Target="http://undocs.org/ru/CEDAW/C/IRQ/CO/4" TargetMode="External"/><Relationship Id="rId104" Type="http://schemas.openxmlformats.org/officeDocument/2006/relationships/hyperlink" Target="http://undocs.org/ru/CEDAW/C/LKA/CO/7/Add.1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undocs.org/ru/CEDAW/C/ISR/CO/4/Add.1" TargetMode="External"/><Relationship Id="rId92" Type="http://schemas.openxmlformats.org/officeDocument/2006/relationships/hyperlink" Target="http://undocs.org/ru/CEDAW/C/57/1" TargetMode="External"/><Relationship Id="rId2" Type="http://schemas.openxmlformats.org/officeDocument/2006/relationships/styles" Target="styles.xml"/><Relationship Id="rId29" Type="http://schemas.openxmlformats.org/officeDocument/2006/relationships/hyperlink" Target="http://undocs.org/ru/CEDAW/C/CPV/CO/7" TargetMode="External"/><Relationship Id="rId24" Type="http://schemas.openxmlformats.org/officeDocument/2006/relationships/hyperlink" Target="http://undocs.org/ru/A/RES/54/4" TargetMode="External"/><Relationship Id="rId40" Type="http://schemas.openxmlformats.org/officeDocument/2006/relationships/hyperlink" Target="http://undocs.org/ru/&#1040;/68/38" TargetMode="External"/><Relationship Id="rId45" Type="http://schemas.openxmlformats.org/officeDocument/2006/relationships/hyperlink" Target="http://undocs.org/ru/CEDAW/C/55/D/35/2011" TargetMode="External"/><Relationship Id="rId66" Type="http://schemas.openxmlformats.org/officeDocument/2006/relationships/hyperlink" Target="http://undocs.org/ru/CEDAW/C/COL/CO/7&#8211;8" TargetMode="External"/><Relationship Id="rId87" Type="http://schemas.openxmlformats.org/officeDocument/2006/relationships/hyperlink" Target="http://undocs.org/ru/CEDAW/C/SYC/1" TargetMode="External"/><Relationship Id="rId110" Type="http://schemas.openxmlformats.org/officeDocument/2006/relationships/hyperlink" Target="http://undocs.org/ru/CEDAW/C/57/2" TargetMode="External"/><Relationship Id="rId115" Type="http://schemas.openxmlformats.org/officeDocument/2006/relationships/hyperlink" Target="http://undocs.org/ru/CEDAW/C/IRQ/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102</Pages>
  <Words>21433</Words>
  <Characters>146389</Characters>
  <Application>Microsoft Office Outlook</Application>
  <DocSecurity>4</DocSecurity>
  <Lines>3852</Lines>
  <Paragraphs>1364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166458</CharactersWithSpaces>
  <SharedDoc>false</SharedDoc>
  <HLinks>
    <vt:vector size="576" baseType="variant">
      <vt:variant>
        <vt:i4>7209060</vt:i4>
      </vt:variant>
      <vt:variant>
        <vt:i4>285</vt:i4>
      </vt:variant>
      <vt:variant>
        <vt:i4>0</vt:i4>
      </vt:variant>
      <vt:variant>
        <vt:i4>5</vt:i4>
      </vt:variant>
      <vt:variant>
        <vt:lpwstr>http://undocs.org/ru/CEDAW/C/KAZ/3</vt:lpwstr>
      </vt:variant>
      <vt:variant>
        <vt:lpwstr/>
      </vt:variant>
      <vt:variant>
        <vt:i4>7209060</vt:i4>
      </vt:variant>
      <vt:variant>
        <vt:i4>282</vt:i4>
      </vt:variant>
      <vt:variant>
        <vt:i4>0</vt:i4>
      </vt:variant>
      <vt:variant>
        <vt:i4>5</vt:i4>
      </vt:variant>
      <vt:variant>
        <vt:lpwstr>http://undocs.org/ru/CEDAW/C/KAZ/3</vt:lpwstr>
      </vt:variant>
      <vt:variant>
        <vt:lpwstr/>
      </vt:variant>
      <vt:variant>
        <vt:i4>7209060</vt:i4>
      </vt:variant>
      <vt:variant>
        <vt:i4>279</vt:i4>
      </vt:variant>
      <vt:variant>
        <vt:i4>0</vt:i4>
      </vt:variant>
      <vt:variant>
        <vt:i4>5</vt:i4>
      </vt:variant>
      <vt:variant>
        <vt:lpwstr>http://undocs.org/ru/CEDAW/C/KAZ/3</vt:lpwstr>
      </vt:variant>
      <vt:variant>
        <vt:lpwstr/>
      </vt:variant>
      <vt:variant>
        <vt:i4>6291575</vt:i4>
      </vt:variant>
      <vt:variant>
        <vt:i4>276</vt:i4>
      </vt:variant>
      <vt:variant>
        <vt:i4>0</vt:i4>
      </vt:variant>
      <vt:variant>
        <vt:i4>5</vt:i4>
      </vt:variant>
      <vt:variant>
        <vt:lpwstr>http://undocs.org/ru/CEDAW/C/IRQ/4</vt:lpwstr>
      </vt:variant>
      <vt:variant>
        <vt:lpwstr/>
      </vt:variant>
      <vt:variant>
        <vt:i4>6881384</vt:i4>
      </vt:variant>
      <vt:variant>
        <vt:i4>273</vt:i4>
      </vt:variant>
      <vt:variant>
        <vt:i4>0</vt:i4>
      </vt:variant>
      <vt:variant>
        <vt:i4>5</vt:i4>
      </vt:variant>
      <vt:variant>
        <vt:lpwstr>http://undocs.org/ru/CEDAW/C/CMR/4</vt:lpwstr>
      </vt:variant>
      <vt:variant>
        <vt:lpwstr/>
      </vt:variant>
      <vt:variant>
        <vt:i4>6881384</vt:i4>
      </vt:variant>
      <vt:variant>
        <vt:i4>270</vt:i4>
      </vt:variant>
      <vt:variant>
        <vt:i4>0</vt:i4>
      </vt:variant>
      <vt:variant>
        <vt:i4>5</vt:i4>
      </vt:variant>
      <vt:variant>
        <vt:lpwstr>http://undocs.org/ru/CEDAW/C/CMR/4</vt:lpwstr>
      </vt:variant>
      <vt:variant>
        <vt:lpwstr/>
      </vt:variant>
      <vt:variant>
        <vt:i4>7274605</vt:i4>
      </vt:variant>
      <vt:variant>
        <vt:i4>267</vt:i4>
      </vt:variant>
      <vt:variant>
        <vt:i4>0</vt:i4>
      </vt:variant>
      <vt:variant>
        <vt:i4>5</vt:i4>
      </vt:variant>
      <vt:variant>
        <vt:lpwstr>http://undocs.org/ru/CEDAW/C/BHR/3</vt:lpwstr>
      </vt:variant>
      <vt:variant>
        <vt:lpwstr/>
      </vt:variant>
      <vt:variant>
        <vt:i4>5636125</vt:i4>
      </vt:variant>
      <vt:variant>
        <vt:i4>264</vt:i4>
      </vt:variant>
      <vt:variant>
        <vt:i4>0</vt:i4>
      </vt:variant>
      <vt:variant>
        <vt:i4>5</vt:i4>
      </vt:variant>
      <vt:variant>
        <vt:lpwstr>http://undocs.org/ru/CEDAW/C/57/3</vt:lpwstr>
      </vt:variant>
      <vt:variant>
        <vt:lpwstr/>
      </vt:variant>
      <vt:variant>
        <vt:i4>5636125</vt:i4>
      </vt:variant>
      <vt:variant>
        <vt:i4>261</vt:i4>
      </vt:variant>
      <vt:variant>
        <vt:i4>0</vt:i4>
      </vt:variant>
      <vt:variant>
        <vt:i4>5</vt:i4>
      </vt:variant>
      <vt:variant>
        <vt:lpwstr>http://undocs.org/ru/CEDAW/C/57/2</vt:lpwstr>
      </vt:variant>
      <vt:variant>
        <vt:lpwstr/>
      </vt:variant>
      <vt:variant>
        <vt:i4>5636125</vt:i4>
      </vt:variant>
      <vt:variant>
        <vt:i4>258</vt:i4>
      </vt:variant>
      <vt:variant>
        <vt:i4>0</vt:i4>
      </vt:variant>
      <vt:variant>
        <vt:i4>5</vt:i4>
      </vt:variant>
      <vt:variant>
        <vt:lpwstr>http://undocs.org/ru/CEDAW/C/57/1</vt:lpwstr>
      </vt:variant>
      <vt:variant>
        <vt:lpwstr/>
      </vt:variant>
      <vt:variant>
        <vt:i4>4390997</vt:i4>
      </vt:variant>
      <vt:variant>
        <vt:i4>255</vt:i4>
      </vt:variant>
      <vt:variant>
        <vt:i4>0</vt:i4>
      </vt:variant>
      <vt:variant>
        <vt:i4>5</vt:i4>
      </vt:variant>
      <vt:variant>
        <vt:lpwstr>http://undocs.org/ru/CEDAW/C/57/D/39/2012</vt:lpwstr>
      </vt:variant>
      <vt:variant>
        <vt:lpwstr/>
      </vt:variant>
      <vt:variant>
        <vt:i4>4980821</vt:i4>
      </vt:variant>
      <vt:variant>
        <vt:i4>252</vt:i4>
      </vt:variant>
      <vt:variant>
        <vt:i4>0</vt:i4>
      </vt:variant>
      <vt:variant>
        <vt:i4>5</vt:i4>
      </vt:variant>
      <vt:variant>
        <vt:lpwstr>http://undocs.org/ru/CEDAW/C/57/D/36/2012</vt:lpwstr>
      </vt:variant>
      <vt:variant>
        <vt:lpwstr/>
      </vt:variant>
      <vt:variant>
        <vt:i4>5111893</vt:i4>
      </vt:variant>
      <vt:variant>
        <vt:i4>249</vt:i4>
      </vt:variant>
      <vt:variant>
        <vt:i4>0</vt:i4>
      </vt:variant>
      <vt:variant>
        <vt:i4>5</vt:i4>
      </vt:variant>
      <vt:variant>
        <vt:lpwstr>http://undocs.org/ru/CEDAW/C/57/D/34/2011</vt:lpwstr>
      </vt:variant>
      <vt:variant>
        <vt:lpwstr/>
      </vt:variant>
      <vt:variant>
        <vt:i4>7995441</vt:i4>
      </vt:variant>
      <vt:variant>
        <vt:i4>246</vt:i4>
      </vt:variant>
      <vt:variant>
        <vt:i4>0</vt:i4>
      </vt:variant>
      <vt:variant>
        <vt:i4>5</vt:i4>
      </vt:variant>
      <vt:variant>
        <vt:lpwstr>http://undocs.org/ru/CEDAW/C/MMR/CO/3/Add.4</vt:lpwstr>
      </vt:variant>
      <vt:variant>
        <vt:lpwstr/>
      </vt:variant>
      <vt:variant>
        <vt:i4>6815795</vt:i4>
      </vt:variant>
      <vt:variant>
        <vt:i4>243</vt:i4>
      </vt:variant>
      <vt:variant>
        <vt:i4>0</vt:i4>
      </vt:variant>
      <vt:variant>
        <vt:i4>5</vt:i4>
      </vt:variant>
      <vt:variant>
        <vt:lpwstr>http://undocs.org/ru/CEDAW/C/LKA/CO/7/Add.1</vt:lpwstr>
      </vt:variant>
      <vt:variant>
        <vt:lpwstr/>
      </vt:variant>
      <vt:variant>
        <vt:i4>196633</vt:i4>
      </vt:variant>
      <vt:variant>
        <vt:i4>240</vt:i4>
      </vt:variant>
      <vt:variant>
        <vt:i4>0</vt:i4>
      </vt:variant>
      <vt:variant>
        <vt:i4>5</vt:i4>
      </vt:variant>
      <vt:variant>
        <vt:lpwstr>http://undocs.org/ru/CEDAW/C/LSO/CO/1</vt:lpwstr>
      </vt:variant>
      <vt:variant>
        <vt:lpwstr/>
      </vt:variant>
      <vt:variant>
        <vt:i4>7143469</vt:i4>
      </vt:variant>
      <vt:variant>
        <vt:i4>237</vt:i4>
      </vt:variant>
      <vt:variant>
        <vt:i4>0</vt:i4>
      </vt:variant>
      <vt:variant>
        <vt:i4>5</vt:i4>
      </vt:variant>
      <vt:variant>
        <vt:lpwstr>http://undocs.org/ru/CEDAW/C/ITA/CO/6/Add.1</vt:lpwstr>
      </vt:variant>
      <vt:variant>
        <vt:lpwstr/>
      </vt:variant>
      <vt:variant>
        <vt:i4>6488127</vt:i4>
      </vt:variant>
      <vt:variant>
        <vt:i4>234</vt:i4>
      </vt:variant>
      <vt:variant>
        <vt:i4>0</vt:i4>
      </vt:variant>
      <vt:variant>
        <vt:i4>5</vt:i4>
      </vt:variant>
      <vt:variant>
        <vt:lpwstr>http://undocs.org/ru/CEDAW/C/BGD/CO/7/Add.1</vt:lpwstr>
      </vt:variant>
      <vt:variant>
        <vt:lpwstr/>
      </vt:variant>
      <vt:variant>
        <vt:i4>1441798</vt:i4>
      </vt:variant>
      <vt:variant>
        <vt:i4>231</vt:i4>
      </vt:variant>
      <vt:variant>
        <vt:i4>0</vt:i4>
      </vt:variant>
      <vt:variant>
        <vt:i4>5</vt:i4>
      </vt:variant>
      <vt:variant>
        <vt:lpwstr>http://undocs.org/ru/CEDAW/C/SLE/CO/6</vt:lpwstr>
      </vt:variant>
      <vt:variant>
        <vt:lpwstr/>
      </vt:variant>
      <vt:variant>
        <vt:i4>327691</vt:i4>
      </vt:variant>
      <vt:variant>
        <vt:i4>228</vt:i4>
      </vt:variant>
      <vt:variant>
        <vt:i4>0</vt:i4>
      </vt:variant>
      <vt:variant>
        <vt:i4>5</vt:i4>
      </vt:variant>
      <vt:variant>
        <vt:lpwstr>http://undocs.org/ru/CEDAW/C/QAT/CO/1</vt:lpwstr>
      </vt:variant>
      <vt:variant>
        <vt:lpwstr/>
      </vt:variant>
      <vt:variant>
        <vt:i4>1114123</vt:i4>
      </vt:variant>
      <vt:variant>
        <vt:i4>225</vt:i4>
      </vt:variant>
      <vt:variant>
        <vt:i4>0</vt:i4>
      </vt:variant>
      <vt:variant>
        <vt:i4>5</vt:i4>
      </vt:variant>
      <vt:variant>
        <vt:lpwstr>http://undocs.org/ru/CEDAW/C/KAZ/CO/3</vt:lpwstr>
      </vt:variant>
      <vt:variant>
        <vt:lpwstr/>
      </vt:variant>
      <vt:variant>
        <vt:i4>1572888</vt:i4>
      </vt:variant>
      <vt:variant>
        <vt:i4>222</vt:i4>
      </vt:variant>
      <vt:variant>
        <vt:i4>0</vt:i4>
      </vt:variant>
      <vt:variant>
        <vt:i4>5</vt:i4>
      </vt:variant>
      <vt:variant>
        <vt:lpwstr>http://undocs.org/ru/CEDAW/C/IRQ/CO/4</vt:lpwstr>
      </vt:variant>
      <vt:variant>
        <vt:lpwstr/>
      </vt:variant>
      <vt:variant>
        <vt:i4>524291</vt:i4>
      </vt:variant>
      <vt:variant>
        <vt:i4>219</vt:i4>
      </vt:variant>
      <vt:variant>
        <vt:i4>0</vt:i4>
      </vt:variant>
      <vt:variant>
        <vt:i4>5</vt:i4>
      </vt:variant>
      <vt:variant>
        <vt:lpwstr>http://undocs.org/ru/CEDAW/C/FIN/CO/7</vt:lpwstr>
      </vt:variant>
      <vt:variant>
        <vt:lpwstr/>
      </vt:variant>
      <vt:variant>
        <vt:i4>1114119</vt:i4>
      </vt:variant>
      <vt:variant>
        <vt:i4>216</vt:i4>
      </vt:variant>
      <vt:variant>
        <vt:i4>0</vt:i4>
      </vt:variant>
      <vt:variant>
        <vt:i4>5</vt:i4>
      </vt:variant>
      <vt:variant>
        <vt:lpwstr>http://undocs.org/ru/CEDAW/C/CMR/CO/4</vt:lpwstr>
      </vt:variant>
      <vt:variant>
        <vt:lpwstr/>
      </vt:variant>
      <vt:variant>
        <vt:i4>1048578</vt:i4>
      </vt:variant>
      <vt:variant>
        <vt:i4>213</vt:i4>
      </vt:variant>
      <vt:variant>
        <vt:i4>0</vt:i4>
      </vt:variant>
      <vt:variant>
        <vt:i4>5</vt:i4>
      </vt:variant>
      <vt:variant>
        <vt:lpwstr>http://undocs.org/ru/CEDAW/C/BHR/CO/3</vt:lpwstr>
      </vt:variant>
      <vt:variant>
        <vt:lpwstr/>
      </vt:variant>
      <vt:variant>
        <vt:i4>458763</vt:i4>
      </vt:variant>
      <vt:variant>
        <vt:i4>210</vt:i4>
      </vt:variant>
      <vt:variant>
        <vt:i4>0</vt:i4>
      </vt:variant>
      <vt:variant>
        <vt:i4>5</vt:i4>
      </vt:variant>
      <vt:variant>
        <vt:lpwstr>http://undocs.org/ru/CEDAW/PSWG/51/1</vt:lpwstr>
      </vt:variant>
      <vt:variant>
        <vt:lpwstr/>
      </vt:variant>
      <vt:variant>
        <vt:i4>5636125</vt:i4>
      </vt:variant>
      <vt:variant>
        <vt:i4>207</vt:i4>
      </vt:variant>
      <vt:variant>
        <vt:i4>0</vt:i4>
      </vt:variant>
      <vt:variant>
        <vt:i4>5</vt:i4>
      </vt:variant>
      <vt:variant>
        <vt:lpwstr>http://undocs.org/ru/CEDAW/C/57/1</vt:lpwstr>
      </vt:variant>
      <vt:variant>
        <vt:lpwstr/>
      </vt:variant>
      <vt:variant>
        <vt:i4>2424959</vt:i4>
      </vt:variant>
      <vt:variant>
        <vt:i4>204</vt:i4>
      </vt:variant>
      <vt:variant>
        <vt:i4>0</vt:i4>
      </vt:variant>
      <vt:variant>
        <vt:i4>5</vt:i4>
      </vt:variant>
      <vt:variant>
        <vt:lpwstr>http://undocs.org/ru/A/RES/54/4</vt:lpwstr>
      </vt:variant>
      <vt:variant>
        <vt:lpwstr/>
      </vt:variant>
      <vt:variant>
        <vt:i4>1769550</vt:i4>
      </vt:variant>
      <vt:variant>
        <vt:i4>201</vt:i4>
      </vt:variant>
      <vt:variant>
        <vt:i4>0</vt:i4>
      </vt:variant>
      <vt:variant>
        <vt:i4>5</vt:i4>
      </vt:variant>
      <vt:variant>
        <vt:lpwstr>http://undocs.org/ru/A/RES/34/180</vt:lpwstr>
      </vt:variant>
      <vt:variant>
        <vt:lpwstr/>
      </vt:variant>
      <vt:variant>
        <vt:i4>1376260</vt:i4>
      </vt:variant>
      <vt:variant>
        <vt:i4>198</vt:i4>
      </vt:variant>
      <vt:variant>
        <vt:i4>0</vt:i4>
      </vt:variant>
      <vt:variant>
        <vt:i4>5</vt:i4>
      </vt:variant>
      <vt:variant>
        <vt:lpwstr>http://undocs.org/ru/A/67/222</vt:lpwstr>
      </vt:variant>
      <vt:variant>
        <vt:lpwstr/>
      </vt:variant>
      <vt:variant>
        <vt:i4>6750319</vt:i4>
      </vt:variant>
      <vt:variant>
        <vt:i4>195</vt:i4>
      </vt:variant>
      <vt:variant>
        <vt:i4>0</vt:i4>
      </vt:variant>
      <vt:variant>
        <vt:i4>5</vt:i4>
      </vt:variant>
      <vt:variant>
        <vt:lpwstr>http://undocs.org/ru/CEDAW/C/TJK/4</vt:lpwstr>
      </vt:variant>
      <vt:variant>
        <vt:lpwstr/>
      </vt:variant>
      <vt:variant>
        <vt:i4>7143548</vt:i4>
      </vt:variant>
      <vt:variant>
        <vt:i4>192</vt:i4>
      </vt:variant>
      <vt:variant>
        <vt:i4>0</vt:i4>
      </vt:variant>
      <vt:variant>
        <vt:i4>5</vt:i4>
      </vt:variant>
      <vt:variant>
        <vt:lpwstr>http://undocs.org/ru/CEDAW/C/SYC/1</vt:lpwstr>
      </vt:variant>
      <vt:variant>
        <vt:lpwstr/>
      </vt:variant>
      <vt:variant>
        <vt:i4>7602273</vt:i4>
      </vt:variant>
      <vt:variant>
        <vt:i4>189</vt:i4>
      </vt:variant>
      <vt:variant>
        <vt:i4>0</vt:i4>
      </vt:variant>
      <vt:variant>
        <vt:i4>5</vt:i4>
      </vt:variant>
      <vt:variant>
        <vt:lpwstr>http://undocs.org/ru/CEDAW/C/MDA/4</vt:lpwstr>
      </vt:variant>
      <vt:variant>
        <vt:lpwstr/>
      </vt:variant>
      <vt:variant>
        <vt:i4>7602282</vt:i4>
      </vt:variant>
      <vt:variant>
        <vt:i4>186</vt:i4>
      </vt:variant>
      <vt:variant>
        <vt:i4>0</vt:i4>
      </vt:variant>
      <vt:variant>
        <vt:i4>5</vt:i4>
      </vt:variant>
      <vt:variant>
        <vt:lpwstr>http://undocs.org/ru/CEDAW/C/COL/7</vt:lpwstr>
      </vt:variant>
      <vt:variant>
        <vt:lpwstr/>
      </vt:variant>
      <vt:variant>
        <vt:i4>8257645</vt:i4>
      </vt:variant>
      <vt:variant>
        <vt:i4>183</vt:i4>
      </vt:variant>
      <vt:variant>
        <vt:i4>0</vt:i4>
      </vt:variant>
      <vt:variant>
        <vt:i4>5</vt:i4>
      </vt:variant>
      <vt:variant>
        <vt:lpwstr>http://undocs.org/ru/CEDAW/C/KHM/4</vt:lpwstr>
      </vt:variant>
      <vt:variant>
        <vt:lpwstr/>
      </vt:variant>
      <vt:variant>
        <vt:i4>8061035</vt:i4>
      </vt:variant>
      <vt:variant>
        <vt:i4>180</vt:i4>
      </vt:variant>
      <vt:variant>
        <vt:i4>0</vt:i4>
      </vt:variant>
      <vt:variant>
        <vt:i4>5</vt:i4>
      </vt:variant>
      <vt:variant>
        <vt:lpwstr>http://undocs.org/ru/CEDAW/C/AND/2</vt:lpwstr>
      </vt:variant>
      <vt:variant>
        <vt:lpwstr/>
      </vt:variant>
      <vt:variant>
        <vt:i4>8061035</vt:i4>
      </vt:variant>
      <vt:variant>
        <vt:i4>177</vt:i4>
      </vt:variant>
      <vt:variant>
        <vt:i4>0</vt:i4>
      </vt:variant>
      <vt:variant>
        <vt:i4>5</vt:i4>
      </vt:variant>
      <vt:variant>
        <vt:lpwstr>http://undocs.org/ru/CEDAW/C/AND/2</vt:lpwstr>
      </vt:variant>
      <vt:variant>
        <vt:lpwstr/>
      </vt:variant>
      <vt:variant>
        <vt:i4>5636124</vt:i4>
      </vt:variant>
      <vt:variant>
        <vt:i4>174</vt:i4>
      </vt:variant>
      <vt:variant>
        <vt:i4>0</vt:i4>
      </vt:variant>
      <vt:variant>
        <vt:i4>5</vt:i4>
      </vt:variant>
      <vt:variant>
        <vt:lpwstr>http://undocs.org/ru/CEDAW/C/56/2</vt:lpwstr>
      </vt:variant>
      <vt:variant>
        <vt:lpwstr/>
      </vt:variant>
      <vt:variant>
        <vt:i4>5636124</vt:i4>
      </vt:variant>
      <vt:variant>
        <vt:i4>171</vt:i4>
      </vt:variant>
      <vt:variant>
        <vt:i4>0</vt:i4>
      </vt:variant>
      <vt:variant>
        <vt:i4>5</vt:i4>
      </vt:variant>
      <vt:variant>
        <vt:lpwstr>http://undocs.org/ru/CEDAW/C/56/1</vt:lpwstr>
      </vt:variant>
      <vt:variant>
        <vt:lpwstr/>
      </vt:variant>
      <vt:variant>
        <vt:i4>2424959</vt:i4>
      </vt:variant>
      <vt:variant>
        <vt:i4>168</vt:i4>
      </vt:variant>
      <vt:variant>
        <vt:i4>0</vt:i4>
      </vt:variant>
      <vt:variant>
        <vt:i4>5</vt:i4>
      </vt:variant>
      <vt:variant>
        <vt:lpwstr>http://undocs.org/ru/A/RES/54/7</vt:lpwstr>
      </vt:variant>
      <vt:variant>
        <vt:lpwstr/>
      </vt:variant>
      <vt:variant>
        <vt:i4>2490483</vt:i4>
      </vt:variant>
      <vt:variant>
        <vt:i4>165</vt:i4>
      </vt:variant>
      <vt:variant>
        <vt:i4>0</vt:i4>
      </vt:variant>
      <vt:variant>
        <vt:i4>5</vt:i4>
      </vt:variant>
      <vt:variant>
        <vt:lpwstr>http://undocs.org/ru/A/RES/68/2</vt:lpwstr>
      </vt:variant>
      <vt:variant>
        <vt:lpwstr/>
      </vt:variant>
      <vt:variant>
        <vt:i4>1966095</vt:i4>
      </vt:variant>
      <vt:variant>
        <vt:i4>162</vt:i4>
      </vt:variant>
      <vt:variant>
        <vt:i4>0</vt:i4>
      </vt:variant>
      <vt:variant>
        <vt:i4>5</vt:i4>
      </vt:variant>
      <vt:variant>
        <vt:lpwstr>http://undocs.org/ru/A/67/995</vt:lpwstr>
      </vt:variant>
      <vt:variant>
        <vt:lpwstr/>
      </vt:variant>
      <vt:variant>
        <vt:i4>1245263</vt:i4>
      </vt:variant>
      <vt:variant>
        <vt:i4>159</vt:i4>
      </vt:variant>
      <vt:variant>
        <vt:i4>0</vt:i4>
      </vt:variant>
      <vt:variant>
        <vt:i4>5</vt:i4>
      </vt:variant>
      <vt:variant>
        <vt:lpwstr>http://undocs.org/ru/A/RES/66/254</vt:lpwstr>
      </vt:variant>
      <vt:variant>
        <vt:lpwstr/>
      </vt:variant>
      <vt:variant>
        <vt:i4>5111891</vt:i4>
      </vt:variant>
      <vt:variant>
        <vt:i4>156</vt:i4>
      </vt:variant>
      <vt:variant>
        <vt:i4>0</vt:i4>
      </vt:variant>
      <vt:variant>
        <vt:i4>5</vt:i4>
      </vt:variant>
      <vt:variant>
        <vt:lpwstr>http://undocs.org/ru/CEDAW/C/56/D/44/2012</vt:lpwstr>
      </vt:variant>
      <vt:variant>
        <vt:lpwstr/>
      </vt:variant>
      <vt:variant>
        <vt:i4>4390997</vt:i4>
      </vt:variant>
      <vt:variant>
        <vt:i4>153</vt:i4>
      </vt:variant>
      <vt:variant>
        <vt:i4>0</vt:i4>
      </vt:variant>
      <vt:variant>
        <vt:i4>5</vt:i4>
      </vt:variant>
      <vt:variant>
        <vt:lpwstr>http://undocs.org/ru/CEDAW/C/56/D/29/2011</vt:lpwstr>
      </vt:variant>
      <vt:variant>
        <vt:lpwstr/>
      </vt:variant>
      <vt:variant>
        <vt:i4>7471137</vt:i4>
      </vt:variant>
      <vt:variant>
        <vt:i4>150</vt:i4>
      </vt:variant>
      <vt:variant>
        <vt:i4>0</vt:i4>
      </vt:variant>
      <vt:variant>
        <vt:i4>5</vt:i4>
      </vt:variant>
      <vt:variant>
        <vt:lpwstr>http://undocs.org/ru/CEDAW/C/UZB/CO/4/Add.1</vt:lpwstr>
      </vt:variant>
      <vt:variant>
        <vt:lpwstr/>
      </vt:variant>
      <vt:variant>
        <vt:i4>6357038</vt:i4>
      </vt:variant>
      <vt:variant>
        <vt:i4>147</vt:i4>
      </vt:variant>
      <vt:variant>
        <vt:i4>0</vt:i4>
      </vt:variant>
      <vt:variant>
        <vt:i4>5</vt:i4>
      </vt:variant>
      <vt:variant>
        <vt:lpwstr>http://undocs.org/ru/CEDAW/C/MWI/CO/6/Add.1</vt:lpwstr>
      </vt:variant>
      <vt:variant>
        <vt:lpwstr/>
      </vt:variant>
      <vt:variant>
        <vt:i4>8257576</vt:i4>
      </vt:variant>
      <vt:variant>
        <vt:i4>144</vt:i4>
      </vt:variant>
      <vt:variant>
        <vt:i4>0</vt:i4>
      </vt:variant>
      <vt:variant>
        <vt:i4>5</vt:i4>
      </vt:variant>
      <vt:variant>
        <vt:lpwstr>http://undocs.org/ru/CEDAW/C/ISR/CO/4/Add.1</vt:lpwstr>
      </vt:variant>
      <vt:variant>
        <vt:lpwstr/>
      </vt:variant>
      <vt:variant>
        <vt:i4>6881324</vt:i4>
      </vt:variant>
      <vt:variant>
        <vt:i4>141</vt:i4>
      </vt:variant>
      <vt:variant>
        <vt:i4>0</vt:i4>
      </vt:variant>
      <vt:variant>
        <vt:i4>5</vt:i4>
      </vt:variant>
      <vt:variant>
        <vt:lpwstr>http://undocs.org/ru/CEDAW/C/BTN/CO/7/Add.1</vt:lpwstr>
      </vt:variant>
      <vt:variant>
        <vt:lpwstr/>
      </vt:variant>
      <vt:variant>
        <vt:i4>537657396</vt:i4>
      </vt:variant>
      <vt:variant>
        <vt:i4>138</vt:i4>
      </vt:variant>
      <vt:variant>
        <vt:i4>0</vt:i4>
      </vt:variant>
      <vt:variant>
        <vt:i4>5</vt:i4>
      </vt:variant>
      <vt:variant>
        <vt:lpwstr>http://undocs.org/ru/CEDAW/C/TJK/CO/4–5</vt:lpwstr>
      </vt:variant>
      <vt:variant>
        <vt:lpwstr/>
      </vt:variant>
      <vt:variant>
        <vt:i4>537067554</vt:i4>
      </vt:variant>
      <vt:variant>
        <vt:i4>135</vt:i4>
      </vt:variant>
      <vt:variant>
        <vt:i4>0</vt:i4>
      </vt:variant>
      <vt:variant>
        <vt:i4>5</vt:i4>
      </vt:variant>
      <vt:variant>
        <vt:lpwstr>http://undocs.org/ru/CEDAW/C/SYC/CO/1–5</vt:lpwstr>
      </vt:variant>
      <vt:variant>
        <vt:lpwstr/>
      </vt:variant>
      <vt:variant>
        <vt:i4>538902586</vt:i4>
      </vt:variant>
      <vt:variant>
        <vt:i4>132</vt:i4>
      </vt:variant>
      <vt:variant>
        <vt:i4>0</vt:i4>
      </vt:variant>
      <vt:variant>
        <vt:i4>5</vt:i4>
      </vt:variant>
      <vt:variant>
        <vt:lpwstr>http://undocs.org/ru/CEDAW/C/MDA/CO/4–5</vt:lpwstr>
      </vt:variant>
      <vt:variant>
        <vt:lpwstr/>
      </vt:variant>
      <vt:variant>
        <vt:i4>538705970</vt:i4>
      </vt:variant>
      <vt:variant>
        <vt:i4>129</vt:i4>
      </vt:variant>
      <vt:variant>
        <vt:i4>0</vt:i4>
      </vt:variant>
      <vt:variant>
        <vt:i4>5</vt:i4>
      </vt:variant>
      <vt:variant>
        <vt:lpwstr>http://undocs.org/ru/CEDAW/C/COL/CO/7–8</vt:lpwstr>
      </vt:variant>
      <vt:variant>
        <vt:lpwstr/>
      </vt:variant>
      <vt:variant>
        <vt:i4>538247222</vt:i4>
      </vt:variant>
      <vt:variant>
        <vt:i4>126</vt:i4>
      </vt:variant>
      <vt:variant>
        <vt:i4>0</vt:i4>
      </vt:variant>
      <vt:variant>
        <vt:i4>5</vt:i4>
      </vt:variant>
      <vt:variant>
        <vt:lpwstr>http://undocs.org/ru/CEDAW/C/KHM/CO/4–5</vt:lpwstr>
      </vt:variant>
      <vt:variant>
        <vt:lpwstr/>
      </vt:variant>
      <vt:variant>
        <vt:i4>786447</vt:i4>
      </vt:variant>
      <vt:variant>
        <vt:i4>123</vt:i4>
      </vt:variant>
      <vt:variant>
        <vt:i4>0</vt:i4>
      </vt:variant>
      <vt:variant>
        <vt:i4>5</vt:i4>
      </vt:variant>
      <vt:variant>
        <vt:lpwstr>http://undocs.org/ru/CEDAW/C/BEN/CO/4</vt:lpwstr>
      </vt:variant>
      <vt:variant>
        <vt:lpwstr/>
      </vt:variant>
      <vt:variant>
        <vt:i4>538312758</vt:i4>
      </vt:variant>
      <vt:variant>
        <vt:i4>120</vt:i4>
      </vt:variant>
      <vt:variant>
        <vt:i4>0</vt:i4>
      </vt:variant>
      <vt:variant>
        <vt:i4>5</vt:i4>
      </vt:variant>
      <vt:variant>
        <vt:lpwstr>http://undocs.org/ru/CEDAW/C/AND/CO/2–3</vt:lpwstr>
      </vt:variant>
      <vt:variant>
        <vt:lpwstr/>
      </vt:variant>
      <vt:variant>
        <vt:i4>11</vt:i4>
      </vt:variant>
      <vt:variant>
        <vt:i4>117</vt:i4>
      </vt:variant>
      <vt:variant>
        <vt:i4>0</vt:i4>
      </vt:variant>
      <vt:variant>
        <vt:i4>5</vt:i4>
      </vt:variant>
      <vt:variant>
        <vt:lpwstr>http://undocs.org/ru/CEDAW/PSWG/56/1</vt:lpwstr>
      </vt:variant>
      <vt:variant>
        <vt:lpwstr/>
      </vt:variant>
      <vt:variant>
        <vt:i4>5636124</vt:i4>
      </vt:variant>
      <vt:variant>
        <vt:i4>114</vt:i4>
      </vt:variant>
      <vt:variant>
        <vt:i4>0</vt:i4>
      </vt:variant>
      <vt:variant>
        <vt:i4>5</vt:i4>
      </vt:variant>
      <vt:variant>
        <vt:lpwstr>http://undocs.org/ru/CEDAW/C/56/1</vt:lpwstr>
      </vt:variant>
      <vt:variant>
        <vt:lpwstr/>
      </vt:variant>
      <vt:variant>
        <vt:i4>2424959</vt:i4>
      </vt:variant>
      <vt:variant>
        <vt:i4>111</vt:i4>
      </vt:variant>
      <vt:variant>
        <vt:i4>0</vt:i4>
      </vt:variant>
      <vt:variant>
        <vt:i4>5</vt:i4>
      </vt:variant>
      <vt:variant>
        <vt:lpwstr>http://undocs.org/ru/A/RES/54/4</vt:lpwstr>
      </vt:variant>
      <vt:variant>
        <vt:lpwstr/>
      </vt:variant>
      <vt:variant>
        <vt:i4>1769550</vt:i4>
      </vt:variant>
      <vt:variant>
        <vt:i4>108</vt:i4>
      </vt:variant>
      <vt:variant>
        <vt:i4>0</vt:i4>
      </vt:variant>
      <vt:variant>
        <vt:i4>5</vt:i4>
      </vt:variant>
      <vt:variant>
        <vt:lpwstr>http://undocs.org/ru/A/RES/34/180</vt:lpwstr>
      </vt:variant>
      <vt:variant>
        <vt:lpwstr/>
      </vt:variant>
      <vt:variant>
        <vt:i4>1310792</vt:i4>
      </vt:variant>
      <vt:variant>
        <vt:i4>105</vt:i4>
      </vt:variant>
      <vt:variant>
        <vt:i4>0</vt:i4>
      </vt:variant>
      <vt:variant>
        <vt:i4>5</vt:i4>
      </vt:variant>
      <vt:variant>
        <vt:lpwstr>http://undocs.org/ru/A/RES/41/201</vt:lpwstr>
      </vt:variant>
      <vt:variant>
        <vt:lpwstr/>
      </vt:variant>
      <vt:variant>
        <vt:i4>7209063</vt:i4>
      </vt:variant>
      <vt:variant>
        <vt:i4>102</vt:i4>
      </vt:variant>
      <vt:variant>
        <vt:i4>0</vt:i4>
      </vt:variant>
      <vt:variant>
        <vt:i4>5</vt:i4>
      </vt:variant>
      <vt:variant>
        <vt:lpwstr>http://undocs.org/ru/CEDAW/C/GBR/7</vt:lpwstr>
      </vt:variant>
      <vt:variant>
        <vt:lpwstr/>
      </vt:variant>
      <vt:variant>
        <vt:i4>6037604</vt:i4>
      </vt:variant>
      <vt:variant>
        <vt:i4>99</vt:i4>
      </vt:variant>
      <vt:variant>
        <vt:i4>0</vt:i4>
      </vt:variant>
      <vt:variant>
        <vt:i4>5</vt:i4>
      </vt:variant>
      <vt:variant>
        <vt:lpwstr>http://undocs.org/ru/CEDAW/C/SRB/2–3</vt:lpwstr>
      </vt:variant>
      <vt:variant>
        <vt:lpwstr/>
      </vt:variant>
      <vt:variant>
        <vt:i4>4464761</vt:i4>
      </vt:variant>
      <vt:variant>
        <vt:i4>96</vt:i4>
      </vt:variant>
      <vt:variant>
        <vt:i4>0</vt:i4>
      </vt:variant>
      <vt:variant>
        <vt:i4>5</vt:i4>
      </vt:variant>
      <vt:variant>
        <vt:lpwstr>http://undocs.org/ru/CEDAW/C/DOM/6–7</vt:lpwstr>
      </vt:variant>
      <vt:variant>
        <vt:lpwstr/>
      </vt:variant>
      <vt:variant>
        <vt:i4>4333667</vt:i4>
      </vt:variant>
      <vt:variant>
        <vt:i4>93</vt:i4>
      </vt:variant>
      <vt:variant>
        <vt:i4>0</vt:i4>
      </vt:variant>
      <vt:variant>
        <vt:i4>5</vt:i4>
      </vt:variant>
      <vt:variant>
        <vt:lpwstr>http://undocs.org/ru/CEDAW/C/CUB/7–8</vt:lpwstr>
      </vt:variant>
      <vt:variant>
        <vt:lpwstr/>
      </vt:variant>
      <vt:variant>
        <vt:i4>5644390</vt:i4>
      </vt:variant>
      <vt:variant>
        <vt:i4>90</vt:i4>
      </vt:variant>
      <vt:variant>
        <vt:i4>0</vt:i4>
      </vt:variant>
      <vt:variant>
        <vt:i4>5</vt:i4>
      </vt:variant>
      <vt:variant>
        <vt:lpwstr>http://undocs.org/ru/CEDAW/C/CPV/7–8</vt:lpwstr>
      </vt:variant>
      <vt:variant>
        <vt:lpwstr/>
      </vt:variant>
      <vt:variant>
        <vt:i4>4661375</vt:i4>
      </vt:variant>
      <vt:variant>
        <vt:i4>87</vt:i4>
      </vt:variant>
      <vt:variant>
        <vt:i4>0</vt:i4>
      </vt:variant>
      <vt:variant>
        <vt:i4>5</vt:i4>
      </vt:variant>
      <vt:variant>
        <vt:lpwstr>http://undocs.org/ru/CEDAW/C/BIH/4–5</vt:lpwstr>
      </vt:variant>
      <vt:variant>
        <vt:lpwstr/>
      </vt:variant>
      <vt:variant>
        <vt:i4>5636127</vt:i4>
      </vt:variant>
      <vt:variant>
        <vt:i4>84</vt:i4>
      </vt:variant>
      <vt:variant>
        <vt:i4>0</vt:i4>
      </vt:variant>
      <vt:variant>
        <vt:i4>5</vt:i4>
      </vt:variant>
      <vt:variant>
        <vt:lpwstr>http://undocs.org/ru/CEDAW/C/55/4</vt:lpwstr>
      </vt:variant>
      <vt:variant>
        <vt:lpwstr/>
      </vt:variant>
      <vt:variant>
        <vt:i4>5636127</vt:i4>
      </vt:variant>
      <vt:variant>
        <vt:i4>81</vt:i4>
      </vt:variant>
      <vt:variant>
        <vt:i4>0</vt:i4>
      </vt:variant>
      <vt:variant>
        <vt:i4>5</vt:i4>
      </vt:variant>
      <vt:variant>
        <vt:lpwstr>http://undocs.org/ru/CEDAW/C/55/3</vt:lpwstr>
      </vt:variant>
      <vt:variant>
        <vt:lpwstr/>
      </vt:variant>
      <vt:variant>
        <vt:i4>5636127</vt:i4>
      </vt:variant>
      <vt:variant>
        <vt:i4>78</vt:i4>
      </vt:variant>
      <vt:variant>
        <vt:i4>0</vt:i4>
      </vt:variant>
      <vt:variant>
        <vt:i4>5</vt:i4>
      </vt:variant>
      <vt:variant>
        <vt:lpwstr>http://undocs.org/ru/CEDAW/C/55/2</vt:lpwstr>
      </vt:variant>
      <vt:variant>
        <vt:lpwstr/>
      </vt:variant>
      <vt:variant>
        <vt:i4>5636127</vt:i4>
      </vt:variant>
      <vt:variant>
        <vt:i4>75</vt:i4>
      </vt:variant>
      <vt:variant>
        <vt:i4>0</vt:i4>
      </vt:variant>
      <vt:variant>
        <vt:i4>5</vt:i4>
      </vt:variant>
      <vt:variant>
        <vt:lpwstr>http://undocs.org/ru/CEDAW/C/55/1</vt:lpwstr>
      </vt:variant>
      <vt:variant>
        <vt:lpwstr/>
      </vt:variant>
      <vt:variant>
        <vt:i4>1245263</vt:i4>
      </vt:variant>
      <vt:variant>
        <vt:i4>72</vt:i4>
      </vt:variant>
      <vt:variant>
        <vt:i4>0</vt:i4>
      </vt:variant>
      <vt:variant>
        <vt:i4>5</vt:i4>
      </vt:variant>
      <vt:variant>
        <vt:lpwstr>http://undocs.org/ru/A/RES/66/254</vt:lpwstr>
      </vt:variant>
      <vt:variant>
        <vt:lpwstr/>
      </vt:variant>
      <vt:variant>
        <vt:i4>4849744</vt:i4>
      </vt:variant>
      <vt:variant>
        <vt:i4>69</vt:i4>
      </vt:variant>
      <vt:variant>
        <vt:i4>0</vt:i4>
      </vt:variant>
      <vt:variant>
        <vt:i4>5</vt:i4>
      </vt:variant>
      <vt:variant>
        <vt:lpwstr>http://undocs.org/ru/CEDAW/C/55/D/40/2012</vt:lpwstr>
      </vt:variant>
      <vt:variant>
        <vt:lpwstr/>
      </vt:variant>
      <vt:variant>
        <vt:i4>5177431</vt:i4>
      </vt:variant>
      <vt:variant>
        <vt:i4>66</vt:i4>
      </vt:variant>
      <vt:variant>
        <vt:i4>0</vt:i4>
      </vt:variant>
      <vt:variant>
        <vt:i4>5</vt:i4>
      </vt:variant>
      <vt:variant>
        <vt:lpwstr>http://undocs.org/ru/CEDAW/C/55/D/35/2011</vt:lpwstr>
      </vt:variant>
      <vt:variant>
        <vt:lpwstr/>
      </vt:variant>
      <vt:variant>
        <vt:i4>3473461</vt:i4>
      </vt:variant>
      <vt:variant>
        <vt:i4>63</vt:i4>
      </vt:variant>
      <vt:variant>
        <vt:i4>0</vt:i4>
      </vt:variant>
      <vt:variant>
        <vt:i4>5</vt:i4>
      </vt:variant>
      <vt:variant>
        <vt:lpwstr>http://undocs.org/ru/CEDAW/C/D/33/2011</vt:lpwstr>
      </vt:variant>
      <vt:variant>
        <vt:lpwstr/>
      </vt:variant>
      <vt:variant>
        <vt:i4>1310793</vt:i4>
      </vt:variant>
      <vt:variant>
        <vt:i4>60</vt:i4>
      </vt:variant>
      <vt:variant>
        <vt:i4>0</vt:i4>
      </vt:variant>
      <vt:variant>
        <vt:i4>5</vt:i4>
      </vt:variant>
      <vt:variant>
        <vt:lpwstr>http://undocs.org/ru/A/RES/40/201</vt:lpwstr>
      </vt:variant>
      <vt:variant>
        <vt:lpwstr/>
      </vt:variant>
      <vt:variant>
        <vt:i4>1245260</vt:i4>
      </vt:variant>
      <vt:variant>
        <vt:i4>57</vt:i4>
      </vt:variant>
      <vt:variant>
        <vt:i4>0</vt:i4>
      </vt:variant>
      <vt:variant>
        <vt:i4>5</vt:i4>
      </vt:variant>
      <vt:variant>
        <vt:lpwstr>http://undocs.org/ru/A/RES/35/201</vt:lpwstr>
      </vt:variant>
      <vt:variant>
        <vt:lpwstr/>
      </vt:variant>
      <vt:variant>
        <vt:i4>1245258</vt:i4>
      </vt:variant>
      <vt:variant>
        <vt:i4>54</vt:i4>
      </vt:variant>
      <vt:variant>
        <vt:i4>0</vt:i4>
      </vt:variant>
      <vt:variant>
        <vt:i4>5</vt:i4>
      </vt:variant>
      <vt:variant>
        <vt:lpwstr>http://undocs.org/ru/A/RES/33/201</vt:lpwstr>
      </vt:variant>
      <vt:variant>
        <vt:lpwstr/>
      </vt:variant>
      <vt:variant>
        <vt:i4>72220682</vt:i4>
      </vt:variant>
      <vt:variant>
        <vt:i4>51</vt:i4>
      </vt:variant>
      <vt:variant>
        <vt:i4>0</vt:i4>
      </vt:variant>
      <vt:variant>
        <vt:i4>5</vt:i4>
      </vt:variant>
      <vt:variant>
        <vt:lpwstr>http://undocs.org/ru/А/68/38</vt:lpwstr>
      </vt:variant>
      <vt:variant>
        <vt:lpwstr/>
      </vt:variant>
      <vt:variant>
        <vt:i4>6357033</vt:i4>
      </vt:variant>
      <vt:variant>
        <vt:i4>48</vt:i4>
      </vt:variant>
      <vt:variant>
        <vt:i4>0</vt:i4>
      </vt:variant>
      <vt:variant>
        <vt:i4>5</vt:i4>
      </vt:variant>
      <vt:variant>
        <vt:lpwstr>http://undocs.org/ru/CEDAW/C/JPN/CO/6/Add.2</vt:lpwstr>
      </vt:variant>
      <vt:variant>
        <vt:lpwstr/>
      </vt:variant>
      <vt:variant>
        <vt:i4>7274540</vt:i4>
      </vt:variant>
      <vt:variant>
        <vt:i4>45</vt:i4>
      </vt:variant>
      <vt:variant>
        <vt:i4>0</vt:i4>
      </vt:variant>
      <vt:variant>
        <vt:i4>5</vt:i4>
      </vt:variant>
      <vt:variant>
        <vt:lpwstr>http://undocs.org/ru/CEDAW/C/GTM/CO/7/Add.2</vt:lpwstr>
      </vt:variant>
      <vt:variant>
        <vt:lpwstr/>
      </vt:variant>
      <vt:variant>
        <vt:i4>6488096</vt:i4>
      </vt:variant>
      <vt:variant>
        <vt:i4>42</vt:i4>
      </vt:variant>
      <vt:variant>
        <vt:i4>0</vt:i4>
      </vt:variant>
      <vt:variant>
        <vt:i4>5</vt:i4>
      </vt:variant>
      <vt:variant>
        <vt:lpwstr>http://undocs.org/ru/CEDAW/C/CZE/CO/5/Add.1</vt:lpwstr>
      </vt:variant>
      <vt:variant>
        <vt:lpwstr/>
      </vt:variant>
      <vt:variant>
        <vt:i4>6815789</vt:i4>
      </vt:variant>
      <vt:variant>
        <vt:i4>39</vt:i4>
      </vt:variant>
      <vt:variant>
        <vt:i4>0</vt:i4>
      </vt:variant>
      <vt:variant>
        <vt:i4>5</vt:i4>
      </vt:variant>
      <vt:variant>
        <vt:lpwstr>http://undocs.org/ru/CEDAW/C/AUL/CO/7/Add.1</vt:lpwstr>
      </vt:variant>
      <vt:variant>
        <vt:lpwstr/>
      </vt:variant>
      <vt:variant>
        <vt:i4>6488107</vt:i4>
      </vt:variant>
      <vt:variant>
        <vt:i4>36</vt:i4>
      </vt:variant>
      <vt:variant>
        <vt:i4>0</vt:i4>
      </vt:variant>
      <vt:variant>
        <vt:i4>5</vt:i4>
      </vt:variant>
      <vt:variant>
        <vt:lpwstr>http://undocs.org/ru/CEDAW/C/ARG/CO/6/Add.1</vt:lpwstr>
      </vt:variant>
      <vt:variant>
        <vt:lpwstr/>
      </vt:variant>
      <vt:variant>
        <vt:i4>1376264</vt:i4>
      </vt:variant>
      <vt:variant>
        <vt:i4>33</vt:i4>
      </vt:variant>
      <vt:variant>
        <vt:i4>0</vt:i4>
      </vt:variant>
      <vt:variant>
        <vt:i4>5</vt:i4>
      </vt:variant>
      <vt:variant>
        <vt:lpwstr>http://undocs.org/ru/CEDAW/C/GBR/CO/7</vt:lpwstr>
      </vt:variant>
      <vt:variant>
        <vt:lpwstr/>
      </vt:variant>
      <vt:variant>
        <vt:i4>1114136</vt:i4>
      </vt:variant>
      <vt:variant>
        <vt:i4>30</vt:i4>
      </vt:variant>
      <vt:variant>
        <vt:i4>0</vt:i4>
      </vt:variant>
      <vt:variant>
        <vt:i4>5</vt:i4>
      </vt:variant>
      <vt:variant>
        <vt:lpwstr>http://undocs.org/ru/CEDAW/C/SRB/CO/2</vt:lpwstr>
      </vt:variant>
      <vt:variant>
        <vt:lpwstr/>
      </vt:variant>
      <vt:variant>
        <vt:i4>589829</vt:i4>
      </vt:variant>
      <vt:variant>
        <vt:i4>27</vt:i4>
      </vt:variant>
      <vt:variant>
        <vt:i4>0</vt:i4>
      </vt:variant>
      <vt:variant>
        <vt:i4>5</vt:i4>
      </vt:variant>
      <vt:variant>
        <vt:lpwstr>http://undocs.org/ru/CEDAW/C/DOM/CO/6</vt:lpwstr>
      </vt:variant>
      <vt:variant>
        <vt:lpwstr/>
      </vt:variant>
      <vt:variant>
        <vt:i4>458757</vt:i4>
      </vt:variant>
      <vt:variant>
        <vt:i4>24</vt:i4>
      </vt:variant>
      <vt:variant>
        <vt:i4>0</vt:i4>
      </vt:variant>
      <vt:variant>
        <vt:i4>5</vt:i4>
      </vt:variant>
      <vt:variant>
        <vt:lpwstr>http://undocs.org/ru/CEDAW/C/COD/CO/6</vt:lpwstr>
      </vt:variant>
      <vt:variant>
        <vt:lpwstr/>
      </vt:variant>
      <vt:variant>
        <vt:i4>65567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http://undocs.org/ru/CEDAW/C/CUB/CO/7</vt:lpwstr>
      </vt:variant>
      <vt:variant>
        <vt:lpwstr/>
      </vt:variant>
      <vt:variant>
        <vt:i4>1376282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http://undocs.org/ru/CEDAW/C/CPV/CO/7</vt:lpwstr>
      </vt:variant>
      <vt:variant>
        <vt:lpwstr/>
      </vt:variant>
      <vt:variant>
        <vt:i4>655363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http://undocs.org/ru/CEDAW/C/BIH/CO/4</vt:lpwstr>
      </vt:variant>
      <vt:variant>
        <vt:lpwstr/>
      </vt:variant>
      <vt:variant>
        <vt:i4>393228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http://undocs.org/ru/CEDAW/C/AFG/CO/1</vt:lpwstr>
      </vt:variant>
      <vt:variant>
        <vt:lpwstr/>
      </vt:variant>
      <vt:variant>
        <vt:i4>196619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http://undocs.org/ru/CEDAW/PSWG/55/1</vt:lpwstr>
      </vt:variant>
      <vt:variant>
        <vt:lpwstr/>
      </vt:variant>
      <vt:variant>
        <vt:i4>5636127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http://undocs.org/ru/CEDAW/C/55/1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http://undocs.org/ru/A/RES/54/4</vt:lpwstr>
      </vt:variant>
      <vt:variant>
        <vt:lpwstr/>
      </vt:variant>
      <vt:variant>
        <vt:i4>1769550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http://undocs.org/ru/A/RES/34/180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Nina Mouslikova</dc:creator>
  <cp:keywords/>
  <cp:lastModifiedBy>Nina Mouslikova</cp:lastModifiedBy>
  <cp:revision>39</cp:revision>
  <cp:lastPrinted>2014-06-05T13:08:00Z</cp:lastPrinted>
  <dcterms:created xsi:type="dcterms:W3CDTF">2014-06-05T08:25:00Z</dcterms:created>
  <dcterms:modified xsi:type="dcterms:W3CDTF">2014-06-05T13:40:00Z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1402688R</vt:lpwstr>
  </property>
  <property fmtid="{D5CDD505-2E9C-101B-9397-08002B2CF9AE}" pid="3" name="ODSRefJobNo">
    <vt:lpwstr>1428458R</vt:lpwstr>
  </property>
  <property fmtid="{D5CDD505-2E9C-101B-9397-08002B2CF9AE}" pid="4" name="Symbol1">
    <vt:lpwstr>A/69/38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 102</vt:lpwstr>
  </property>
  <property fmtid="{D5CDD505-2E9C-101B-9397-08002B2CF9AE}" pid="9" name="Operator">
    <vt:lpwstr>Mouslikova</vt:lpwstr>
  </property>
</Properties>
</file>