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6A7E3F" w:rsidP="006A7E3F">
            <w:pPr>
              <w:bidi w:val="0"/>
              <w:spacing w:after="20"/>
              <w:jc w:val="left"/>
              <w:rPr>
                <w:szCs w:val="20"/>
              </w:rPr>
            </w:pPr>
            <w:r w:rsidRPr="006A7E3F">
              <w:rPr>
                <w:sz w:val="40"/>
                <w:szCs w:val="20"/>
              </w:rPr>
              <w:t>A</w:t>
            </w:r>
            <w:r>
              <w:rPr>
                <w:szCs w:val="20"/>
              </w:rPr>
              <w:t>/HRC/26/38/Add.3</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6A7E3F" w:rsidRDefault="006A7E3F" w:rsidP="006A7E3F">
            <w:pPr>
              <w:bidi w:val="0"/>
              <w:spacing w:before="240"/>
              <w:jc w:val="left"/>
            </w:pPr>
            <w:r>
              <w:t>Distr.: General</w:t>
            </w:r>
          </w:p>
          <w:p w:rsidR="006A7E3F" w:rsidRDefault="006A7E3F" w:rsidP="006A7E3F">
            <w:pPr>
              <w:bidi w:val="0"/>
              <w:jc w:val="left"/>
            </w:pPr>
            <w:r>
              <w:t>18 June 2014</w:t>
            </w:r>
          </w:p>
          <w:p w:rsidR="006A7E3F" w:rsidRDefault="006A7E3F" w:rsidP="006A7E3F">
            <w:pPr>
              <w:bidi w:val="0"/>
              <w:jc w:val="left"/>
            </w:pPr>
            <w:r>
              <w:t>Arabic</w:t>
            </w:r>
          </w:p>
          <w:p w:rsidR="00257225" w:rsidRPr="008B4BC6" w:rsidRDefault="006A7E3F" w:rsidP="006A7E3F">
            <w:pPr>
              <w:bidi w:val="0"/>
              <w:jc w:val="left"/>
            </w:pPr>
            <w:r>
              <w:t>Original: English</w:t>
            </w:r>
          </w:p>
        </w:tc>
      </w:tr>
    </w:tbl>
    <w:p w:rsidR="001D3729" w:rsidRPr="006C6F84" w:rsidRDefault="001D3729" w:rsidP="001D3729">
      <w:pPr>
        <w:spacing w:before="120" w:line="380" w:lineRule="exact"/>
        <w:rPr>
          <w:rFonts w:hint="cs"/>
          <w:b/>
          <w:bCs/>
          <w:sz w:val="36"/>
          <w:szCs w:val="36"/>
          <w:rtl/>
        </w:rPr>
      </w:pPr>
      <w:r w:rsidRPr="006C6F84">
        <w:rPr>
          <w:rFonts w:hint="cs"/>
          <w:b/>
          <w:bCs/>
          <w:sz w:val="36"/>
          <w:szCs w:val="36"/>
          <w:rtl/>
        </w:rPr>
        <w:t>مجلس حقوق الإنسان</w:t>
      </w:r>
    </w:p>
    <w:p w:rsidR="001D3729" w:rsidRPr="001D3729" w:rsidRDefault="001D3729" w:rsidP="001D3729">
      <w:pPr>
        <w:tabs>
          <w:tab w:val="left" w:pos="2475"/>
        </w:tabs>
        <w:spacing w:line="380" w:lineRule="exact"/>
        <w:rPr>
          <w:rFonts w:hint="cs"/>
          <w:b/>
          <w:bCs/>
          <w:sz w:val="30"/>
        </w:rPr>
      </w:pPr>
      <w:r w:rsidRPr="001D3729">
        <w:rPr>
          <w:rFonts w:hint="cs"/>
          <w:b/>
          <w:bCs/>
          <w:sz w:val="30"/>
          <w:rtl/>
        </w:rPr>
        <w:t>الدورة السادسة والعشرون</w:t>
      </w:r>
    </w:p>
    <w:p w:rsidR="001D3729" w:rsidRPr="001D3729" w:rsidRDefault="001D3729" w:rsidP="001D3729">
      <w:pPr>
        <w:spacing w:line="380" w:lineRule="exact"/>
        <w:rPr>
          <w:sz w:val="30"/>
        </w:rPr>
      </w:pPr>
      <w:r w:rsidRPr="001D3729">
        <w:rPr>
          <w:rFonts w:hint="cs"/>
          <w:sz w:val="30"/>
          <w:rtl/>
        </w:rPr>
        <w:t>البند 3 من جدول الأعمال</w:t>
      </w:r>
    </w:p>
    <w:p w:rsidR="001D3729" w:rsidRPr="001D3729" w:rsidRDefault="001D3729" w:rsidP="001D3729">
      <w:pPr>
        <w:spacing w:line="380" w:lineRule="exact"/>
        <w:ind w:right="4400"/>
        <w:rPr>
          <w:rFonts w:hint="cs"/>
          <w:b/>
          <w:bCs/>
          <w:sz w:val="30"/>
          <w:rtl/>
        </w:rPr>
      </w:pPr>
      <w:r w:rsidRPr="001D3729">
        <w:rPr>
          <w:b/>
          <w:bCs/>
          <w:sz w:val="30"/>
          <w:rtl/>
        </w:rPr>
        <w:t>تعزيز وحماية جميع حقوق الإنسان</w:t>
      </w:r>
      <w:r w:rsidRPr="001D3729">
        <w:rPr>
          <w:rFonts w:hint="cs"/>
          <w:b/>
          <w:bCs/>
          <w:sz w:val="30"/>
          <w:rtl/>
        </w:rPr>
        <w:t>،</w:t>
      </w:r>
      <w:r w:rsidRPr="001D3729">
        <w:rPr>
          <w:b/>
          <w:bCs/>
          <w:sz w:val="30"/>
          <w:rtl/>
        </w:rPr>
        <w:t xml:space="preserve"> المدنية والسياسية والاقتصادية والاجتماعية والثقافية، بما في ذلك الحق في التنمية</w:t>
      </w:r>
    </w:p>
    <w:p w:rsidR="001D3729" w:rsidRPr="006C6F84" w:rsidRDefault="001D3729" w:rsidP="00FC3987">
      <w:pPr>
        <w:pStyle w:val="HChGA"/>
        <w:rPr>
          <w:rtl/>
        </w:rPr>
      </w:pPr>
      <w:r w:rsidRPr="006C6F84">
        <w:rPr>
          <w:rFonts w:hint="cs"/>
          <w:rtl/>
        </w:rPr>
        <w:tab/>
      </w:r>
      <w:r w:rsidRPr="006C6F84">
        <w:rPr>
          <w:rFonts w:hint="cs"/>
          <w:rtl/>
        </w:rPr>
        <w:tab/>
      </w:r>
      <w:r w:rsidRPr="006C6F84">
        <w:rPr>
          <w:rtl/>
        </w:rPr>
        <w:t>تقرير المقررة الخاصة المعنية بمسألة العنف ضد المرأة وأسبابه وعواقبه، رشيدة مانجو</w:t>
      </w:r>
    </w:p>
    <w:p w:rsidR="001D3729" w:rsidRPr="006C6F84" w:rsidRDefault="001D3729" w:rsidP="001D3729">
      <w:pPr>
        <w:pStyle w:val="H23GA"/>
        <w:rPr>
          <w:rFonts w:hint="cs"/>
          <w:rtl/>
        </w:rPr>
      </w:pPr>
      <w:r w:rsidRPr="006C6F84">
        <w:tab/>
      </w:r>
      <w:r w:rsidRPr="006C6F84">
        <w:tab/>
      </w:r>
      <w:r w:rsidRPr="006C6F84">
        <w:rPr>
          <w:rtl/>
        </w:rPr>
        <w:t>إضافة</w:t>
      </w:r>
    </w:p>
    <w:p w:rsidR="001D3729" w:rsidRPr="00E42221" w:rsidRDefault="001D3729" w:rsidP="00884D49">
      <w:pPr>
        <w:pStyle w:val="H1GA"/>
        <w:rPr>
          <w:rFonts w:hint="cs"/>
        </w:rPr>
      </w:pPr>
      <w:r w:rsidRPr="00E42221">
        <w:tab/>
      </w:r>
      <w:r w:rsidRPr="00E42221">
        <w:tab/>
      </w:r>
      <w:r w:rsidRPr="00E42221">
        <w:rPr>
          <w:rtl/>
        </w:rPr>
        <w:t>البعثة إلى</w:t>
      </w:r>
      <w:r>
        <w:rPr>
          <w:rFonts w:hint="cs"/>
          <w:rtl/>
        </w:rPr>
        <w:t xml:space="preserve"> أذربيجان</w:t>
      </w:r>
      <w:r w:rsidR="0008771B" w:rsidRPr="00884D49">
        <w:rPr>
          <w:rFonts w:hint="cs"/>
          <w:b w:val="0"/>
          <w:bCs w:val="0"/>
          <w:sz w:val="18"/>
          <w:szCs w:val="28"/>
          <w:rtl/>
        </w:rPr>
        <w:t>*</w:t>
      </w:r>
      <w:r w:rsidR="0008771B">
        <w:rPr>
          <w:rFonts w:hint="cs"/>
          <w:b w:val="0"/>
          <w:bCs w:val="0"/>
          <w:sz w:val="18"/>
          <w:szCs w:val="28"/>
          <w:rtl/>
        </w:rPr>
        <w:t xml:space="preserve"> </w:t>
      </w:r>
      <w:r w:rsidR="00884D49" w:rsidRPr="00884D49">
        <w:rPr>
          <w:rFonts w:hint="cs"/>
          <w:b w:val="0"/>
          <w:bCs w:val="0"/>
          <w:sz w:val="18"/>
          <w:szCs w:val="28"/>
          <w:rtl/>
        </w:rPr>
        <w:t>**</w:t>
      </w:r>
    </w:p>
    <w:tbl>
      <w:tblPr>
        <w:tblStyle w:val="TableGrid"/>
        <w:bidiVisual/>
        <w:tblW w:w="0" w:type="auto"/>
        <w:jc w:val="center"/>
        <w:tblLook w:val="01E0"/>
      </w:tblPr>
      <w:tblGrid>
        <w:gridCol w:w="9637"/>
      </w:tblGrid>
      <w:tr w:rsidR="001D3729" w:rsidTr="00ED62A0">
        <w:trPr>
          <w:jc w:val="center"/>
        </w:trPr>
        <w:tc>
          <w:tcPr>
            <w:tcW w:w="9637" w:type="dxa"/>
            <w:tcBorders>
              <w:bottom w:val="nil"/>
            </w:tcBorders>
          </w:tcPr>
          <w:p w:rsidR="001D3729" w:rsidRPr="006C6F84" w:rsidRDefault="001D3729" w:rsidP="00ED62A0">
            <w:pPr>
              <w:tabs>
                <w:tab w:val="left" w:pos="255"/>
                <w:tab w:val="left" w:pos="567"/>
                <w:tab w:val="left" w:pos="1134"/>
                <w:tab w:val="left" w:pos="1632"/>
              </w:tabs>
              <w:spacing w:before="120" w:after="120" w:line="240" w:lineRule="auto"/>
              <w:rPr>
                <w:rFonts w:ascii="Traditional Arabic" w:hAnsi="Traditional Arabic" w:hint="cs"/>
                <w:i/>
                <w:iCs/>
                <w:sz w:val="36"/>
                <w:szCs w:val="36"/>
                <w:rtl/>
              </w:rPr>
            </w:pPr>
            <w:r w:rsidRPr="006C6F84">
              <w:rPr>
                <w:rFonts w:ascii="Traditional Arabic" w:hAnsi="Traditional Arabic"/>
                <w:i/>
                <w:iCs/>
                <w:sz w:val="36"/>
                <w:rtl/>
              </w:rPr>
              <w:tab/>
            </w:r>
            <w:r w:rsidRPr="006C6F84">
              <w:rPr>
                <w:rFonts w:ascii="Traditional Arabic" w:hAnsi="Traditional Arabic"/>
                <w:i/>
                <w:iCs/>
                <w:sz w:val="36"/>
                <w:rtl/>
              </w:rPr>
              <w:tab/>
            </w:r>
            <w:r w:rsidRPr="006C6F84">
              <w:rPr>
                <w:rFonts w:ascii="Traditional Arabic" w:hAnsi="Traditional Arabic"/>
                <w:i/>
                <w:iCs/>
                <w:sz w:val="36"/>
                <w:szCs w:val="36"/>
                <w:rtl/>
              </w:rPr>
              <w:t>موجز</w:t>
            </w:r>
            <w:r>
              <w:rPr>
                <w:rFonts w:ascii="Traditional Arabic" w:hAnsi="Traditional Arabic"/>
                <w:i/>
                <w:iCs/>
                <w:sz w:val="36"/>
                <w:szCs w:val="36"/>
              </w:rPr>
              <w:tab/>
            </w:r>
          </w:p>
        </w:tc>
      </w:tr>
      <w:tr w:rsidR="001D3729" w:rsidTr="009F139A">
        <w:trPr>
          <w:jc w:val="center"/>
        </w:trPr>
        <w:tc>
          <w:tcPr>
            <w:tcW w:w="9637" w:type="dxa"/>
            <w:tcBorders>
              <w:top w:val="nil"/>
              <w:bottom w:val="nil"/>
            </w:tcBorders>
            <w:shd w:val="clear" w:color="auto" w:fill="auto"/>
          </w:tcPr>
          <w:p w:rsidR="001D3729" w:rsidRPr="002E477C" w:rsidRDefault="001D3729" w:rsidP="009606AF">
            <w:pPr>
              <w:pStyle w:val="SingleTxtGA"/>
              <w:spacing w:after="0" w:line="340" w:lineRule="exact"/>
              <w:rPr>
                <w:rFonts w:hint="cs"/>
                <w:rtl/>
              </w:rPr>
            </w:pPr>
            <w:r w:rsidRPr="002E477C">
              <w:rPr>
                <w:rtl/>
              </w:rPr>
              <w:tab/>
              <w:t xml:space="preserve">يتضمن هذا التقرير استنتاجات المقررة الخاصة المعنية بمسألة العنف ضد المرأة وأسبابه وعواقبه، </w:t>
            </w:r>
            <w:r>
              <w:rPr>
                <w:rFonts w:hint="cs"/>
                <w:rtl/>
              </w:rPr>
              <w:t>عن</w:t>
            </w:r>
            <w:r w:rsidRPr="002E477C">
              <w:rPr>
                <w:rtl/>
              </w:rPr>
              <w:t xml:space="preserve"> الزيارة التي قامت بها إلى أذربيجان في الفترة من 26 تشرين الثاني/نوفمبر إلى 5 كانون الأول</w:t>
            </w:r>
            <w:r>
              <w:rPr>
                <w:rFonts w:hint="cs"/>
                <w:rtl/>
              </w:rPr>
              <w:t>/</w:t>
            </w:r>
            <w:r w:rsidRPr="002E477C">
              <w:rPr>
                <w:rtl/>
              </w:rPr>
              <w:t>ديسمبر 2013. ويبحث التقرير حالة العنف ضد النساء في البلد، واضعاً في الاعتبار أسباب هذا العنف وعواقبه وآثاره على ممارسة النساء حقوق الإنسان وتمتعهن بها فعلياً. وينظر التق</w:t>
            </w:r>
            <w:r>
              <w:rPr>
                <w:rtl/>
              </w:rPr>
              <w:t xml:space="preserve">رير أيضاً في </w:t>
            </w:r>
            <w:r w:rsidRPr="002E477C">
              <w:rPr>
                <w:rtl/>
              </w:rPr>
              <w:t>سبل تصدي الدولة له انطلاقاً من مبدأ بذل العناية الواجبة، بغية منعه، وحماية النساء اللواتي تعرضن له وتوفير سبل الانتصاف لهن ومقاضاة الجناة ومعاقبتهم.</w:t>
            </w:r>
          </w:p>
        </w:tc>
      </w:tr>
      <w:tr w:rsidR="009F139A" w:rsidTr="009F139A">
        <w:trPr>
          <w:jc w:val="center"/>
        </w:trPr>
        <w:tc>
          <w:tcPr>
            <w:tcW w:w="9637" w:type="dxa"/>
            <w:tcBorders>
              <w:top w:val="nil"/>
              <w:bottom w:val="single" w:sz="4" w:space="0" w:color="auto"/>
            </w:tcBorders>
            <w:shd w:val="clear" w:color="auto" w:fill="auto"/>
          </w:tcPr>
          <w:p w:rsidR="009F139A" w:rsidRPr="002E477C" w:rsidRDefault="009F139A" w:rsidP="009F139A">
            <w:pPr>
              <w:pStyle w:val="SingleTxtGA"/>
              <w:spacing w:after="0" w:line="200" w:lineRule="exact"/>
              <w:rPr>
                <w:rtl/>
              </w:rPr>
            </w:pPr>
          </w:p>
        </w:tc>
      </w:tr>
    </w:tbl>
    <w:p w:rsidR="00ED62A0" w:rsidRPr="00ED62A0" w:rsidRDefault="00ED62A0" w:rsidP="00ED62A0">
      <w:pPr>
        <w:keepNext/>
        <w:keepLines/>
        <w:tabs>
          <w:tab w:val="right" w:pos="851"/>
        </w:tabs>
        <w:suppressAutoHyphens/>
        <w:bidi w:val="0"/>
        <w:spacing w:before="120" w:after="240" w:line="300" w:lineRule="exact"/>
        <w:ind w:left="1134" w:right="1134" w:hanging="1134"/>
        <w:jc w:val="left"/>
        <w:rPr>
          <w:rFonts w:eastAsia="SimSun" w:cs="Times New Roman"/>
          <w:b/>
          <w:sz w:val="28"/>
          <w:szCs w:val="20"/>
          <w:lang w:val="en-GB" w:eastAsia="zh-CN"/>
        </w:rPr>
      </w:pPr>
      <w:r w:rsidRPr="00ED62A0">
        <w:rPr>
          <w:rFonts w:eastAsia="SimSun" w:cs="Times New Roman"/>
          <w:b/>
          <w:sz w:val="28"/>
          <w:szCs w:val="20"/>
          <w:lang w:val="en-GB" w:eastAsia="zh-CN"/>
        </w:rPr>
        <w:t>Annex</w:t>
      </w:r>
    </w:p>
    <w:p w:rsidR="00ED62A0" w:rsidRPr="00ED62A0" w:rsidRDefault="00ED62A0" w:rsidP="00ED62A0">
      <w:pPr>
        <w:keepNext/>
        <w:keepLines/>
        <w:tabs>
          <w:tab w:val="right" w:pos="851"/>
        </w:tabs>
        <w:suppressAutoHyphens/>
        <w:bidi w:val="0"/>
        <w:spacing w:before="240" w:after="120" w:line="240" w:lineRule="exact"/>
        <w:ind w:left="1134" w:hanging="1134"/>
        <w:jc w:val="right"/>
        <w:rPr>
          <w:rFonts w:cs="Times New Roman"/>
          <w:i/>
          <w:szCs w:val="20"/>
          <w:lang w:val="en-GB"/>
        </w:rPr>
      </w:pPr>
      <w:r w:rsidRPr="00ED62A0">
        <w:rPr>
          <w:rFonts w:cs="Times New Roman"/>
          <w:i/>
          <w:szCs w:val="20"/>
          <w:lang w:val="en-GB"/>
        </w:rPr>
        <w:t>[English only]</w:t>
      </w:r>
    </w:p>
    <w:p w:rsidR="00ED62A0" w:rsidRPr="00ED62A0" w:rsidRDefault="00ED62A0" w:rsidP="00ED62A0">
      <w:pPr>
        <w:keepNext/>
        <w:keepLines/>
        <w:tabs>
          <w:tab w:val="right" w:pos="851"/>
        </w:tabs>
        <w:suppressAutoHyphens/>
        <w:bidi w:val="0"/>
        <w:spacing w:before="360" w:after="240" w:line="300" w:lineRule="exact"/>
        <w:ind w:left="1134" w:right="1134" w:hanging="1134"/>
        <w:jc w:val="left"/>
        <w:rPr>
          <w:rFonts w:eastAsia="SimSun" w:cs="Times New Roman"/>
          <w:b/>
          <w:sz w:val="28"/>
          <w:szCs w:val="20"/>
          <w:lang w:val="en-GB" w:eastAsia="zh-CN"/>
        </w:rPr>
      </w:pPr>
      <w:r w:rsidRPr="00ED62A0">
        <w:rPr>
          <w:rFonts w:eastAsia="SimSun" w:cs="Times New Roman"/>
          <w:b/>
          <w:sz w:val="28"/>
          <w:szCs w:val="20"/>
          <w:lang w:val="en-GB" w:eastAsia="zh-CN"/>
        </w:rPr>
        <w:tab/>
      </w:r>
      <w:r w:rsidRPr="00ED62A0">
        <w:rPr>
          <w:rFonts w:eastAsia="SimSun" w:cs="Times New Roman"/>
          <w:b/>
          <w:sz w:val="28"/>
          <w:szCs w:val="20"/>
          <w:lang w:val="en-GB" w:eastAsia="zh-CN"/>
        </w:rPr>
        <w:tab/>
        <w:t xml:space="preserve">Report of the Special Rapporteur on violence against women, its causes and consequences, on her mission to </w:t>
      </w:r>
      <w:smartTag w:uri="urn:schemas-microsoft-com:office:smarttags" w:element="place">
        <w:smartTag w:uri="urn:schemas-microsoft-com:office:smarttags" w:element="country-region">
          <w:r w:rsidRPr="00ED62A0">
            <w:rPr>
              <w:rFonts w:eastAsia="SimSun" w:cs="Times New Roman"/>
              <w:b/>
              <w:sz w:val="28"/>
              <w:szCs w:val="20"/>
              <w:lang w:val="en-GB" w:eastAsia="zh-CN"/>
            </w:rPr>
            <w:t>Azerbaijan</w:t>
          </w:r>
        </w:smartTag>
      </w:smartTag>
      <w:r w:rsidRPr="00ED62A0">
        <w:rPr>
          <w:rFonts w:eastAsia="SimSun" w:cs="Times New Roman"/>
          <w:b/>
          <w:sz w:val="28"/>
          <w:szCs w:val="20"/>
          <w:lang w:val="en-GB" w:eastAsia="zh-CN"/>
        </w:rPr>
        <w:br/>
        <w:t>(26 November–5 December 2013)</w:t>
      </w:r>
    </w:p>
    <w:p w:rsidR="00ED62A0" w:rsidRPr="00ED62A0" w:rsidRDefault="00ED62A0" w:rsidP="00ED62A0">
      <w:pPr>
        <w:suppressAutoHyphens/>
        <w:bidi w:val="0"/>
        <w:spacing w:after="120"/>
        <w:jc w:val="left"/>
        <w:rPr>
          <w:rFonts w:cs="Times New Roman"/>
          <w:sz w:val="28"/>
          <w:szCs w:val="20"/>
          <w:lang w:val="fr-CH"/>
        </w:rPr>
      </w:pPr>
      <w:r w:rsidRPr="00ED62A0">
        <w:rPr>
          <w:rFonts w:cs="Times New Roman"/>
          <w:sz w:val="28"/>
          <w:szCs w:val="20"/>
          <w:lang w:val="fr-CH"/>
        </w:rPr>
        <w:t>Contents</w:t>
      </w:r>
    </w:p>
    <w:p w:rsidR="00ED62A0" w:rsidRPr="00ED62A0" w:rsidRDefault="00ED62A0" w:rsidP="00ED62A0">
      <w:pPr>
        <w:tabs>
          <w:tab w:val="right" w:pos="8929"/>
          <w:tab w:val="right" w:pos="9638"/>
        </w:tabs>
        <w:suppressAutoHyphens/>
        <w:bidi w:val="0"/>
        <w:spacing w:after="120"/>
        <w:ind w:left="283"/>
        <w:jc w:val="left"/>
        <w:rPr>
          <w:rFonts w:cs="Times New Roman"/>
          <w:szCs w:val="20"/>
          <w:lang w:val="fr-CH"/>
        </w:rPr>
      </w:pPr>
      <w:r w:rsidRPr="00ED62A0">
        <w:rPr>
          <w:rFonts w:cs="Times New Roman"/>
          <w:i/>
          <w:sz w:val="18"/>
          <w:szCs w:val="20"/>
          <w:lang w:val="fr-CH"/>
        </w:rPr>
        <w:tab/>
        <w:t>Paragraphs</w:t>
      </w:r>
      <w:r w:rsidRPr="00ED62A0">
        <w:rPr>
          <w:rFonts w:cs="Times New Roman"/>
          <w:i/>
          <w:sz w:val="18"/>
          <w:szCs w:val="20"/>
          <w:lang w:val="fr-CH"/>
        </w:rPr>
        <w:tab/>
        <w:t>Page</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fr-CH"/>
        </w:rPr>
      </w:pPr>
      <w:r w:rsidRPr="00ED62A0">
        <w:rPr>
          <w:rFonts w:cs="Times New Roman"/>
          <w:szCs w:val="20"/>
          <w:lang w:val="fr-CH"/>
        </w:rPr>
        <w:tab/>
        <w:t>I.</w:t>
      </w:r>
      <w:r w:rsidRPr="00ED62A0">
        <w:rPr>
          <w:rFonts w:cs="Times New Roman"/>
          <w:szCs w:val="20"/>
          <w:lang w:val="fr-CH"/>
        </w:rPr>
        <w:tab/>
        <w:t>Introduction</w:t>
      </w:r>
      <w:r w:rsidRPr="00ED62A0">
        <w:rPr>
          <w:rFonts w:cs="Times New Roman"/>
          <w:szCs w:val="20"/>
          <w:lang w:val="fr-CH"/>
        </w:rPr>
        <w:tab/>
      </w:r>
      <w:r w:rsidRPr="00ED62A0">
        <w:rPr>
          <w:rFonts w:cs="Times New Roman"/>
          <w:szCs w:val="20"/>
          <w:lang w:val="fr-CH"/>
        </w:rPr>
        <w:tab/>
        <w:t>1–3</w:t>
      </w:r>
      <w:r w:rsidRPr="00ED62A0">
        <w:rPr>
          <w:rFonts w:cs="Times New Roman"/>
          <w:szCs w:val="20"/>
          <w:lang w:val="fr-CH"/>
        </w:rPr>
        <w:tab/>
        <w:t>3</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fr-CH"/>
        </w:rPr>
        <w:tab/>
      </w:r>
      <w:r w:rsidRPr="00ED62A0">
        <w:rPr>
          <w:rFonts w:cs="Times New Roman"/>
          <w:szCs w:val="20"/>
          <w:lang w:val="en-GB"/>
        </w:rPr>
        <w:t>II.</w:t>
      </w:r>
      <w:r w:rsidRPr="00ED62A0">
        <w:rPr>
          <w:rFonts w:cs="Times New Roman"/>
          <w:szCs w:val="20"/>
          <w:lang w:val="en-GB"/>
        </w:rPr>
        <w:tab/>
        <w:t>Manifestations of violence against women, its causes and consequences</w:t>
      </w:r>
      <w:r w:rsidRPr="00ED62A0">
        <w:rPr>
          <w:rFonts w:cs="Times New Roman"/>
          <w:szCs w:val="20"/>
          <w:lang w:val="en-GB"/>
        </w:rPr>
        <w:tab/>
      </w:r>
      <w:r w:rsidRPr="00ED62A0">
        <w:rPr>
          <w:rFonts w:cs="Times New Roman"/>
          <w:szCs w:val="20"/>
          <w:lang w:val="en-GB"/>
        </w:rPr>
        <w:tab/>
        <w:t>4–26</w:t>
      </w:r>
      <w:r w:rsidRPr="00ED62A0">
        <w:rPr>
          <w:rFonts w:cs="Times New Roman"/>
          <w:szCs w:val="20"/>
          <w:lang w:val="en-GB"/>
        </w:rPr>
        <w:tab/>
        <w:t>3</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r>
      <w:r w:rsidRPr="00ED62A0">
        <w:rPr>
          <w:rFonts w:cs="Times New Roman"/>
          <w:szCs w:val="20"/>
          <w:lang w:val="en-GB"/>
        </w:rPr>
        <w:tab/>
        <w:t>A.</w:t>
      </w:r>
      <w:r w:rsidRPr="00ED62A0">
        <w:rPr>
          <w:rFonts w:cs="Times New Roman"/>
          <w:szCs w:val="20"/>
          <w:lang w:val="en-GB"/>
        </w:rPr>
        <w:tab/>
        <w:t>Violence against women in the family</w:t>
      </w:r>
      <w:r w:rsidRPr="00ED62A0">
        <w:rPr>
          <w:rFonts w:cs="Times New Roman"/>
          <w:szCs w:val="20"/>
          <w:lang w:val="en-GB"/>
        </w:rPr>
        <w:tab/>
      </w:r>
      <w:r w:rsidRPr="00ED62A0">
        <w:rPr>
          <w:rFonts w:cs="Times New Roman"/>
          <w:szCs w:val="20"/>
          <w:lang w:val="en-GB"/>
        </w:rPr>
        <w:tab/>
        <w:t>5–13</w:t>
      </w:r>
      <w:r w:rsidRPr="00ED62A0">
        <w:rPr>
          <w:rFonts w:cs="Times New Roman"/>
          <w:szCs w:val="20"/>
          <w:lang w:val="en-GB"/>
        </w:rPr>
        <w:tab/>
        <w:t>3</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r>
      <w:r w:rsidRPr="00ED62A0">
        <w:rPr>
          <w:rFonts w:cs="Times New Roman"/>
          <w:szCs w:val="20"/>
          <w:lang w:val="en-GB"/>
        </w:rPr>
        <w:tab/>
        <w:t>B.</w:t>
      </w:r>
      <w:r w:rsidRPr="00ED62A0">
        <w:rPr>
          <w:rFonts w:cs="Times New Roman"/>
          <w:szCs w:val="20"/>
          <w:lang w:val="en-GB"/>
        </w:rPr>
        <w:tab/>
        <w:t>Violence against women in the community</w:t>
      </w:r>
      <w:r w:rsidRPr="00ED62A0">
        <w:rPr>
          <w:rFonts w:cs="Times New Roman"/>
          <w:szCs w:val="20"/>
          <w:lang w:val="en-GB"/>
        </w:rPr>
        <w:tab/>
      </w:r>
      <w:r w:rsidRPr="00ED62A0">
        <w:rPr>
          <w:rFonts w:cs="Times New Roman"/>
          <w:szCs w:val="20"/>
          <w:lang w:val="en-GB"/>
        </w:rPr>
        <w:tab/>
        <w:t>14–20</w:t>
      </w:r>
      <w:r w:rsidRPr="00ED62A0">
        <w:rPr>
          <w:rFonts w:cs="Times New Roman"/>
          <w:szCs w:val="20"/>
          <w:lang w:val="en-GB"/>
        </w:rPr>
        <w:tab/>
        <w:t>5</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r>
      <w:r w:rsidRPr="00ED62A0">
        <w:rPr>
          <w:rFonts w:cs="Times New Roman"/>
          <w:szCs w:val="20"/>
          <w:lang w:val="en-GB"/>
        </w:rPr>
        <w:tab/>
        <w:t>C.</w:t>
      </w:r>
      <w:r w:rsidRPr="00ED62A0">
        <w:rPr>
          <w:rFonts w:cs="Times New Roman"/>
          <w:szCs w:val="20"/>
          <w:lang w:val="en-GB"/>
        </w:rPr>
        <w:tab/>
        <w:t>Violence against women condoned and/or perpetrated by the State</w:t>
      </w:r>
      <w:r w:rsidRPr="00ED62A0">
        <w:rPr>
          <w:rFonts w:cs="Times New Roman"/>
          <w:szCs w:val="20"/>
          <w:lang w:val="en-GB"/>
        </w:rPr>
        <w:tab/>
      </w:r>
      <w:r w:rsidRPr="00ED62A0">
        <w:rPr>
          <w:rFonts w:cs="Times New Roman"/>
          <w:szCs w:val="20"/>
          <w:lang w:val="en-GB"/>
        </w:rPr>
        <w:tab/>
        <w:t>21–23</w:t>
      </w:r>
      <w:r w:rsidRPr="00ED62A0">
        <w:rPr>
          <w:rFonts w:cs="Times New Roman"/>
          <w:szCs w:val="20"/>
          <w:lang w:val="en-GB"/>
        </w:rPr>
        <w:tab/>
        <w:t>6</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r>
      <w:r w:rsidRPr="00ED62A0">
        <w:rPr>
          <w:rFonts w:cs="Times New Roman"/>
          <w:szCs w:val="20"/>
          <w:lang w:val="en-GB"/>
        </w:rPr>
        <w:tab/>
        <w:t>D.</w:t>
      </w:r>
      <w:r w:rsidRPr="00ED62A0">
        <w:rPr>
          <w:rFonts w:cs="Times New Roman"/>
          <w:szCs w:val="20"/>
          <w:lang w:val="en-GB"/>
        </w:rPr>
        <w:tab/>
        <w:t>Violence against women in the transnational sphere</w:t>
      </w:r>
      <w:r w:rsidRPr="00ED62A0">
        <w:rPr>
          <w:rFonts w:cs="Times New Roman"/>
          <w:szCs w:val="20"/>
          <w:lang w:val="en-GB"/>
        </w:rPr>
        <w:tab/>
      </w:r>
      <w:r w:rsidRPr="00ED62A0">
        <w:rPr>
          <w:rFonts w:cs="Times New Roman"/>
          <w:szCs w:val="20"/>
          <w:lang w:val="en-GB"/>
        </w:rPr>
        <w:tab/>
        <w:t>24–26</w:t>
      </w:r>
      <w:r w:rsidRPr="00ED62A0">
        <w:rPr>
          <w:rFonts w:cs="Times New Roman"/>
          <w:szCs w:val="20"/>
          <w:lang w:val="en-GB"/>
        </w:rPr>
        <w:tab/>
        <w:t>7</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t>III.</w:t>
      </w:r>
      <w:r w:rsidRPr="00ED62A0">
        <w:rPr>
          <w:rFonts w:cs="Times New Roman"/>
          <w:szCs w:val="20"/>
          <w:lang w:val="en-GB"/>
        </w:rPr>
        <w:tab/>
        <w:t xml:space="preserve">Implications of inequality, discrimination and violence for women’s </w:t>
      </w:r>
      <w:r w:rsidRPr="00ED62A0">
        <w:rPr>
          <w:rFonts w:cs="Times New Roman"/>
          <w:szCs w:val="20"/>
          <w:lang w:val="en-GB"/>
        </w:rPr>
        <w:br/>
      </w:r>
      <w:r w:rsidRPr="00ED62A0">
        <w:rPr>
          <w:rFonts w:cs="Times New Roman"/>
          <w:szCs w:val="20"/>
          <w:lang w:val="en-GB"/>
        </w:rPr>
        <w:tab/>
      </w:r>
      <w:r w:rsidRPr="00ED62A0">
        <w:rPr>
          <w:rFonts w:cs="Times New Roman"/>
          <w:szCs w:val="20"/>
          <w:lang w:val="en-GB"/>
        </w:rPr>
        <w:tab/>
        <w:t>enjoyment of their human rights</w:t>
      </w:r>
      <w:r w:rsidRPr="00ED62A0">
        <w:rPr>
          <w:rFonts w:cs="Times New Roman"/>
          <w:szCs w:val="20"/>
          <w:lang w:val="en-GB"/>
        </w:rPr>
        <w:tab/>
      </w:r>
      <w:r w:rsidRPr="00ED62A0">
        <w:rPr>
          <w:rFonts w:cs="Times New Roman"/>
          <w:szCs w:val="20"/>
          <w:lang w:val="en-GB"/>
        </w:rPr>
        <w:tab/>
        <w:t>27–47</w:t>
      </w:r>
      <w:r w:rsidRPr="00ED62A0">
        <w:rPr>
          <w:rFonts w:cs="Times New Roman"/>
          <w:szCs w:val="20"/>
          <w:lang w:val="en-GB"/>
        </w:rPr>
        <w:tab/>
        <w:t>8</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r>
      <w:r w:rsidRPr="00ED62A0">
        <w:rPr>
          <w:rFonts w:cs="Times New Roman"/>
          <w:szCs w:val="20"/>
          <w:lang w:val="en-GB"/>
        </w:rPr>
        <w:tab/>
        <w:t>A.</w:t>
      </w:r>
      <w:r w:rsidRPr="00ED62A0">
        <w:rPr>
          <w:rFonts w:cs="Times New Roman"/>
          <w:szCs w:val="20"/>
          <w:lang w:val="en-GB"/>
        </w:rPr>
        <w:tab/>
        <w:t>Civil and political rights</w:t>
      </w:r>
      <w:r w:rsidRPr="00ED62A0">
        <w:rPr>
          <w:rFonts w:cs="Times New Roman"/>
          <w:szCs w:val="20"/>
          <w:lang w:val="en-GB"/>
        </w:rPr>
        <w:tab/>
      </w:r>
      <w:r w:rsidRPr="00ED62A0">
        <w:rPr>
          <w:rFonts w:cs="Times New Roman"/>
          <w:szCs w:val="20"/>
          <w:lang w:val="en-GB"/>
        </w:rPr>
        <w:tab/>
        <w:t>28–33</w:t>
      </w:r>
      <w:r w:rsidRPr="00ED62A0">
        <w:rPr>
          <w:rFonts w:cs="Times New Roman"/>
          <w:szCs w:val="20"/>
          <w:lang w:val="en-GB"/>
        </w:rPr>
        <w:tab/>
        <w:t>8</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r>
      <w:r w:rsidRPr="00ED62A0">
        <w:rPr>
          <w:rFonts w:cs="Times New Roman"/>
          <w:szCs w:val="20"/>
          <w:lang w:val="en-GB"/>
        </w:rPr>
        <w:tab/>
        <w:t>B.</w:t>
      </w:r>
      <w:r w:rsidRPr="00ED62A0">
        <w:rPr>
          <w:rFonts w:cs="Times New Roman"/>
          <w:szCs w:val="20"/>
          <w:lang w:val="en-GB"/>
        </w:rPr>
        <w:tab/>
        <w:t>Economic rights and the right to development</w:t>
      </w:r>
      <w:r w:rsidRPr="00ED62A0">
        <w:rPr>
          <w:rFonts w:cs="Times New Roman"/>
          <w:szCs w:val="20"/>
          <w:lang w:val="en-GB"/>
        </w:rPr>
        <w:tab/>
      </w:r>
      <w:r w:rsidRPr="00ED62A0">
        <w:rPr>
          <w:rFonts w:cs="Times New Roman"/>
          <w:szCs w:val="20"/>
          <w:lang w:val="en-GB"/>
        </w:rPr>
        <w:tab/>
        <w:t>34–39</w:t>
      </w:r>
      <w:r w:rsidRPr="00ED62A0">
        <w:rPr>
          <w:rFonts w:cs="Times New Roman"/>
          <w:szCs w:val="20"/>
          <w:lang w:val="en-GB"/>
        </w:rPr>
        <w:tab/>
        <w:t>10</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r>
      <w:r w:rsidRPr="00ED62A0">
        <w:rPr>
          <w:rFonts w:cs="Times New Roman"/>
          <w:szCs w:val="20"/>
          <w:lang w:val="en-GB"/>
        </w:rPr>
        <w:tab/>
        <w:t>C.</w:t>
      </w:r>
      <w:r w:rsidRPr="00ED62A0">
        <w:rPr>
          <w:rFonts w:cs="Times New Roman"/>
          <w:szCs w:val="20"/>
          <w:lang w:val="en-GB"/>
        </w:rPr>
        <w:tab/>
        <w:t>Social and cultural rights</w:t>
      </w:r>
      <w:r w:rsidRPr="00ED62A0">
        <w:rPr>
          <w:rFonts w:cs="Times New Roman"/>
          <w:szCs w:val="20"/>
          <w:lang w:val="en-GB"/>
        </w:rPr>
        <w:tab/>
      </w:r>
      <w:r w:rsidRPr="00ED62A0">
        <w:rPr>
          <w:rFonts w:cs="Times New Roman"/>
          <w:szCs w:val="20"/>
          <w:lang w:val="en-GB"/>
        </w:rPr>
        <w:tab/>
        <w:t>40–47</w:t>
      </w:r>
      <w:r w:rsidRPr="00ED62A0">
        <w:rPr>
          <w:rFonts w:cs="Times New Roman"/>
          <w:szCs w:val="20"/>
          <w:lang w:val="en-GB"/>
        </w:rPr>
        <w:tab/>
        <w:t>11</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t>IV.</w:t>
      </w:r>
      <w:r w:rsidRPr="00ED62A0">
        <w:rPr>
          <w:rFonts w:cs="Times New Roman"/>
          <w:szCs w:val="20"/>
          <w:lang w:val="en-GB"/>
        </w:rPr>
        <w:tab/>
        <w:t>Challenges in fulfilling the State’s obligation to eliminate violence</w:t>
      </w:r>
      <w:r w:rsidRPr="00ED62A0">
        <w:rPr>
          <w:rFonts w:cs="Times New Roman"/>
          <w:szCs w:val="20"/>
          <w:lang w:val="en-GB"/>
        </w:rPr>
        <w:br/>
      </w:r>
      <w:r w:rsidRPr="00ED62A0">
        <w:rPr>
          <w:rFonts w:cs="Times New Roman"/>
          <w:szCs w:val="20"/>
          <w:lang w:val="en-GB"/>
        </w:rPr>
        <w:tab/>
      </w:r>
      <w:r w:rsidRPr="00ED62A0">
        <w:rPr>
          <w:rFonts w:cs="Times New Roman"/>
          <w:szCs w:val="20"/>
          <w:lang w:val="en-GB"/>
        </w:rPr>
        <w:tab/>
        <w:t>against women</w:t>
      </w:r>
      <w:r w:rsidRPr="00ED62A0">
        <w:rPr>
          <w:rFonts w:cs="Times New Roman"/>
          <w:szCs w:val="20"/>
          <w:lang w:val="en-GB"/>
        </w:rPr>
        <w:tab/>
      </w:r>
      <w:r w:rsidRPr="00ED62A0">
        <w:rPr>
          <w:rFonts w:cs="Times New Roman"/>
          <w:szCs w:val="20"/>
          <w:lang w:val="en-GB"/>
        </w:rPr>
        <w:tab/>
        <w:t>48–79</w:t>
      </w:r>
      <w:r w:rsidRPr="00ED62A0">
        <w:rPr>
          <w:rFonts w:cs="Times New Roman"/>
          <w:szCs w:val="20"/>
          <w:lang w:val="en-GB"/>
        </w:rPr>
        <w:tab/>
        <w:t>13</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r>
      <w:r w:rsidRPr="00ED62A0">
        <w:rPr>
          <w:rFonts w:cs="Times New Roman"/>
          <w:szCs w:val="20"/>
          <w:lang w:val="en-GB"/>
        </w:rPr>
        <w:tab/>
        <w:t>A.</w:t>
      </w:r>
      <w:r w:rsidRPr="00ED62A0">
        <w:rPr>
          <w:rFonts w:cs="Times New Roman"/>
          <w:szCs w:val="20"/>
          <w:lang w:val="en-GB"/>
        </w:rPr>
        <w:tab/>
        <w:t>Prevention</w:t>
      </w:r>
      <w:r w:rsidRPr="00ED62A0">
        <w:rPr>
          <w:rFonts w:cs="Times New Roman"/>
          <w:szCs w:val="20"/>
          <w:lang w:val="en-GB"/>
        </w:rPr>
        <w:tab/>
      </w:r>
      <w:r w:rsidRPr="00ED62A0">
        <w:rPr>
          <w:rFonts w:cs="Times New Roman"/>
          <w:szCs w:val="20"/>
          <w:lang w:val="en-GB"/>
        </w:rPr>
        <w:tab/>
        <w:t>53–62</w:t>
      </w:r>
      <w:r w:rsidRPr="00ED62A0">
        <w:rPr>
          <w:rFonts w:cs="Times New Roman"/>
          <w:szCs w:val="20"/>
          <w:lang w:val="en-GB"/>
        </w:rPr>
        <w:tab/>
        <w:t>13</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D62A0">
        <w:rPr>
          <w:rFonts w:cs="Times New Roman"/>
          <w:szCs w:val="20"/>
          <w:lang w:val="en-GB"/>
        </w:rPr>
        <w:tab/>
      </w:r>
      <w:r w:rsidRPr="00ED62A0">
        <w:rPr>
          <w:rFonts w:cs="Times New Roman"/>
          <w:szCs w:val="20"/>
          <w:lang w:val="en-GB"/>
        </w:rPr>
        <w:tab/>
        <w:t>B.</w:t>
      </w:r>
      <w:r w:rsidRPr="00ED62A0">
        <w:rPr>
          <w:rFonts w:cs="Times New Roman"/>
          <w:szCs w:val="20"/>
          <w:lang w:val="en-GB"/>
        </w:rPr>
        <w:tab/>
      </w:r>
      <w:r w:rsidRPr="00ED62A0">
        <w:rPr>
          <w:rFonts w:cs="Times New Roman"/>
          <w:color w:val="000000"/>
          <w:szCs w:val="20"/>
          <w:lang w:val="en-GB"/>
        </w:rPr>
        <w:t>Protection</w:t>
      </w:r>
      <w:r w:rsidRPr="00ED62A0">
        <w:rPr>
          <w:rFonts w:cs="Times New Roman"/>
          <w:color w:val="000000"/>
          <w:szCs w:val="20"/>
          <w:lang w:val="en-GB"/>
        </w:rPr>
        <w:tab/>
      </w:r>
      <w:r w:rsidRPr="00ED62A0">
        <w:rPr>
          <w:rFonts w:cs="Times New Roman"/>
          <w:color w:val="000000"/>
          <w:szCs w:val="20"/>
          <w:lang w:val="en-GB"/>
        </w:rPr>
        <w:tab/>
        <w:t>63–69</w:t>
      </w:r>
      <w:r w:rsidRPr="00ED62A0">
        <w:rPr>
          <w:rFonts w:cs="Times New Roman"/>
          <w:color w:val="000000"/>
          <w:szCs w:val="20"/>
          <w:lang w:val="en-GB"/>
        </w:rPr>
        <w:tab/>
        <w:t>15</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color w:val="000000"/>
          <w:szCs w:val="20"/>
          <w:lang w:val="en-GB"/>
        </w:rPr>
        <w:tab/>
      </w:r>
      <w:r w:rsidRPr="00ED62A0">
        <w:rPr>
          <w:rFonts w:cs="Times New Roman"/>
          <w:color w:val="000000"/>
          <w:szCs w:val="20"/>
          <w:lang w:val="en-GB"/>
        </w:rPr>
        <w:tab/>
        <w:t>C.</w:t>
      </w:r>
      <w:r w:rsidRPr="00ED62A0">
        <w:rPr>
          <w:rFonts w:cs="Times New Roman"/>
          <w:color w:val="000000"/>
          <w:szCs w:val="20"/>
          <w:lang w:val="en-GB"/>
        </w:rPr>
        <w:tab/>
      </w:r>
      <w:r w:rsidRPr="00ED62A0">
        <w:rPr>
          <w:rFonts w:cs="Times New Roman"/>
          <w:szCs w:val="20"/>
          <w:lang w:val="en-GB"/>
        </w:rPr>
        <w:t>Prosecution and punishment</w:t>
      </w:r>
      <w:r w:rsidRPr="00ED62A0">
        <w:rPr>
          <w:rFonts w:cs="Times New Roman"/>
          <w:szCs w:val="20"/>
          <w:lang w:val="en-GB"/>
        </w:rPr>
        <w:tab/>
      </w:r>
      <w:r w:rsidRPr="00ED62A0">
        <w:rPr>
          <w:rFonts w:cs="Times New Roman"/>
          <w:szCs w:val="20"/>
          <w:lang w:val="en-GB"/>
        </w:rPr>
        <w:tab/>
        <w:t>70–74</w:t>
      </w:r>
      <w:r w:rsidRPr="00ED62A0">
        <w:rPr>
          <w:rFonts w:cs="Times New Roman"/>
          <w:szCs w:val="20"/>
          <w:lang w:val="en-GB"/>
        </w:rPr>
        <w:tab/>
        <w:t>17</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4"/>
          <w:lang w:val="en-GB"/>
        </w:rPr>
      </w:pPr>
      <w:r w:rsidRPr="00ED62A0">
        <w:rPr>
          <w:rFonts w:cs="Times New Roman"/>
          <w:szCs w:val="20"/>
          <w:lang w:val="en-GB"/>
        </w:rPr>
        <w:tab/>
      </w:r>
      <w:r w:rsidRPr="00ED62A0">
        <w:rPr>
          <w:rFonts w:cs="Times New Roman"/>
          <w:szCs w:val="20"/>
          <w:lang w:val="en-GB"/>
        </w:rPr>
        <w:tab/>
        <w:t>D.</w:t>
      </w:r>
      <w:r w:rsidRPr="00ED62A0">
        <w:rPr>
          <w:rFonts w:cs="Times New Roman"/>
          <w:szCs w:val="20"/>
          <w:lang w:val="en-GB"/>
        </w:rPr>
        <w:tab/>
      </w:r>
      <w:r w:rsidRPr="00ED62A0">
        <w:rPr>
          <w:rFonts w:cs="Times New Roman"/>
          <w:szCs w:val="24"/>
          <w:lang w:val="en-GB"/>
        </w:rPr>
        <w:t>Provision of effective redress including reparations</w:t>
      </w:r>
      <w:r w:rsidRPr="00ED62A0">
        <w:rPr>
          <w:rFonts w:cs="Times New Roman"/>
          <w:szCs w:val="24"/>
          <w:lang w:val="en-GB"/>
        </w:rPr>
        <w:tab/>
      </w:r>
      <w:r w:rsidRPr="00ED62A0">
        <w:rPr>
          <w:rFonts w:cs="Times New Roman"/>
          <w:szCs w:val="24"/>
          <w:lang w:val="en-GB"/>
        </w:rPr>
        <w:tab/>
        <w:t>75–77</w:t>
      </w:r>
      <w:r w:rsidRPr="00ED62A0">
        <w:rPr>
          <w:rFonts w:cs="Times New Roman"/>
          <w:szCs w:val="24"/>
          <w:lang w:val="en-GB"/>
        </w:rPr>
        <w:tab/>
        <w:t>18</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4"/>
          <w:lang w:val="en-GB"/>
        </w:rPr>
        <w:tab/>
      </w:r>
      <w:r w:rsidRPr="00ED62A0">
        <w:rPr>
          <w:rFonts w:cs="Times New Roman"/>
          <w:szCs w:val="24"/>
          <w:lang w:val="en-GB"/>
        </w:rPr>
        <w:tab/>
        <w:t>E.</w:t>
      </w:r>
      <w:r w:rsidRPr="00ED62A0">
        <w:rPr>
          <w:rFonts w:cs="Times New Roman"/>
          <w:szCs w:val="24"/>
          <w:lang w:val="en-GB"/>
        </w:rPr>
        <w:tab/>
      </w:r>
      <w:r w:rsidRPr="00ED62A0">
        <w:rPr>
          <w:rFonts w:cs="Times New Roman"/>
          <w:szCs w:val="20"/>
          <w:lang w:val="en-GB"/>
        </w:rPr>
        <w:t>Remedies for specific groups at risk</w:t>
      </w:r>
      <w:r w:rsidRPr="00ED62A0">
        <w:rPr>
          <w:rFonts w:cs="Times New Roman"/>
          <w:szCs w:val="20"/>
          <w:lang w:val="en-GB"/>
        </w:rPr>
        <w:tab/>
      </w:r>
      <w:r w:rsidRPr="00ED62A0">
        <w:rPr>
          <w:rFonts w:cs="Times New Roman"/>
          <w:szCs w:val="20"/>
          <w:lang w:val="en-GB"/>
        </w:rPr>
        <w:tab/>
        <w:t>78–79</w:t>
      </w:r>
      <w:r w:rsidRPr="00ED62A0">
        <w:rPr>
          <w:rFonts w:cs="Times New Roman"/>
          <w:szCs w:val="20"/>
          <w:lang w:val="en-GB"/>
        </w:rPr>
        <w:tab/>
        <w:t>18</w:t>
      </w:r>
    </w:p>
    <w:p w:rsidR="00ED62A0" w:rsidRPr="00ED62A0" w:rsidRDefault="00ED62A0" w:rsidP="00ED62A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ED62A0">
        <w:rPr>
          <w:rFonts w:cs="Times New Roman"/>
          <w:szCs w:val="20"/>
          <w:lang w:val="en-GB"/>
        </w:rPr>
        <w:tab/>
        <w:t>V.</w:t>
      </w:r>
      <w:r w:rsidRPr="00ED62A0">
        <w:rPr>
          <w:rFonts w:cs="Times New Roman"/>
          <w:szCs w:val="20"/>
          <w:lang w:val="en-GB"/>
        </w:rPr>
        <w:tab/>
        <w:t>Conclusions and recommendations</w:t>
      </w:r>
      <w:r w:rsidRPr="00ED62A0">
        <w:rPr>
          <w:rFonts w:cs="Times New Roman"/>
          <w:szCs w:val="20"/>
          <w:lang w:val="en-GB"/>
        </w:rPr>
        <w:tab/>
      </w:r>
      <w:r w:rsidRPr="00ED62A0">
        <w:rPr>
          <w:rFonts w:cs="Times New Roman"/>
          <w:szCs w:val="20"/>
          <w:lang w:val="en-GB"/>
        </w:rPr>
        <w:tab/>
        <w:t>80–87</w:t>
      </w:r>
      <w:r w:rsidRPr="00ED62A0">
        <w:rPr>
          <w:rFonts w:cs="Times New Roman"/>
          <w:szCs w:val="20"/>
          <w:lang w:val="en-GB"/>
        </w:rPr>
        <w:tab/>
        <w:t>19</w:t>
      </w:r>
    </w:p>
    <w:p w:rsidR="00ED62A0" w:rsidRPr="00B01C7F" w:rsidRDefault="00ED62A0" w:rsidP="001D3B50">
      <w:pPr>
        <w:keepNext/>
        <w:keepLines/>
        <w:tabs>
          <w:tab w:val="right" w:pos="851"/>
        </w:tabs>
        <w:suppressAutoHyphens/>
        <w:bidi w:val="0"/>
        <w:spacing w:before="120" w:after="240" w:line="300" w:lineRule="exact"/>
        <w:ind w:left="1134" w:right="1134" w:hanging="1134"/>
        <w:jc w:val="left"/>
        <w:rPr>
          <w:rFonts w:eastAsia="SimSun" w:cs="Times New Roman"/>
          <w:b/>
          <w:sz w:val="28"/>
          <w:szCs w:val="20"/>
          <w:lang w:val="en-GB" w:eastAsia="zh-CN"/>
        </w:rPr>
      </w:pPr>
      <w:r w:rsidRPr="00ED62A0">
        <w:rPr>
          <w:rFonts w:eastAsia="SimSun"/>
          <w:lang w:val="en-GB" w:eastAsia="zh-CN"/>
        </w:rPr>
        <w:br w:type="page"/>
      </w:r>
      <w:r w:rsidRPr="00B01C7F">
        <w:rPr>
          <w:rFonts w:eastAsia="SimSun" w:cs="Times New Roman"/>
          <w:b/>
          <w:sz w:val="28"/>
          <w:szCs w:val="20"/>
          <w:lang w:val="en-GB" w:eastAsia="zh-CN"/>
        </w:rPr>
        <w:tab/>
        <w:t>I.</w:t>
      </w:r>
      <w:r w:rsidRPr="00B01C7F">
        <w:rPr>
          <w:rFonts w:eastAsia="SimSun" w:cs="Times New Roman"/>
          <w:b/>
          <w:sz w:val="28"/>
          <w:szCs w:val="20"/>
          <w:lang w:val="en-GB" w:eastAsia="zh-CN"/>
        </w:rPr>
        <w:tab/>
        <w:t>Introduction</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At the invitation of the Government of Azerbaijan, the Special Rapporteur on violence against women, its causes and consequences, Rashida Manjoo, conducted an official visit to the country from 26 November to 5 December 2013.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In </w:t>
      </w:r>
      <w:smartTag w:uri="urn:schemas-microsoft-com:office:smarttags" w:element="place">
        <w:smartTag w:uri="urn:schemas-microsoft-com:office:smarttags" w:element="City">
          <w:r w:rsidRPr="00B01C7F">
            <w:rPr>
              <w:rFonts w:cs="Times New Roman"/>
              <w:szCs w:val="20"/>
              <w:lang w:val="en-GB"/>
            </w:rPr>
            <w:t>Baku</w:t>
          </w:r>
        </w:smartTag>
      </w:smartTag>
      <w:r w:rsidRPr="00B01C7F">
        <w:rPr>
          <w:rFonts w:cs="Times New Roman"/>
          <w:szCs w:val="20"/>
          <w:lang w:val="en-GB"/>
        </w:rPr>
        <w:t xml:space="preserve">, the Special Rapporteur held consultations with the Chair of the State Committee for Family, Women and Children’s Affairs and officials from the Ministries of Economy and Industry, Justice, Internal Affairs, Labour and Social Protection of Population, Education, Health and Foreign Affairs. She also met with the Commissioner for Human Rights (Ombudsperson) of the </w:t>
      </w:r>
      <w:smartTag w:uri="urn:schemas-microsoft-com:office:smarttags" w:element="place">
        <w:smartTag w:uri="urn:schemas-microsoft-com:office:smarttags" w:element="PlaceType">
          <w:r w:rsidRPr="00B01C7F">
            <w:rPr>
              <w:rFonts w:cs="Times New Roman"/>
              <w:szCs w:val="20"/>
              <w:lang w:val="en-GB"/>
            </w:rPr>
            <w:t>Republic</w:t>
          </w:r>
        </w:smartTag>
        <w:r w:rsidRPr="00B01C7F">
          <w:rPr>
            <w:rFonts w:cs="Times New Roman"/>
            <w:szCs w:val="20"/>
            <w:lang w:val="en-GB"/>
          </w:rPr>
          <w:t xml:space="preserve"> of </w:t>
        </w:r>
        <w:smartTag w:uri="urn:schemas-microsoft-com:office:smarttags" w:element="PlaceName">
          <w:r w:rsidRPr="00B01C7F">
            <w:rPr>
              <w:rFonts w:cs="Times New Roman"/>
              <w:szCs w:val="20"/>
              <w:lang w:val="en-GB"/>
            </w:rPr>
            <w:t>Azerbaijan</w:t>
          </w:r>
        </w:smartTag>
      </w:smartTag>
      <w:r w:rsidRPr="00B01C7F">
        <w:rPr>
          <w:rFonts w:cs="Times New Roman"/>
          <w:szCs w:val="20"/>
          <w:lang w:val="en-GB"/>
        </w:rPr>
        <w:t xml:space="preserve">. She held meetings with representatives of the Judicial Legal Council and the Parliamentary Committee on Human Rights and officials of the State Committee on Refugees and Internally Displaced Persons Issues. She visited a prison, women’s shelters, as well as settlements of internally displaced persons (IDPs) in Sumqayit and Qaradag as well as a health centre and a school. During her visits to Khachmaz, Ganja, Lankaran and Sumqayit, the Special Rapporteur met with representatives of the Executive Power, other local authorities and a women’s council centre. The Special Rapporteur consulted extensively with civil society and victims in different locations within the country.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The Special Rapporteur is grateful to the United Nations Country Team for its support prior to, during and after her visit. She is grateful to all interlocutors, including survivors of violence who shared their experiences with her. She looks forward to a fruitful dialogue with the Government and other stakeholders on the implementation of her recommendations.</w:t>
      </w:r>
    </w:p>
    <w:p w:rsidR="00ED62A0" w:rsidRPr="00B01C7F" w:rsidRDefault="00ED62A0" w:rsidP="00ED62A0">
      <w:pPr>
        <w:keepNext/>
        <w:keepLines/>
        <w:tabs>
          <w:tab w:val="right" w:pos="851"/>
        </w:tabs>
        <w:suppressAutoHyphens/>
        <w:bidi w:val="0"/>
        <w:spacing w:before="360" w:after="240" w:line="300" w:lineRule="exact"/>
        <w:ind w:left="1134" w:right="1134" w:hanging="1134"/>
        <w:jc w:val="left"/>
        <w:rPr>
          <w:rFonts w:eastAsia="SimSun" w:cs="Times New Roman"/>
          <w:b/>
          <w:sz w:val="28"/>
          <w:szCs w:val="20"/>
          <w:lang w:val="en-GB" w:eastAsia="zh-CN"/>
        </w:rPr>
      </w:pPr>
      <w:r w:rsidRPr="00B01C7F">
        <w:rPr>
          <w:rFonts w:eastAsia="SimSun" w:cs="Times New Roman"/>
          <w:b/>
          <w:sz w:val="28"/>
          <w:szCs w:val="20"/>
          <w:lang w:val="en-GB" w:eastAsia="zh-CN"/>
        </w:rPr>
        <w:tab/>
        <w:t>II.</w:t>
      </w:r>
      <w:r w:rsidRPr="00B01C7F">
        <w:rPr>
          <w:rFonts w:eastAsia="SimSun" w:cs="Times New Roman"/>
          <w:b/>
          <w:sz w:val="28"/>
          <w:szCs w:val="20"/>
          <w:lang w:val="en-GB" w:eastAsia="zh-CN"/>
        </w:rPr>
        <w:tab/>
        <w:t>Manifestations of violence against women and girls, its causes and consequences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According to the majority of interviewed stakeholders, violence against women in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is widespread and occurs in both private and public spheres. It seems to be underpinned by the persistence of patriarchal social norms, deeply-rooted gender stereotypes and misconceptions, as well as customary practices that are harmful to women.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has strong cultural traditions that place a high value on family and community.</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A.</w:t>
      </w:r>
      <w:r w:rsidRPr="00B01C7F">
        <w:rPr>
          <w:rFonts w:cs="Times New Roman"/>
          <w:b/>
          <w:sz w:val="24"/>
          <w:szCs w:val="20"/>
          <w:lang w:val="en-GB"/>
        </w:rPr>
        <w:tab/>
        <w:t>Violence against women in the family</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According to numerous interlocutors, the physical, sexual and psychological abuse of women in the private sphere is usually tolerated, including by the community. The perpetrators are mainly intimate partners, but sometimes close family members and family friends. </w:t>
      </w:r>
    </w:p>
    <w:p w:rsidR="0024766D"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According to statistics from the Ministry of Internal Affairs, from 1 January 2011 to 30 November 2013, there were a total of 4,053 reported cases of domestic violence. These statistics are not disaggregated on the basis of sex or on the relationship between the victim and perpetrator.</w:t>
      </w:r>
    </w:p>
    <w:p w:rsidR="00ED62A0" w:rsidRPr="00B01C7F" w:rsidRDefault="0024766D" w:rsidP="0024766D">
      <w:pPr>
        <w:numPr>
          <w:ilvl w:val="0"/>
          <w:numId w:val="10"/>
        </w:numPr>
        <w:tabs>
          <w:tab w:val="left" w:pos="1700"/>
        </w:tabs>
        <w:suppressAutoHyphens/>
        <w:bidi w:val="0"/>
        <w:spacing w:after="120"/>
        <w:ind w:left="1134" w:right="1134" w:firstLine="0"/>
        <w:jc w:val="both"/>
        <w:rPr>
          <w:rFonts w:cs="Times New Roman"/>
          <w:szCs w:val="20"/>
          <w:lang w:val="en-GB"/>
        </w:rPr>
      </w:pPr>
      <w:r>
        <w:rPr>
          <w:rFonts w:cs="Times New Roman"/>
          <w:szCs w:val="20"/>
          <w:lang w:val="en-GB"/>
        </w:rPr>
        <w:br w:type="page"/>
      </w:r>
      <w:r w:rsidR="00ED62A0" w:rsidRPr="00B01C7F">
        <w:rPr>
          <w:rFonts w:cs="Times New Roman"/>
          <w:szCs w:val="20"/>
          <w:lang w:val="en-GB"/>
        </w:rPr>
        <w:t>The 2008 survey on violence against women</w:t>
      </w:r>
      <w:r w:rsidR="00ED62A0" w:rsidRPr="00B01C7F">
        <w:rPr>
          <w:rFonts w:cs="Times New Roman"/>
          <w:sz w:val="18"/>
          <w:szCs w:val="20"/>
          <w:vertAlign w:val="superscript"/>
          <w:lang w:val="en-GB"/>
        </w:rPr>
        <w:footnoteReference w:id="1"/>
      </w:r>
      <w:r w:rsidR="00ED62A0" w:rsidRPr="00B01C7F">
        <w:rPr>
          <w:rFonts w:cs="Times New Roman"/>
          <w:szCs w:val="20"/>
          <w:lang w:val="en-GB"/>
        </w:rPr>
        <w:t xml:space="preserve"> provided extensive information on the root causes and patterns of violence in </w:t>
      </w:r>
      <w:smartTag w:uri="urn:schemas-microsoft-com:office:smarttags" w:element="place">
        <w:smartTag w:uri="urn:schemas-microsoft-com:office:smarttags" w:element="country-region">
          <w:r w:rsidR="00ED62A0" w:rsidRPr="00B01C7F">
            <w:rPr>
              <w:rFonts w:cs="Times New Roman"/>
              <w:szCs w:val="20"/>
              <w:lang w:val="en-GB"/>
            </w:rPr>
            <w:t>Azerbaijan</w:t>
          </w:r>
        </w:smartTag>
      </w:smartTag>
      <w:r w:rsidR="00ED62A0" w:rsidRPr="00B01C7F">
        <w:rPr>
          <w:rFonts w:cs="Times New Roman"/>
          <w:szCs w:val="20"/>
          <w:lang w:val="en-GB"/>
        </w:rPr>
        <w:t xml:space="preserve">. Almost a quarter of the respondents revealed having suffered from the traumatic experiences of physical, sexual and emotional violence since the age of 15 years by their partner or others. Jealousy was cited as the cause of 21 per cent of cases of violence. The report also reflects significant regional differences in the prevalence and patterns of intimate partner violence against women, ranging from 3 per cent of interviewees in Dakhlik Shirvan, 9 per cent in </w:t>
      </w:r>
      <w:smartTag w:uri="urn:schemas-microsoft-com:office:smarttags" w:element="place">
        <w:smartTag w:uri="urn:schemas-microsoft-com:office:smarttags" w:element="City">
          <w:r w:rsidR="00ED62A0" w:rsidRPr="00B01C7F">
            <w:rPr>
              <w:rFonts w:cs="Times New Roman"/>
              <w:szCs w:val="20"/>
              <w:lang w:val="en-GB"/>
            </w:rPr>
            <w:t>Baku</w:t>
          </w:r>
        </w:smartTag>
      </w:smartTag>
      <w:r w:rsidR="00ED62A0" w:rsidRPr="00B01C7F">
        <w:rPr>
          <w:rFonts w:cs="Times New Roman"/>
          <w:szCs w:val="20"/>
          <w:lang w:val="en-GB"/>
        </w:rPr>
        <w:t xml:space="preserve">, 19 per cent in Lankaran and 29 per cent in Absheron. In Quba-Khachmaz, 12 per cent of the women interviewed reported cases of sexual violence. Forced intercourse was mentioned as the most common act of sexual violence. 10 per cent of the women interviewed experienced sexual abuses as children, most frequently alleged to be perpetrated by family members (stepfather, father or other male family member) and male friends of the family. The survey identified Shaki-Zaqatala, </w:t>
      </w:r>
      <w:smartTag w:uri="urn:schemas-microsoft-com:office:smarttags" w:element="place">
        <w:smartTag w:uri="urn:schemas-microsoft-com:office:smarttags" w:element="City">
          <w:r w:rsidR="00ED62A0" w:rsidRPr="00B01C7F">
            <w:rPr>
              <w:rFonts w:cs="Times New Roman"/>
              <w:szCs w:val="20"/>
              <w:lang w:val="en-GB"/>
            </w:rPr>
            <w:t>Baku</w:t>
          </w:r>
        </w:smartTag>
      </w:smartTag>
      <w:r w:rsidR="00ED62A0" w:rsidRPr="00B01C7F">
        <w:rPr>
          <w:rFonts w:cs="Times New Roman"/>
          <w:szCs w:val="20"/>
          <w:lang w:val="en-GB"/>
        </w:rPr>
        <w:t xml:space="preserve"> and Ganja-Qazakh as areas of high risk of sexual abuse of girls before the age of 15.</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IDP and refugee women who had to flee their homes as a consequence of the conflict over the Nagorno-Karabakh region</w:t>
      </w:r>
      <w:r w:rsidRPr="00B01C7F">
        <w:rPr>
          <w:rFonts w:cs="Times New Roman"/>
          <w:sz w:val="18"/>
          <w:szCs w:val="20"/>
          <w:vertAlign w:val="superscript"/>
          <w:lang w:val="en-GB"/>
        </w:rPr>
        <w:footnoteReference w:id="2"/>
      </w:r>
      <w:r w:rsidRPr="00B01C7F">
        <w:rPr>
          <w:rFonts w:cs="Times New Roman"/>
          <w:szCs w:val="20"/>
          <w:lang w:val="en-GB"/>
        </w:rPr>
        <w:t xml:space="preserve"> registered higher prevalence rate of intimate partner violence (26 per cent) compared to respondents never subjected to forced displacement. The </w:t>
      </w:r>
      <w:smartTag w:uri="urn:schemas-microsoft-com:office:smarttags" w:element="place">
        <w:smartTag w:uri="urn:schemas-microsoft-com:office:smarttags" w:element="country-region">
          <w:r w:rsidRPr="00B01C7F">
            <w:rPr>
              <w:rFonts w:cs="Times New Roman"/>
              <w:i/>
              <w:szCs w:val="20"/>
              <w:lang w:val="en-GB"/>
            </w:rPr>
            <w:t>Azerbaijan</w:t>
          </w:r>
        </w:smartTag>
      </w:smartTag>
      <w:r w:rsidRPr="00B01C7F">
        <w:rPr>
          <w:rFonts w:cs="Times New Roman"/>
          <w:i/>
          <w:szCs w:val="20"/>
          <w:lang w:val="en-GB"/>
        </w:rPr>
        <w:t xml:space="preserve"> Human Development Report 2007</w:t>
      </w:r>
      <w:r w:rsidRPr="00B01C7F">
        <w:rPr>
          <w:rFonts w:cs="Times New Roman"/>
          <w:szCs w:val="20"/>
          <w:lang w:val="en-GB"/>
        </w:rPr>
        <w:t xml:space="preserve"> demonstrated that the prevalence of intimate partner violence among women IDPs and refugees is 7 per cent higher than in other environments.</w:t>
      </w:r>
      <w:r w:rsidRPr="00B01C7F">
        <w:rPr>
          <w:rFonts w:cs="Times New Roman"/>
          <w:sz w:val="18"/>
          <w:szCs w:val="20"/>
          <w:vertAlign w:val="superscript"/>
          <w:lang w:val="en-GB"/>
        </w:rPr>
        <w:footnoteReference w:id="3"/>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According to the 2008 survey, emotional abuse is the most common form of intimate partner violence. Insults (22 per cent), belittling (13 per cent) and intimidation (11 per cent) were the most frequently reported. 81 per cent of women reported being exposed to some form of controlling behaviour, with higher prevalence in the rural areas than in urban settings. 53 per cent of women revealed that their husband or partner compelled them to request permission to leave the house.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The survey findings include data on early marriage, the absence of official marriage registration, partner’s low level of education and, to some extent, the woman’s lower educational background as factors that were likely to increase the risk of intimate partner violence. Very often, interviewees considered the beating justified, in particular in cases when the woman was unfaithful (32 per cent), when the woman went out without informing the husband (24 per cent) and when the wife disobeyed her husband (18 per cent). Among the circumstances leading to incidents of intimate partner violence, interviewees mostly indicated economic problems and alcohol abuse.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The survey also indicates that women victims of violence are considerably more likely to have suicidal thoughts or to attempt suicide. Among women who experienced physical or sexual violence, 18 per cent reported suicidal thoughts and 8 per cent had attempted suicide. The State Committee for Family, Women and Children’s Affairs informed the Special Rapporteur that 87 women had committed suicide in 2011 and 105 in 2012.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A considerable group of survey respondents were not against legal intervention in the situations of domestic violence, while a minority considered domestic violence to be a private issue not to be regulated by law. Many women view violence from their partner as part of family life that should be kept undisclosed and free of outside intervention. About 61 per cent of women subjected to partner abuse did not tell anyone about the violence. Less than 1 per cent of them requested the assistance of public institutions. Their reasons include the fear of retaliation and escalation of violence, shame and fear of impact on the family’s reputation, fear of not being believed, fear of being blamed, the belief that official reporting would not help (as reflected in the experiences of other women), fear that it would end the relationship and fear of losing their children.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According to the survey, and as confirmed through interviews with survivors, the women who sought State assistance and services, or who left home at least for one night, suffered from increased violence and were concerned for their own and their children’s safety. </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B.</w:t>
      </w:r>
      <w:r w:rsidRPr="00B01C7F">
        <w:rPr>
          <w:rFonts w:cs="Times New Roman"/>
          <w:b/>
          <w:sz w:val="24"/>
          <w:szCs w:val="20"/>
          <w:lang w:val="en-GB"/>
        </w:rPr>
        <w:tab/>
        <w:t>Violence against women in the community</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Data from the Ministry of Internal Affairs reflects that from 1 January 2011 to 30 November 2013, there were a total of 16,253 cases of crimes against women, of which 9,140 cases were classified as violence against women. The same sources indicate 76 cases of rape during this period as well as 193 killings of women. Unfortunately, the lack of disaggregated data precludes an analysis of the gendered nature of these crimes.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The high prevalence of early and/or forced marriages in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is a source of concern, and during the visit, it was often referred to as a major societal problem. It is difficult to obtain accurate statistics on early marriages, given their illegal nature. According to the State Committee for Family, Women and Children’s Affairs, more than 5,000 girls were victims of early marriages in 2013, while the approximate figure for 2012 was 4,000. Findings suggest that the largest number of child marriages occur in Absheron region and Lankaran, followed by Quba and Agstafa.</w:t>
      </w:r>
      <w:r w:rsidRPr="00B01C7F">
        <w:rPr>
          <w:rFonts w:cs="Times New Roman"/>
          <w:sz w:val="18"/>
          <w:szCs w:val="20"/>
          <w:vertAlign w:val="superscript"/>
          <w:lang w:val="en-GB"/>
        </w:rPr>
        <w:footnoteReference w:id="4"/>
      </w:r>
      <w:r w:rsidRPr="00B01C7F">
        <w:rPr>
          <w:rFonts w:cs="Times New Roman"/>
          <w:szCs w:val="20"/>
          <w:lang w:val="en-GB"/>
        </w:rPr>
        <w:t xml:space="preserve"> The majority of child marriages are alleged to take place against the girls’ will or under parental pressure.</w:t>
      </w:r>
      <w:r w:rsidRPr="00B01C7F">
        <w:rPr>
          <w:rFonts w:cs="Times New Roman"/>
          <w:sz w:val="18"/>
          <w:szCs w:val="20"/>
          <w:vertAlign w:val="superscript"/>
          <w:lang w:val="en-GB"/>
        </w:rPr>
        <w:footnoteReference w:id="5"/>
      </w:r>
      <w:r w:rsidRPr="00B01C7F">
        <w:rPr>
          <w:rFonts w:cs="Times New Roman"/>
          <w:szCs w:val="20"/>
          <w:lang w:val="en-GB"/>
        </w:rPr>
        <w:t xml:space="preserve"> Survey participants listed, among the reasons for child marriages, parents’ concern for the daughter’s future (45 per cent), traditions and customs (29 per cent) and the girls’ own wish (19 per cent). The family’s economic situation was the least cited (7 per cent) as a reason for early marriages.</w:t>
      </w:r>
      <w:r w:rsidRPr="00B01C7F">
        <w:rPr>
          <w:rFonts w:cs="Times New Roman"/>
          <w:sz w:val="18"/>
          <w:szCs w:val="20"/>
          <w:vertAlign w:val="superscript"/>
          <w:lang w:val="en-GB"/>
        </w:rPr>
        <w:footnoteReference w:id="6"/>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Despite the efforts undertaken by the authorities, in particular through the modification in 2011 of the Family Code which increased the age of consent to marriage to 18 years for both girls and boys, early/forced marriages have continued to endanger the lives of girls, including placing them at a greater risk of domestic violence, marital rape or early pregnancies. The right to life, health and well-being, education and the enjoyment of their childhood are all negatively impacted. The Special Rapporteur raised the issue of accountability, as provided for in the Criminal Code, of religious leaders who conduct early marriages, but also of parents who collude in these practices. She also raised concerns about the adverse impact and consequences of unregistered religious marriages. Such marriages place women in a particularly vulnerable position, with no protection of their rights.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Numerous stakeholders, including the State Committee for Family, Women and Children’s Affairs, the Office of the Commissioner for Human Rights (Ombudsperson), international organizations and local civil society organizations, have engaged in awareness-raising and educational campaigns to prevent and combat early marriages. However, according to some sources,</w:t>
      </w:r>
      <w:r w:rsidRPr="00B01C7F">
        <w:rPr>
          <w:rFonts w:cs="Times New Roman"/>
          <w:sz w:val="18"/>
          <w:szCs w:val="20"/>
          <w:vertAlign w:val="superscript"/>
          <w:lang w:val="en-GB"/>
        </w:rPr>
        <w:footnoteReference w:id="7"/>
      </w:r>
      <w:r w:rsidRPr="00B01C7F">
        <w:rPr>
          <w:rFonts w:cs="Times New Roman"/>
          <w:szCs w:val="20"/>
          <w:lang w:val="en-GB"/>
        </w:rPr>
        <w:t xml:space="preserve"> these events are mainly carried out in the cities and not in rural areas, where the prevalence of early marriages is higher. The increasing prevalence of child marriages indicates the re-emergence of traditional values and attitudes.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The Special Rapporteur also expressed serious concerns at the persistence of prenatal sex selection,</w:t>
      </w:r>
      <w:r w:rsidRPr="00B01C7F">
        <w:rPr>
          <w:rFonts w:cs="Times New Roman"/>
          <w:sz w:val="18"/>
          <w:szCs w:val="20"/>
          <w:vertAlign w:val="superscript"/>
          <w:lang w:val="en-GB"/>
        </w:rPr>
        <w:footnoteReference w:id="8"/>
      </w:r>
      <w:r w:rsidRPr="00B01C7F">
        <w:rPr>
          <w:rFonts w:cs="Times New Roman"/>
          <w:szCs w:val="20"/>
          <w:lang w:val="en-GB"/>
        </w:rPr>
        <w:t xml:space="preserve"> whereby families choose to abort the pregnancy if they are expecting a girl child. According to the statistical data on sex ratio at birth from the State Statistical Committee, from 1990 to 2010, the sex ratio at birth varied between 105 and 106 males to 100 females in early 1980s while these figures started to increase over the years and reached 120 male to 100 females in 1998, with a minor decline observed in recent years. According to sources, this phenomenon seems to be more prevalent in urban areas.</w:t>
      </w:r>
      <w:r w:rsidRPr="00B01C7F">
        <w:rPr>
          <w:rFonts w:cs="Times New Roman"/>
          <w:sz w:val="18"/>
          <w:szCs w:val="20"/>
          <w:vertAlign w:val="superscript"/>
          <w:lang w:val="en-GB"/>
        </w:rPr>
        <w:footnoteReference w:id="9"/>
      </w:r>
      <w:r w:rsidRPr="00B01C7F">
        <w:rPr>
          <w:rFonts w:cs="Times New Roman"/>
          <w:szCs w:val="20"/>
          <w:lang w:val="en-GB"/>
        </w:rPr>
        <w:t xml:space="preserve"> </w:t>
      </w:r>
      <w:smartTag w:uri="urn:schemas-microsoft-com:office:smarttags" w:element="country-region">
        <w:r w:rsidRPr="00B01C7F">
          <w:rPr>
            <w:rFonts w:cs="Times New Roman"/>
            <w:szCs w:val="20"/>
            <w:lang w:val="en-GB"/>
          </w:rPr>
          <w:t>Azerbaijan</w:t>
        </w:r>
      </w:smartTag>
      <w:r w:rsidRPr="00B01C7F">
        <w:rPr>
          <w:rFonts w:cs="Times New Roman"/>
          <w:szCs w:val="20"/>
          <w:lang w:val="en-GB"/>
        </w:rPr>
        <w:t xml:space="preserve"> is alleged to have the second highest sex-selective abortion rate after </w:t>
      </w:r>
      <w:smartTag w:uri="urn:schemas-microsoft-com:office:smarttags" w:element="place">
        <w:smartTag w:uri="urn:schemas-microsoft-com:office:smarttags" w:element="country-region">
          <w:r w:rsidRPr="00B01C7F">
            <w:rPr>
              <w:rFonts w:cs="Times New Roman"/>
              <w:szCs w:val="20"/>
              <w:lang w:val="en-GB"/>
            </w:rPr>
            <w:t>China</w:t>
          </w:r>
        </w:smartTag>
      </w:smartTag>
      <w:r w:rsidRPr="00B01C7F">
        <w:rPr>
          <w:rFonts w:cs="Times New Roman"/>
          <w:szCs w:val="20"/>
          <w:lang w:val="en-GB"/>
        </w:rPr>
        <w:t>.</w:t>
      </w:r>
      <w:r w:rsidRPr="00B01C7F">
        <w:rPr>
          <w:rFonts w:cs="Times New Roman"/>
          <w:sz w:val="18"/>
          <w:szCs w:val="20"/>
          <w:vertAlign w:val="superscript"/>
          <w:lang w:val="en-GB"/>
        </w:rPr>
        <w:footnoteReference w:id="10"/>
      </w:r>
      <w:r w:rsidRPr="00B01C7F">
        <w:rPr>
          <w:rFonts w:cs="Times New Roman"/>
          <w:szCs w:val="20"/>
          <w:lang w:val="en-GB"/>
        </w:rPr>
        <w:t xml:space="preserv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Cultural biases placing greater value on sons than daughters, as well as economic concerns (such as, for example, the perception that male children are more likely to provide financial support in the future) can lead to sex-selective abortions.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The Special Rapporteur was not provided with any official data on sexual harassment. Most interviewees stated that this was not a problem in the country. It is unclear whether it is a hidden or unrecognized manifestation of violence against women.</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C.</w:t>
      </w:r>
      <w:r w:rsidRPr="00B01C7F">
        <w:rPr>
          <w:rFonts w:cs="Times New Roman"/>
          <w:b/>
          <w:sz w:val="24"/>
          <w:szCs w:val="20"/>
          <w:lang w:val="en-GB"/>
        </w:rPr>
        <w:tab/>
        <w:t>Violence against women condoned and/or perpetrated by the State</w:t>
      </w:r>
    </w:p>
    <w:p w:rsidR="00ED62A0" w:rsidRDefault="00ED62A0" w:rsidP="001D3B50">
      <w:pPr>
        <w:numPr>
          <w:ilvl w:val="0"/>
          <w:numId w:val="10"/>
        </w:numPr>
        <w:tabs>
          <w:tab w:val="left" w:pos="1700"/>
        </w:tabs>
        <w:suppressAutoHyphens/>
        <w:bidi w:val="0"/>
        <w:spacing w:after="120"/>
        <w:ind w:left="1134" w:right="1134" w:firstLine="0"/>
        <w:jc w:val="both"/>
        <w:rPr>
          <w:rFonts w:cs="Times New Roman"/>
          <w:spacing w:val="-2"/>
          <w:szCs w:val="20"/>
          <w:lang w:val="en-GB"/>
        </w:rPr>
      </w:pPr>
      <w:r w:rsidRPr="00B01C7F">
        <w:rPr>
          <w:rFonts w:cs="Times New Roman"/>
          <w:szCs w:val="20"/>
          <w:lang w:val="en-GB"/>
        </w:rPr>
        <w:t xml:space="preserve">The Special Rapporteur was given access to the only women’s prison in </w:t>
      </w:r>
      <w:smartTag w:uri="urn:schemas-microsoft-com:office:smarttags" w:element="country-region">
        <w:r w:rsidRPr="00B01C7F">
          <w:rPr>
            <w:rFonts w:cs="Times New Roman"/>
            <w:szCs w:val="20"/>
            <w:lang w:val="en-GB"/>
          </w:rPr>
          <w:t>Azerbaijan</w:t>
        </w:r>
      </w:smartTag>
      <w:r w:rsidRPr="00B01C7F">
        <w:rPr>
          <w:rFonts w:cs="Times New Roman"/>
          <w:szCs w:val="20"/>
          <w:lang w:val="en-GB"/>
        </w:rPr>
        <w:t xml:space="preserve">, which is located in the centre of </w:t>
      </w:r>
      <w:smartTag w:uri="urn:schemas-microsoft-com:office:smarttags" w:element="place">
        <w:smartTag w:uri="urn:schemas-microsoft-com:office:smarttags" w:element="City">
          <w:r w:rsidRPr="00B01C7F">
            <w:rPr>
              <w:rFonts w:cs="Times New Roman"/>
              <w:szCs w:val="20"/>
              <w:lang w:val="en-GB"/>
            </w:rPr>
            <w:t>Baku</w:t>
          </w:r>
        </w:smartTag>
      </w:smartTag>
      <w:r w:rsidRPr="00B01C7F">
        <w:rPr>
          <w:rFonts w:cs="Times New Roman"/>
          <w:szCs w:val="20"/>
          <w:lang w:val="en-GB"/>
        </w:rPr>
        <w:t xml:space="preserve"> and currently holds 370 prisoners. None of the women prisoners interviewed reported ill-treatment, but the Special Rapporteur expressed concerns at the charges leading to women being imprisoned, and the duration of the sentences, most of which are of 10 years and more.</w:t>
      </w:r>
      <w:r w:rsidRPr="00B01C7F">
        <w:rPr>
          <w:rFonts w:cs="Times New Roman"/>
          <w:sz w:val="18"/>
          <w:szCs w:val="20"/>
          <w:vertAlign w:val="superscript"/>
          <w:lang w:val="en-GB"/>
        </w:rPr>
        <w:footnoteReference w:id="11"/>
      </w:r>
      <w:r w:rsidRPr="00B01C7F">
        <w:rPr>
          <w:rFonts w:cs="Times New Roman"/>
          <w:szCs w:val="20"/>
          <w:lang w:val="en-GB"/>
        </w:rPr>
        <w:t xml:space="preserve"> Among the most common charges are crimes connected to drugs and fraud, disorderly conduct (also referred to as “hooliganism”), larceny and murder, often linked to cases of domestic violence, as confirmed during interviews with women prisoners. According to statistics from the Ministry of Internal Affairs, 87 women prisoners had guardianship over teenagers. The Special Rapporteur was informed that a number of women with young children had to serve prison sentences, although article 79 of the Criminal Code allows for the possibility of </w:t>
      </w:r>
      <w:r w:rsidRPr="0024766D">
        <w:rPr>
          <w:rFonts w:cs="Times New Roman"/>
          <w:spacing w:val="-2"/>
          <w:szCs w:val="20"/>
          <w:lang w:val="en-GB"/>
        </w:rPr>
        <w:t>postponing the sentence of a pregnant woman or a woman having children under the age of 8.</w:t>
      </w:r>
    </w:p>
    <w:p w:rsidR="0024766D" w:rsidRDefault="0024766D" w:rsidP="0024766D">
      <w:pPr>
        <w:tabs>
          <w:tab w:val="left" w:pos="1700"/>
        </w:tabs>
        <w:suppressAutoHyphens/>
        <w:bidi w:val="0"/>
        <w:spacing w:after="120"/>
        <w:ind w:right="1134"/>
        <w:jc w:val="both"/>
        <w:rPr>
          <w:rFonts w:cs="Times New Roman"/>
          <w:spacing w:val="-2"/>
          <w:szCs w:val="20"/>
          <w:lang w:val="en-GB"/>
        </w:rPr>
      </w:pPr>
    </w:p>
    <w:p w:rsidR="0024766D" w:rsidRPr="0024766D" w:rsidRDefault="0024766D" w:rsidP="0024766D">
      <w:pPr>
        <w:tabs>
          <w:tab w:val="left" w:pos="1700"/>
        </w:tabs>
        <w:suppressAutoHyphens/>
        <w:bidi w:val="0"/>
        <w:spacing w:after="120"/>
        <w:ind w:right="1134"/>
        <w:jc w:val="both"/>
        <w:rPr>
          <w:rFonts w:cs="Times New Roman"/>
          <w:spacing w:val="-2"/>
          <w:szCs w:val="20"/>
          <w:lang w:val="en-GB"/>
        </w:rPr>
      </w:pP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During her visit of the prison, the Special Rapporteur expressed concern at the fact that a minor was imprisoned together with adult women. She was informed that the number of women offenders below 18 is too small to warrant a separate detention facility,</w:t>
      </w:r>
      <w:r w:rsidRPr="00B01C7F">
        <w:rPr>
          <w:rFonts w:cs="Times New Roman"/>
          <w:sz w:val="18"/>
          <w:szCs w:val="20"/>
          <w:vertAlign w:val="superscript"/>
          <w:lang w:val="en-GB"/>
        </w:rPr>
        <w:footnoteReference w:id="12"/>
      </w:r>
      <w:r w:rsidRPr="00B01C7F">
        <w:rPr>
          <w:rFonts w:cs="Times New Roman"/>
          <w:szCs w:val="20"/>
          <w:lang w:val="en-GB"/>
        </w:rPr>
        <w:t xml:space="preserve"> and minor girls are therefore detained in the women’s prison. A separate correctional facility does exist for minor boys. The failure to have a separate facility for girl juvenile offenders is in breach of the country’s national legislation as well as the country’s international obligations. According to article 434.3 of the Criminal Procedure Code of Azerbaijan, juveniles should be kept separately from adults in detention facilities.</w:t>
      </w:r>
      <w:r w:rsidRPr="00B01C7F">
        <w:rPr>
          <w:rFonts w:cs="Times New Roman"/>
          <w:sz w:val="18"/>
          <w:szCs w:val="20"/>
          <w:vertAlign w:val="superscript"/>
          <w:lang w:val="en-GB"/>
        </w:rPr>
        <w:footnoteReference w:id="13"/>
      </w:r>
      <w:r w:rsidRPr="00B01C7F">
        <w:rPr>
          <w:rFonts w:cs="Times New Roman"/>
          <w:szCs w:val="20"/>
          <w:lang w:val="en-GB"/>
        </w:rPr>
        <w:t xml:space="preserv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The Special Rapporteur had requested a visit to a detention centre for those awaiting trial, but unfortunately access was not granted. The findings of the report by the European Committee for the Prevention of Torture and Inhuman or Degrading Treatment or Punishment states that “persons deprived of their liberty by the police in Azerbaijan run a significant risk of being ill-treated while in police custody (in particular when being interrogated)”.</w:t>
      </w:r>
      <w:r w:rsidRPr="00B01C7F">
        <w:rPr>
          <w:rFonts w:cs="Times New Roman"/>
          <w:sz w:val="18"/>
          <w:szCs w:val="20"/>
          <w:vertAlign w:val="superscript"/>
          <w:lang w:val="en-GB"/>
        </w:rPr>
        <w:footnoteReference w:id="14"/>
      </w:r>
      <w:r w:rsidRPr="00B01C7F">
        <w:rPr>
          <w:rFonts w:cs="Times New Roman"/>
          <w:szCs w:val="20"/>
          <w:lang w:val="en-GB"/>
        </w:rPr>
        <w:t xml:space="preserve"> The report also noted indications of different forms of humiliation and threats to use physical force or sexual violence against detainees or their relatives. </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D.</w:t>
      </w:r>
      <w:r w:rsidRPr="00B01C7F">
        <w:rPr>
          <w:rFonts w:cs="Times New Roman"/>
          <w:b/>
          <w:sz w:val="24"/>
          <w:szCs w:val="20"/>
          <w:lang w:val="en-GB"/>
        </w:rPr>
        <w:tab/>
        <w:t>Violence against women in the transnational sphere</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Despite the State’s efforts in combatting trafficking in persons, including the 2005 Law on Combating Trafficking in Human Beings, numerous stakeholders have expressed concern at the increasing phenomenon of trafficking of women and girls</w:t>
      </w:r>
      <w:r w:rsidRPr="00B01C7F">
        <w:rPr>
          <w:rFonts w:cs="Times New Roman"/>
          <w:iCs/>
          <w:szCs w:val="20"/>
          <w:lang w:val="en-GB" w:eastAsia="en-GB"/>
        </w:rPr>
        <w:t>.</w:t>
      </w:r>
      <w:r w:rsidRPr="00B01C7F">
        <w:rPr>
          <w:rFonts w:cs="Times New Roman"/>
          <w:szCs w:val="20"/>
          <w:lang w:val="en-GB"/>
        </w:rPr>
        <w:t xml:space="preserve">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is both a source and a transit country for trafficking for the purposes of commercial sexual exploitation and forced labour. According to the data from the Ministry of Internal Affairs, 704 cases of trafficking of women were reported between 1 January 2011 and 30 November 2013.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has, per capita, the highest number of displaced persons in the world. According to the Government, at the time of the visit there were approximately 1 million refugees and IDPs in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with the vast majority displaced during the early 1990s. The conflict in and around Nagorno-Karabakh in 1992–1993 has had grave consequences for the displaced communities, including bodily integrity violations, loss of family members and loss of material possessions. These factors, among others, continue to pose numerous challenges for these communities and also for the Government of Azerbaijan. Sources indicate that women and girls from IDP communities are subjected to multiple forms of violence and discrimination, including domestic violence, early marriages and sexual harassment. During her interviews with women from IDP communities, the Special Rapporteur noted that they were particularly reluctant to discuss the issue of gender-based violence, whether intrafamily and/or intracommunity. The interviewees did not disclose or deny the existence of violence against women within their communities, but they did not deem this to be of importance for the discussion with the Special Rapporteur, considering their current living circumstances.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The precarious conditions in which many of these communities live greatly limit the realization of numerous rights, including access to substantive services. While the Government has made efforts to address access to education, employment, health care, psychological support and housing for those living in the camps, the Special Rapporteur voiced her concerns at the vulnerable and marginalized situation of women and children in these communities, especially due to the challenges of their current living conditions. The women are largely responsible for caring for the home and family members, including those who have been disabled as a result the conflict, without adequate resources or access to the appropriate infrastructure.</w:t>
      </w:r>
      <w:r w:rsidRPr="00B01C7F">
        <w:rPr>
          <w:rFonts w:cs="Times New Roman"/>
          <w:sz w:val="18"/>
          <w:szCs w:val="20"/>
          <w:vertAlign w:val="superscript"/>
          <w:lang w:val="en-GB"/>
        </w:rPr>
        <w:footnoteReference w:id="15"/>
      </w:r>
      <w:r w:rsidRPr="00B01C7F">
        <w:rPr>
          <w:rFonts w:cs="Times New Roman"/>
          <w:szCs w:val="20"/>
          <w:lang w:val="en-GB"/>
        </w:rPr>
        <w:t xml:space="preserve"> The Special Rapporteur witnessed and heard distressing accounts of hardships and the challenges of living in camps, dormitories and “hotel” accommodation. She also heard testimonies of women from “martyr families” who are still waiting for the return of their missing relatives. A common thread of concern was in relation to the “right of return” to their places of origin and the lack of political action at the international level to sort out the issue of occupation of Azerbaijani land.</w:t>
      </w:r>
    </w:p>
    <w:p w:rsidR="00ED62A0" w:rsidRPr="00B01C7F" w:rsidRDefault="00ED62A0" w:rsidP="00ED62A0">
      <w:pPr>
        <w:keepNext/>
        <w:keepLines/>
        <w:tabs>
          <w:tab w:val="right" w:pos="851"/>
        </w:tabs>
        <w:suppressAutoHyphens/>
        <w:bidi w:val="0"/>
        <w:spacing w:before="360" w:after="240" w:line="300" w:lineRule="exact"/>
        <w:ind w:left="1134" w:right="1134" w:hanging="1134"/>
        <w:jc w:val="left"/>
        <w:rPr>
          <w:rFonts w:eastAsia="SimSun" w:cs="Times New Roman"/>
          <w:b/>
          <w:sz w:val="28"/>
          <w:szCs w:val="20"/>
          <w:lang w:val="en-GB" w:eastAsia="zh-CN"/>
        </w:rPr>
      </w:pPr>
      <w:r w:rsidRPr="00B01C7F">
        <w:rPr>
          <w:rFonts w:eastAsia="SimSun" w:cs="Times New Roman"/>
          <w:b/>
          <w:sz w:val="28"/>
          <w:szCs w:val="20"/>
          <w:lang w:val="en-GB" w:eastAsia="zh-CN"/>
        </w:rPr>
        <w:tab/>
        <w:t>III.</w:t>
      </w:r>
      <w:r w:rsidRPr="00B01C7F">
        <w:rPr>
          <w:rFonts w:eastAsia="SimSun" w:cs="Times New Roman"/>
          <w:b/>
          <w:sz w:val="28"/>
          <w:szCs w:val="20"/>
          <w:lang w:val="en-GB" w:eastAsia="zh-CN"/>
        </w:rPr>
        <w:tab/>
        <w:t>Implications of inequality, discrimination and violence for women’s enjoyment of their human rights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During her visit, the Special Rapporteur observed the gaps that still remain with regard to the full enjoyment of women’s rights as well as the implications of continuing inequalities, discrimination and violence. In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the major challenges are reflected in the discrepancy between the legal framework and its implementation, and the reality of widespread gender stereotyping. Despite the fact that the equality of men and women is affirmed in the Constitution and in other legal texts – including the recent Law on Guarantees of Gender Equality – there is still considerable </w:t>
      </w:r>
      <w:r w:rsidRPr="00B01C7F">
        <w:rPr>
          <w:rFonts w:cs="Times New Roman"/>
          <w:i/>
          <w:szCs w:val="20"/>
          <w:lang w:val="en-GB"/>
        </w:rPr>
        <w:t>de facto</w:t>
      </w:r>
      <w:r w:rsidRPr="00B01C7F">
        <w:rPr>
          <w:rFonts w:cs="Times New Roman"/>
          <w:szCs w:val="20"/>
          <w:lang w:val="en-GB"/>
        </w:rPr>
        <w:t xml:space="preserve"> gender inequality in the political, economic and social spheres. </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A.</w:t>
      </w:r>
      <w:r w:rsidRPr="00B01C7F">
        <w:rPr>
          <w:rFonts w:cs="Times New Roman"/>
          <w:b/>
          <w:sz w:val="24"/>
          <w:szCs w:val="20"/>
          <w:lang w:val="en-GB"/>
        </w:rPr>
        <w:tab/>
        <w:t>Civil and political rights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color w:val="000000"/>
          <w:szCs w:val="24"/>
        </w:rPr>
      </w:pPr>
      <w:r w:rsidRPr="00B01C7F">
        <w:rPr>
          <w:rFonts w:cs="Times New Roman"/>
          <w:szCs w:val="20"/>
          <w:lang w:val="en-GB"/>
        </w:rPr>
        <w:t xml:space="preserve">With regard to women’s participation in political and public affairs, out of 36 ministerial posts, only 1 woman holds such a position in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the Chairperson of the State Committee on Family, Women, and Children’s Affairs. This places the country at the very bottom of the global scale, according to the latest available statistics.</w:t>
      </w:r>
      <w:r w:rsidRPr="00B01C7F">
        <w:rPr>
          <w:rFonts w:cs="Times New Roman"/>
          <w:sz w:val="18"/>
          <w:szCs w:val="20"/>
          <w:vertAlign w:val="superscript"/>
          <w:lang w:val="en-GB"/>
        </w:rPr>
        <w:footnoteReference w:id="16"/>
      </w:r>
      <w:r w:rsidRPr="00B01C7F">
        <w:rPr>
          <w:rFonts w:cs="Times New Roman"/>
          <w:szCs w:val="20"/>
          <w:lang w:val="en-GB"/>
        </w:rPr>
        <w:t xml:space="preserve"> Women are underrepresented in elective offices and the number of women appointed to senior decision-making posts in the Government appears to be low. Currently, women head only two subdivisions of the Presidential Administration, whose main task includes the preparation of bills for its submission to Parliament. These include the Secretariat and the Department of Humanitarian Policy Issues.</w:t>
      </w:r>
      <w:r w:rsidRPr="00B01C7F">
        <w:rPr>
          <w:rFonts w:cs="Times New Roman"/>
          <w:sz w:val="18"/>
          <w:szCs w:val="20"/>
          <w:vertAlign w:val="superscript"/>
          <w:lang w:val="en-GB"/>
        </w:rPr>
        <w:footnoteReference w:id="17"/>
      </w:r>
      <w:r w:rsidRPr="00B01C7F">
        <w:rPr>
          <w:rFonts w:cs="Times New Roman"/>
          <w:szCs w:val="20"/>
          <w:lang w:val="en-GB"/>
        </w:rPr>
        <w:t xml:space="preserve"> </w:t>
      </w:r>
    </w:p>
    <w:p w:rsidR="00650B4A" w:rsidRPr="00650B4A" w:rsidRDefault="00ED62A0" w:rsidP="00650B4A">
      <w:pPr>
        <w:numPr>
          <w:ilvl w:val="0"/>
          <w:numId w:val="10"/>
        </w:numPr>
        <w:tabs>
          <w:tab w:val="left" w:pos="1700"/>
        </w:tabs>
        <w:suppressAutoHyphens/>
        <w:bidi w:val="0"/>
        <w:spacing w:after="120"/>
        <w:ind w:left="1134" w:right="1134" w:firstLine="0"/>
        <w:jc w:val="both"/>
        <w:rPr>
          <w:rFonts w:cs="Times New Roman"/>
          <w:color w:val="000000"/>
          <w:szCs w:val="24"/>
        </w:rPr>
      </w:pPr>
      <w:r w:rsidRPr="00B01C7F">
        <w:rPr>
          <w:rFonts w:cs="Times New Roman"/>
          <w:szCs w:val="20"/>
          <w:lang w:val="en-GB"/>
        </w:rPr>
        <w:t>Despite some progress registered in the past years, only 19 out of 124 parliamentarians (approximately 15 per cent) are women, including the Vice-Speaker</w:t>
      </w:r>
      <w:r w:rsidRPr="00B01C7F">
        <w:rPr>
          <w:rFonts w:cs="Times New Roman"/>
          <w:color w:val="000000"/>
          <w:szCs w:val="20"/>
          <w:lang w:val="en-GB"/>
        </w:rPr>
        <w:t xml:space="preserve">. </w:t>
      </w:r>
      <w:r w:rsidRPr="00B01C7F">
        <w:rPr>
          <w:rFonts w:cs="Times New Roman"/>
          <w:szCs w:val="20"/>
          <w:lang w:val="en-GB"/>
        </w:rPr>
        <w:t>It appears that there has been a significant decrease in political participation of women since</w:t>
      </w:r>
      <w:r w:rsidR="00650B4A">
        <w:rPr>
          <w:rFonts w:cs="Times New Roman"/>
          <w:szCs w:val="20"/>
          <w:lang w:val="en-GB"/>
        </w:rPr>
        <w:br/>
      </w:r>
    </w:p>
    <w:p w:rsidR="00ED62A0" w:rsidRPr="00B01C7F" w:rsidRDefault="00ED62A0" w:rsidP="00650B4A">
      <w:pPr>
        <w:tabs>
          <w:tab w:val="left" w:pos="1700"/>
        </w:tabs>
        <w:suppressAutoHyphens/>
        <w:bidi w:val="0"/>
        <w:spacing w:after="120"/>
        <w:ind w:left="1134" w:right="1134"/>
        <w:jc w:val="both"/>
        <w:rPr>
          <w:rFonts w:cs="Times New Roman"/>
          <w:color w:val="000000"/>
          <w:szCs w:val="24"/>
        </w:rPr>
      </w:pPr>
      <w:r w:rsidRPr="00B01C7F">
        <w:rPr>
          <w:rFonts w:cs="Times New Roman"/>
          <w:szCs w:val="20"/>
          <w:lang w:val="en-GB"/>
        </w:rPr>
        <w:t>the country’s independence in 1991, leading to a drop from 39 per cent</w:t>
      </w:r>
      <w:r w:rsidRPr="00B01C7F" w:rsidDel="00073238">
        <w:rPr>
          <w:rFonts w:cs="Times New Roman"/>
          <w:szCs w:val="20"/>
          <w:lang w:val="en-GB"/>
        </w:rPr>
        <w:t xml:space="preserve"> </w:t>
      </w:r>
      <w:r w:rsidRPr="00B01C7F">
        <w:rPr>
          <w:rFonts w:cs="Times New Roman"/>
          <w:szCs w:val="20"/>
          <w:lang w:val="en-GB"/>
        </w:rPr>
        <w:t>of women parliamentarians in 1991 to 6 per cent</w:t>
      </w:r>
      <w:r w:rsidRPr="00B01C7F" w:rsidDel="00073238">
        <w:rPr>
          <w:rFonts w:cs="Times New Roman"/>
          <w:szCs w:val="20"/>
          <w:lang w:val="en-GB"/>
        </w:rPr>
        <w:t xml:space="preserve"> </w:t>
      </w:r>
      <w:r w:rsidRPr="00B01C7F">
        <w:rPr>
          <w:rFonts w:cs="Times New Roman"/>
          <w:szCs w:val="20"/>
          <w:lang w:val="en-GB"/>
        </w:rPr>
        <w:t>in 1992.</w:t>
      </w:r>
      <w:r w:rsidRPr="00B01C7F">
        <w:rPr>
          <w:rFonts w:cs="Times New Roman"/>
          <w:sz w:val="18"/>
          <w:szCs w:val="20"/>
          <w:vertAlign w:val="superscript"/>
          <w:lang w:val="en-GB"/>
        </w:rPr>
        <w:footnoteReference w:id="18"/>
      </w:r>
      <w:r w:rsidRPr="00B01C7F">
        <w:rPr>
          <w:rFonts w:cs="Times New Roman"/>
          <w:szCs w:val="20"/>
          <w:lang w:val="en-GB"/>
        </w:rPr>
        <w:t xml:space="preserve"> At the municipal level, however, significant progress has been achieved, with the representation of women increasing from 4 per cent (2004 elections) to 26.5 per cent (2009 elections).</w:t>
      </w:r>
      <w:r w:rsidRPr="00B01C7F">
        <w:rPr>
          <w:rFonts w:cs="Times New Roman"/>
          <w:sz w:val="18"/>
          <w:szCs w:val="20"/>
          <w:vertAlign w:val="superscript"/>
          <w:lang w:val="en-GB"/>
        </w:rPr>
        <w:footnoteReference w:id="19"/>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color w:val="000000"/>
          <w:szCs w:val="24"/>
        </w:rPr>
      </w:pPr>
      <w:r w:rsidRPr="00B01C7F">
        <w:rPr>
          <w:rFonts w:cs="Times New Roman"/>
          <w:color w:val="000000"/>
          <w:szCs w:val="24"/>
        </w:rPr>
        <w:t xml:space="preserve">With regard to the representation of women in the judiciary, according to Government data, only 12 per cent of judges are women (63 women out of 525 judges). Six of the 40 judges the Supreme Court are women, two of nine judges of the </w:t>
      </w:r>
      <w:smartTag w:uri="urn:schemas-microsoft-com:office:smarttags" w:element="Street">
        <w:smartTag w:uri="urn:schemas-microsoft-com:office:smarttags" w:element="address">
          <w:r w:rsidRPr="00B01C7F">
            <w:rPr>
              <w:rFonts w:cs="Times New Roman"/>
              <w:color w:val="000000"/>
              <w:szCs w:val="24"/>
            </w:rPr>
            <w:t>Constitutional Court</w:t>
          </w:r>
        </w:smartTag>
      </w:smartTag>
      <w:r w:rsidRPr="00B01C7F">
        <w:rPr>
          <w:rFonts w:cs="Times New Roman"/>
          <w:color w:val="000000"/>
          <w:szCs w:val="24"/>
        </w:rPr>
        <w:t xml:space="preserve"> are women, one holding the position of Deputy Chairperson, and</w:t>
      </w:r>
      <w:r w:rsidRPr="00B01C7F">
        <w:rPr>
          <w:rFonts w:cs="Times New Roman"/>
          <w:szCs w:val="20"/>
          <w:lang w:val="en-GB"/>
        </w:rPr>
        <w:t xml:space="preserve"> </w:t>
      </w:r>
      <w:r w:rsidRPr="00B01C7F">
        <w:rPr>
          <w:rFonts w:cs="Times New Roman"/>
          <w:color w:val="000000"/>
          <w:szCs w:val="24"/>
        </w:rPr>
        <w:t>One out of five  chairs of Court of Appeal is a woman. Also, three Courts of First Instance are headed by women. The position of the Commissioner for Human Rights (Ombudsperson) is held by a woman. According to the data provided by the Ministry of Education, only one woman heads a department within that Ministry.</w:t>
      </w:r>
      <w:r w:rsidRPr="00B01C7F">
        <w:rPr>
          <w:rFonts w:cs="Times New Roman"/>
          <w:szCs w:val="20"/>
          <w:lang w:val="en-GB"/>
        </w:rPr>
        <w:t xml:space="preserv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color w:val="000000"/>
          <w:szCs w:val="24"/>
        </w:rPr>
      </w:pPr>
      <w:r w:rsidRPr="00B01C7F">
        <w:rPr>
          <w:rFonts w:cs="Times New Roman"/>
          <w:color w:val="000000"/>
          <w:szCs w:val="24"/>
        </w:rPr>
        <w:t xml:space="preserve">The Special Rapporteur notes that the right of access to justice and to justice itself for women is seriously compromised, due to a range of factors. The first challenge lies in the significant underreporting of cases of violence against women to the police. Victims are very often reluctant to report, due, </w:t>
      </w:r>
      <w:r w:rsidRPr="00B01C7F">
        <w:rPr>
          <w:rFonts w:cs="Times New Roman"/>
          <w:i/>
          <w:color w:val="000000"/>
          <w:szCs w:val="24"/>
        </w:rPr>
        <w:t>inter alia</w:t>
      </w:r>
      <w:r w:rsidRPr="00B01C7F">
        <w:rPr>
          <w:rFonts w:cs="Times New Roman"/>
          <w:color w:val="000000"/>
          <w:szCs w:val="24"/>
        </w:rPr>
        <w:t xml:space="preserve">, to the fact that violence against women has been </w:t>
      </w:r>
      <w:r w:rsidRPr="00B01C7F">
        <w:rPr>
          <w:rFonts w:cs="Times New Roman"/>
          <w:color w:val="000000"/>
          <w:szCs w:val="24"/>
          <w:lang w:val="en-GB"/>
        </w:rPr>
        <w:t>normalized</w:t>
      </w:r>
      <w:r w:rsidRPr="00B01C7F">
        <w:rPr>
          <w:rFonts w:cs="Times New Roman"/>
          <w:color w:val="000000"/>
          <w:szCs w:val="24"/>
        </w:rPr>
        <w:t xml:space="preserve">, and even sometimes accepted, by the women themselves, but </w:t>
      </w:r>
      <w:r w:rsidRPr="00B01C7F">
        <w:rPr>
          <w:rFonts w:cs="Times New Roman"/>
          <w:szCs w:val="20"/>
          <w:lang w:val="en-GB"/>
        </w:rPr>
        <w:t>also</w:t>
      </w:r>
      <w:r w:rsidRPr="00B01C7F">
        <w:rPr>
          <w:rFonts w:cs="Times New Roman"/>
          <w:color w:val="000000"/>
          <w:szCs w:val="24"/>
        </w:rPr>
        <w:t xml:space="preserve"> due to the responses of authorities who promote notions of family unity, shame and stigma. The authorities, including Family Support </w:t>
      </w:r>
      <w:r w:rsidRPr="00B01C7F">
        <w:rPr>
          <w:rFonts w:cs="Times New Roman"/>
          <w:color w:val="000000"/>
          <w:szCs w:val="24"/>
          <w:lang w:val="en-GB"/>
        </w:rPr>
        <w:t>Centres</w:t>
      </w:r>
      <w:r w:rsidRPr="00B01C7F">
        <w:rPr>
          <w:rFonts w:cs="Times New Roman"/>
          <w:color w:val="000000"/>
          <w:szCs w:val="24"/>
        </w:rPr>
        <w:t xml:space="preserve"> and the police, prefer not to intervene as they consider violence against women a private matter that should be solved within the family. Cases of violence tend therefore not to be prosecuted in most instances, protection orders are not granted and divorce is not easily accessible, even when requested due to violence in the marriage.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color w:val="000000"/>
          <w:szCs w:val="24"/>
        </w:rPr>
      </w:pPr>
      <w:r w:rsidRPr="00B01C7F">
        <w:rPr>
          <w:rFonts w:cs="Times New Roman"/>
          <w:color w:val="000000"/>
          <w:szCs w:val="24"/>
        </w:rPr>
        <w:t xml:space="preserve">Despite numerous training sessions conducted by the Ministry of Justice, judges do not systematically refer to the new laws on gender equality and domestic violence. The Special Rapporteur received complaints about the poor quality of legal </w:t>
      </w:r>
      <w:r w:rsidRPr="00B01C7F">
        <w:rPr>
          <w:rFonts w:cs="Times New Roman"/>
          <w:szCs w:val="20"/>
          <w:lang w:val="en-GB"/>
        </w:rPr>
        <w:t>representation</w:t>
      </w:r>
      <w:r w:rsidRPr="00B01C7F">
        <w:rPr>
          <w:rFonts w:cs="Times New Roman"/>
          <w:color w:val="000000"/>
          <w:szCs w:val="24"/>
        </w:rPr>
        <w:t xml:space="preserve"> that is available from the State’s legal aid services. This results in perceptions of a lack of justice, especially for the women interviewed in prison. The hiring of private lawyers by some women leads to the conclusion that women from precarious socioeconomic backgrounds are less likely to have their rights properly defended because of their dependence on poor quality legal representation.</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color w:val="000000"/>
          <w:szCs w:val="24"/>
        </w:rPr>
      </w:pPr>
      <w:r w:rsidRPr="00B01C7F">
        <w:rPr>
          <w:rFonts w:cs="Times New Roman"/>
          <w:color w:val="000000"/>
          <w:szCs w:val="24"/>
        </w:rPr>
        <w:t xml:space="preserve">During and after her visit, the Special Rapporteur was informed that some independent non-governmental organizations (NGOs), in particular human rights defenders, were facing numerous challenges, including harassment, intimidation and reprisals related to their activities. She personally witnessed intimidating behaviour by local authorities, including attempts to tamper with the organization of various meetings and misinformation regarding these meetings. These concerns were also echoed in the final outcome of the Universal Periodic Review of Azerbaijan (second cycle). Several allegation letters by Special Procedures mandate holders were sent to the Government in this regard. The Special Rapporteur also noted the cumbersome requirements imposed on NGOs in respect of registration/accreditation processes, and also their reporting obligations to numerous authorities, especially when funded by the State. She also received allegations of Government bias in favour of some NGOs. </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B.</w:t>
      </w:r>
      <w:r w:rsidRPr="00B01C7F">
        <w:rPr>
          <w:rFonts w:cs="Times New Roman"/>
          <w:b/>
          <w:sz w:val="24"/>
          <w:szCs w:val="20"/>
          <w:lang w:val="en-GB"/>
        </w:rPr>
        <w:tab/>
        <w:t>Economic rights and the right to development</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Following its independence in 1991,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experienced economic decline and instability, aggravated by the conflict in and around the Nagorno-Karabakh region. The country’s economy then entered a period of </w:t>
      </w:r>
      <w:r w:rsidRPr="00B01C7F">
        <w:rPr>
          <w:rFonts w:cs="Times New Roman"/>
          <w:color w:val="000000"/>
          <w:szCs w:val="24"/>
        </w:rPr>
        <w:t>dynamic</w:t>
      </w:r>
      <w:r w:rsidRPr="00B01C7F">
        <w:rPr>
          <w:rFonts w:cs="Times New Roman"/>
          <w:szCs w:val="20"/>
          <w:lang w:val="en-GB"/>
        </w:rPr>
        <w:t xml:space="preserve"> economic growth in 1996, primarily boosted by the exploitation of natural oil and gas.</w:t>
      </w:r>
      <w:r w:rsidRPr="00B01C7F">
        <w:rPr>
          <w:rFonts w:cs="Times New Roman"/>
          <w:sz w:val="18"/>
          <w:szCs w:val="20"/>
          <w:vertAlign w:val="superscript"/>
          <w:lang w:val="en-GB"/>
        </w:rPr>
        <w:footnoteReference w:id="20"/>
      </w:r>
      <w:r w:rsidRPr="00B01C7F">
        <w:rPr>
          <w:rFonts w:cs="Times New Roman"/>
          <w:szCs w:val="20"/>
          <w:lang w:val="en-GB"/>
        </w:rPr>
        <w:t xml:space="preserve"> The level of poverty decreased from 49 per cent in 2001 to 6 per cent in 2012 as a result of the Government’s reformed social security and pension system and targeted social assistance.</w:t>
      </w:r>
      <w:r w:rsidRPr="00B01C7F">
        <w:rPr>
          <w:rFonts w:cs="Times New Roman"/>
          <w:sz w:val="18"/>
          <w:szCs w:val="20"/>
          <w:vertAlign w:val="superscript"/>
          <w:lang w:val="en-GB"/>
        </w:rPr>
        <w:footnoteReference w:id="21"/>
      </w:r>
      <w:r w:rsidRPr="00B01C7F">
        <w:rPr>
          <w:rFonts w:cs="Times New Roman"/>
          <w:szCs w:val="20"/>
          <w:lang w:val="en-GB"/>
        </w:rPr>
        <w:t xml:space="preserve"> As of September 2010,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’s basic pension was US$106. The new pension system provides better benefits to employers, insured persons and pensioners.</w:t>
      </w:r>
      <w:r w:rsidRPr="00B01C7F">
        <w:rPr>
          <w:rFonts w:cs="Times New Roman"/>
          <w:sz w:val="18"/>
          <w:szCs w:val="20"/>
          <w:vertAlign w:val="superscript"/>
          <w:lang w:val="en-GB"/>
        </w:rPr>
        <w:footnoteReference w:id="22"/>
      </w:r>
      <w:r w:rsidRPr="00B01C7F">
        <w:rPr>
          <w:rFonts w:cs="Times New Roman"/>
          <w:szCs w:val="20"/>
          <w:lang w:val="en-GB"/>
        </w:rPr>
        <w:t xml:space="preserve"> Nonetheless, women continue to face a range of difficulties in accessing equal employment opportunities, benefitting from the economic growth and achieving sustainable development goals.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color w:val="000000"/>
          <w:szCs w:val="20"/>
        </w:rPr>
      </w:pPr>
      <w:r w:rsidRPr="00B01C7F">
        <w:rPr>
          <w:rFonts w:cs="Times New Roman"/>
          <w:color w:val="000000"/>
          <w:szCs w:val="20"/>
        </w:rPr>
        <w:t xml:space="preserve">The Government acknowledges the necessity of women’s economic development and empowerment. Some initiatives by the State include attempts to </w:t>
      </w:r>
      <w:r w:rsidRPr="00B01C7F">
        <w:rPr>
          <w:rFonts w:cs="Times New Roman"/>
          <w:color w:val="000000"/>
          <w:szCs w:val="24"/>
        </w:rPr>
        <w:t>decrease</w:t>
      </w:r>
      <w:r w:rsidRPr="00B01C7F">
        <w:rPr>
          <w:rFonts w:cs="Times New Roman"/>
          <w:color w:val="000000"/>
          <w:szCs w:val="20"/>
        </w:rPr>
        <w:t xml:space="preserve"> the burden of family responsibility on women through the development of childcare facilities and opportunities that have been created for women entrepreneurs to access capital. According to the Ministry of Economy and Industry, of the half a million entrepreneurs that are currently registered, 17 per cent are women.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color w:val="000000"/>
          <w:szCs w:val="20"/>
        </w:rPr>
      </w:pPr>
      <w:r w:rsidRPr="00B01C7F">
        <w:rPr>
          <w:rFonts w:cs="Times New Roman"/>
          <w:color w:val="000000"/>
          <w:szCs w:val="20"/>
        </w:rPr>
        <w:t xml:space="preserve">Women are still significantly underrepresented in management positions in the private sector, and tend to work in lower-paying sectors. </w:t>
      </w:r>
      <w:r w:rsidRPr="00B01C7F">
        <w:rPr>
          <w:rFonts w:cs="Times New Roman"/>
          <w:szCs w:val="20"/>
          <w:lang w:val="en-GB"/>
        </w:rPr>
        <w:t xml:space="preserve">In choosing their profession, women are often driven by the social stereotypes about “male” </w:t>
      </w:r>
      <w:r w:rsidRPr="00B01C7F">
        <w:rPr>
          <w:rFonts w:cs="Times New Roman"/>
          <w:color w:val="000000"/>
          <w:szCs w:val="20"/>
        </w:rPr>
        <w:t>and</w:t>
      </w:r>
      <w:r w:rsidRPr="00B01C7F">
        <w:rPr>
          <w:rFonts w:cs="Times New Roman"/>
          <w:szCs w:val="20"/>
          <w:lang w:val="en-GB"/>
        </w:rPr>
        <w:t xml:space="preserve"> “female” professions. Women represent the majority of the workforce in fields such as education (71.7</w:t>
      </w:r>
      <w:r w:rsidRPr="00B01C7F">
        <w:rPr>
          <w:rFonts w:cs="Times New Roman"/>
          <w:color w:val="000000"/>
          <w:szCs w:val="20"/>
        </w:rPr>
        <w:t xml:space="preserve"> per cent</w:t>
      </w:r>
      <w:r w:rsidRPr="00B01C7F">
        <w:rPr>
          <w:rFonts w:cs="Times New Roman"/>
          <w:szCs w:val="20"/>
          <w:lang w:val="en-GB"/>
        </w:rPr>
        <w:t>), social work (78.1</w:t>
      </w:r>
      <w:r w:rsidRPr="00B01C7F">
        <w:rPr>
          <w:rFonts w:cs="Times New Roman"/>
          <w:color w:val="000000"/>
          <w:szCs w:val="20"/>
        </w:rPr>
        <w:t xml:space="preserve"> per cent</w:t>
      </w:r>
      <w:r w:rsidRPr="00B01C7F">
        <w:rPr>
          <w:rFonts w:cs="Times New Roman"/>
          <w:szCs w:val="20"/>
          <w:lang w:val="en-GB"/>
        </w:rPr>
        <w:t>) and arts and entertainment (63.8</w:t>
      </w:r>
      <w:r w:rsidRPr="00B01C7F">
        <w:rPr>
          <w:rFonts w:cs="Times New Roman"/>
          <w:color w:val="000000"/>
          <w:szCs w:val="20"/>
        </w:rPr>
        <w:t xml:space="preserve"> per cent</w:t>
      </w:r>
      <w:r w:rsidRPr="00B01C7F">
        <w:rPr>
          <w:rFonts w:cs="Times New Roman"/>
          <w:szCs w:val="20"/>
          <w:lang w:val="en-GB"/>
        </w:rPr>
        <w:t>). Men continue to dominate fields such as trade and management and in technical domains such as engineering and construction.</w:t>
      </w:r>
      <w:r w:rsidRPr="00B01C7F">
        <w:rPr>
          <w:rFonts w:cs="Times New Roman"/>
          <w:sz w:val="18"/>
          <w:szCs w:val="20"/>
          <w:vertAlign w:val="superscript"/>
          <w:lang w:val="en-GB"/>
        </w:rPr>
        <w:footnoteReference w:id="23"/>
      </w:r>
      <w:r w:rsidRPr="00B01C7F">
        <w:rPr>
          <w:rFonts w:cs="Times New Roman"/>
          <w:szCs w:val="20"/>
          <w:lang w:val="en-GB"/>
        </w:rPr>
        <w:t xml:space="preserve"> </w:t>
      </w:r>
      <w:r w:rsidRPr="00B01C7F">
        <w:rPr>
          <w:rFonts w:cs="Times New Roman"/>
          <w:color w:val="000000"/>
          <w:szCs w:val="20"/>
        </w:rPr>
        <w:t xml:space="preserve">The lack of incentives and differentiated wages also represent gender inequality and discrimination as factors that perpetuate segregation in the </w:t>
      </w:r>
      <w:r w:rsidRPr="00B01C7F">
        <w:rPr>
          <w:rFonts w:cs="Times New Roman"/>
          <w:color w:val="000000"/>
          <w:szCs w:val="20"/>
          <w:lang w:val="en-GB"/>
        </w:rPr>
        <w:t>labour</w:t>
      </w:r>
      <w:r w:rsidRPr="00B01C7F">
        <w:rPr>
          <w:rFonts w:cs="Times New Roman"/>
          <w:color w:val="000000"/>
          <w:szCs w:val="20"/>
        </w:rPr>
        <w:t xml:space="preserve"> market.</w:t>
      </w:r>
      <w:r w:rsidRPr="00B01C7F">
        <w:rPr>
          <w:rFonts w:cs="Times New Roman"/>
          <w:sz w:val="18"/>
          <w:szCs w:val="20"/>
          <w:vertAlign w:val="superscript"/>
          <w:lang w:val="en-GB"/>
        </w:rPr>
        <w:footnoteReference w:id="24"/>
      </w:r>
      <w:r w:rsidRPr="00B01C7F">
        <w:rPr>
          <w:rFonts w:cs="Times New Roman"/>
          <w:color w:val="000000"/>
          <w:szCs w:val="20"/>
        </w:rPr>
        <w:t xml:space="preserv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The Employment Strategy of the </w:t>
      </w:r>
      <w:smartTag w:uri="urn:schemas-microsoft-com:office:smarttags" w:element="place">
        <w:smartTag w:uri="urn:schemas-microsoft-com:office:smarttags" w:element="PlaceType">
          <w:r w:rsidRPr="00B01C7F">
            <w:rPr>
              <w:rFonts w:cs="Times New Roman"/>
              <w:szCs w:val="20"/>
              <w:lang w:val="en-GB"/>
            </w:rPr>
            <w:t>Republic</w:t>
          </w:r>
        </w:smartTag>
        <w:r w:rsidRPr="00B01C7F">
          <w:rPr>
            <w:rFonts w:cs="Times New Roman"/>
            <w:szCs w:val="20"/>
            <w:lang w:val="en-GB"/>
          </w:rPr>
          <w:t xml:space="preserve"> of </w:t>
        </w:r>
        <w:smartTag w:uri="urn:schemas-microsoft-com:office:smarttags" w:element="PlaceName">
          <w:r w:rsidRPr="00B01C7F">
            <w:rPr>
              <w:rFonts w:cs="Times New Roman"/>
              <w:szCs w:val="20"/>
              <w:lang w:val="en-GB"/>
            </w:rPr>
            <w:t>Azerbaijan</w:t>
          </w:r>
        </w:smartTag>
      </w:smartTag>
      <w:r w:rsidRPr="00B01C7F">
        <w:rPr>
          <w:rFonts w:cs="Times New Roman"/>
          <w:szCs w:val="20"/>
          <w:lang w:val="en-GB"/>
        </w:rPr>
        <w:t xml:space="preserve"> for 2006–2015 acknowledges that women are usually employed in activities with low status and low wages. The document </w:t>
      </w:r>
      <w:r w:rsidRPr="00B01C7F">
        <w:rPr>
          <w:rFonts w:cs="Times New Roman"/>
          <w:color w:val="000000"/>
          <w:szCs w:val="20"/>
        </w:rPr>
        <w:t>states</w:t>
      </w:r>
      <w:r w:rsidRPr="00B01C7F">
        <w:rPr>
          <w:rFonts w:cs="Times New Roman"/>
          <w:szCs w:val="20"/>
          <w:lang w:val="en-GB"/>
        </w:rPr>
        <w:t xml:space="preserve"> that “[s]hortage of work places for women today is mostly reflected in insufficiency of flexible jobs (part-time, flexible working days and flexible schedules, work at home, etc.) relevant to the role of women both in society and in family”.</w:t>
      </w:r>
      <w:r w:rsidRPr="00B01C7F">
        <w:rPr>
          <w:rFonts w:cs="Times New Roman"/>
          <w:sz w:val="18"/>
          <w:szCs w:val="20"/>
          <w:vertAlign w:val="superscript"/>
          <w:lang w:val="en-GB"/>
        </w:rPr>
        <w:footnoteReference w:id="25"/>
      </w:r>
      <w:r w:rsidRPr="00B01C7F">
        <w:rPr>
          <w:rFonts w:cs="Times New Roman"/>
          <w:szCs w:val="20"/>
          <w:lang w:val="en-GB"/>
        </w:rPr>
        <w:t xml:space="preserve"> The Special Rapporteur expressed concern at the Government’s ambivalent approach towards women’s empowerment, fostering family-friendly employment policies, while cultivating harmful stereotypes about gender roles.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According to the State Statistical Committee, the unemployment rate for women is 6.1 per cent (4.3 per cent for men).</w:t>
      </w:r>
      <w:r w:rsidRPr="00B01C7F">
        <w:rPr>
          <w:rFonts w:cs="Times New Roman"/>
          <w:sz w:val="18"/>
          <w:szCs w:val="20"/>
          <w:vertAlign w:val="superscript"/>
          <w:lang w:val="en-GB"/>
        </w:rPr>
        <w:footnoteReference w:id="26"/>
      </w:r>
      <w:r w:rsidRPr="00B01C7F">
        <w:rPr>
          <w:rFonts w:cs="Times New Roman"/>
          <w:szCs w:val="20"/>
          <w:lang w:val="en-GB"/>
        </w:rPr>
        <w:t xml:space="preserve"> However, this does not reflect women working in </w:t>
      </w:r>
      <w:r w:rsidRPr="00B01C7F">
        <w:rPr>
          <w:rFonts w:cs="Times New Roman"/>
          <w:color w:val="000000"/>
          <w:szCs w:val="20"/>
        </w:rPr>
        <w:t>the</w:t>
      </w:r>
      <w:r w:rsidRPr="00B01C7F">
        <w:rPr>
          <w:rFonts w:cs="Times New Roman"/>
          <w:szCs w:val="20"/>
          <w:lang w:val="en-GB"/>
        </w:rPr>
        <w:t xml:space="preserve"> informal sector, such as, domestic or agricultural workers. Other sources highlight some discrepancies in these statistics on women and work. The 2008 Survey on Violence Against Women showed, for instance, that only 21.1 per cent of women had full-time, part-time or seasonal jobs.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An amended version of the State Programme for the Improvement of the Living Conditions of Refugees and IDPs and the Increase of Employment among them was approved in 2007 with the aim of generating more employment for IDPs by 2011, and also building infrastructure, including houses, schools and hospitals. Nonetheless, it is reported that unemployment is more widespread among IDPs than the local population. In 2007, the Office of the United Nations High Commission for Refugees (UNHCR) reported that adolescents aged 14 to 17 and children aged 10 to 13 cited their parents’ unemployment and resulting household poverty as a barrier to their continuing education.</w:t>
      </w:r>
      <w:r w:rsidRPr="00B01C7F">
        <w:rPr>
          <w:rFonts w:cs="Times New Roman"/>
          <w:sz w:val="18"/>
          <w:szCs w:val="20"/>
          <w:vertAlign w:val="superscript"/>
          <w:lang w:val="en-GB"/>
        </w:rPr>
        <w:footnoteReference w:id="27"/>
      </w:r>
      <w:r w:rsidRPr="00B01C7F">
        <w:rPr>
          <w:rFonts w:cs="Times New Roman"/>
          <w:szCs w:val="20"/>
          <w:lang w:val="en-GB"/>
        </w:rPr>
        <w:t xml:space="preserve"> In addition, the remote location of some settlements limits their participation in economic life. The limited availability of vocational training, microfinance and support in establishing small- to medium-sized businesses also hampers further economic development.</w:t>
      </w:r>
      <w:r w:rsidRPr="00B01C7F">
        <w:rPr>
          <w:rFonts w:cs="Times New Roman"/>
          <w:sz w:val="18"/>
          <w:szCs w:val="20"/>
          <w:vertAlign w:val="superscript"/>
          <w:lang w:val="en-GB"/>
        </w:rPr>
        <w:footnoteReference w:id="28"/>
      </w:r>
      <w:r w:rsidRPr="00B01C7F">
        <w:rPr>
          <w:rFonts w:cs="Times New Roman"/>
          <w:szCs w:val="20"/>
          <w:lang w:val="en-GB"/>
        </w:rPr>
        <w:t xml:space="preserve"> </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C.</w:t>
      </w:r>
      <w:r w:rsidRPr="00B01C7F">
        <w:rPr>
          <w:rFonts w:cs="Times New Roman"/>
          <w:b/>
          <w:sz w:val="24"/>
          <w:szCs w:val="20"/>
          <w:lang w:val="en-GB"/>
        </w:rPr>
        <w:tab/>
        <w:t xml:space="preserve">Social and cultural rights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color w:val="000000"/>
          <w:szCs w:val="20"/>
        </w:rPr>
      </w:pPr>
      <w:r w:rsidRPr="00B01C7F">
        <w:rPr>
          <w:rFonts w:cs="Times New Roman"/>
          <w:color w:val="000000"/>
          <w:szCs w:val="20"/>
        </w:rPr>
        <w:t xml:space="preserve">Pervasive </w:t>
      </w:r>
      <w:r w:rsidRPr="00B01C7F">
        <w:rPr>
          <w:rFonts w:cs="Times New Roman"/>
          <w:szCs w:val="20"/>
          <w:lang/>
        </w:rPr>
        <w:t xml:space="preserve">gender stereotyping and attitudes, whether </w:t>
      </w:r>
      <w:r w:rsidRPr="00B01C7F">
        <w:rPr>
          <w:rFonts w:cs="Times New Roman"/>
          <w:color w:val="000000"/>
          <w:szCs w:val="24"/>
        </w:rPr>
        <w:t xml:space="preserve">in the media, in the </w:t>
      </w:r>
      <w:r w:rsidRPr="00B01C7F">
        <w:rPr>
          <w:rFonts w:cs="Times New Roman"/>
          <w:color w:val="000000"/>
          <w:szCs w:val="20"/>
        </w:rPr>
        <w:t xml:space="preserve">community and even in official </w:t>
      </w:r>
      <w:r w:rsidRPr="00B01C7F">
        <w:rPr>
          <w:rFonts w:cs="Times New Roman"/>
          <w:szCs w:val="20"/>
          <w:lang w:val="en-GB"/>
        </w:rPr>
        <w:t>documents</w:t>
      </w:r>
      <w:r w:rsidRPr="00B01C7F">
        <w:rPr>
          <w:rFonts w:cs="Times New Roman"/>
          <w:color w:val="000000"/>
          <w:szCs w:val="20"/>
        </w:rPr>
        <w:t xml:space="preserve">, was highlighted </w:t>
      </w:r>
      <w:r w:rsidRPr="00B01C7F">
        <w:rPr>
          <w:rFonts w:cs="Times New Roman"/>
          <w:szCs w:val="20"/>
          <w:lang/>
        </w:rPr>
        <w:t>as an impediment to women enjoying their human rights.</w:t>
      </w:r>
      <w:r w:rsidRPr="00B01C7F">
        <w:rPr>
          <w:rFonts w:cs="Times New Roman"/>
          <w:szCs w:val="20"/>
          <w:lang w:val="en-GB"/>
        </w:rPr>
        <w:t xml:space="preserve"> </w:t>
      </w:r>
      <w:r w:rsidRPr="00B01C7F">
        <w:rPr>
          <w:rFonts w:cs="Times New Roman"/>
          <w:color w:val="000000"/>
          <w:szCs w:val="20"/>
        </w:rPr>
        <w:t>Numerous interlocutors mentioned the re-emergence of traditional, patriarchal beliefs and practices since the independence of the country.</w:t>
      </w:r>
      <w:r w:rsidRPr="00B01C7F">
        <w:rPr>
          <w:rFonts w:cs="Times New Roman"/>
          <w:szCs w:val="20"/>
          <w:lang/>
        </w:rPr>
        <w:t xml:space="preserve"> It was stated that “tradition” dictates that men are expected to be the decision makers, they are the holders of power within society and the family, they are supposed to be the main source of income and also they are not supposed to take on any household work or child-rearing responsibilities. On the other hand, women are above all mothers, nurturers, kind, obedient, caring and inferior. The consequence is that gender stereotypes continue to reinforce differences between men and women, and also impose gender-specific roles in terms of career choices, employment, education and leisure. </w:t>
      </w:r>
      <w:r w:rsidRPr="00B01C7F">
        <w:rPr>
          <w:rFonts w:cs="Times New Roman"/>
          <w:color w:val="000000"/>
          <w:szCs w:val="20"/>
        </w:rPr>
        <w:t>Thus</w:t>
      </w:r>
      <w:r w:rsidRPr="00B01C7F">
        <w:rPr>
          <w:rFonts w:cs="Times New Roman"/>
          <w:szCs w:val="20"/>
          <w:lang/>
        </w:rPr>
        <w:t xml:space="preserve"> there are significant discrepancies between </w:t>
      </w:r>
      <w:r w:rsidRPr="00B01C7F">
        <w:rPr>
          <w:rFonts w:cs="Times New Roman"/>
          <w:i/>
          <w:szCs w:val="20"/>
          <w:lang/>
        </w:rPr>
        <w:t xml:space="preserve">de jure </w:t>
      </w:r>
      <w:r w:rsidRPr="00B01C7F">
        <w:rPr>
          <w:rFonts w:cs="Times New Roman"/>
          <w:szCs w:val="20"/>
          <w:lang/>
        </w:rPr>
        <w:t xml:space="preserve">and </w:t>
      </w:r>
      <w:r w:rsidRPr="00B01C7F">
        <w:rPr>
          <w:rFonts w:cs="Times New Roman"/>
          <w:i/>
          <w:szCs w:val="20"/>
          <w:lang/>
        </w:rPr>
        <w:t>de facto</w:t>
      </w:r>
      <w:r w:rsidRPr="00B01C7F">
        <w:rPr>
          <w:rFonts w:cs="Times New Roman"/>
          <w:szCs w:val="20"/>
          <w:lang/>
        </w:rPr>
        <w:t xml:space="preserve"> equality in </w:t>
      </w:r>
      <w:smartTag w:uri="urn:schemas-microsoft-com:office:smarttags" w:element="place">
        <w:smartTag w:uri="urn:schemas-microsoft-com:office:smarttags" w:element="country-region">
          <w:r w:rsidRPr="00B01C7F">
            <w:rPr>
              <w:rFonts w:cs="Times New Roman"/>
              <w:szCs w:val="20"/>
              <w:lang/>
            </w:rPr>
            <w:t>Azerbaijan</w:t>
          </w:r>
        </w:smartTag>
      </w:smartTag>
      <w:r w:rsidRPr="00B01C7F">
        <w:rPr>
          <w:rFonts w:cs="Times New Roman"/>
          <w:szCs w:val="20"/>
          <w:lang/>
        </w:rPr>
        <w:t>.</w:t>
      </w:r>
      <w:r w:rsidRPr="00B01C7F">
        <w:rPr>
          <w:rFonts w:cs="Times New Roman"/>
          <w:sz w:val="18"/>
          <w:szCs w:val="20"/>
          <w:vertAlign w:val="superscript"/>
          <w:lang w:val="en-GB"/>
        </w:rPr>
        <w:footnoteReference w:id="29"/>
      </w:r>
      <w:r w:rsidRPr="00B01C7F">
        <w:rPr>
          <w:rFonts w:cs="Times New Roman"/>
          <w:szCs w:val="20"/>
          <w:lang/>
        </w:rPr>
        <w:t xml:space="preserv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The 2009 Law on Education stipulates that one of the main principles of the State educational policy is “[e]quality – creating equal opportunities for all citizens to exercise their right to receive education”.</w:t>
      </w:r>
      <w:r w:rsidRPr="00B01C7F">
        <w:rPr>
          <w:rFonts w:cs="Times New Roman"/>
          <w:sz w:val="18"/>
          <w:szCs w:val="20"/>
          <w:vertAlign w:val="superscript"/>
          <w:lang w:val="en-GB"/>
        </w:rPr>
        <w:footnoteReference w:id="30"/>
      </w:r>
      <w:r w:rsidRPr="00B01C7F">
        <w:rPr>
          <w:rFonts w:cs="Times New Roman"/>
          <w:szCs w:val="20"/>
          <w:lang w:val="en-GB"/>
        </w:rPr>
        <w:t xml:space="preserve"> According to this law, primary and secondary education is mandatory and free of charge, but inadequate funding from the State budget requires families to pay for expenses, including uniforms, tutoring fees, informal payments for maintaining, cleaning and heating classrooms, as well as gifts and bribes for teachers.</w:t>
      </w:r>
      <w:r w:rsidRPr="00B01C7F">
        <w:rPr>
          <w:rFonts w:cs="Times New Roman"/>
          <w:sz w:val="18"/>
          <w:szCs w:val="20"/>
          <w:vertAlign w:val="superscript"/>
          <w:lang w:val="en-GB"/>
        </w:rPr>
        <w:footnoteReference w:id="31"/>
      </w:r>
      <w:r w:rsidRPr="00B01C7F">
        <w:rPr>
          <w:rFonts w:cs="Times New Roman"/>
          <w:szCs w:val="20"/>
          <w:lang w:val="en-GB"/>
        </w:rPr>
        <w:t xml:space="preserve"> </w:t>
      </w:r>
    </w:p>
    <w:p w:rsidR="00650B4A" w:rsidRDefault="00ED62A0" w:rsidP="00650B4A">
      <w:pPr>
        <w:numPr>
          <w:ilvl w:val="0"/>
          <w:numId w:val="10"/>
        </w:numPr>
        <w:tabs>
          <w:tab w:val="left" w:pos="1700"/>
        </w:tabs>
        <w:suppressAutoHyphens/>
        <w:bidi w:val="0"/>
        <w:spacing w:after="120"/>
        <w:ind w:left="1134" w:right="1134" w:firstLine="0"/>
        <w:jc w:val="both"/>
        <w:rPr>
          <w:rFonts w:cs="Times New Roman"/>
          <w:szCs w:val="20"/>
          <w:lang w:val="en-GB"/>
        </w:rPr>
      </w:pPr>
      <w:smartTag w:uri="urn:schemas-microsoft-com:office:smarttags" w:element="place">
        <w:smartTag w:uri="urn:schemas-microsoft-com:office:smarttags" w:element="country-region">
          <w:r w:rsidRPr="00B01C7F">
            <w:rPr>
              <w:rFonts w:cs="Times New Roman"/>
              <w:szCs w:val="20"/>
              <w:lang w:val="en-GB" w:eastAsia="en-GB"/>
            </w:rPr>
            <w:t>Azerbaijan</w:t>
          </w:r>
        </w:smartTag>
      </w:smartTag>
      <w:r w:rsidRPr="00B01C7F">
        <w:rPr>
          <w:rFonts w:cs="Times New Roman"/>
          <w:szCs w:val="20"/>
          <w:lang w:val="en-GB" w:eastAsia="en-GB"/>
        </w:rPr>
        <w:t xml:space="preserve"> has a high literacy rate. The </w:t>
      </w:r>
      <w:r w:rsidRPr="00B01C7F">
        <w:rPr>
          <w:rFonts w:cs="Times New Roman"/>
          <w:i/>
          <w:szCs w:val="20"/>
          <w:lang w:val="en-GB" w:eastAsia="en-GB"/>
        </w:rPr>
        <w:t>Azerbaijan Multiple Indicator Cluster Survey 2000</w:t>
      </w:r>
      <w:r w:rsidRPr="00B01C7F">
        <w:rPr>
          <w:rFonts w:cs="Times New Roman"/>
          <w:szCs w:val="20"/>
          <w:lang w:val="en-GB" w:eastAsia="en-GB"/>
        </w:rPr>
        <w:t xml:space="preserve"> of the United Nations Children’s Fund (UNICEF) revealed that women are slightly less likely than men to be literate (93 per cent compared to 98 per cent) </w:t>
      </w:r>
      <w:r w:rsidRPr="00B01C7F">
        <w:rPr>
          <w:rFonts w:cs="Times New Roman"/>
          <w:szCs w:val="20"/>
          <w:lang w:val="en-GB"/>
        </w:rPr>
        <w:t>and</w:t>
      </w:r>
      <w:r w:rsidRPr="00B01C7F">
        <w:rPr>
          <w:rFonts w:cs="Times New Roman"/>
          <w:szCs w:val="20"/>
          <w:lang w:val="en-GB" w:eastAsia="en-GB"/>
        </w:rPr>
        <w:t xml:space="preserve"> that the gender disparity in literacy rates is more obvious in rural areas,</w:t>
      </w:r>
      <w:r w:rsidRPr="00B01C7F">
        <w:rPr>
          <w:rFonts w:cs="Times New Roman"/>
          <w:szCs w:val="20"/>
          <w:lang w:val="en-GB"/>
        </w:rPr>
        <w:t xml:space="preserve"> where only 88.6 per cent of women are literate versus 96.4 per cent of men. The survey suggests there is a high dropout</w:t>
      </w:r>
      <w:r w:rsidR="00650B4A">
        <w:rPr>
          <w:rFonts w:cs="Times New Roman"/>
          <w:szCs w:val="20"/>
          <w:lang w:val="en-GB"/>
        </w:rPr>
        <w:br/>
      </w:r>
    </w:p>
    <w:p w:rsidR="00650B4A" w:rsidRDefault="00650B4A" w:rsidP="00650B4A">
      <w:pPr>
        <w:tabs>
          <w:tab w:val="left" w:pos="1700"/>
        </w:tabs>
        <w:suppressAutoHyphens/>
        <w:bidi w:val="0"/>
        <w:spacing w:after="120"/>
        <w:ind w:left="774" w:right="1134"/>
        <w:jc w:val="both"/>
        <w:rPr>
          <w:rFonts w:cs="Times New Roman"/>
          <w:szCs w:val="20"/>
          <w:lang w:val="en-GB"/>
        </w:rPr>
      </w:pPr>
    </w:p>
    <w:p w:rsidR="00650B4A" w:rsidRDefault="00650B4A" w:rsidP="00650B4A">
      <w:pPr>
        <w:tabs>
          <w:tab w:val="left" w:pos="1700"/>
        </w:tabs>
        <w:suppressAutoHyphens/>
        <w:bidi w:val="0"/>
        <w:spacing w:after="120"/>
        <w:ind w:left="774" w:right="1134"/>
        <w:jc w:val="both"/>
        <w:rPr>
          <w:rFonts w:cs="Times New Roman"/>
          <w:szCs w:val="20"/>
          <w:lang w:val="en-GB"/>
        </w:rPr>
      </w:pPr>
    </w:p>
    <w:p w:rsidR="00ED62A0" w:rsidRPr="00B01C7F" w:rsidRDefault="00ED62A0" w:rsidP="00650B4A">
      <w:pPr>
        <w:tabs>
          <w:tab w:val="left" w:pos="1700"/>
        </w:tabs>
        <w:suppressAutoHyphens/>
        <w:bidi w:val="0"/>
        <w:spacing w:after="120"/>
        <w:ind w:left="1134" w:right="1134"/>
        <w:jc w:val="both"/>
        <w:rPr>
          <w:rFonts w:cs="Times New Roman"/>
          <w:szCs w:val="20"/>
          <w:lang w:val="en-GB"/>
        </w:rPr>
      </w:pPr>
      <w:r w:rsidRPr="00B01C7F">
        <w:rPr>
          <w:rFonts w:cs="Times New Roman"/>
          <w:szCs w:val="20"/>
          <w:lang w:val="en-GB"/>
        </w:rPr>
        <w:t>rate for girls between grades 8 and 11, and some households mainly in rural areas or IDP/refugee camps may stop sending girls to school when they reach puberty, in order for them to do domestic chores and be prepared for marriage.</w:t>
      </w:r>
      <w:r w:rsidRPr="00B01C7F">
        <w:rPr>
          <w:rFonts w:cs="Times New Roman"/>
          <w:sz w:val="18"/>
          <w:szCs w:val="20"/>
          <w:vertAlign w:val="superscript"/>
          <w:lang w:val="en-GB"/>
        </w:rPr>
        <w:footnoteReference w:id="32"/>
      </w:r>
      <w:r w:rsidRPr="00B01C7F">
        <w:rPr>
          <w:rFonts w:cs="Times New Roman"/>
          <w:szCs w:val="20"/>
          <w:lang w:val="en-GB"/>
        </w:rPr>
        <w:t xml:space="preserve"> According to official information, in 2012–2013, approximately 50 per cent of university students were women.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Despite the efforts undertaken by the Government towards labour and social protection, including targeted social allowances and assistance mechanisms, the social protection system is inadequate, particularly for women working in the informal sector. The </w:t>
      </w:r>
      <w:smartTag w:uri="urn:schemas-microsoft-com:office:smarttags" w:element="place">
        <w:smartTag w:uri="urn:schemas-microsoft-com:office:smarttags" w:element="country-region">
          <w:r w:rsidRPr="00B01C7F">
            <w:rPr>
              <w:rFonts w:cs="Times New Roman"/>
              <w:i/>
              <w:szCs w:val="20"/>
              <w:lang w:val="en-GB"/>
            </w:rPr>
            <w:t>Azerbaijan</w:t>
          </w:r>
        </w:smartTag>
      </w:smartTag>
      <w:r w:rsidRPr="00B01C7F">
        <w:rPr>
          <w:rFonts w:cs="Times New Roman"/>
          <w:i/>
          <w:szCs w:val="20"/>
          <w:lang w:val="en-GB"/>
        </w:rPr>
        <w:t xml:space="preserve"> National Human Development Report 2007</w:t>
      </w:r>
      <w:r w:rsidRPr="00B01C7F">
        <w:rPr>
          <w:rFonts w:cs="Times New Roman"/>
          <w:szCs w:val="20"/>
          <w:lang w:val="en-GB"/>
        </w:rPr>
        <w:t xml:space="preserve"> revealed that 48.7 per cent of women mentioned their insufficient economic resources as a reason why they chose not to seek medical treatment.</w:t>
      </w:r>
      <w:r w:rsidRPr="00B01C7F">
        <w:rPr>
          <w:rFonts w:cs="Times New Roman"/>
          <w:sz w:val="18"/>
          <w:szCs w:val="20"/>
          <w:vertAlign w:val="superscript"/>
          <w:lang w:val="en-GB"/>
        </w:rPr>
        <w:footnoteReference w:id="33"/>
      </w:r>
      <w:r w:rsidRPr="00B01C7F">
        <w:rPr>
          <w:rFonts w:cs="Times New Roman"/>
          <w:szCs w:val="20"/>
          <w:lang w:val="en-GB"/>
        </w:rPr>
        <w:t xml:space="preserve"> The issue of widespread corruption, particularly affecting State institutions, was repeatedly emphasized during the visit as one of the scourges of Azerbaijani society, and was highlighted as a major obstacle to equal access to all State services, including the education and health sectors.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The 1999 Law on the Social Protection of Internally Displaced Persons and Persons equated to them grants IDPs the right to free temporary accommodation, assistance in finding employment, free health care, social assistance and pensions, and free education, among other things. Despite legislation granting free health care, IDPs generally pay the same official and unofficial fees as other citizens.</w:t>
      </w:r>
      <w:r w:rsidRPr="00B01C7F">
        <w:rPr>
          <w:rFonts w:cs="Times New Roman"/>
          <w:sz w:val="18"/>
          <w:szCs w:val="20"/>
          <w:vertAlign w:val="superscript"/>
          <w:lang w:val="en-GB"/>
        </w:rPr>
        <w:footnoteReference w:id="34"/>
      </w:r>
      <w:r w:rsidRPr="00B01C7F">
        <w:rPr>
          <w:rFonts w:cs="Times New Roman"/>
          <w:szCs w:val="20"/>
          <w:lang w:val="en-GB"/>
        </w:rPr>
        <w:t xml:space="preserve"> During her visit to a settlement in Sumqayit, the Special Rapporteur observed and also heard testimonies that reflect the precarious living conditions of many IDPs and the difficulties that women face in accessing quality and specialized health services, including for their children.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Gender stereotypes are present in educational materials, and also generally in the media. According to the UNCT, the textbooks recommended by the Ministry of Education replicate existing stereotypes, presenting men as leaders in power-related positions or in male-dominated professions, whereas women are depicted as housewives, teachers, librarians, cleaners, cooks and doctors. This was corroborated by representatives of the Ministry of Education who informed the Special Rapporteur that the review of textbooks was under consideration.</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The Special Rapporteur noted the low divorce rate in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(1.2 per 1,000 people annually in 2012 according to information provided by the State). Reportedly both men and women try to avoid divorce, which is considered to be a socially undesirable resolution of marital tensions and conflicts.</w:t>
      </w:r>
      <w:r w:rsidRPr="00B01C7F" w:rsidDel="005F7619">
        <w:rPr>
          <w:rFonts w:cs="Times New Roman"/>
          <w:szCs w:val="20"/>
          <w:lang w:val="en-GB"/>
        </w:rPr>
        <w:t xml:space="preserve"> </w:t>
      </w:r>
      <w:r w:rsidRPr="00B01C7F">
        <w:rPr>
          <w:rFonts w:cs="Times New Roman"/>
          <w:szCs w:val="20"/>
          <w:lang w:val="en-GB"/>
        </w:rPr>
        <w:t xml:space="preserve">Where it does occur, women suffer greater social stigma and are usually blamed for the failure of the marriage.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w:t>
      </w:r>
      <w:r w:rsidRPr="00B01C7F">
        <w:rPr>
          <w:rFonts w:cs="Times New Roman"/>
          <w:szCs w:val="20"/>
          <w:lang/>
        </w:rPr>
        <w:t>he cultural and social norms</w:t>
      </w:r>
      <w:r w:rsidRPr="00B01C7F">
        <w:rPr>
          <w:rFonts w:cs="Times New Roman"/>
          <w:szCs w:val="20"/>
          <w:lang w:val="en-GB"/>
        </w:rPr>
        <w:t xml:space="preserve"> shaping a society have a significant impact on the effective implementation of the legal framework</w:t>
      </w:r>
      <w:r w:rsidRPr="00B01C7F">
        <w:rPr>
          <w:rFonts w:cs="Times New Roman"/>
          <w:szCs w:val="20"/>
          <w:lang/>
        </w:rPr>
        <w:t xml:space="preserve">. Women’s role in </w:t>
      </w:r>
      <w:r w:rsidRPr="00B01C7F">
        <w:rPr>
          <w:rFonts w:cs="Times New Roman"/>
          <w:szCs w:val="20"/>
          <w:lang w:val="en-GB"/>
        </w:rPr>
        <w:t xml:space="preserve">influencing </w:t>
      </w:r>
      <w:r w:rsidRPr="00B01C7F">
        <w:rPr>
          <w:rFonts w:cs="Times New Roman"/>
          <w:szCs w:val="20"/>
          <w:lang/>
        </w:rPr>
        <w:t xml:space="preserve">such norms is </w:t>
      </w:r>
      <w:r w:rsidRPr="00B01C7F">
        <w:rPr>
          <w:rFonts w:cs="Times New Roman"/>
          <w:szCs w:val="20"/>
          <w:lang w:val="en-GB"/>
        </w:rPr>
        <w:t>crucial</w:t>
      </w:r>
      <w:r w:rsidRPr="00B01C7F">
        <w:rPr>
          <w:rFonts w:cs="Times New Roman"/>
          <w:szCs w:val="20"/>
          <w:lang/>
        </w:rPr>
        <w:t xml:space="preserve">, but is dependent on whether gender equality </w:t>
      </w:r>
      <w:r w:rsidRPr="00B01C7F">
        <w:rPr>
          <w:rFonts w:cs="Times New Roman"/>
          <w:szCs w:val="20"/>
          <w:lang w:val="en-GB"/>
        </w:rPr>
        <w:t xml:space="preserve">prevails </w:t>
      </w:r>
      <w:r w:rsidRPr="00B01C7F">
        <w:rPr>
          <w:rFonts w:cs="Times New Roman"/>
          <w:szCs w:val="20"/>
          <w:lang/>
        </w:rPr>
        <w:t>and whether the status of women allows for their effective participation. As indicated above, women’s participation in</w:t>
      </w:r>
      <w:r w:rsidRPr="00B01C7F">
        <w:rPr>
          <w:rFonts w:cs="Times New Roman"/>
          <w:szCs w:val="20"/>
          <w:lang w:val="en-GB"/>
        </w:rPr>
        <w:t xml:space="preserve"> promoting a</w:t>
      </w:r>
      <w:r w:rsidRPr="00B01C7F">
        <w:rPr>
          <w:rFonts w:cs="Times New Roman"/>
          <w:szCs w:val="20"/>
          <w:lang/>
        </w:rPr>
        <w:t xml:space="preserve"> </w:t>
      </w:r>
      <w:r w:rsidRPr="00B01C7F">
        <w:rPr>
          <w:rFonts w:cs="Times New Roman"/>
          <w:szCs w:val="20"/>
          <w:lang w:val="en-GB"/>
        </w:rPr>
        <w:t>culture</w:t>
      </w:r>
      <w:r w:rsidRPr="00B01C7F">
        <w:rPr>
          <w:rFonts w:cs="Times New Roman"/>
          <w:szCs w:val="20"/>
          <w:lang/>
        </w:rPr>
        <w:t xml:space="preserve"> of equality is </w:t>
      </w:r>
      <w:r w:rsidRPr="00B01C7F">
        <w:rPr>
          <w:rFonts w:cs="Times New Roman"/>
          <w:szCs w:val="20"/>
          <w:lang w:val="en-GB"/>
        </w:rPr>
        <w:t>limited</w:t>
      </w:r>
      <w:r w:rsidRPr="00B01C7F">
        <w:rPr>
          <w:rFonts w:cs="Times New Roman"/>
          <w:szCs w:val="20"/>
          <w:lang/>
        </w:rPr>
        <w:t xml:space="preserve"> by the dominant patriarchal culture that is deeply entrenched and accepted at many levels.</w:t>
      </w:r>
    </w:p>
    <w:p w:rsidR="00ED62A0" w:rsidRPr="00B01C7F" w:rsidRDefault="00ED62A0" w:rsidP="00ED62A0">
      <w:pPr>
        <w:keepNext/>
        <w:keepLines/>
        <w:tabs>
          <w:tab w:val="right" w:pos="851"/>
        </w:tabs>
        <w:suppressAutoHyphens/>
        <w:bidi w:val="0"/>
        <w:spacing w:before="360" w:after="240" w:line="300" w:lineRule="exact"/>
        <w:ind w:left="1134" w:right="1134" w:hanging="1134"/>
        <w:jc w:val="left"/>
        <w:rPr>
          <w:rFonts w:eastAsia="SimSun" w:cs="Times New Roman"/>
          <w:b/>
          <w:sz w:val="28"/>
          <w:szCs w:val="20"/>
          <w:lang w:val="en-GB" w:eastAsia="zh-CN"/>
        </w:rPr>
      </w:pPr>
      <w:r w:rsidRPr="00B01C7F">
        <w:rPr>
          <w:rFonts w:eastAsia="SimSun" w:cs="Times New Roman"/>
          <w:b/>
          <w:sz w:val="28"/>
          <w:szCs w:val="20"/>
          <w:lang w:val="en-GB" w:eastAsia="zh-CN"/>
        </w:rPr>
        <w:tab/>
        <w:t>IV.</w:t>
      </w:r>
      <w:r w:rsidRPr="00B01C7F">
        <w:rPr>
          <w:rFonts w:eastAsia="SimSun" w:cs="Times New Roman"/>
          <w:b/>
          <w:sz w:val="28"/>
          <w:szCs w:val="20"/>
          <w:lang w:val="en-GB" w:eastAsia="zh-CN"/>
        </w:rPr>
        <w:tab/>
        <w:t xml:space="preserve">Challenges in fulfilling the State’s obligation to act with due diligence to eliminate violence against women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States are required to </w:t>
      </w:r>
      <w:r w:rsidRPr="00B01C7F">
        <w:rPr>
          <w:rFonts w:cs="Times New Roman"/>
          <w:szCs w:val="20"/>
          <w:lang w:val="en-GB" w:eastAsia="en-GB"/>
        </w:rPr>
        <w:t>exercise due diligence to prevent and respond to all acts of violence against women. A</w:t>
      </w:r>
      <w:r w:rsidRPr="00B01C7F">
        <w:rPr>
          <w:rFonts w:cs="Times New Roman"/>
          <w:bCs/>
          <w:szCs w:val="20"/>
          <w:lang w:val="en-GB"/>
        </w:rPr>
        <w:t xml:space="preserve"> comprehensive system of prevention and protection, ensuring </w:t>
      </w:r>
      <w:r w:rsidRPr="00B01C7F">
        <w:rPr>
          <w:rFonts w:cs="Times New Roman"/>
          <w:szCs w:val="20"/>
          <w:lang w:val="en-GB"/>
        </w:rPr>
        <w:t xml:space="preserve">accountability, the mitigation of harm and adequate redress, must be the norm.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During her visit, the Special Rapporteur observed the positive developments and the challenges faced by the State in fulfilling its international obligations to prevent, protect, investigate, prosecute, punish and ensure effective remedies for acts of violence against women, as provided for in the Declaration on the Elimination of Violence against Women.</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The Government has committed to protecting and promoting the rights of women and girls through the ratification of numerous international human rights instruments, including the Convention on the Elimination of All Forms of Discrimination against Women.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color w:val="000000"/>
          <w:szCs w:val="20"/>
          <w:lang w:val="en-GB"/>
        </w:rPr>
      </w:pPr>
      <w:r w:rsidRPr="00B01C7F">
        <w:rPr>
          <w:rFonts w:cs="Times New Roman"/>
          <w:color w:val="000000"/>
          <w:szCs w:val="20"/>
          <w:lang w:val="en-GB"/>
        </w:rPr>
        <w:t xml:space="preserve">The State Committee for Family, Women and Children’s Affairs, </w:t>
      </w:r>
      <w:r w:rsidRPr="00B01C7F">
        <w:rPr>
          <w:rFonts w:cs="Times New Roman"/>
          <w:szCs w:val="20"/>
          <w:lang w:val="en-GB"/>
        </w:rPr>
        <w:t>established</w:t>
      </w:r>
      <w:r w:rsidRPr="00B01C7F">
        <w:rPr>
          <w:rFonts w:cs="Times New Roman"/>
          <w:color w:val="000000"/>
          <w:szCs w:val="20"/>
          <w:lang w:val="en-GB"/>
        </w:rPr>
        <w:t xml:space="preserve"> in 2006, is the central body responsible for the implementation of </w:t>
      </w:r>
      <w:smartTag w:uri="urn:schemas-microsoft-com:office:smarttags" w:element="place">
        <w:smartTag w:uri="urn:schemas-microsoft-com:office:smarttags" w:element="country-region">
          <w:r w:rsidRPr="00B01C7F">
            <w:rPr>
              <w:rFonts w:cs="Times New Roman"/>
              <w:color w:val="000000"/>
              <w:szCs w:val="20"/>
              <w:lang w:val="en-GB"/>
            </w:rPr>
            <w:t>Azerbaijan</w:t>
          </w:r>
        </w:smartTag>
      </w:smartTag>
      <w:r w:rsidRPr="00B01C7F">
        <w:rPr>
          <w:rFonts w:cs="Times New Roman"/>
          <w:color w:val="000000"/>
          <w:szCs w:val="20"/>
          <w:lang w:val="en-GB"/>
        </w:rPr>
        <w:t xml:space="preserve">’s international obligations with regard to women’s rights and its gender policy. The Committee is mandated to promote gender mainstreaming in all national policies, programmes and action plans. This is reportedly done through training of public servants on gender equality issues; research on gender-related issues; the promotion of data collection and gender-disaggregated statistics; and the organization of workshops, </w:t>
      </w:r>
      <w:r w:rsidRPr="00B01C7F">
        <w:rPr>
          <w:rFonts w:cs="Times New Roman"/>
          <w:szCs w:val="20"/>
          <w:lang w:val="en-GB"/>
        </w:rPr>
        <w:t>round tables</w:t>
      </w:r>
      <w:r w:rsidRPr="00B01C7F">
        <w:rPr>
          <w:rFonts w:cs="Times New Roman"/>
          <w:color w:val="000000"/>
          <w:szCs w:val="20"/>
          <w:lang w:val="en-GB"/>
        </w:rPr>
        <w:t xml:space="preserve">, seminars, and conferences on gender issues.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color w:val="000000"/>
          <w:szCs w:val="20"/>
          <w:lang w:val="en-GB"/>
        </w:rPr>
      </w:pPr>
      <w:r w:rsidRPr="00B01C7F">
        <w:rPr>
          <w:rFonts w:cs="Times New Roman"/>
          <w:color w:val="000000"/>
          <w:szCs w:val="20"/>
          <w:lang w:val="en-GB"/>
        </w:rPr>
        <w:t xml:space="preserve">The Special Rapporteur stressed that, while the leading and coordinating role of the Committee </w:t>
      </w:r>
      <w:r w:rsidRPr="00B01C7F">
        <w:rPr>
          <w:rFonts w:cs="Times New Roman"/>
          <w:szCs w:val="20"/>
          <w:lang w:val="en-GB"/>
        </w:rPr>
        <w:t>regarding</w:t>
      </w:r>
      <w:r w:rsidRPr="00B01C7F">
        <w:rPr>
          <w:rFonts w:cs="Times New Roman"/>
          <w:color w:val="000000"/>
          <w:szCs w:val="20"/>
          <w:lang w:val="en-GB"/>
        </w:rPr>
        <w:t xml:space="preserve"> gender issues is commendable, the promotion and protection of women’s rights remains the responsibility of all State actors. While staff members are designated as gender focal points in each ministry, they have to undertake this role in addition to their existing tasks. The appointment of dedicated gender focal pointswould allow for a substantive and holistic focus on the promotion, protection and fulfilment of women’s human rights. </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A.</w:t>
      </w:r>
      <w:r w:rsidRPr="00B01C7F">
        <w:rPr>
          <w:rFonts w:cs="Times New Roman"/>
          <w:b/>
          <w:sz w:val="24"/>
          <w:szCs w:val="20"/>
          <w:lang w:val="en-GB"/>
        </w:rPr>
        <w:tab/>
        <w:t>Prevention</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Measures by which States can fulfil their due diligence obligation to prevent violence against </w:t>
      </w:r>
      <w:r w:rsidRPr="00B01C7F">
        <w:rPr>
          <w:rFonts w:cs="Times New Roman"/>
          <w:color w:val="000000"/>
          <w:szCs w:val="20"/>
          <w:lang w:val="en-GB"/>
        </w:rPr>
        <w:t>women</w:t>
      </w:r>
      <w:r w:rsidRPr="00B01C7F">
        <w:rPr>
          <w:rFonts w:cs="Times New Roman"/>
          <w:szCs w:val="20"/>
          <w:lang w:val="en-GB"/>
        </w:rPr>
        <w:t xml:space="preserve"> include the enactment of laws, policies and programmes; the development of awareness-raising campaigns; the provision of trainings for relevant professionals; and the development of integrated strategies to coordinate multisectoral approaches to addressing violence against women.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Numerous laws, policies and programmes have been developed to address women’s rights issues generally, and violence against women specifically. These include, </w:t>
      </w:r>
      <w:r w:rsidRPr="00B01C7F">
        <w:rPr>
          <w:rFonts w:cs="Times New Roman"/>
          <w:i/>
          <w:szCs w:val="20"/>
          <w:lang w:val="en-GB"/>
        </w:rPr>
        <w:t>inter alia</w:t>
      </w:r>
      <w:r w:rsidRPr="00B01C7F">
        <w:rPr>
          <w:rFonts w:cs="Times New Roman"/>
          <w:szCs w:val="20"/>
          <w:lang w:val="en-GB"/>
        </w:rPr>
        <w:t xml:space="preserve">, the Law on Guarantees of Gender Equality (2006), the Law on Prevention of Domestic Violence (2010), the </w:t>
      </w:r>
      <w:r w:rsidRPr="00B01C7F">
        <w:rPr>
          <w:rFonts w:cs="Times New Roman"/>
          <w:color w:val="000000"/>
          <w:szCs w:val="20"/>
          <w:lang w:val="en-GB"/>
        </w:rPr>
        <w:t>Family</w:t>
      </w:r>
      <w:r w:rsidRPr="00B01C7F">
        <w:rPr>
          <w:rFonts w:cs="Times New Roman"/>
          <w:szCs w:val="20"/>
          <w:lang w:val="en-GB"/>
        </w:rPr>
        <w:t xml:space="preserve"> Code of 2000 (updated in 2011), the Criminal Code (2000) and the Law on Combating Trafficking in Human Beings (2005).</w:t>
      </w:r>
      <w:r w:rsidRPr="00B01C7F">
        <w:rPr>
          <w:rFonts w:cs="Times New Roman"/>
          <w:sz w:val="18"/>
          <w:szCs w:val="20"/>
          <w:vertAlign w:val="superscript"/>
          <w:lang w:val="en-GB"/>
        </w:rPr>
        <w:footnoteReference w:id="35"/>
      </w:r>
      <w:r w:rsidRPr="00B01C7F">
        <w:rPr>
          <w:rFonts w:cs="Times New Roman"/>
          <w:szCs w:val="20"/>
          <w:lang w:val="en-GB"/>
        </w:rPr>
        <w:t xml:space="preserve">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adopted various policies relevant to gender mainstreaming and human rights. Some of these include: the State Program on Poverty Reduction and Sustainable Development (2008–2015), the Employment Strategy of the Republic of Azerbaijan (2006–2015), the National Program for Action to Raise Effectiveness of the Protection of Human Rights and Freedoms in the Republic of Azerbaijan (2011) and the “Azerbaijan 2020: Look into the Future” Concept of Development. The Post-2015 Development Agenda, developed by the UNCT and approved by the Government in August 2013, also contains a section on gender equality and women empowerment. The Special Rapporteur was informed that a draft national action programme against domestic violence had been developed, but has not been adopted yet.</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The Law on Prevention of Domestic Violence places special emphasis on prevention measures. These include legal measures, such as the criminal prosecution of cases, accountability for perpetrators and the executions of court decisions, and social measures, including the provision of shelter, legal and medical assistance for victims, as well as continuing education and assistance in finding employment. Informative actions, such as awareness-raising and public education activities, as well as the registration of abusers for prevention and deterrence purposes, are also anticipated in the law.</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It is of concern that the law does not fully criminalize domestic violence, but rather establishes that only those complaints that “contain elements of composition of crime” will be reviewed under the criminal procedure legislation. “Relevant executive authorities” will review complaints that are deemed not to contain such elements, and such complaints will only be investigated with the consent of the victim or his or her legal representative. The law does not distinguish which acts of domestic violence will be subject to criminal prosecution and which will not.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Following the adoption of the Law on Prevention of Domestic Violence, a number of decisions and/or orders were issued by the Cabinet of Ministers to facilitate its implementation. These include the rules on the operations of the support centres for victims of domestic violence and the rules for accreditation of non-State support centres for victims of domestic violence (25 April 2012); the rules for handling referrals of cases of domestic violence where the acts are not regarded as of a criminal nature (24 February 2012); the rules for organization and operationalization of the database on domestic violence (19 December 2011); and the rules guiding organization of the prophylactic registry of the persons committing domestic violence and correctional-preventive work with them (19 December 2011).</w:t>
      </w:r>
      <w:r w:rsidRPr="00B01C7F">
        <w:rPr>
          <w:rFonts w:cs="Times New Roman"/>
          <w:sz w:val="18"/>
          <w:szCs w:val="20"/>
          <w:vertAlign w:val="superscript"/>
          <w:lang w:val="en-GB"/>
        </w:rPr>
        <w:footnoteReference w:id="36"/>
      </w:r>
      <w:r w:rsidRPr="00B01C7F">
        <w:rPr>
          <w:rFonts w:cs="Times New Roman"/>
          <w:szCs w:val="20"/>
          <w:lang w:val="en-GB"/>
        </w:rPr>
        <w:t xml:space="preserv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As regards forced and early marriages, the Family Code was amended in 2011 to establish the legal age of marriage at 18 for both men and women. The Criminal Code was accordingly amended through the introduction of article 176-1 which criminalizes forced marriages and establishes specific sanctions for such actions. The Criminal Code also establishes more severe penalties for forced marriages of children.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eastAsia="en-GB"/>
        </w:rPr>
      </w:pPr>
      <w:r w:rsidRPr="00B01C7F">
        <w:rPr>
          <w:rFonts w:cs="Times New Roman"/>
          <w:szCs w:val="20"/>
          <w:lang w:val="en-GB" w:eastAsia="en-GB"/>
        </w:rPr>
        <w:t xml:space="preserve">Despite numerous positive developments, and the existence of implementation mechanisms and strategies that provide a framework for action, the lack of or limited implementation of laws and </w:t>
      </w:r>
      <w:r w:rsidRPr="00B01C7F">
        <w:rPr>
          <w:rFonts w:cs="Times New Roman"/>
          <w:szCs w:val="20"/>
          <w:lang w:val="en-GB"/>
        </w:rPr>
        <w:t>policies</w:t>
      </w:r>
      <w:r w:rsidRPr="00B01C7F">
        <w:rPr>
          <w:rFonts w:cs="Times New Roman"/>
          <w:szCs w:val="20"/>
          <w:lang w:val="en-GB" w:eastAsia="en-GB"/>
        </w:rPr>
        <w:t xml:space="preserve"> was consistently raised by interviewees..</w:t>
      </w:r>
      <w:r w:rsidRPr="00B01C7F">
        <w:rPr>
          <w:rFonts w:cs="Times New Roman"/>
          <w:szCs w:val="20"/>
          <w:lang w:val="en-GB"/>
        </w:rPr>
        <w:t xml:space="preserve"> </w:t>
      </w:r>
      <w:r w:rsidRPr="00B01C7F">
        <w:rPr>
          <w:rFonts w:cs="Times New Roman"/>
          <w:szCs w:val="20"/>
          <w:lang w:val="en-GB" w:eastAsia="en-GB"/>
        </w:rPr>
        <w:t xml:space="preserve">Accountability is a crucial aspect in the effective prevention and elimination of violence against women, but the Special Rapporteur observed that impunity seemed to be the norm for crimes committed against women.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eastAsia="en-GB"/>
        </w:rPr>
      </w:pPr>
      <w:r w:rsidRPr="00B01C7F">
        <w:rPr>
          <w:rFonts w:cs="Times New Roman"/>
          <w:szCs w:val="20"/>
          <w:lang w:val="en-GB" w:eastAsia="en-GB"/>
        </w:rPr>
        <w:t xml:space="preserve">The Special Rapporteur is of the view that the activities carried out in order to prevent violence against women cannot be considered as effective and coordinated. The efforts towards societal transformation that would address the traditional gender roles and stereotypes that </w:t>
      </w:r>
      <w:r w:rsidRPr="00B01C7F">
        <w:rPr>
          <w:rFonts w:cs="Times New Roman"/>
          <w:szCs w:val="20"/>
          <w:lang w:val="en-GB"/>
        </w:rPr>
        <w:t>continue</w:t>
      </w:r>
      <w:r w:rsidRPr="00B01C7F">
        <w:rPr>
          <w:rFonts w:cs="Times New Roman"/>
          <w:szCs w:val="20"/>
          <w:lang w:val="en-GB" w:eastAsia="en-GB"/>
        </w:rPr>
        <w:t xml:space="preserve"> to limit the personal, social, economic and political freedom of women in </w:t>
      </w:r>
      <w:smartTag w:uri="urn:schemas-microsoft-com:office:smarttags" w:element="place">
        <w:smartTag w:uri="urn:schemas-microsoft-com:office:smarttags" w:element="country-region">
          <w:r w:rsidRPr="00B01C7F">
            <w:rPr>
              <w:rFonts w:cs="Times New Roman"/>
              <w:szCs w:val="20"/>
              <w:lang w:val="en-GB" w:eastAsia="en-GB"/>
            </w:rPr>
            <w:t>Azerbaijan</w:t>
          </w:r>
        </w:smartTag>
      </w:smartTag>
      <w:r w:rsidRPr="00B01C7F">
        <w:rPr>
          <w:rFonts w:cs="Times New Roman"/>
          <w:szCs w:val="20"/>
          <w:lang w:val="en-GB" w:eastAsia="en-GB"/>
        </w:rPr>
        <w:t xml:space="preserve"> are limited. Although some sporadic awareness-raising activities were undertaken, sustained prevention strategies including all concerned stakeholders, in particular women, children, men, community and religious leaders, is crucial.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Protective and preventive measures require the development of integrated national data collection systems, including gathering information relating to violence against women from all concerned stakeholders (police, justice, health and social services, schools, etc.). The Law on Prevention of Domestic Violence also refers to the collection of statistical information in </w:t>
      </w:r>
      <w:r w:rsidRPr="00B01C7F">
        <w:rPr>
          <w:rFonts w:cs="Times New Roman"/>
          <w:szCs w:val="20"/>
          <w:lang w:val="en-GB" w:eastAsia="en-GB"/>
        </w:rPr>
        <w:t>several</w:t>
      </w:r>
      <w:r w:rsidRPr="00B01C7F">
        <w:rPr>
          <w:rFonts w:cs="Times New Roman"/>
          <w:szCs w:val="20"/>
          <w:lang w:val="en-GB"/>
        </w:rPr>
        <w:t xml:space="preserve"> articles, and specifically refers to the establishment of a domestic violence databank with information on occurrence of cases, complaints made to State bodies, examinations of cases and their results, </w:t>
      </w:r>
      <w:r w:rsidRPr="00B01C7F">
        <w:rPr>
          <w:rFonts w:cs="Times New Roman"/>
          <w:i/>
          <w:szCs w:val="20"/>
          <w:lang w:val="en-GB"/>
        </w:rPr>
        <w:t>inter alia</w:t>
      </w:r>
      <w:r w:rsidRPr="00B01C7F">
        <w:rPr>
          <w:rFonts w:cs="Times New Roman"/>
          <w:szCs w:val="20"/>
          <w:lang w:val="en-GB"/>
        </w:rPr>
        <w:t xml:space="preserve">, as a main preventive action. Despite these provisions, at the time of the Special Rapporteur’s visit, the extent of the phenomenon was difficult to assess, due to a significant lack of disaggregated data, the limited reliability of the information, the significant underreporting of cases and the lack of a centralized </w:t>
      </w:r>
      <w:r w:rsidRPr="00B01C7F">
        <w:rPr>
          <w:rFonts w:cs="Times New Roman"/>
          <w:szCs w:val="20"/>
          <w:lang w:val="en-GB" w:eastAsia="en-GB"/>
        </w:rPr>
        <w:t>information</w:t>
      </w:r>
      <w:r w:rsidRPr="00B01C7F">
        <w:rPr>
          <w:rFonts w:cs="Times New Roman"/>
          <w:szCs w:val="20"/>
          <w:lang w:val="en-GB"/>
        </w:rPr>
        <w:t xml:space="preserve"> system to monitor the various manifestations of violence against women.</w:t>
      </w:r>
      <w:r w:rsidRPr="00B01C7F" w:rsidDel="001476F6">
        <w:rPr>
          <w:rFonts w:cs="Times New Roman"/>
          <w:szCs w:val="20"/>
          <w:lang w:val="en-GB"/>
        </w:rPr>
        <w:t xml:space="preserv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In 2006, the Azerbaijan Demographic and Health Survey included a chapter on prevalence of </w:t>
      </w:r>
      <w:r w:rsidRPr="00B01C7F">
        <w:rPr>
          <w:rFonts w:cs="Times New Roman"/>
          <w:szCs w:val="20"/>
          <w:lang w:val="en-GB" w:eastAsia="en-GB"/>
        </w:rPr>
        <w:t>domestic</w:t>
      </w:r>
      <w:r w:rsidRPr="00B01C7F">
        <w:rPr>
          <w:rFonts w:cs="Times New Roman"/>
          <w:szCs w:val="20"/>
          <w:lang w:val="en-GB"/>
        </w:rPr>
        <w:t xml:space="preserve"> violence. The Special Rapporteur noted with concern that the results of this survey were not updated through subsequent surveys. The </w:t>
      </w:r>
      <w:r w:rsidRPr="00B01C7F">
        <w:rPr>
          <w:rFonts w:cs="Times New Roman"/>
          <w:i/>
          <w:szCs w:val="20"/>
          <w:lang w:val="en-GB"/>
        </w:rPr>
        <w:t>National Survey Report on Domestic Violence against Women in Azerbaijan</w:t>
      </w:r>
      <w:r w:rsidRPr="00B01C7F">
        <w:rPr>
          <w:rFonts w:cs="Times New Roman"/>
          <w:szCs w:val="20"/>
          <w:lang w:val="en-GB"/>
        </w:rPr>
        <w:t xml:space="preserve"> was conducted in 2008 to examine the prevalence, root causes and consequences of violence against women.</w:t>
      </w:r>
      <w:r w:rsidRPr="00B01C7F">
        <w:rPr>
          <w:rFonts w:cs="Times New Roman"/>
          <w:sz w:val="18"/>
          <w:szCs w:val="20"/>
          <w:vertAlign w:val="superscript"/>
          <w:lang w:val="en-GB"/>
        </w:rPr>
        <w:footnoteReference w:id="37"/>
      </w:r>
      <w:r w:rsidRPr="00B01C7F">
        <w:rPr>
          <w:rFonts w:cs="Times New Roman"/>
          <w:szCs w:val="20"/>
          <w:lang w:val="en-GB"/>
        </w:rPr>
        <w:t xml:space="preserve"> However, the Special Rapporteur noted that the results of this survey were not sufficiently disseminated. She also noted that there has been no follow-up to the recommendations formulated in this survey. The Special Rapporteur stressed the need for research on violence against women to be broad and not to limit the scope of the surveys to domestic violence only.</w:t>
      </w:r>
      <w:r w:rsidRPr="00B01C7F">
        <w:rPr>
          <w:rFonts w:cs="Times New Roman"/>
          <w:sz w:val="18"/>
          <w:szCs w:val="20"/>
          <w:vertAlign w:val="superscript"/>
          <w:lang w:val="en-GB"/>
        </w:rPr>
        <w:footnoteReference w:id="38"/>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B.</w:t>
      </w:r>
      <w:r w:rsidRPr="00B01C7F">
        <w:rPr>
          <w:rFonts w:cs="Times New Roman"/>
          <w:b/>
          <w:sz w:val="24"/>
          <w:szCs w:val="20"/>
          <w:lang w:val="en-GB"/>
        </w:rPr>
        <w:tab/>
        <w:t>Protection</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bCs/>
          <w:szCs w:val="20"/>
          <w:lang w:val="en-GB"/>
        </w:rPr>
      </w:pPr>
      <w:r w:rsidRPr="00B01C7F">
        <w:rPr>
          <w:rFonts w:cs="Times New Roman"/>
          <w:szCs w:val="20"/>
          <w:lang w:val="en-GB"/>
        </w:rPr>
        <w:t>Measures by which States can fulfil their due diligence obligation to protect women from violence include the provision of services such as telephone helplines, health care, counselling centres, legal assistance, access to shelters, protection orders and financial aid to victims</w:t>
      </w:r>
      <w:r w:rsidRPr="00B01C7F">
        <w:rPr>
          <w:rFonts w:cs="Times New Roman"/>
          <w:bCs/>
          <w:szCs w:val="20"/>
          <w:lang w:val="en-GB"/>
        </w:rPr>
        <w:t>.</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The Law on Prevention of Domestic Violence refers to the establishment of public support centres for victims of domestic violence, in order to provide or facilitate legal and medical assistance, psychological rehabilitation, social protection and allowances, and emergency shelter, among others, on a no-cost basis. Such support centres may be established by local authorities and NGOs, and must be accredited by the relevant executive authority. Measures should also be taken to prevent the repetition of violence, and protection orders should be issued where necessary. The Special Rapporteur noted with concern that the law refers specifically to the State’s duty to “assist in normalization of relations between parties and resumption of family affairs”, which can be interpreted as privileging mediation and reconciliation over the protection of women’s human rights. </w:t>
      </w:r>
    </w:p>
    <w:p w:rsidR="00650B4A" w:rsidRDefault="00ED62A0" w:rsidP="00650B4A">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Article 11 of the Law on Prevention of Domestic Violence also provides for the possibility of issuing a “warning” to the perpetrator not to use violence in the future. However, there is some confusion on whether this warning could be issued together with a short-term protection order, or if it could be used as evidence during a trial, or if it is a</w:t>
      </w:r>
      <w:r w:rsidR="00650B4A">
        <w:rPr>
          <w:rFonts w:cs="Times New Roman"/>
          <w:szCs w:val="20"/>
          <w:lang w:val="en-GB"/>
        </w:rPr>
        <w:br/>
      </w:r>
    </w:p>
    <w:p w:rsidR="00650B4A" w:rsidRDefault="00650B4A" w:rsidP="00650B4A">
      <w:pPr>
        <w:tabs>
          <w:tab w:val="left" w:pos="1700"/>
        </w:tabs>
        <w:suppressAutoHyphens/>
        <w:bidi w:val="0"/>
        <w:spacing w:after="120"/>
        <w:ind w:left="774" w:right="1134"/>
        <w:jc w:val="both"/>
        <w:rPr>
          <w:rFonts w:cs="Times New Roman"/>
          <w:szCs w:val="20"/>
          <w:lang w:val="en-GB"/>
        </w:rPr>
      </w:pPr>
    </w:p>
    <w:p w:rsidR="00ED62A0" w:rsidRPr="00B01C7F" w:rsidRDefault="00ED62A0" w:rsidP="00650B4A">
      <w:pPr>
        <w:tabs>
          <w:tab w:val="left" w:pos="1700"/>
        </w:tabs>
        <w:suppressAutoHyphens/>
        <w:bidi w:val="0"/>
        <w:spacing w:after="120"/>
        <w:ind w:left="1134" w:right="1134"/>
        <w:jc w:val="both"/>
        <w:rPr>
          <w:rFonts w:cs="Times New Roman"/>
          <w:szCs w:val="20"/>
          <w:lang w:val="en-GB"/>
        </w:rPr>
      </w:pPr>
      <w:r w:rsidRPr="00B01C7F">
        <w:rPr>
          <w:rFonts w:cs="Times New Roman"/>
          <w:szCs w:val="20"/>
          <w:lang w:val="en-GB"/>
        </w:rPr>
        <w:t xml:space="preserve">prerequisite to obtain a protection order. In practice, this lack of clarity results in law enforcement personnel not taking appropriate action.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eastAsia="en-GB"/>
        </w:rPr>
      </w:pPr>
      <w:r w:rsidRPr="00B01C7F">
        <w:rPr>
          <w:rFonts w:cs="Times New Roman"/>
          <w:szCs w:val="20"/>
          <w:lang w:val="en-GB"/>
        </w:rPr>
        <w:t xml:space="preserve">Regarding protection orders, the law provides for short-term 30-day and long-term 180-day protection orders for victims of domestic violence, whether the case is of a civil or criminal nature. However, considering that long-term protection orders can only be issued if and when perpetrators violate a short-term order, and that </w:t>
      </w:r>
      <w:r w:rsidRPr="00B01C7F">
        <w:rPr>
          <w:rFonts w:cs="Times New Roman"/>
          <w:szCs w:val="20"/>
          <w:lang w:val="en-GB" w:eastAsia="en-GB"/>
        </w:rPr>
        <w:t>local executive bodies rarely issue short-term orders, courts</w:t>
      </w:r>
      <w:r w:rsidRPr="00B01C7F">
        <w:rPr>
          <w:rFonts w:cs="Times New Roman"/>
          <w:i/>
          <w:szCs w:val="20"/>
          <w:lang w:val="en-GB"/>
        </w:rPr>
        <w:t xml:space="preserve"> </w:t>
      </w:r>
      <w:r w:rsidRPr="00B01C7F">
        <w:rPr>
          <w:rFonts w:cs="Times New Roman"/>
          <w:szCs w:val="20"/>
          <w:lang w:val="en-GB"/>
        </w:rPr>
        <w:t>therefore rarely issue long-term protection orders</w:t>
      </w:r>
      <w:r w:rsidRPr="00B01C7F">
        <w:rPr>
          <w:rFonts w:cs="Times New Roman"/>
          <w:szCs w:val="20"/>
          <w:lang w:val="en-GB" w:eastAsia="en-GB"/>
        </w:rPr>
        <w:t>.</w:t>
      </w:r>
      <w:r w:rsidRPr="00B01C7F">
        <w:rPr>
          <w:rFonts w:cs="Times New Roman"/>
          <w:szCs w:val="20"/>
          <w:lang w:val="en-GB"/>
        </w:rPr>
        <w:t xml:space="preserve"> </w:t>
      </w:r>
      <w:r w:rsidRPr="00B01C7F">
        <w:rPr>
          <w:rFonts w:cs="Times New Roman"/>
          <w:szCs w:val="20"/>
          <w:lang w:val="en-GB" w:eastAsia="en-GB"/>
        </w:rPr>
        <w:t>According to the information provided by the Ministry of Justice, courts issued three long-term protection orders in 2013. The process and mechanism through which local executive bodies are competent to issue short-term protection orders is not in operation as yet.</w:t>
      </w:r>
      <w:r w:rsidRPr="00B01C7F">
        <w:rPr>
          <w:rFonts w:cs="Times New Roman"/>
          <w:sz w:val="18"/>
          <w:szCs w:val="20"/>
          <w:vertAlign w:val="superscript"/>
          <w:lang w:val="en-GB"/>
        </w:rPr>
        <w:footnoteReference w:id="39"/>
      </w:r>
      <w:r w:rsidRPr="00B01C7F">
        <w:rPr>
          <w:rFonts w:cs="Times New Roman"/>
          <w:szCs w:val="20"/>
          <w:lang w:val="en-GB" w:eastAsia="en-GB"/>
        </w:rPr>
        <w:t xml:space="preserve"> Throughout her visit, the Special Rapporteur was not informed of any protection order issued by local authorities.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With regard to helplines available to women survivors of violence, the Special Rapporteur was informed that the NGO Clean World Aid to Women Social Union had provided a domestic violence helpline service since early 2011, with the financial support of the Organization for Security and Co-operation in Europe (OSCE). The helpline reportedly received 970 calls during its first year and almost 3,000 calls in 2012.</w:t>
      </w:r>
      <w:r w:rsidRPr="00B01C7F">
        <w:rPr>
          <w:rFonts w:cs="Times New Roman"/>
          <w:sz w:val="18"/>
          <w:szCs w:val="20"/>
          <w:vertAlign w:val="superscript"/>
          <w:lang w:val="en-GB"/>
        </w:rPr>
        <w:footnoteReference w:id="40"/>
      </w:r>
      <w:r w:rsidRPr="00B01C7F">
        <w:rPr>
          <w:rFonts w:cs="Times New Roman"/>
          <w:szCs w:val="20"/>
          <w:lang w:val="en-GB"/>
        </w:rPr>
        <w:t xml:space="preserve"> The free helpline operated 24 hours a day, seven days a week and covered issues of violence against women in the family, sexual violence and human trafficking. The Special Rapporteur regretted to learn that, due to a lack of funding, the hotline had stopped working in 2013. According to the information provided by the State, there is a hotline within the Ministry of Internal Affairs providing information and consultation services to victims of trafficking in persons, especially women and children, as well as a child hotline service, which was launched in February 2010 by the Ministry of Education. Unfortunately, there is currently no specific hotline providing assistance to women victims of violence. The telephone number that is made available by the police is a generic one for all types of complaints.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In terms of centres providing assistance and protection, only one shelter, operated by Clean World Aid to Women Social Union, is operational in </w:t>
      </w:r>
      <w:smartTag w:uri="urn:schemas-microsoft-com:office:smarttags" w:element="place">
        <w:smartTag w:uri="urn:schemas-microsoft-com:office:smarttags" w:element="City">
          <w:r w:rsidRPr="00B01C7F">
            <w:rPr>
              <w:rFonts w:cs="Times New Roman"/>
              <w:szCs w:val="20"/>
              <w:lang w:val="en-GB"/>
            </w:rPr>
            <w:t>Baku</w:t>
          </w:r>
        </w:smartTag>
      </w:smartTag>
      <w:r w:rsidRPr="00B01C7F">
        <w:rPr>
          <w:rFonts w:cs="Times New Roman"/>
          <w:szCs w:val="20"/>
          <w:lang w:val="en-GB"/>
        </w:rPr>
        <w:t>. However, according to numerous interlocutors, this shelter mainly handles cases of women victims of trafficking, and is incapable of meeting the growing demand for protection services by women victims of other manifestations of violence. The Special Rapporteur was informed that t</w:t>
      </w:r>
      <w:r w:rsidRPr="00B01C7F">
        <w:rPr>
          <w:rFonts w:cs="Times New Roman"/>
          <w:color w:val="000000"/>
          <w:szCs w:val="20"/>
          <w:lang w:val="en-GB"/>
        </w:rPr>
        <w:t xml:space="preserve">he State Committee </w:t>
      </w:r>
      <w:r w:rsidRPr="00B01C7F">
        <w:rPr>
          <w:rFonts w:cs="Times New Roman"/>
          <w:szCs w:val="20"/>
          <w:lang w:val="en-GB"/>
        </w:rPr>
        <w:t>for Family, Women and Children’s Affairs</w:t>
      </w:r>
      <w:r w:rsidRPr="00B01C7F">
        <w:rPr>
          <w:rFonts w:cs="Times New Roman"/>
          <w:color w:val="000000"/>
          <w:szCs w:val="20"/>
          <w:lang w:val="en-GB"/>
        </w:rPr>
        <w:t xml:space="preserve"> was in charge of 11 regional Family and Children Support Centres throughout </w:t>
      </w:r>
      <w:smartTag w:uri="urn:schemas-microsoft-com:office:smarttags" w:element="place">
        <w:smartTag w:uri="urn:schemas-microsoft-com:office:smarttags" w:element="country-region">
          <w:r w:rsidRPr="00B01C7F">
            <w:rPr>
              <w:rFonts w:cs="Times New Roman"/>
              <w:color w:val="000000"/>
              <w:szCs w:val="20"/>
              <w:lang w:val="en-GB"/>
            </w:rPr>
            <w:t>Azerbaijan</w:t>
          </w:r>
        </w:smartTag>
      </w:smartTag>
      <w:r w:rsidRPr="00B01C7F">
        <w:rPr>
          <w:rFonts w:cs="Times New Roman"/>
          <w:color w:val="000000"/>
          <w:szCs w:val="20"/>
          <w:lang w:val="en-GB"/>
        </w:rPr>
        <w:t xml:space="preserve">, which are mandated to address social issues in remote regions and villages of the country. According to numerous interlocutors, most </w:t>
      </w:r>
      <w:r w:rsidRPr="00B01C7F">
        <w:rPr>
          <w:rFonts w:cs="Times New Roman"/>
          <w:szCs w:val="20"/>
          <w:lang w:val="en-GB"/>
        </w:rPr>
        <w:t xml:space="preserve">of these facilities are unable to provide shelter or the necessary psychosocial support, including rehabilitation measures which are necessary for the protection and full recovery of women victims of violence. Analysing numerous issues raised, it was clear that the State was not meeting its obligations to provide protection measures. Some issues include: the lack of necessary funding; the </w:t>
      </w:r>
      <w:r w:rsidRPr="00B01C7F">
        <w:rPr>
          <w:rFonts w:cs="Times New Roman"/>
          <w:i/>
          <w:szCs w:val="20"/>
          <w:lang w:val="en-GB"/>
        </w:rPr>
        <w:t>ad hoc</w:t>
      </w:r>
      <w:r w:rsidRPr="00B01C7F">
        <w:rPr>
          <w:rFonts w:cs="Times New Roman"/>
          <w:szCs w:val="20"/>
          <w:lang w:val="en-GB"/>
        </w:rPr>
        <w:t xml:space="preserve"> allocation of unsuitable premises by local authorities; the choice of voluntary staff by political entities; and the lack of a dedicated professional service culture.</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The Special Rapporteur was also informed that t</w:t>
      </w:r>
      <w:r w:rsidRPr="00B01C7F">
        <w:rPr>
          <w:rFonts w:cs="Times New Roman"/>
          <w:color w:val="000000"/>
          <w:szCs w:val="20"/>
          <w:lang w:val="en-GB"/>
        </w:rPr>
        <w:t xml:space="preserve">he State Committee, together with the Heydar Aliyev Foundation and UNFPA, was involved in the implementation of the XXI Century Without Violence Against Women Project which, among other objectives, aims at establishing and operationalizing a network of centres providing services, including shelter, to victims of violence. The </w:t>
      </w:r>
      <w:r w:rsidRPr="00B01C7F">
        <w:rPr>
          <w:rFonts w:cs="Times New Roman"/>
          <w:szCs w:val="20"/>
          <w:lang w:val="en-GB"/>
        </w:rPr>
        <w:t xml:space="preserve">Special </w:t>
      </w:r>
      <w:r w:rsidRPr="00B01C7F">
        <w:rPr>
          <w:rFonts w:cs="Times New Roman"/>
          <w:color w:val="000000"/>
          <w:szCs w:val="20"/>
          <w:lang w:val="en-GB"/>
        </w:rPr>
        <w:t>Rapporteur visited a shelter in Khachmaz, which was established in the framework of this project.</w:t>
      </w:r>
      <w:r w:rsidRPr="00B01C7F">
        <w:rPr>
          <w:rFonts w:cs="Times New Roman"/>
          <w:sz w:val="18"/>
          <w:szCs w:val="20"/>
          <w:vertAlign w:val="superscript"/>
          <w:lang w:val="en-GB"/>
        </w:rPr>
        <w:footnoteReference w:id="41"/>
      </w:r>
      <w:r w:rsidRPr="00B01C7F">
        <w:rPr>
          <w:rFonts w:cs="Times New Roman"/>
          <w:color w:val="000000"/>
          <w:szCs w:val="20"/>
          <w:lang w:val="en-GB"/>
        </w:rPr>
        <w:t xml:space="preserve"> She regretted to observe that, despite the efforts of the director of the </w:t>
      </w:r>
      <w:r w:rsidRPr="00B01C7F">
        <w:rPr>
          <w:rFonts w:cs="Times New Roman"/>
          <w:szCs w:val="20"/>
          <w:lang w:val="en-GB"/>
        </w:rPr>
        <w:t>centre</w:t>
      </w:r>
      <w:r w:rsidRPr="00B01C7F">
        <w:rPr>
          <w:rFonts w:cs="Times New Roman"/>
          <w:color w:val="000000"/>
          <w:szCs w:val="20"/>
          <w:lang w:val="en-GB"/>
        </w:rPr>
        <w:t>, the services provided were very limited. Victims do not have access to the shelter 24</w:t>
      </w:r>
      <w:r w:rsidRPr="00B01C7F">
        <w:rPr>
          <w:rFonts w:cs="Times New Roman"/>
          <w:szCs w:val="20"/>
          <w:lang w:val="en-GB"/>
        </w:rPr>
        <w:t xml:space="preserve"> hours a day, seven days a week</w:t>
      </w:r>
      <w:r w:rsidRPr="00B01C7F">
        <w:rPr>
          <w:rFonts w:cs="Times New Roman"/>
          <w:color w:val="000000"/>
          <w:szCs w:val="20"/>
          <w:lang w:val="en-GB"/>
        </w:rPr>
        <w:t xml:space="preserve">; the building consists of two bedrooms in dire conditions with no light and no water; and no adequate legal and psychosocial support or rehabilitation measures were provided to the victims. In her interview with one woman survivor of violence in the centre, the Special Rapporteur learned that the victim had to leave her children with her violent husband on many occasions and find refuge with a neighbour to escape from violence. Despite repeated reports to the police and the local executive authorities, </w:t>
      </w:r>
      <w:r w:rsidRPr="00B01C7F">
        <w:rPr>
          <w:rFonts w:cs="Times New Roman"/>
          <w:szCs w:val="20"/>
          <w:lang w:val="en-GB"/>
        </w:rPr>
        <w:t>this</w:t>
      </w:r>
      <w:r w:rsidRPr="00B01C7F">
        <w:rPr>
          <w:rFonts w:cs="Times New Roman"/>
          <w:color w:val="000000"/>
          <w:szCs w:val="20"/>
          <w:lang w:val="en-GB"/>
        </w:rPr>
        <w:t xml:space="preserve"> situation had lasted for years. </w:t>
      </w:r>
      <w:r w:rsidRPr="00B01C7F">
        <w:rPr>
          <w:rFonts w:cs="Times New Roman"/>
          <w:szCs w:val="20"/>
          <w:lang w:val="en-GB"/>
        </w:rPr>
        <w:t>The Special Rapporteur noted that the lack of shelters throughout the country was alarming and represented a major obstacle in the protection chain. Many structures are managed by civil society organizations that work with very limited resources, and they are dependent on the contributions of financial partners. Such insecurity does not lead to sustainability and substantive responses.</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C.</w:t>
      </w:r>
      <w:r w:rsidRPr="00B01C7F">
        <w:rPr>
          <w:rFonts w:cs="Times New Roman"/>
          <w:b/>
          <w:sz w:val="24"/>
          <w:szCs w:val="20"/>
          <w:lang w:val="en-GB"/>
        </w:rPr>
        <w:tab/>
        <w:t>Prosecution and punishment</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There are several ways in which States can fulfil their obligations to ensure accountability for acts of violence against women, including by strengthening the capacities of the criminal justice system. In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the main challenges relating to the investigation, prosecution and punishment of perpetrators for acts of violence against women are largely due to the </w:t>
      </w:r>
      <w:r w:rsidRPr="00B01C7F">
        <w:rPr>
          <w:rFonts w:cs="Times New Roman"/>
          <w:color w:val="000000"/>
          <w:szCs w:val="20"/>
          <w:lang w:val="en-GB"/>
        </w:rPr>
        <w:t>minimal</w:t>
      </w:r>
      <w:r w:rsidRPr="00B01C7F">
        <w:rPr>
          <w:rFonts w:cs="Times New Roman"/>
          <w:szCs w:val="20"/>
          <w:lang w:val="en-GB"/>
        </w:rPr>
        <w:t xml:space="preserve"> implementation and enforcement of the legal framework but also the lack of a gender perspective by law enforcement and judicial operators. The common resort to mediation as a means of dispute resolution is also a factor. Deeply rooted patriarchal attitudes regarding cases of violence against women by police, judicial officers, other relevant civil servants as well as community leaders and families, contribute significantly to the underreporting of cases. The Special Rapporteur also noted the low number of women working in the criminal justice sector as a contributory factor to the inappropriate handling of such cases.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As regards the grounds for examination of domestic violence cases, article 6 of the Law on Prevention of Domestic Violence establishes different avenues through which a complaint can be made, as well as the authorities that can receive such complaints and then submit them to relevant executive </w:t>
      </w:r>
      <w:r w:rsidRPr="00B01C7F">
        <w:rPr>
          <w:rFonts w:cs="Times New Roman"/>
          <w:color w:val="000000"/>
          <w:szCs w:val="20"/>
          <w:lang w:val="en-GB"/>
        </w:rPr>
        <w:t>authorities</w:t>
      </w:r>
      <w:r w:rsidRPr="00B01C7F">
        <w:rPr>
          <w:rFonts w:cs="Times New Roman"/>
          <w:szCs w:val="20"/>
          <w:lang w:val="en-GB"/>
        </w:rPr>
        <w:t>. However, it does not specify which authorities will be tasked with the implementation of the law, how their responsibilities are demarcated and who will be tasked with monitoring the law.</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An OSCE report on domestic violence cases in the justice system identified some of the main shortcomings in court proceedings of domestic violence cases, highlighting that victims were not duly informed about their rights throughout the criminal procedure.</w:t>
      </w:r>
      <w:r w:rsidRPr="00B01C7F">
        <w:rPr>
          <w:rFonts w:cs="Times New Roman"/>
          <w:sz w:val="18"/>
          <w:szCs w:val="20"/>
          <w:vertAlign w:val="superscript"/>
          <w:lang w:val="en-GB"/>
        </w:rPr>
        <w:footnoteReference w:id="42"/>
      </w:r>
      <w:r w:rsidRPr="00B01C7F">
        <w:rPr>
          <w:rFonts w:cs="Times New Roman"/>
          <w:szCs w:val="20"/>
          <w:lang w:val="en-GB"/>
        </w:rPr>
        <w:t xml:space="preserve"> The Special Rapporteur learned about these concerns from numerous interviews with women survivors of violence. The lack of special safeguards in the criminal justice system for women victims of domestic violence was also highlighted. The Criminal Procedure Code has no specific provisions to address the particular needs and rights of women victims of domestic violence. </w:t>
      </w:r>
    </w:p>
    <w:p w:rsidR="00650B4A" w:rsidRDefault="00ED62A0" w:rsidP="00650B4A">
      <w:pPr>
        <w:numPr>
          <w:ilvl w:val="0"/>
          <w:numId w:val="10"/>
        </w:numPr>
        <w:tabs>
          <w:tab w:val="left" w:pos="1700"/>
        </w:tabs>
        <w:suppressAutoHyphens/>
        <w:bidi w:val="0"/>
        <w:spacing w:after="120"/>
        <w:ind w:left="1134" w:right="1134" w:firstLine="0"/>
        <w:jc w:val="both"/>
        <w:rPr>
          <w:rFonts w:cs="Times New Roman"/>
          <w:szCs w:val="20"/>
          <w:lang w:val="en-GB" w:eastAsia="en-GB"/>
        </w:rPr>
      </w:pPr>
      <w:r w:rsidRPr="00B01C7F">
        <w:rPr>
          <w:rFonts w:cs="Times New Roman"/>
          <w:szCs w:val="20"/>
          <w:lang w:val="en-GB"/>
        </w:rPr>
        <w:t>Other obstacles regarding the criminal justice system, as highlighted in interviews, include prosecutors and judges using inappropriate language, displaying discriminatory attitudes, perpetuating gender-based stereotypes towards victims and using reconciliation remedies even when they are inappropriate. Reconciliation remedies were also used as</w:t>
      </w:r>
      <w:r w:rsidR="00650B4A">
        <w:rPr>
          <w:rFonts w:cs="Times New Roman"/>
          <w:szCs w:val="20"/>
          <w:lang w:val="en-GB"/>
        </w:rPr>
        <w:br/>
      </w:r>
    </w:p>
    <w:p w:rsidR="00ED62A0" w:rsidRPr="00B01C7F" w:rsidRDefault="00ED62A0" w:rsidP="00650B4A">
      <w:pPr>
        <w:tabs>
          <w:tab w:val="left" w:pos="1700"/>
        </w:tabs>
        <w:suppressAutoHyphens/>
        <w:bidi w:val="0"/>
        <w:spacing w:after="120"/>
        <w:ind w:left="1134" w:right="1134"/>
        <w:jc w:val="both"/>
        <w:rPr>
          <w:rFonts w:cs="Times New Roman"/>
          <w:szCs w:val="20"/>
          <w:lang w:val="en-GB" w:eastAsia="en-GB"/>
        </w:rPr>
      </w:pPr>
      <w:r w:rsidRPr="00B01C7F">
        <w:rPr>
          <w:rFonts w:cs="Times New Roman"/>
          <w:szCs w:val="20"/>
          <w:lang w:val="en-GB"/>
        </w:rPr>
        <w:t xml:space="preserve">grounds for terminating court proceedings. Various interviewees stated that </w:t>
      </w:r>
      <w:r w:rsidRPr="00B01C7F">
        <w:rPr>
          <w:rFonts w:cs="Times New Roman"/>
          <w:szCs w:val="20"/>
          <w:lang w:val="en-GB" w:eastAsia="en-GB"/>
        </w:rPr>
        <w:t xml:space="preserve">courts tend to systematically use the reconciliation provisions </w:t>
      </w:r>
      <w:r w:rsidRPr="00B01C7F">
        <w:rPr>
          <w:rFonts w:cs="Times New Roman"/>
          <w:szCs w:val="20"/>
          <w:lang w:val="en-GB"/>
        </w:rPr>
        <w:t xml:space="preserve">of the Criminal Code and the Law on Prevention of Domestic Violence </w:t>
      </w:r>
      <w:r w:rsidRPr="00B01C7F">
        <w:rPr>
          <w:rFonts w:cs="Times New Roman"/>
          <w:szCs w:val="20"/>
          <w:lang w:val="en-GB" w:eastAsia="en-GB"/>
        </w:rPr>
        <w:t>when defendants are first-time offenders, without thorough consideration of the victim’s opinion regarding reconciliation, safety and other conditions required under the law. These findings are consistent with the OSCE report.</w:t>
      </w:r>
      <w:r w:rsidRPr="00B01C7F">
        <w:rPr>
          <w:rFonts w:cs="Times New Roman"/>
          <w:sz w:val="18"/>
          <w:szCs w:val="20"/>
          <w:vertAlign w:val="superscript"/>
          <w:lang w:val="en-GB"/>
        </w:rPr>
        <w:footnoteReference w:id="43"/>
      </w:r>
      <w:r w:rsidRPr="00B01C7F">
        <w:rPr>
          <w:rFonts w:cs="Times New Roman"/>
          <w:szCs w:val="20"/>
          <w:lang w:val="en-GB" w:eastAsia="en-GB"/>
        </w:rPr>
        <w:t xml:space="preserve">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eastAsia="en-GB"/>
        </w:rPr>
      </w:pPr>
      <w:r w:rsidRPr="00B01C7F">
        <w:rPr>
          <w:rFonts w:cs="Times New Roman"/>
          <w:szCs w:val="20"/>
          <w:lang w:val="en-GB" w:eastAsia="en-GB"/>
        </w:rPr>
        <w:t xml:space="preserve">The Special Rapporteur regrets that no information was shared by State authorities as regards prosecution and punishment of perpetrators of violence against women. However, according to the vast majority of interviewees, the conviction rate is very low and this contributes to the lack of trust in the judicial system. </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D.</w:t>
      </w:r>
      <w:r w:rsidRPr="00B01C7F">
        <w:rPr>
          <w:rFonts w:cs="Times New Roman"/>
          <w:b/>
          <w:sz w:val="24"/>
          <w:szCs w:val="20"/>
          <w:lang w:val="en-GB"/>
        </w:rPr>
        <w:tab/>
        <w:t>Provision of effective redress including reparations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The provision of effective remedies for victims involves </w:t>
      </w:r>
      <w:r w:rsidRPr="00B01C7F">
        <w:rPr>
          <w:rFonts w:cs="Times New Roman"/>
          <w:szCs w:val="20"/>
          <w:lang w:val="en-GB" w:eastAsia="en-GB"/>
        </w:rPr>
        <w:t>ensuring</w:t>
      </w:r>
      <w:r w:rsidRPr="00B01C7F">
        <w:rPr>
          <w:rFonts w:cs="Times New Roman"/>
          <w:szCs w:val="20"/>
          <w:lang w:val="en-GB"/>
        </w:rPr>
        <w:t xml:space="preserve"> the rights of women to access both criminal and civil remedies and the establishment of effective protection, support and rehabilitation services. Effective remedies must address the root causes of violence, inequality and discrimination.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During her visit, the Special Rapporteur could not access any data on measures to ensure redress for women victims of violence. The low rate of prosecution and convictions for acts of violence against women contributes to the lack of effective redress provided to victims. Women in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xml:space="preserve"> face numerous obstacles in accessing mechanisms of redress, including quality legal aid, counselling services and shelters.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The Special Rapporteur was informed that instead of being provided with proper redress, women victims of violence are re-victimized and exposed to further risk of violence through the intervention of the family, the community or the authorities as a result of out-of-court settlements. Judges are particularly reluctant to grant divorces and often encourage both parties to seek reconciliation instead of ensuring effective redress to women survivors of domestic violence.</w:t>
      </w:r>
    </w:p>
    <w:p w:rsidR="00ED62A0" w:rsidRPr="00B01C7F" w:rsidRDefault="00ED62A0" w:rsidP="00ED62A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B01C7F">
        <w:rPr>
          <w:rFonts w:cs="Times New Roman"/>
          <w:b/>
          <w:sz w:val="24"/>
          <w:szCs w:val="20"/>
          <w:lang w:val="en-GB"/>
        </w:rPr>
        <w:tab/>
        <w:t>E.</w:t>
      </w:r>
      <w:r w:rsidRPr="00B01C7F">
        <w:rPr>
          <w:rFonts w:cs="Times New Roman"/>
          <w:b/>
          <w:sz w:val="24"/>
          <w:szCs w:val="20"/>
          <w:lang w:val="en-GB"/>
        </w:rPr>
        <w:tab/>
        <w:t xml:space="preserve">Remedies for specific groups at risk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rPr>
        <w:t xml:space="preserve">As illustrated above, women from </w:t>
      </w:r>
      <w:r w:rsidRPr="00B01C7F">
        <w:rPr>
          <w:rFonts w:cs="Times New Roman"/>
          <w:szCs w:val="20"/>
          <w:lang w:val="en-GB"/>
        </w:rPr>
        <w:t xml:space="preserve">IDP communities are more likely to be victims of violence, due mainly to their precarious living conditions. However, as for other women in </w:t>
      </w:r>
      <w:smartTag w:uri="urn:schemas-microsoft-com:office:smarttags" w:element="place">
        <w:smartTag w:uri="urn:schemas-microsoft-com:office:smarttags" w:element="country-region">
          <w:r w:rsidRPr="00B01C7F">
            <w:rPr>
              <w:rFonts w:cs="Times New Roman"/>
              <w:szCs w:val="20"/>
              <w:lang w:val="en-GB"/>
            </w:rPr>
            <w:t>Azerbaijan</w:t>
          </w:r>
        </w:smartTag>
      </w:smartTag>
      <w:r w:rsidRPr="00B01C7F">
        <w:rPr>
          <w:rFonts w:cs="Times New Roman"/>
          <w:szCs w:val="20"/>
          <w:lang w:val="en-GB"/>
        </w:rPr>
        <w:t>, the mechanisms put in place to protect them from violence are insufficient. According to sources, the life of an IDP woman is a daily struggle to care for children, the elderly and family members who are disabled as a result of the conflict. Women are still displaying anxiety, hesitation, passivity, excessive verbosity and other signs of post-traumatic stress. They also express a wide range of fears, including financial instability and unemployment, and also express fears of a resurgence of violent conflict.</w:t>
      </w:r>
      <w:r w:rsidRPr="00B01C7F">
        <w:rPr>
          <w:rFonts w:cs="Times New Roman"/>
          <w:sz w:val="18"/>
          <w:szCs w:val="20"/>
          <w:vertAlign w:val="superscript"/>
          <w:lang w:val="en-GB"/>
        </w:rPr>
        <w:footnoteReference w:id="44"/>
      </w:r>
      <w:r w:rsidRPr="00B01C7F">
        <w:rPr>
          <w:rFonts w:cs="Times New Roman"/>
          <w:szCs w:val="20"/>
          <w:lang w:val="en-GB"/>
        </w:rPr>
        <w:t xml:space="preserve"> The Special Rapporteur noted the considerable efforts undertaken by the Government in this regard, in particular in finding housing solutions, providing access to education and basic health services. However, according to a UNHCR report, only 30 per cent of the IDP population have benefitted from relocation measures, with many IDPs continuing to live in dire conditions in collective public buildings in urban areas as well as in rural settlements.</w:t>
      </w:r>
      <w:r w:rsidRPr="00B01C7F">
        <w:rPr>
          <w:rFonts w:cs="Times New Roman"/>
          <w:sz w:val="18"/>
          <w:szCs w:val="20"/>
          <w:vertAlign w:val="superscript"/>
          <w:lang w:val="en-GB"/>
        </w:rPr>
        <w:footnoteReference w:id="45"/>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szCs w:val="20"/>
          <w:lang w:val="en-GB"/>
        </w:rPr>
        <w:t xml:space="preserve">The Special Rapporteur heard of the particular distress experienced by women with disabilities, the severe discrimination that they were facing in particular in accessing education and employment, and the lack of adequate assistance from the State. She regretted that very little official information was made available in this regard. Furthermore, the Special Rapporteur did not receive information about possible violence and/or discrimination faced by women in same sex-relationships and transgendered women. </w:t>
      </w:r>
    </w:p>
    <w:p w:rsidR="00ED62A0" w:rsidRPr="00B01C7F" w:rsidRDefault="00ED62A0" w:rsidP="00ED62A0">
      <w:pPr>
        <w:keepNext/>
        <w:keepLines/>
        <w:tabs>
          <w:tab w:val="right" w:pos="851"/>
        </w:tabs>
        <w:suppressAutoHyphens/>
        <w:bidi w:val="0"/>
        <w:spacing w:before="360" w:after="240" w:line="300" w:lineRule="exact"/>
        <w:ind w:left="1134" w:right="1134" w:hanging="1134"/>
        <w:jc w:val="left"/>
        <w:rPr>
          <w:rFonts w:eastAsia="SimSun" w:cs="Times New Roman"/>
          <w:b/>
          <w:sz w:val="28"/>
          <w:szCs w:val="20"/>
          <w:lang w:val="en-GB" w:eastAsia="zh-CN"/>
        </w:rPr>
      </w:pPr>
      <w:r w:rsidRPr="00B01C7F">
        <w:rPr>
          <w:rFonts w:eastAsia="SimSun" w:cs="Times New Roman"/>
          <w:b/>
          <w:sz w:val="28"/>
          <w:szCs w:val="20"/>
          <w:lang w:val="en-GB" w:eastAsia="zh-CN"/>
        </w:rPr>
        <w:tab/>
        <w:t>V.</w:t>
      </w:r>
      <w:r w:rsidRPr="00B01C7F">
        <w:rPr>
          <w:rFonts w:eastAsia="SimSun" w:cs="Times New Roman"/>
          <w:b/>
          <w:sz w:val="28"/>
          <w:szCs w:val="20"/>
          <w:lang w:val="en-GB" w:eastAsia="zh-CN"/>
        </w:rPr>
        <w:tab/>
        <w:t>Conclusions and recommendations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b/>
          <w:szCs w:val="20"/>
          <w:lang w:val="en-GB"/>
        </w:rPr>
      </w:pPr>
      <w:r w:rsidRPr="00B01C7F">
        <w:rPr>
          <w:rFonts w:cs="Times New Roman"/>
          <w:b/>
          <w:szCs w:val="20"/>
          <w:lang w:val="en-GB"/>
        </w:rPr>
        <w:t>The Special Rapporteur acknowledges the State’s commitment to the promotion and protection of human rights and the adoption of specific legal measures to achieve gender equality and non-discrimination. However, she expressed concern at the lack or limited implementation of laws relating to all forms of violence against women. The Special Rapporteur observed that violence against women was widely accepted within society and, to some extent, by women themselves, because of the traditional patriarchal values engrained in society, thereby further perpetuating impunity.</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b/>
          <w:szCs w:val="20"/>
          <w:lang w:val="en-GB"/>
        </w:rPr>
      </w:pPr>
      <w:r w:rsidRPr="00B01C7F">
        <w:rPr>
          <w:rFonts w:cs="Times New Roman"/>
          <w:b/>
          <w:szCs w:val="20"/>
          <w:lang w:val="en-GB"/>
        </w:rPr>
        <w:t xml:space="preserve">Although the majority of interviewees acknowledged that violence against women was widespread, the Special Rapporteur noted that the actual extent of the phenomenon was very difficult to assess due, </w:t>
      </w:r>
      <w:r w:rsidRPr="00B01C7F">
        <w:rPr>
          <w:rFonts w:cs="Times New Roman"/>
          <w:b/>
          <w:i/>
          <w:szCs w:val="20"/>
          <w:lang w:val="en-GB"/>
        </w:rPr>
        <w:t>inter alia</w:t>
      </w:r>
      <w:r w:rsidRPr="00B01C7F">
        <w:rPr>
          <w:rFonts w:cs="Times New Roman"/>
          <w:b/>
          <w:szCs w:val="20"/>
          <w:lang w:val="en-GB"/>
        </w:rPr>
        <w:t>, to the lack of reliable information, the underreporting of cases, the focus on mediation and reconciliation in matters involving violations of women’s rights and poor implementation of laws that address the issue of accountability.</w:t>
      </w:r>
      <w:r w:rsidRPr="00B01C7F">
        <w:rPr>
          <w:rFonts w:cs="Times New Roman"/>
          <w:szCs w:val="20"/>
          <w:lang w:val="en-GB"/>
        </w:rPr>
        <w:t xml:space="preserve"> </w:t>
      </w:r>
      <w:r w:rsidRPr="00B01C7F">
        <w:rPr>
          <w:rFonts w:cs="Times New Roman"/>
          <w:b/>
          <w:szCs w:val="20"/>
          <w:lang w:val="en-GB"/>
        </w:rPr>
        <w:t xml:space="preserve">State responsibility to act with due diligence to eliminate violence against women is an obligation under international human rights law to which the Government has committed. </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b/>
          <w:szCs w:val="20"/>
          <w:lang w:val="en-GB"/>
        </w:rPr>
      </w:pPr>
      <w:r w:rsidRPr="00B01C7F">
        <w:rPr>
          <w:rFonts w:cs="Times New Roman"/>
          <w:b/>
          <w:szCs w:val="20"/>
          <w:lang w:val="en-GB"/>
        </w:rPr>
        <w:t xml:space="preserve">The Special Rapporteur also noted the lack of specific implementation mechanisms and strategies which would provide a framework for action, and which would define clearly the roles of each stakeholder in duly promoting and protecting women’s rights, including monitoring and evaluation mechanisms. Programmatic initiatives and actions have proven not to be effective responses to the violations of women’s rights. Many of the activities undertaken are not sustainable and include one-off events or activities; they do not include gender specificity and display a lack of special measures for women. The Special Rapporteur highlights the necessity to develop holistic solutions to address the empowerment of women, while acknowledging and addressing the social, economic and cultural barriers that are a reality in the lives of women in </w:t>
      </w:r>
      <w:smartTag w:uri="urn:schemas-microsoft-com:office:smarttags" w:element="place">
        <w:smartTag w:uri="urn:schemas-microsoft-com:office:smarttags" w:element="country-region">
          <w:r w:rsidRPr="00B01C7F">
            <w:rPr>
              <w:rFonts w:cs="Times New Roman"/>
              <w:b/>
              <w:szCs w:val="20"/>
              <w:lang w:val="en-GB"/>
            </w:rPr>
            <w:t>Azerbaijan</w:t>
          </w:r>
        </w:smartTag>
      </w:smartTag>
      <w:r w:rsidRPr="00B01C7F">
        <w:rPr>
          <w:rFonts w:cs="Times New Roman"/>
          <w:b/>
          <w:szCs w:val="20"/>
          <w:lang w:val="en-GB"/>
        </w:rPr>
        <w:t>.</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b/>
          <w:szCs w:val="20"/>
          <w:lang w:val="en-GB"/>
        </w:rPr>
      </w:pPr>
      <w:r w:rsidRPr="00B01C7F">
        <w:rPr>
          <w:rFonts w:cs="Times New Roman"/>
          <w:b/>
          <w:bCs/>
          <w:szCs w:val="20"/>
          <w:lang w:val="en-GB" w:eastAsia="en-GB"/>
        </w:rPr>
        <w:t xml:space="preserve">The Special Rapporteur would like to address the recommendations listed below to the Government of </w:t>
      </w:r>
      <w:smartTag w:uri="urn:schemas-microsoft-com:office:smarttags" w:element="place">
        <w:smartTag w:uri="urn:schemas-microsoft-com:office:smarttags" w:element="country-region">
          <w:r w:rsidRPr="00B01C7F">
            <w:rPr>
              <w:rFonts w:cs="Times New Roman"/>
              <w:b/>
              <w:szCs w:val="20"/>
              <w:lang w:val="en-GB"/>
            </w:rPr>
            <w:t>Azerbaijan</w:t>
          </w:r>
        </w:smartTag>
      </w:smartTag>
      <w:r w:rsidRPr="00B01C7F">
        <w:rPr>
          <w:rFonts w:cs="Times New Roman"/>
          <w:b/>
          <w:bCs/>
          <w:szCs w:val="20"/>
          <w:lang w:val="en-GB" w:eastAsia="en-GB"/>
        </w:rPr>
        <w:t>.</w:t>
      </w:r>
      <w:r w:rsidRPr="00B01C7F">
        <w:rPr>
          <w:rFonts w:cs="Times New Roman"/>
          <w:b/>
          <w:szCs w:val="20"/>
          <w:lang w:val="en-GB"/>
        </w:rPr>
        <w:t xml:space="preserve"> </w:t>
      </w:r>
    </w:p>
    <w:p w:rsidR="00ED62A0" w:rsidRPr="00B01C7F" w:rsidRDefault="00ED62A0" w:rsidP="00ED62A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B01C7F">
        <w:rPr>
          <w:rFonts w:cs="Times New Roman"/>
          <w:b/>
          <w:szCs w:val="20"/>
          <w:lang w:val="en-GB"/>
        </w:rPr>
        <w:tab/>
      </w:r>
      <w:r w:rsidRPr="00B01C7F">
        <w:rPr>
          <w:rFonts w:cs="Times New Roman"/>
          <w:b/>
          <w:szCs w:val="20"/>
          <w:lang w:val="en-GB"/>
        </w:rPr>
        <w:tab/>
        <w:t>Law and policy reforms</w:t>
      </w:r>
    </w:p>
    <w:p w:rsidR="00ED62A0" w:rsidRPr="00B01C7F" w:rsidRDefault="00ED62A0" w:rsidP="001D3B50">
      <w:pPr>
        <w:numPr>
          <w:ilvl w:val="0"/>
          <w:numId w:val="10"/>
        </w:numPr>
        <w:tabs>
          <w:tab w:val="left" w:pos="1700"/>
        </w:tabs>
        <w:suppressAutoHyphens/>
        <w:bidi w:val="0"/>
        <w:spacing w:after="120"/>
        <w:ind w:left="1134" w:right="1134" w:firstLine="0"/>
        <w:jc w:val="both"/>
        <w:rPr>
          <w:rFonts w:cs="Times New Roman"/>
          <w:szCs w:val="20"/>
          <w:lang w:val="en-GB"/>
        </w:rPr>
      </w:pPr>
      <w:r w:rsidRPr="00B01C7F">
        <w:rPr>
          <w:rFonts w:cs="Times New Roman"/>
          <w:b/>
          <w:bCs/>
          <w:szCs w:val="20"/>
          <w:lang w:val="en-GB"/>
        </w:rPr>
        <w:t xml:space="preserve">The Special </w:t>
      </w:r>
      <w:r w:rsidRPr="00B01C7F">
        <w:rPr>
          <w:rFonts w:cs="Times New Roman"/>
          <w:b/>
          <w:bCs/>
          <w:szCs w:val="20"/>
          <w:lang w:val="en-GB" w:eastAsia="en-GB"/>
        </w:rPr>
        <w:t>Rapporteur</w:t>
      </w:r>
      <w:r w:rsidRPr="00B01C7F">
        <w:rPr>
          <w:rFonts w:cs="Times New Roman"/>
          <w:b/>
          <w:bCs/>
          <w:szCs w:val="20"/>
          <w:lang w:val="en-GB"/>
        </w:rPr>
        <w:t xml:space="preserve"> recommends that the Government:</w:t>
      </w:r>
      <w:r w:rsidRPr="00B01C7F">
        <w:rPr>
          <w:rFonts w:cs="Times New Roman"/>
          <w:szCs w:val="20"/>
          <w:lang w:val="en-GB"/>
        </w:rPr>
        <w:t xml:space="preserve"> </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(a)</w:t>
      </w:r>
      <w:r w:rsidRPr="00B01C7F">
        <w:rPr>
          <w:rFonts w:cs="Times New Roman"/>
          <w:b/>
          <w:bCs/>
          <w:szCs w:val="20"/>
          <w:lang w:val="en-GB"/>
        </w:rPr>
        <w:tab/>
        <w:t>Ensure that all concerned stakeholders duly implement existing legislation relating to the promotion and protection of women’s rights, in particular the Law on Guarantees of Gender Equality and the Law on Prevention of Domestic Violence, as well as all relevant provisions of the Criminal Code and the Criminal Procedure Code;</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(b)</w:t>
      </w:r>
      <w:r w:rsidRPr="00B01C7F">
        <w:rPr>
          <w:rFonts w:cs="Times New Roman"/>
          <w:b/>
          <w:bCs/>
          <w:szCs w:val="20"/>
          <w:lang w:val="en-GB"/>
        </w:rPr>
        <w:tab/>
        <w:t>Ensure the prompt adoption of the draft law on reproductive health;</w:t>
      </w:r>
    </w:p>
    <w:p w:rsidR="00ED62A0" w:rsidRPr="00011476" w:rsidRDefault="00ED62A0" w:rsidP="00C2134E">
      <w:pPr>
        <w:tabs>
          <w:tab w:val="left" w:pos="1700"/>
          <w:tab w:val="left" w:pos="2300"/>
        </w:tabs>
        <w:suppressAutoHyphens/>
        <w:bidi w:val="0"/>
        <w:spacing w:after="120"/>
        <w:ind w:left="1134" w:right="1134" w:firstLine="567"/>
        <w:jc w:val="both"/>
        <w:rPr>
          <w:rFonts w:cs="Times New Roman"/>
          <w:b/>
          <w:bCs/>
          <w:color w:val="231F20"/>
          <w:szCs w:val="20"/>
          <w:lang w:val="en-GB" w:eastAsia="en-IN"/>
        </w:rPr>
      </w:pPr>
      <w:r w:rsidRPr="00011476">
        <w:rPr>
          <w:rFonts w:cs="Times New Roman"/>
          <w:b/>
          <w:bCs/>
          <w:color w:val="231F20"/>
          <w:szCs w:val="20"/>
          <w:lang w:val="en-GB" w:eastAsia="en-IN"/>
        </w:rPr>
        <w:t>(c)</w:t>
      </w:r>
      <w:r w:rsidRPr="00011476">
        <w:rPr>
          <w:rFonts w:cs="Times New Roman"/>
          <w:b/>
          <w:bCs/>
          <w:color w:val="231F20"/>
          <w:szCs w:val="20"/>
          <w:lang w:val="en-GB" w:eastAsia="en-IN"/>
        </w:rPr>
        <w:tab/>
        <w:t xml:space="preserve">Develop and </w:t>
      </w:r>
      <w:r w:rsidRPr="001D3B50">
        <w:rPr>
          <w:rFonts w:cs="Times New Roman"/>
          <w:b/>
          <w:bCs/>
          <w:szCs w:val="20"/>
          <w:lang w:val="en-GB"/>
        </w:rPr>
        <w:t>implement</w:t>
      </w:r>
      <w:r w:rsidRPr="00011476">
        <w:rPr>
          <w:rFonts w:cs="Times New Roman"/>
          <w:b/>
          <w:bCs/>
          <w:color w:val="231F20"/>
          <w:szCs w:val="20"/>
          <w:lang w:val="en-GB" w:eastAsia="en-IN"/>
        </w:rPr>
        <w:t xml:space="preserve"> a comprehensive multisectoral national strategy on </w:t>
      </w:r>
      <w:r w:rsidRPr="00B01C7F">
        <w:rPr>
          <w:rFonts w:cs="Times New Roman"/>
          <w:b/>
          <w:bCs/>
          <w:szCs w:val="20"/>
          <w:lang w:val="en-GB"/>
        </w:rPr>
        <w:t>combating</w:t>
      </w:r>
      <w:r w:rsidRPr="00011476">
        <w:rPr>
          <w:rFonts w:cs="Times New Roman"/>
          <w:b/>
          <w:bCs/>
          <w:color w:val="231F20"/>
          <w:szCs w:val="20"/>
          <w:lang w:val="en-GB" w:eastAsia="en-IN"/>
        </w:rPr>
        <w:t xml:space="preserve"> violence against women, combining prevention and </w:t>
      </w:r>
      <w:r w:rsidRPr="00B01C7F">
        <w:rPr>
          <w:rFonts w:cs="Times New Roman"/>
          <w:b/>
          <w:bCs/>
          <w:szCs w:val="20"/>
          <w:lang w:val="en-GB"/>
        </w:rPr>
        <w:t>protection</w:t>
      </w:r>
      <w:r w:rsidRPr="00011476">
        <w:rPr>
          <w:rFonts w:cs="Times New Roman"/>
          <w:b/>
          <w:bCs/>
          <w:color w:val="231F20"/>
          <w:szCs w:val="20"/>
          <w:lang w:val="en-GB" w:eastAsia="en-IN"/>
        </w:rPr>
        <w:t xml:space="preserve"> programmes, as provided in the Law on Prevention of Domestic Violence, including:</w:t>
      </w:r>
    </w:p>
    <w:p w:rsidR="00ED62A0" w:rsidRPr="00011476" w:rsidRDefault="00ED62A0" w:rsidP="00C2134E">
      <w:pPr>
        <w:tabs>
          <w:tab w:val="left" w:pos="2200"/>
        </w:tabs>
        <w:suppressAutoHyphens/>
        <w:bidi w:val="0"/>
        <w:spacing w:after="120"/>
        <w:ind w:left="1701" w:right="1134"/>
        <w:jc w:val="both"/>
        <w:rPr>
          <w:rFonts w:cs="Times New Roman"/>
          <w:b/>
          <w:bCs/>
          <w:color w:val="231F20"/>
          <w:szCs w:val="20"/>
          <w:lang w:val="en-GB" w:eastAsia="en-IN"/>
        </w:rPr>
      </w:pPr>
      <w:r w:rsidRPr="00B01C7F">
        <w:rPr>
          <w:rFonts w:cs="Times New Roman"/>
          <w:b/>
          <w:bCs/>
          <w:szCs w:val="20"/>
          <w:lang w:val="en-GB"/>
        </w:rPr>
        <w:t>(i)</w:t>
      </w:r>
      <w:r w:rsidRPr="00B01C7F">
        <w:rPr>
          <w:rFonts w:cs="Times New Roman"/>
          <w:b/>
          <w:bCs/>
          <w:szCs w:val="20"/>
          <w:lang w:val="en-GB"/>
        </w:rPr>
        <w:tab/>
        <w:t xml:space="preserve">The establishment of free, sustainable and State-supported services for women victims of violence including a </w:t>
      </w:r>
      <w:r w:rsidRPr="00011476">
        <w:rPr>
          <w:rFonts w:cs="Times New Roman"/>
          <w:b/>
          <w:bCs/>
          <w:color w:val="231F20"/>
          <w:szCs w:val="20"/>
          <w:lang w:val="en-GB" w:eastAsia="en-IN"/>
        </w:rPr>
        <w:t xml:space="preserve">free helpline operating 24 hours a day and seven days a week, emergency </w:t>
      </w:r>
      <w:r w:rsidRPr="00B01C7F">
        <w:rPr>
          <w:rFonts w:cs="Times New Roman"/>
          <w:b/>
          <w:bCs/>
          <w:szCs w:val="20"/>
          <w:lang w:val="en-GB"/>
        </w:rPr>
        <w:t>shelters and support centres, legal and medical assistance, psychosocial support and rehabilitation measures accessible to all women in the country, without discrimination;</w:t>
      </w:r>
    </w:p>
    <w:p w:rsidR="00ED62A0" w:rsidRPr="00011476" w:rsidRDefault="00ED62A0" w:rsidP="00C2134E">
      <w:pPr>
        <w:tabs>
          <w:tab w:val="left" w:pos="2200"/>
        </w:tabs>
        <w:suppressAutoHyphens/>
        <w:bidi w:val="0"/>
        <w:spacing w:after="120"/>
        <w:ind w:left="1701" w:right="1134"/>
        <w:jc w:val="both"/>
        <w:rPr>
          <w:rFonts w:cs="Times New Roman"/>
          <w:b/>
          <w:bCs/>
          <w:color w:val="231F20"/>
          <w:szCs w:val="20"/>
          <w:lang w:val="en-GB" w:eastAsia="en-IN"/>
        </w:rPr>
      </w:pPr>
      <w:r w:rsidRPr="00B01C7F">
        <w:rPr>
          <w:rFonts w:cs="Times New Roman"/>
          <w:b/>
          <w:bCs/>
          <w:szCs w:val="20"/>
          <w:lang w:val="en-GB"/>
        </w:rPr>
        <w:t>(ii)</w:t>
      </w:r>
      <w:r w:rsidRPr="00B01C7F">
        <w:rPr>
          <w:rFonts w:cs="Times New Roman"/>
          <w:b/>
          <w:bCs/>
          <w:szCs w:val="20"/>
          <w:lang w:val="en-GB"/>
        </w:rPr>
        <w:tab/>
        <w:t>Ensuring that concrete targets and indicators are developed for the effective implementation of the strategy.</w:t>
      </w:r>
      <w:r w:rsidRPr="00B01C7F">
        <w:rPr>
          <w:rFonts w:cs="Times New Roman"/>
          <w:b/>
          <w:bCs/>
          <w:szCs w:val="20"/>
          <w:lang w:val="en-GB" w:eastAsia="en-GB"/>
        </w:rPr>
        <w:t xml:space="preserve"> Establishing an independent national inquiry mechanism to review the current situation and address the remaining challenges with regard to the fulfilment of women’s human rights, including the elimination of violence against women;</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011476">
        <w:rPr>
          <w:rFonts w:cs="Times New Roman"/>
          <w:b/>
          <w:bCs/>
          <w:color w:val="231F20"/>
          <w:szCs w:val="20"/>
          <w:lang w:val="en-GB" w:eastAsia="en-IN"/>
        </w:rPr>
        <w:t>(d)</w:t>
      </w:r>
      <w:r w:rsidRPr="00011476">
        <w:rPr>
          <w:rFonts w:cs="Times New Roman"/>
          <w:b/>
          <w:bCs/>
          <w:color w:val="231F20"/>
          <w:szCs w:val="20"/>
          <w:lang w:val="en-GB" w:eastAsia="en-IN"/>
        </w:rPr>
        <w:tab/>
      </w:r>
      <w:r w:rsidRPr="00C2134E">
        <w:rPr>
          <w:rFonts w:cs="Times New Roman"/>
          <w:b/>
          <w:bCs/>
          <w:szCs w:val="20"/>
          <w:lang w:val="en-GB"/>
        </w:rPr>
        <w:t>Undertake</w:t>
      </w:r>
      <w:r w:rsidRPr="00011476">
        <w:rPr>
          <w:rFonts w:cs="Times New Roman"/>
          <w:b/>
          <w:bCs/>
          <w:color w:val="231F20"/>
          <w:szCs w:val="20"/>
          <w:lang w:val="en-GB" w:eastAsia="en-IN"/>
        </w:rPr>
        <w:t xml:space="preserve"> a mapping of the roles and responsibilities of all concerned stakeholders in the protection chain;</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011476">
        <w:rPr>
          <w:rFonts w:cs="Times New Roman"/>
          <w:b/>
          <w:bCs/>
          <w:color w:val="231F20"/>
          <w:szCs w:val="20"/>
          <w:lang w:val="en-GB" w:eastAsia="en-IN"/>
        </w:rPr>
        <w:t>(e)</w:t>
      </w:r>
      <w:r w:rsidRPr="00011476">
        <w:rPr>
          <w:rFonts w:cs="Times New Roman"/>
          <w:b/>
          <w:bCs/>
          <w:color w:val="231F20"/>
          <w:szCs w:val="20"/>
          <w:lang w:val="en-GB" w:eastAsia="en-IN"/>
        </w:rPr>
        <w:tab/>
      </w:r>
      <w:r w:rsidRPr="00C2134E">
        <w:rPr>
          <w:rFonts w:cs="Times New Roman"/>
          <w:b/>
          <w:bCs/>
          <w:szCs w:val="20"/>
          <w:lang w:val="en-GB"/>
        </w:rPr>
        <w:t>Implement</w:t>
      </w:r>
      <w:r w:rsidRPr="00011476">
        <w:rPr>
          <w:rFonts w:cs="Times New Roman"/>
          <w:b/>
          <w:bCs/>
          <w:color w:val="231F20"/>
          <w:szCs w:val="20"/>
          <w:lang w:val="en-GB" w:eastAsia="en-IN"/>
        </w:rPr>
        <w:t xml:space="preserve"> existing guidelines and protocols to ensure the operationalization of the protection system;</w:t>
      </w:r>
      <w:r w:rsidRPr="00B01C7F">
        <w:rPr>
          <w:rFonts w:cs="Times New Roman"/>
          <w:b/>
          <w:bCs/>
          <w:szCs w:val="20"/>
          <w:lang w:val="en-GB"/>
        </w:rPr>
        <w:t xml:space="preserve"> </w:t>
      </w:r>
    </w:p>
    <w:p w:rsidR="00ED62A0" w:rsidRPr="00011476" w:rsidRDefault="00ED62A0" w:rsidP="00C2134E">
      <w:pPr>
        <w:tabs>
          <w:tab w:val="left" w:pos="1700"/>
          <w:tab w:val="left" w:pos="2300"/>
        </w:tabs>
        <w:suppressAutoHyphens/>
        <w:bidi w:val="0"/>
        <w:spacing w:after="120"/>
        <w:ind w:left="1134" w:right="1134" w:firstLine="567"/>
        <w:jc w:val="both"/>
        <w:rPr>
          <w:rFonts w:cs="Times New Roman"/>
          <w:b/>
          <w:bCs/>
          <w:color w:val="231F20"/>
          <w:szCs w:val="20"/>
          <w:lang w:val="en-GB" w:eastAsia="en-IN"/>
        </w:rPr>
      </w:pPr>
      <w:r w:rsidRPr="00B01C7F">
        <w:rPr>
          <w:rFonts w:cs="Times New Roman"/>
          <w:b/>
          <w:bCs/>
          <w:szCs w:val="20"/>
          <w:lang w:val="en-GB"/>
        </w:rPr>
        <w:t>(f)</w:t>
      </w:r>
      <w:r w:rsidRPr="00B01C7F">
        <w:rPr>
          <w:rFonts w:cs="Times New Roman"/>
          <w:b/>
          <w:bCs/>
          <w:szCs w:val="20"/>
          <w:lang w:val="en-GB"/>
        </w:rPr>
        <w:tab/>
        <w:t xml:space="preserve">Establish coordination mechanisms among State entities, in particular </w:t>
      </w:r>
      <w:r w:rsidRPr="00011476">
        <w:rPr>
          <w:rFonts w:cs="Times New Roman"/>
          <w:b/>
          <w:bCs/>
          <w:color w:val="231F20"/>
          <w:szCs w:val="20"/>
          <w:lang w:val="en-GB" w:eastAsia="en-IN"/>
        </w:rPr>
        <w:t>ministries</w:t>
      </w:r>
      <w:r w:rsidRPr="00B01C7F">
        <w:rPr>
          <w:rFonts w:cs="Times New Roman"/>
          <w:b/>
          <w:bCs/>
          <w:szCs w:val="20"/>
          <w:lang w:val="en-GB"/>
        </w:rPr>
        <w:t xml:space="preserve"> responsible for gender-related issues, to ensure a consistent approach and effective implementation of programmes;</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(g)</w:t>
      </w:r>
      <w:r w:rsidRPr="00B01C7F">
        <w:rPr>
          <w:rFonts w:cs="Times New Roman"/>
          <w:b/>
          <w:bCs/>
          <w:szCs w:val="20"/>
          <w:lang w:val="en-GB"/>
        </w:rPr>
        <w:tab/>
        <w:t xml:space="preserve">Ensure </w:t>
      </w:r>
      <w:r w:rsidRPr="00011476">
        <w:rPr>
          <w:rFonts w:cs="Times New Roman"/>
          <w:b/>
          <w:bCs/>
          <w:color w:val="231F20"/>
          <w:szCs w:val="20"/>
          <w:lang w:val="en-GB" w:eastAsia="en-IN"/>
        </w:rPr>
        <w:t>that</w:t>
      </w:r>
      <w:r w:rsidRPr="00B01C7F">
        <w:rPr>
          <w:rFonts w:cs="Times New Roman"/>
          <w:b/>
          <w:bCs/>
          <w:szCs w:val="20"/>
          <w:lang w:val="en-GB"/>
        </w:rPr>
        <w:t xml:space="preserve"> police stations and courts comprise duly trained human resources and sufficient women officers; </w:t>
      </w:r>
    </w:p>
    <w:p w:rsidR="00ED62A0" w:rsidRPr="00011476" w:rsidRDefault="00ED62A0" w:rsidP="00C2134E">
      <w:pPr>
        <w:tabs>
          <w:tab w:val="left" w:pos="1700"/>
          <w:tab w:val="left" w:pos="2300"/>
        </w:tabs>
        <w:suppressAutoHyphens/>
        <w:bidi w:val="0"/>
        <w:spacing w:after="120"/>
        <w:ind w:left="1134" w:right="1134" w:firstLine="567"/>
        <w:jc w:val="both"/>
        <w:rPr>
          <w:rFonts w:cs="Times New Roman"/>
          <w:b/>
          <w:bCs/>
          <w:color w:val="231F20"/>
          <w:szCs w:val="20"/>
          <w:lang w:val="en-GB" w:eastAsia="en-IN"/>
        </w:rPr>
      </w:pPr>
      <w:r w:rsidRPr="00011476">
        <w:rPr>
          <w:rFonts w:cs="Times New Roman"/>
          <w:b/>
          <w:bCs/>
          <w:color w:val="231F20"/>
          <w:szCs w:val="20"/>
          <w:lang w:val="en-GB" w:eastAsia="en-IN"/>
        </w:rPr>
        <w:t>(h)</w:t>
      </w:r>
      <w:r w:rsidRPr="00011476">
        <w:rPr>
          <w:rFonts w:cs="Times New Roman"/>
          <w:b/>
          <w:bCs/>
          <w:color w:val="231F20"/>
          <w:szCs w:val="20"/>
          <w:lang w:val="en-GB" w:eastAsia="en-IN"/>
        </w:rPr>
        <w:tab/>
      </w:r>
      <w:r w:rsidRPr="00C2134E">
        <w:rPr>
          <w:rFonts w:cs="Times New Roman"/>
          <w:b/>
          <w:bCs/>
          <w:szCs w:val="20"/>
          <w:lang w:val="en-GB"/>
        </w:rPr>
        <w:t>Introduce</w:t>
      </w:r>
      <w:r w:rsidRPr="00011476">
        <w:rPr>
          <w:rFonts w:cs="Times New Roman"/>
          <w:b/>
          <w:bCs/>
          <w:color w:val="231F20"/>
          <w:szCs w:val="20"/>
          <w:lang w:val="en-GB" w:eastAsia="en-IN"/>
        </w:rPr>
        <w:t xml:space="preserve"> special temporary measures to achieve substantive equality in the areas where </w:t>
      </w:r>
      <w:r w:rsidRPr="00C2134E">
        <w:rPr>
          <w:rFonts w:cs="Times New Roman"/>
          <w:b/>
          <w:bCs/>
          <w:szCs w:val="20"/>
          <w:lang w:val="en-GB"/>
        </w:rPr>
        <w:t>women</w:t>
      </w:r>
      <w:r w:rsidRPr="00011476">
        <w:rPr>
          <w:rFonts w:cs="Times New Roman"/>
          <w:b/>
          <w:bCs/>
          <w:color w:val="231F20"/>
          <w:szCs w:val="20"/>
          <w:lang w:val="en-GB" w:eastAsia="en-IN"/>
        </w:rPr>
        <w:t xml:space="preserve"> are underrepresented and disadvantaged, through the introduction, for instance, of quotas to foster increased participation of women in the political life and in decision-making positions of the Government; </w:t>
      </w:r>
    </w:p>
    <w:p w:rsidR="00ED62A0" w:rsidRPr="00011476" w:rsidRDefault="00ED62A0" w:rsidP="00C2134E">
      <w:pPr>
        <w:tabs>
          <w:tab w:val="left" w:pos="1700"/>
          <w:tab w:val="left" w:pos="2300"/>
        </w:tabs>
        <w:suppressAutoHyphens/>
        <w:bidi w:val="0"/>
        <w:spacing w:after="120"/>
        <w:ind w:left="1134" w:right="1134" w:firstLine="567"/>
        <w:jc w:val="both"/>
        <w:rPr>
          <w:rFonts w:cs="Times New Roman"/>
          <w:b/>
          <w:bCs/>
          <w:color w:val="231F20"/>
          <w:szCs w:val="20"/>
          <w:lang w:val="en-GB" w:eastAsia="en-IN"/>
        </w:rPr>
      </w:pPr>
      <w:r w:rsidRPr="00011476">
        <w:rPr>
          <w:rFonts w:cs="Times New Roman"/>
          <w:b/>
          <w:bCs/>
          <w:color w:val="231F20"/>
          <w:szCs w:val="20"/>
          <w:lang w:val="en-GB" w:eastAsia="en-IN"/>
        </w:rPr>
        <w:t>(i)</w:t>
      </w:r>
      <w:r w:rsidRPr="00011476">
        <w:rPr>
          <w:rFonts w:cs="Times New Roman"/>
          <w:b/>
          <w:bCs/>
          <w:color w:val="231F20"/>
          <w:szCs w:val="20"/>
          <w:lang w:val="en-GB" w:eastAsia="en-IN"/>
        </w:rPr>
        <w:tab/>
      </w:r>
      <w:r w:rsidRPr="00C2134E">
        <w:rPr>
          <w:rFonts w:cs="Times New Roman"/>
          <w:b/>
          <w:bCs/>
          <w:szCs w:val="20"/>
          <w:lang w:val="en-GB"/>
        </w:rPr>
        <w:t>Introduce</w:t>
      </w:r>
      <w:r w:rsidRPr="00011476">
        <w:rPr>
          <w:rFonts w:cs="Times New Roman"/>
          <w:b/>
          <w:bCs/>
          <w:color w:val="231F20"/>
          <w:szCs w:val="20"/>
          <w:lang w:val="en-GB" w:eastAsia="en-IN"/>
        </w:rPr>
        <w:t xml:space="preserve"> special temporary measures to foster the advancement of women in </w:t>
      </w:r>
      <w:r w:rsidRPr="00B01C7F">
        <w:rPr>
          <w:rFonts w:cs="Times New Roman"/>
          <w:b/>
          <w:bCs/>
          <w:szCs w:val="20"/>
          <w:lang w:val="en-GB"/>
        </w:rPr>
        <w:t>employment</w:t>
      </w:r>
      <w:r w:rsidRPr="00011476">
        <w:rPr>
          <w:rFonts w:cs="Times New Roman"/>
          <w:b/>
          <w:bCs/>
          <w:color w:val="231F20"/>
          <w:szCs w:val="20"/>
          <w:lang w:val="en-GB" w:eastAsia="en-IN"/>
        </w:rPr>
        <w:t>;</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(j)</w:t>
      </w:r>
      <w:r w:rsidRPr="00B01C7F">
        <w:rPr>
          <w:rFonts w:cs="Times New Roman"/>
          <w:b/>
          <w:bCs/>
          <w:szCs w:val="20"/>
          <w:lang w:val="en-GB"/>
        </w:rPr>
        <w:tab/>
        <w:t xml:space="preserve">Ensure sustainable support to income-generating activities for women, </w:t>
      </w:r>
      <w:r w:rsidRPr="00011476">
        <w:rPr>
          <w:rFonts w:cs="Times New Roman"/>
          <w:b/>
          <w:bCs/>
          <w:color w:val="231F20"/>
          <w:szCs w:val="20"/>
          <w:lang w:val="en-GB" w:eastAsia="en-IN"/>
        </w:rPr>
        <w:t>including</w:t>
      </w:r>
      <w:r w:rsidRPr="00B01C7F">
        <w:rPr>
          <w:rFonts w:cs="Times New Roman"/>
          <w:b/>
          <w:bCs/>
          <w:szCs w:val="20"/>
          <w:lang w:val="en-GB"/>
        </w:rPr>
        <w:t xml:space="preserve"> marginalized women, in particular IDP women and women with disabilities;</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(k)</w:t>
      </w:r>
      <w:r w:rsidRPr="00B01C7F">
        <w:rPr>
          <w:rFonts w:cs="Times New Roman"/>
          <w:b/>
          <w:bCs/>
          <w:szCs w:val="20"/>
          <w:lang w:val="en-GB"/>
        </w:rPr>
        <w:tab/>
        <w:t xml:space="preserve">Ensure the development of a comprehensive strategy regarding IDPs that </w:t>
      </w:r>
      <w:r w:rsidRPr="00011476">
        <w:rPr>
          <w:rFonts w:cs="Times New Roman"/>
          <w:b/>
          <w:bCs/>
          <w:color w:val="231F20"/>
          <w:szCs w:val="20"/>
          <w:lang w:val="en-GB" w:eastAsia="en-IN"/>
        </w:rPr>
        <w:t>includes</w:t>
      </w:r>
      <w:r w:rsidRPr="00B01C7F">
        <w:rPr>
          <w:rFonts w:cs="Times New Roman"/>
          <w:b/>
          <w:bCs/>
          <w:szCs w:val="20"/>
          <w:lang w:val="en-GB"/>
        </w:rPr>
        <w:t xml:space="preserve"> the possibility of development, thus enhancing the prospects of IDP women to find a meaningful solution to their precarious situation. The desire for a political resolution to the occupation of land and the need for voluntary return as the preferred solution must be respected, but not to the detriment of women’s development. </w:t>
      </w:r>
      <w:r w:rsidRPr="00B01C7F">
        <w:rPr>
          <w:rFonts w:cs="Times New Roman"/>
          <w:b/>
          <w:szCs w:val="20"/>
          <w:lang w:val="en-GB"/>
        </w:rPr>
        <w:t xml:space="preserve">In this regard, </w:t>
      </w:r>
      <w:r w:rsidRPr="00B01C7F">
        <w:rPr>
          <w:rFonts w:cs="Times New Roman"/>
          <w:b/>
          <w:szCs w:val="20"/>
          <w:lang w:val="en-GB" w:eastAsia="en-GB"/>
        </w:rPr>
        <w:t>the Special Rapporteur further recommends that the international community intensify efforts aimed at the speedy resolution of the issue of occupation of land, in accordance with the norms and principles of international law and the provisions stipulated in General Assembly resolution 62/243</w:t>
      </w:r>
      <w:r w:rsidRPr="00B01C7F">
        <w:rPr>
          <w:rFonts w:cs="Times New Roman"/>
          <w:b/>
          <w:bCs/>
          <w:szCs w:val="20"/>
          <w:lang w:val="en-GB"/>
        </w:rPr>
        <w:t>;</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(l)</w:t>
      </w:r>
      <w:r w:rsidRPr="00B01C7F">
        <w:rPr>
          <w:rFonts w:cs="Times New Roman"/>
          <w:b/>
          <w:bCs/>
          <w:szCs w:val="20"/>
          <w:lang w:val="en-GB"/>
        </w:rPr>
        <w:tab/>
        <w:t>Ensure that women with disabilities have access to appropriate services and opportunities;</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(m)</w:t>
      </w:r>
      <w:r w:rsidRPr="00B01C7F">
        <w:rPr>
          <w:rFonts w:cs="Times New Roman"/>
          <w:b/>
          <w:bCs/>
          <w:szCs w:val="20"/>
          <w:lang w:val="en-GB"/>
        </w:rPr>
        <w:tab/>
        <w:t xml:space="preserve">Create an independent national women’s human rights institution; </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(n)</w:t>
      </w:r>
      <w:r w:rsidRPr="00B01C7F">
        <w:rPr>
          <w:rFonts w:cs="Times New Roman"/>
          <w:b/>
          <w:bCs/>
          <w:szCs w:val="20"/>
          <w:lang w:val="en-GB"/>
        </w:rPr>
        <w:tab/>
        <w:t>Ensure that NGOs working in the promotion and protection of women’s rights can perform their work without any form of restriction, harassment or reprisal related to their activities.</w:t>
      </w:r>
    </w:p>
    <w:p w:rsidR="00ED62A0" w:rsidRPr="00B01C7F" w:rsidRDefault="00ED62A0" w:rsidP="00ED62A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B01C7F">
        <w:rPr>
          <w:rFonts w:cs="Times New Roman"/>
          <w:b/>
          <w:szCs w:val="20"/>
          <w:lang w:val="en-GB"/>
        </w:rPr>
        <w:tab/>
      </w:r>
      <w:r w:rsidRPr="00B01C7F">
        <w:rPr>
          <w:rFonts w:cs="Times New Roman"/>
          <w:b/>
          <w:szCs w:val="20"/>
          <w:lang w:val="en-GB"/>
        </w:rPr>
        <w:tab/>
        <w:t>Accountability</w:t>
      </w:r>
    </w:p>
    <w:p w:rsidR="00ED62A0" w:rsidRPr="00B01C7F" w:rsidRDefault="00ED62A0" w:rsidP="00C2134E">
      <w:pPr>
        <w:numPr>
          <w:ilvl w:val="0"/>
          <w:numId w:val="10"/>
        </w:numPr>
        <w:tabs>
          <w:tab w:val="left" w:pos="1700"/>
        </w:tabs>
        <w:suppressAutoHyphens/>
        <w:bidi w:val="0"/>
        <w:spacing w:after="120"/>
        <w:ind w:left="1134" w:right="1134" w:firstLine="0"/>
        <w:jc w:val="both"/>
        <w:rPr>
          <w:rFonts w:cs="Times New Roman"/>
          <w:b/>
          <w:szCs w:val="20"/>
          <w:lang w:val="en-GB" w:eastAsia="en-GB"/>
        </w:rPr>
      </w:pPr>
      <w:r w:rsidRPr="00B01C7F">
        <w:rPr>
          <w:rFonts w:cs="Times New Roman"/>
          <w:b/>
          <w:szCs w:val="20"/>
          <w:lang w:val="en-GB" w:eastAsia="en-GB"/>
        </w:rPr>
        <w:t xml:space="preserve">The </w:t>
      </w:r>
      <w:r w:rsidRPr="00B01C7F">
        <w:rPr>
          <w:rFonts w:cs="Times New Roman"/>
          <w:b/>
          <w:bCs/>
          <w:szCs w:val="20"/>
          <w:lang w:val="en-GB"/>
        </w:rPr>
        <w:t>Special</w:t>
      </w:r>
      <w:r w:rsidRPr="00B01C7F">
        <w:rPr>
          <w:rFonts w:cs="Times New Roman"/>
          <w:b/>
          <w:szCs w:val="20"/>
          <w:lang w:val="en-GB" w:eastAsia="en-GB"/>
        </w:rPr>
        <w:t xml:space="preserve"> Rapporteur recommends that the Government:</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eastAsia="en-GB"/>
        </w:rPr>
      </w:pPr>
      <w:r w:rsidRPr="00B01C7F">
        <w:rPr>
          <w:rFonts w:cs="Times New Roman"/>
          <w:b/>
          <w:bCs/>
          <w:szCs w:val="20"/>
          <w:lang w:val="en-GB" w:eastAsia="en-GB"/>
        </w:rPr>
        <w:t>(a)</w:t>
      </w:r>
      <w:r w:rsidRPr="00B01C7F">
        <w:rPr>
          <w:rFonts w:cs="Times New Roman"/>
          <w:b/>
          <w:bCs/>
          <w:szCs w:val="20"/>
          <w:lang w:val="en-GB" w:eastAsia="en-GB"/>
        </w:rPr>
        <w:tab/>
        <w:t xml:space="preserve">Take </w:t>
      </w:r>
      <w:r w:rsidRPr="00B01C7F">
        <w:rPr>
          <w:rFonts w:cs="Times New Roman"/>
          <w:b/>
          <w:bCs/>
          <w:szCs w:val="20"/>
          <w:lang w:val="en-GB"/>
        </w:rPr>
        <w:t>effective</w:t>
      </w:r>
      <w:r w:rsidRPr="00B01C7F">
        <w:rPr>
          <w:rFonts w:cs="Times New Roman"/>
          <w:b/>
          <w:bCs/>
          <w:szCs w:val="20"/>
          <w:lang w:val="en-GB" w:eastAsia="en-GB"/>
        </w:rPr>
        <w:t xml:space="preserve"> measures to ensure access to justice and effective redress for all women </w:t>
      </w:r>
      <w:r w:rsidRPr="00B01C7F">
        <w:rPr>
          <w:rFonts w:cs="Times New Roman"/>
          <w:b/>
          <w:bCs/>
          <w:szCs w:val="20"/>
          <w:lang w:val="en-GB"/>
        </w:rPr>
        <w:t>victims</w:t>
      </w:r>
      <w:r w:rsidRPr="00B01C7F">
        <w:rPr>
          <w:rFonts w:cs="Times New Roman"/>
          <w:b/>
          <w:bCs/>
          <w:szCs w:val="20"/>
          <w:lang w:val="en-GB" w:eastAsia="en-GB"/>
        </w:rPr>
        <w:t xml:space="preserve"> of violence and ensure </w:t>
      </w:r>
      <w:r w:rsidRPr="00011476">
        <w:rPr>
          <w:rFonts w:cs="Times New Roman"/>
          <w:b/>
          <w:bCs/>
          <w:color w:val="231F20"/>
          <w:szCs w:val="20"/>
          <w:lang w:val="en-GB" w:eastAsia="en-IN"/>
        </w:rPr>
        <w:t>an appropriate response from all concerned stakeholders (police, justice, local authorities, health and social services);</w:t>
      </w:r>
      <w:r w:rsidRPr="00B01C7F">
        <w:rPr>
          <w:rFonts w:cs="Times New Roman"/>
          <w:b/>
          <w:bCs/>
          <w:szCs w:val="20"/>
          <w:lang w:val="en-GB" w:eastAsia="en-GB"/>
        </w:rPr>
        <w:t xml:space="preserve"> </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eastAsia="en-GB"/>
        </w:rPr>
      </w:pPr>
      <w:r w:rsidRPr="00B01C7F">
        <w:rPr>
          <w:rFonts w:cs="Times New Roman"/>
          <w:b/>
          <w:bCs/>
          <w:szCs w:val="20"/>
          <w:lang w:val="en-GB" w:eastAsia="en-GB"/>
        </w:rPr>
        <w:t>(b)</w:t>
      </w:r>
      <w:r w:rsidRPr="00B01C7F">
        <w:rPr>
          <w:rFonts w:cs="Times New Roman"/>
          <w:b/>
          <w:bCs/>
          <w:szCs w:val="20"/>
          <w:lang w:val="en-GB" w:eastAsia="en-GB"/>
        </w:rPr>
        <w:tab/>
      </w:r>
      <w:r w:rsidRPr="00B01C7F">
        <w:rPr>
          <w:rFonts w:cs="Times New Roman"/>
          <w:b/>
          <w:bCs/>
          <w:szCs w:val="20"/>
          <w:lang w:val="en-GB"/>
        </w:rPr>
        <w:t>Ensure</w:t>
      </w:r>
      <w:r w:rsidRPr="00B01C7F">
        <w:rPr>
          <w:rFonts w:cs="Times New Roman"/>
          <w:b/>
          <w:bCs/>
          <w:szCs w:val="20"/>
          <w:lang w:val="en-GB" w:eastAsia="en-GB"/>
        </w:rPr>
        <w:t xml:space="preserve"> </w:t>
      </w:r>
      <w:r w:rsidRPr="00011476">
        <w:rPr>
          <w:rFonts w:cs="Times New Roman"/>
          <w:b/>
          <w:bCs/>
          <w:color w:val="231F20"/>
          <w:szCs w:val="20"/>
          <w:lang w:val="en-GB" w:eastAsia="en-IN"/>
        </w:rPr>
        <w:t>that</w:t>
      </w:r>
      <w:r w:rsidRPr="00B01C7F">
        <w:rPr>
          <w:rFonts w:cs="Times New Roman"/>
          <w:b/>
          <w:bCs/>
          <w:szCs w:val="20"/>
          <w:lang w:val="en-GB" w:eastAsia="en-GB"/>
        </w:rPr>
        <w:t xml:space="preserve"> all allegations of violence against women are properly investigated by the police; </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eastAsia="en-GB"/>
        </w:rPr>
      </w:pPr>
      <w:r w:rsidRPr="00B01C7F">
        <w:rPr>
          <w:rFonts w:cs="Times New Roman"/>
          <w:b/>
          <w:bCs/>
          <w:szCs w:val="20"/>
          <w:lang w:val="en-GB" w:eastAsia="en-GB"/>
        </w:rPr>
        <w:t>(c)</w:t>
      </w:r>
      <w:r w:rsidRPr="00B01C7F">
        <w:rPr>
          <w:rFonts w:cs="Times New Roman"/>
          <w:b/>
          <w:bCs/>
          <w:szCs w:val="20"/>
          <w:lang w:val="en-GB" w:eastAsia="en-GB"/>
        </w:rPr>
        <w:tab/>
        <w:t xml:space="preserve">Ensure </w:t>
      </w:r>
      <w:r w:rsidRPr="00C2134E">
        <w:rPr>
          <w:rFonts w:cs="Times New Roman"/>
          <w:b/>
          <w:bCs/>
          <w:szCs w:val="20"/>
          <w:lang w:val="en-GB"/>
        </w:rPr>
        <w:t>that</w:t>
      </w:r>
      <w:r w:rsidRPr="00B01C7F">
        <w:rPr>
          <w:rFonts w:cs="Times New Roman"/>
          <w:b/>
          <w:bCs/>
          <w:szCs w:val="20"/>
          <w:lang w:val="en-GB" w:eastAsia="en-GB"/>
        </w:rPr>
        <w:t xml:space="preserve"> police and justice officers are trained to identify and assist the victims and act in a professional and non-judgmental manner;</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eastAsia="en-GB"/>
        </w:rPr>
      </w:pPr>
      <w:r w:rsidRPr="00B01C7F">
        <w:rPr>
          <w:rFonts w:cs="Times New Roman"/>
          <w:b/>
          <w:bCs/>
          <w:szCs w:val="20"/>
          <w:lang w:val="en-GB" w:eastAsia="en-GB"/>
        </w:rPr>
        <w:t>(d)</w:t>
      </w:r>
      <w:r w:rsidRPr="00B01C7F">
        <w:rPr>
          <w:rFonts w:cs="Times New Roman"/>
          <w:b/>
          <w:bCs/>
          <w:szCs w:val="20"/>
          <w:lang w:val="en-GB" w:eastAsia="en-GB"/>
        </w:rPr>
        <w:tab/>
      </w:r>
      <w:r w:rsidRPr="00B01C7F">
        <w:rPr>
          <w:rFonts w:cs="Times New Roman"/>
          <w:b/>
          <w:bCs/>
          <w:szCs w:val="20"/>
          <w:lang w:val="en-GB"/>
        </w:rPr>
        <w:t>Ensure</w:t>
      </w:r>
      <w:r w:rsidRPr="00B01C7F">
        <w:rPr>
          <w:rFonts w:cs="Times New Roman"/>
          <w:b/>
          <w:bCs/>
          <w:szCs w:val="20"/>
          <w:lang w:val="en-GB" w:eastAsia="en-GB"/>
        </w:rPr>
        <w:t xml:space="preserve"> that cases of violence against women are promptly and adequately dealt by the police, the judiciary and the concerned social services; </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eastAsia="en-GB"/>
        </w:rPr>
      </w:pPr>
      <w:r w:rsidRPr="00B01C7F">
        <w:rPr>
          <w:rFonts w:cs="Times New Roman"/>
          <w:b/>
          <w:bCs/>
          <w:szCs w:val="20"/>
          <w:lang w:val="en-GB"/>
        </w:rPr>
        <w:t>(e)</w:t>
      </w:r>
      <w:r w:rsidRPr="00B01C7F">
        <w:rPr>
          <w:rFonts w:cs="Times New Roman"/>
          <w:b/>
          <w:bCs/>
          <w:szCs w:val="20"/>
          <w:lang w:val="en-GB"/>
        </w:rPr>
        <w:tab/>
        <w:t xml:space="preserve">Ensure </w:t>
      </w:r>
      <w:r w:rsidRPr="00B01C7F">
        <w:rPr>
          <w:rFonts w:cs="Times New Roman"/>
          <w:b/>
          <w:bCs/>
          <w:szCs w:val="20"/>
          <w:lang w:val="en-GB" w:eastAsia="en-GB"/>
        </w:rPr>
        <w:t>that</w:t>
      </w:r>
      <w:r w:rsidRPr="00B01C7F">
        <w:rPr>
          <w:rFonts w:cs="Times New Roman"/>
          <w:b/>
          <w:bCs/>
          <w:szCs w:val="20"/>
          <w:lang w:val="en-GB"/>
        </w:rPr>
        <w:t xml:space="preserve"> </w:t>
      </w:r>
      <w:r w:rsidRPr="00B01C7F">
        <w:rPr>
          <w:rFonts w:cs="Times New Roman"/>
          <w:b/>
          <w:bCs/>
          <w:szCs w:val="20"/>
          <w:lang w:val="en-GB" w:eastAsia="en-GB"/>
        </w:rPr>
        <w:t>short</w:t>
      </w:r>
      <w:r w:rsidRPr="00B01C7F">
        <w:rPr>
          <w:rFonts w:cs="Times New Roman"/>
          <w:b/>
          <w:bCs/>
          <w:szCs w:val="20"/>
          <w:lang w:val="en-GB"/>
        </w:rPr>
        <w:t xml:space="preserve">-term or long-term protection orders are issued when </w:t>
      </w:r>
      <w:r w:rsidRPr="00B01C7F">
        <w:rPr>
          <w:rFonts w:cs="Times New Roman"/>
          <w:b/>
          <w:bCs/>
          <w:szCs w:val="20"/>
          <w:lang w:val="en-GB" w:eastAsia="en-GB"/>
        </w:rPr>
        <w:t>appropriate</w:t>
      </w:r>
      <w:r w:rsidRPr="00B01C7F">
        <w:rPr>
          <w:rFonts w:cs="Times New Roman"/>
          <w:b/>
          <w:bCs/>
          <w:szCs w:val="20"/>
          <w:lang w:val="en-GB"/>
        </w:rPr>
        <w:t>;</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eastAsia="en-GB"/>
        </w:rPr>
      </w:pPr>
      <w:r w:rsidRPr="00B01C7F">
        <w:rPr>
          <w:rFonts w:cs="Times New Roman"/>
          <w:b/>
          <w:bCs/>
          <w:szCs w:val="20"/>
          <w:lang w:val="en-GB" w:eastAsia="en-GB"/>
        </w:rPr>
        <w:t>(f)</w:t>
      </w:r>
      <w:r w:rsidRPr="00B01C7F">
        <w:rPr>
          <w:rFonts w:cs="Times New Roman"/>
          <w:b/>
          <w:bCs/>
          <w:szCs w:val="20"/>
          <w:lang w:val="en-GB" w:eastAsia="en-GB"/>
        </w:rPr>
        <w:tab/>
        <w:t xml:space="preserve">Ensure </w:t>
      </w:r>
      <w:r w:rsidRPr="00B01C7F">
        <w:rPr>
          <w:rFonts w:cs="Times New Roman"/>
          <w:b/>
          <w:bCs/>
          <w:szCs w:val="20"/>
          <w:lang w:val="en-GB"/>
        </w:rPr>
        <w:t>that</w:t>
      </w:r>
      <w:r w:rsidRPr="00B01C7F">
        <w:rPr>
          <w:rFonts w:cs="Times New Roman"/>
          <w:b/>
          <w:bCs/>
          <w:szCs w:val="20"/>
          <w:lang w:val="en-GB" w:eastAsia="en-GB"/>
        </w:rPr>
        <w:t xml:space="preserve"> perpetrators are brought to justice and duly punished if found responsible;</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(g)</w:t>
      </w:r>
      <w:r w:rsidRPr="00B01C7F">
        <w:rPr>
          <w:rFonts w:cs="Times New Roman"/>
          <w:b/>
          <w:bCs/>
          <w:szCs w:val="20"/>
          <w:lang w:val="en-GB"/>
        </w:rPr>
        <w:tab/>
        <w:t xml:space="preserve">Establish a monitoring system on the implementation of judicial decisions on cases related to violence against women and ensure that victims have prompt access to effective remedies; </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(h)</w:t>
      </w:r>
      <w:r w:rsidRPr="00B01C7F">
        <w:rPr>
          <w:rFonts w:cs="Times New Roman"/>
          <w:b/>
          <w:bCs/>
          <w:szCs w:val="20"/>
          <w:lang w:val="en-GB"/>
        </w:rPr>
        <w:tab/>
        <w:t xml:space="preserve">Ensure that State authorities who fail to respond are held accountable for failure to protect and prevent; </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(i)</w:t>
      </w:r>
      <w:r w:rsidRPr="00B01C7F">
        <w:rPr>
          <w:rFonts w:cs="Times New Roman"/>
          <w:b/>
          <w:bCs/>
          <w:szCs w:val="20"/>
          <w:lang w:val="en-GB"/>
        </w:rPr>
        <w:tab/>
        <w:t>Ensure that women and family members intending to report cases of violence do not face any act of intimidation, threat or harassment, and that protection is provided free of cost for the victim, if necessary;</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(j)</w:t>
      </w:r>
      <w:r w:rsidRPr="00B01C7F">
        <w:rPr>
          <w:rFonts w:cs="Times New Roman"/>
          <w:b/>
          <w:bCs/>
          <w:szCs w:val="20"/>
          <w:lang w:val="en-GB"/>
        </w:rPr>
        <w:tab/>
        <w:t>Ensure legal, housing, security and financial assistance measures for victims of violence that enable them to pursue accountability for crimes;</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(k)</w:t>
      </w:r>
      <w:r w:rsidRPr="00B01C7F">
        <w:rPr>
          <w:rFonts w:cs="Times New Roman"/>
          <w:b/>
          <w:bCs/>
          <w:szCs w:val="20"/>
          <w:lang w:val="en-GB"/>
        </w:rPr>
        <w:tab/>
        <w:t>Ensure that religious leaders and parents involved in cases of early/forced marriages are duly prosecuted.</w:t>
      </w:r>
    </w:p>
    <w:p w:rsidR="00ED62A0" w:rsidRPr="00B01C7F" w:rsidRDefault="00ED62A0" w:rsidP="00ED62A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B01C7F">
        <w:rPr>
          <w:rFonts w:cs="Times New Roman"/>
          <w:b/>
          <w:szCs w:val="20"/>
          <w:lang w:val="en-GB"/>
        </w:rPr>
        <w:tab/>
      </w:r>
      <w:r w:rsidRPr="00B01C7F">
        <w:rPr>
          <w:rFonts w:cs="Times New Roman"/>
          <w:b/>
          <w:szCs w:val="20"/>
          <w:lang w:val="en-GB"/>
        </w:rPr>
        <w:tab/>
        <w:t>Societal transformation, including awareness-raising, addressing gender stereotypes and women’s empowerment</w:t>
      </w:r>
    </w:p>
    <w:p w:rsidR="00ED62A0" w:rsidRPr="00B01C7F" w:rsidRDefault="00ED62A0" w:rsidP="00C2134E">
      <w:pPr>
        <w:numPr>
          <w:ilvl w:val="0"/>
          <w:numId w:val="10"/>
        </w:numPr>
        <w:tabs>
          <w:tab w:val="left" w:pos="1700"/>
        </w:tabs>
        <w:suppressAutoHyphens/>
        <w:bidi w:val="0"/>
        <w:spacing w:after="120"/>
        <w:ind w:left="1134" w:right="1134" w:firstLine="0"/>
        <w:jc w:val="both"/>
        <w:rPr>
          <w:rFonts w:cs="Times New Roman"/>
          <w:b/>
          <w:bCs/>
          <w:szCs w:val="20"/>
          <w:lang w:val="en-GB"/>
        </w:rPr>
      </w:pPr>
      <w:r w:rsidRPr="00B01C7F">
        <w:rPr>
          <w:rFonts w:cs="Times New Roman"/>
          <w:b/>
          <w:bCs/>
          <w:szCs w:val="20"/>
          <w:lang w:val="en-GB"/>
        </w:rPr>
        <w:t>The Special Rapporteur recommends that the Government include in the national strategy on combating violence against women comprehensive prevention measures based on:</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(a)</w:t>
      </w:r>
      <w:r w:rsidRPr="00B01C7F">
        <w:rPr>
          <w:rFonts w:cs="Times New Roman"/>
          <w:b/>
          <w:bCs/>
          <w:szCs w:val="20"/>
          <w:lang w:val="en-GB"/>
        </w:rPr>
        <w:tab/>
        <w:t>Training programmes for police and judicial officers as well as social workers handling cases of violence against women;</w:t>
      </w:r>
    </w:p>
    <w:p w:rsidR="00ED62A0" w:rsidRPr="00C2134E"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C2134E">
        <w:rPr>
          <w:rFonts w:cs="Times New Roman"/>
          <w:b/>
          <w:bCs/>
          <w:szCs w:val="20"/>
          <w:lang w:val="en-GB"/>
        </w:rPr>
        <w:t>(b)</w:t>
      </w:r>
      <w:r w:rsidRPr="00C2134E">
        <w:rPr>
          <w:rFonts w:cs="Times New Roman"/>
          <w:b/>
          <w:bCs/>
          <w:szCs w:val="20"/>
          <w:lang w:val="en-GB"/>
        </w:rPr>
        <w:tab/>
        <w:t xml:space="preserve">Awareness-raising activities involving a wide spectrum of actors from both the </w:t>
      </w:r>
      <w:r w:rsidRPr="00B01C7F">
        <w:rPr>
          <w:rFonts w:cs="Times New Roman"/>
          <w:b/>
          <w:bCs/>
          <w:szCs w:val="20"/>
          <w:lang w:val="en-GB"/>
        </w:rPr>
        <w:t>governmental</w:t>
      </w:r>
      <w:r w:rsidRPr="00C2134E">
        <w:rPr>
          <w:rFonts w:cs="Times New Roman"/>
          <w:b/>
          <w:bCs/>
          <w:szCs w:val="20"/>
          <w:lang w:val="en-GB"/>
        </w:rPr>
        <w:t xml:space="preserve"> and non-governmental sectors, targeting community and religious leaders, as well as men and family members in order to combat subordinating and stereotypical attitudes. The initiatives should take into account the local cultural and socioeconomic contexts; </w:t>
      </w:r>
    </w:p>
    <w:p w:rsidR="00ED62A0" w:rsidRPr="00C2134E"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C2134E">
        <w:rPr>
          <w:rFonts w:cs="Times New Roman"/>
          <w:b/>
          <w:bCs/>
          <w:szCs w:val="20"/>
          <w:lang w:val="en-GB"/>
        </w:rPr>
        <w:t>(c)</w:t>
      </w:r>
      <w:r w:rsidRPr="00C2134E">
        <w:rPr>
          <w:rFonts w:cs="Times New Roman"/>
          <w:b/>
          <w:bCs/>
          <w:szCs w:val="20"/>
          <w:lang w:val="en-GB"/>
        </w:rPr>
        <w:tab/>
        <w:t xml:space="preserve">Targeted actions aiming at removing the barriers that prevent women from disclosing violence and eliminating stigma related to victims of violence who resort to public services for protection and support; </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C2134E">
        <w:rPr>
          <w:rFonts w:cs="Times New Roman"/>
          <w:b/>
          <w:bCs/>
          <w:szCs w:val="20"/>
          <w:lang w:val="en-GB"/>
        </w:rPr>
        <w:t>(d)</w:t>
      </w:r>
      <w:r w:rsidRPr="00C2134E">
        <w:rPr>
          <w:rFonts w:cs="Times New Roman"/>
          <w:b/>
          <w:bCs/>
          <w:szCs w:val="20"/>
          <w:lang w:val="en-GB"/>
        </w:rPr>
        <w:tab/>
        <w:t>A countrywide campaign, with a special focus on rural areas, to increase women’s legal literacy, through outreach/education on women’s rights, in particular on the nature of legal protection provided to women victims of violence under the legislation;</w:t>
      </w:r>
    </w:p>
    <w:p w:rsidR="00ED62A0" w:rsidRPr="00C2134E"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C2134E">
        <w:rPr>
          <w:rFonts w:cs="Times New Roman"/>
          <w:b/>
          <w:bCs/>
          <w:szCs w:val="20"/>
          <w:lang w:val="en-GB"/>
        </w:rPr>
        <w:t>(e)</w:t>
      </w:r>
      <w:r w:rsidRPr="00C2134E">
        <w:rPr>
          <w:rFonts w:cs="Times New Roman"/>
          <w:b/>
          <w:bCs/>
          <w:szCs w:val="20"/>
          <w:lang w:val="en-GB"/>
        </w:rPr>
        <w:tab/>
        <w:t>Gender-sensitive programmes in the school curricula tackling issues such as early/forced marriages, school dropouts, violence in the family and in the community, and discrimination issues;</w:t>
      </w:r>
    </w:p>
    <w:p w:rsidR="00ED62A0" w:rsidRPr="00C2134E"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C2134E">
        <w:rPr>
          <w:rFonts w:cs="Times New Roman"/>
          <w:b/>
          <w:bCs/>
          <w:szCs w:val="20"/>
          <w:lang w:val="en-GB"/>
        </w:rPr>
        <w:t>(f)</w:t>
      </w:r>
      <w:r w:rsidRPr="00C2134E">
        <w:rPr>
          <w:rFonts w:cs="Times New Roman"/>
          <w:b/>
          <w:bCs/>
          <w:szCs w:val="20"/>
          <w:lang w:val="en-GB"/>
        </w:rPr>
        <w:tab/>
        <w:t>The revision of school textbooks and materials replicating gender stereotypes;</w:t>
      </w:r>
    </w:p>
    <w:p w:rsidR="00ED62A0" w:rsidRPr="00C2134E"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C2134E">
        <w:rPr>
          <w:rFonts w:cs="Times New Roman"/>
          <w:b/>
          <w:bCs/>
          <w:szCs w:val="20"/>
          <w:lang w:val="en-GB"/>
        </w:rPr>
        <w:t>(g)</w:t>
      </w:r>
      <w:r w:rsidRPr="00C2134E">
        <w:rPr>
          <w:rFonts w:cs="Times New Roman"/>
          <w:b/>
          <w:bCs/>
          <w:szCs w:val="20"/>
          <w:lang w:val="en-GB"/>
        </w:rPr>
        <w:tab/>
        <w:t>Designing the education policy of the country so as to enable women to access education and training in fields which benefit them as regards employment opportunities in the flourishing sectors of the economy;</w:t>
      </w:r>
    </w:p>
    <w:p w:rsidR="00ED62A0" w:rsidRPr="00011476" w:rsidRDefault="00ED62A0" w:rsidP="00C2134E">
      <w:pPr>
        <w:tabs>
          <w:tab w:val="left" w:pos="1700"/>
          <w:tab w:val="left" w:pos="2300"/>
        </w:tabs>
        <w:suppressAutoHyphens/>
        <w:bidi w:val="0"/>
        <w:spacing w:after="120"/>
        <w:ind w:left="1134" w:right="1134" w:firstLine="567"/>
        <w:jc w:val="both"/>
        <w:rPr>
          <w:rFonts w:cs="Times New Roman"/>
          <w:b/>
          <w:bCs/>
          <w:color w:val="231F20"/>
          <w:szCs w:val="20"/>
          <w:lang w:val="en-GB" w:eastAsia="en-IN"/>
        </w:rPr>
      </w:pPr>
      <w:r w:rsidRPr="00B01C7F">
        <w:rPr>
          <w:rFonts w:cs="Times New Roman"/>
          <w:b/>
          <w:bCs/>
          <w:szCs w:val="20"/>
          <w:lang w:val="en-GB"/>
        </w:rPr>
        <w:t>(h)</w:t>
      </w:r>
      <w:r w:rsidRPr="00B01C7F">
        <w:rPr>
          <w:rFonts w:cs="Times New Roman"/>
          <w:b/>
          <w:bCs/>
          <w:szCs w:val="20"/>
          <w:lang w:val="en-GB"/>
        </w:rPr>
        <w:tab/>
        <w:t xml:space="preserve">Training and sensitizing the media on issues related to women’s rights and violence against </w:t>
      </w:r>
      <w:r w:rsidRPr="00011476">
        <w:rPr>
          <w:rFonts w:cs="Times New Roman"/>
          <w:b/>
          <w:bCs/>
          <w:color w:val="231F20"/>
          <w:szCs w:val="20"/>
          <w:lang w:val="en-GB" w:eastAsia="en-IN"/>
        </w:rPr>
        <w:t>women</w:t>
      </w:r>
      <w:r w:rsidRPr="00B01C7F">
        <w:rPr>
          <w:rFonts w:cs="Times New Roman"/>
          <w:b/>
          <w:bCs/>
          <w:szCs w:val="20"/>
          <w:lang w:val="en-GB"/>
        </w:rPr>
        <w:t xml:space="preserve"> in particular, so as to contribute to changing cultural and social </w:t>
      </w:r>
      <w:r w:rsidRPr="00011476">
        <w:rPr>
          <w:rFonts w:cs="Times New Roman"/>
          <w:b/>
          <w:bCs/>
          <w:color w:val="231F20"/>
          <w:szCs w:val="20"/>
          <w:lang w:val="en-GB" w:eastAsia="en-IN"/>
        </w:rPr>
        <w:t>beliefs</w:t>
      </w:r>
      <w:r w:rsidRPr="00B01C7F">
        <w:rPr>
          <w:rFonts w:cs="Times New Roman"/>
          <w:b/>
          <w:bCs/>
          <w:szCs w:val="20"/>
          <w:lang w:val="en-GB"/>
        </w:rPr>
        <w:t xml:space="preserve"> based on patriarchal norms that perpetuate harmful stereotypes and myths about women.</w:t>
      </w:r>
    </w:p>
    <w:p w:rsidR="00ED62A0" w:rsidRPr="00B01C7F" w:rsidRDefault="00ED62A0" w:rsidP="00ED62A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B01C7F">
        <w:rPr>
          <w:rFonts w:cs="Times New Roman"/>
          <w:b/>
          <w:szCs w:val="20"/>
          <w:lang w:val="en-GB"/>
        </w:rPr>
        <w:tab/>
      </w:r>
      <w:r w:rsidRPr="00B01C7F">
        <w:rPr>
          <w:rFonts w:cs="Times New Roman"/>
          <w:b/>
          <w:szCs w:val="20"/>
          <w:lang w:val="en-GB"/>
        </w:rPr>
        <w:tab/>
        <w:t>Statistics and data collection</w:t>
      </w:r>
    </w:p>
    <w:p w:rsidR="00ED62A0" w:rsidRPr="00B01C7F" w:rsidRDefault="00ED62A0" w:rsidP="00C2134E">
      <w:pPr>
        <w:numPr>
          <w:ilvl w:val="0"/>
          <w:numId w:val="10"/>
        </w:numPr>
        <w:tabs>
          <w:tab w:val="left" w:pos="1700"/>
        </w:tabs>
        <w:suppressAutoHyphens/>
        <w:bidi w:val="0"/>
        <w:spacing w:after="120"/>
        <w:ind w:left="1134" w:right="1134" w:firstLine="0"/>
        <w:jc w:val="both"/>
        <w:rPr>
          <w:rFonts w:cs="Times New Roman"/>
          <w:b/>
          <w:bCs/>
          <w:szCs w:val="20"/>
          <w:lang w:val="en-GB"/>
        </w:rPr>
      </w:pPr>
      <w:r w:rsidRPr="00B01C7F">
        <w:rPr>
          <w:rFonts w:cs="Times New Roman"/>
          <w:b/>
          <w:bCs/>
          <w:szCs w:val="20"/>
          <w:lang w:val="en-GB"/>
        </w:rPr>
        <w:t xml:space="preserve">The Special Rapporteur recommends that the Government: </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(a)</w:t>
      </w:r>
      <w:r w:rsidRPr="00B01C7F">
        <w:rPr>
          <w:rFonts w:cs="Times New Roman"/>
          <w:b/>
          <w:bCs/>
          <w:szCs w:val="20"/>
          <w:lang w:val="en-GB"/>
        </w:rPr>
        <w:tab/>
        <w:t>Ensure consistent data collection and analysis on violence against women, through the establishment of a standardized and centralized information system that receives information from the police, justice, health and social services. Data on the victim and the perpetrator should be disaggregated by sex, age, relationship, disability and other relevant characteristics;</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(b)</w:t>
      </w:r>
      <w:r w:rsidRPr="00B01C7F">
        <w:rPr>
          <w:rFonts w:cs="Times New Roman"/>
          <w:b/>
          <w:bCs/>
          <w:szCs w:val="20"/>
          <w:lang w:val="en-GB"/>
        </w:rPr>
        <w:tab/>
        <w:t>Develop a system for monitoring school dropout rates of girl children, in particular in regions with a high percentage of child marriages;</w:t>
      </w:r>
      <w:r w:rsidRPr="00B01C7F" w:rsidDel="00E63763">
        <w:rPr>
          <w:rFonts w:cs="Times New Roman"/>
          <w:b/>
          <w:bCs/>
          <w:szCs w:val="20"/>
          <w:lang w:val="en-GB"/>
        </w:rPr>
        <w:t xml:space="preserve"> </w:t>
      </w:r>
    </w:p>
    <w:p w:rsidR="00ED62A0" w:rsidRPr="00C2134E"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(c)</w:t>
      </w:r>
      <w:r w:rsidRPr="00B01C7F">
        <w:rPr>
          <w:rFonts w:cs="Times New Roman"/>
          <w:b/>
          <w:bCs/>
          <w:szCs w:val="20"/>
          <w:lang w:val="en-GB"/>
        </w:rPr>
        <w:tab/>
        <w:t>Conduct regular analysis of data, to understand the different trends and evolutions of manifestations of violence against women, including marginalized women such as IDP women, women with disabilities, women in same-sex relationships and transgendered women;</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(d)</w:t>
      </w:r>
      <w:r w:rsidRPr="00B01C7F">
        <w:rPr>
          <w:rFonts w:cs="Times New Roman"/>
          <w:b/>
          <w:bCs/>
          <w:szCs w:val="20"/>
          <w:lang w:val="en-GB"/>
        </w:rPr>
        <w:tab/>
        <w:t xml:space="preserve">Undertake regular monitoring on the level of women’s representation in the political sphere but also in the judiciary, the law enforcement sector and the public sector in general; </w:t>
      </w:r>
    </w:p>
    <w:p w:rsidR="00ED62A0" w:rsidRPr="00B01C7F" w:rsidRDefault="00ED62A0" w:rsidP="00C2134E">
      <w:pPr>
        <w:tabs>
          <w:tab w:val="left" w:pos="1700"/>
          <w:tab w:val="left" w:pos="2300"/>
        </w:tabs>
        <w:suppressAutoHyphens/>
        <w:bidi w:val="0"/>
        <w:spacing w:after="120"/>
        <w:ind w:left="1134" w:right="1134" w:firstLine="567"/>
        <w:jc w:val="both"/>
        <w:rPr>
          <w:rFonts w:cs="Times New Roman"/>
          <w:b/>
          <w:bCs/>
          <w:szCs w:val="20"/>
          <w:lang w:val="en-GB"/>
        </w:rPr>
      </w:pPr>
      <w:r w:rsidRPr="00B01C7F">
        <w:rPr>
          <w:rFonts w:cs="Times New Roman"/>
          <w:b/>
          <w:bCs/>
          <w:szCs w:val="20"/>
          <w:lang w:val="en-GB"/>
        </w:rPr>
        <w:t>(e)</w:t>
      </w:r>
      <w:r w:rsidRPr="00B01C7F">
        <w:rPr>
          <w:rFonts w:cs="Times New Roman"/>
          <w:b/>
          <w:bCs/>
          <w:szCs w:val="20"/>
          <w:lang w:val="en-GB"/>
        </w:rPr>
        <w:tab/>
        <w:t>In cooperation with civil society organizations, develop monitoring and evaluation tools to assess progress in eradicating violence against women and integrate such tools in the design of relevant schemes and programmes.</w:t>
      </w:r>
    </w:p>
    <w:p w:rsidR="00ED62A0" w:rsidRPr="00650B4A" w:rsidRDefault="00650B4A" w:rsidP="00650B4A">
      <w:pPr>
        <w:spacing w:before="120"/>
        <w:jc w:val="center"/>
        <w:rPr>
          <w:u w:val="single"/>
          <w:lang w:val="en-GB"/>
        </w:rPr>
      </w:pPr>
      <w:r>
        <w:rPr>
          <w:u w:val="single"/>
          <w:lang w:val="en-GB"/>
        </w:rPr>
        <w:tab/>
      </w:r>
      <w:r>
        <w:rPr>
          <w:u w:val="single"/>
          <w:lang w:val="en-GB"/>
        </w:rPr>
        <w:tab/>
      </w:r>
      <w:r>
        <w:rPr>
          <w:u w:val="single"/>
          <w:lang w:val="en-GB"/>
        </w:rPr>
        <w:tab/>
      </w:r>
    </w:p>
    <w:sectPr w:rsidR="00ED62A0" w:rsidRPr="00650B4A" w:rsidSect="006A7E3F">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39" w:rsidRPr="00FE6865" w:rsidRDefault="006A6939" w:rsidP="00FE6865">
      <w:pPr>
        <w:pStyle w:val="Footer"/>
      </w:pPr>
    </w:p>
  </w:endnote>
  <w:endnote w:type="continuationSeparator" w:id="0">
    <w:p w:rsidR="006A6939" w:rsidRDefault="006A6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39" w:rsidRPr="006A7E3F" w:rsidRDefault="006A6939" w:rsidP="006A7E3F">
    <w:pPr>
      <w:pStyle w:val="Footer"/>
      <w:tabs>
        <w:tab w:val="right" w:pos="9598"/>
      </w:tabs>
    </w:pPr>
    <w:r>
      <w:t>GE.14-05671</w:t>
    </w:r>
    <w:r>
      <w:tab/>
    </w:r>
    <w:r w:rsidRPr="006A7E3F">
      <w:rPr>
        <w:b/>
        <w:sz w:val="18"/>
      </w:rPr>
      <w:fldChar w:fldCharType="begin"/>
    </w:r>
    <w:r w:rsidRPr="006A7E3F">
      <w:rPr>
        <w:b/>
        <w:sz w:val="18"/>
      </w:rPr>
      <w:instrText xml:space="preserve"> PAGE  \* MERGEFORMAT </w:instrText>
    </w:r>
    <w:r w:rsidRPr="006A7E3F">
      <w:rPr>
        <w:b/>
        <w:sz w:val="18"/>
      </w:rPr>
      <w:fldChar w:fldCharType="separate"/>
    </w:r>
    <w:r w:rsidR="00011476">
      <w:rPr>
        <w:b/>
        <w:noProof/>
        <w:sz w:val="18"/>
      </w:rPr>
      <w:t>22</w:t>
    </w:r>
    <w:r w:rsidRPr="006A7E3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39" w:rsidRPr="006A7E3F" w:rsidRDefault="006A6939" w:rsidP="006A7E3F">
    <w:pPr>
      <w:pStyle w:val="Footer"/>
      <w:tabs>
        <w:tab w:val="right" w:pos="9598"/>
      </w:tabs>
      <w:rPr>
        <w:b/>
        <w:sz w:val="18"/>
      </w:rPr>
    </w:pPr>
    <w:r w:rsidRPr="006A7E3F">
      <w:rPr>
        <w:b/>
        <w:sz w:val="18"/>
      </w:rPr>
      <w:fldChar w:fldCharType="begin"/>
    </w:r>
    <w:r w:rsidRPr="006A7E3F">
      <w:rPr>
        <w:b/>
        <w:sz w:val="18"/>
      </w:rPr>
      <w:instrText xml:space="preserve"> PAGE  \* MERGEFORMAT </w:instrText>
    </w:r>
    <w:r w:rsidRPr="006A7E3F">
      <w:rPr>
        <w:b/>
        <w:sz w:val="18"/>
      </w:rPr>
      <w:fldChar w:fldCharType="separate"/>
    </w:r>
    <w:r w:rsidR="00011476">
      <w:rPr>
        <w:b/>
        <w:noProof/>
        <w:sz w:val="18"/>
      </w:rPr>
      <w:t>21</w:t>
    </w:r>
    <w:r w:rsidRPr="006A7E3F">
      <w:rPr>
        <w:b/>
        <w:sz w:val="18"/>
      </w:rPr>
      <w:fldChar w:fldCharType="end"/>
    </w:r>
    <w:r>
      <w:rPr>
        <w:b/>
        <w:sz w:val="18"/>
      </w:rPr>
      <w:tab/>
    </w:r>
    <w:r>
      <w:t>GE.14-05671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39" w:rsidRDefault="006A6939" w:rsidP="00386587">
    <w:pPr>
      <w:pStyle w:val="Footer"/>
      <w:tabs>
        <w:tab w:val="left" w:pos="638"/>
        <w:tab w:val="left" w:pos="1309"/>
      </w:tabs>
      <w:bidi/>
      <w:spacing w:after="60" w:line="280" w:lineRule="exact"/>
      <w:ind w:left="1338" w:right="1247" w:hanging="1338"/>
      <w:rPr>
        <w:rFonts w:hint="cs"/>
        <w:sz w:val="18"/>
        <w:szCs w:val="26"/>
        <w:rtl/>
        <w:lang w:val="en-US"/>
      </w:rPr>
    </w:pPr>
    <w:r>
      <w:rPr>
        <w:rFonts w:hint="cs"/>
        <w:sz w:val="18"/>
        <w:szCs w:val="26"/>
        <w:rtl/>
        <w:lang w:val="en-US"/>
      </w:rPr>
      <w:tab/>
      <w:t>ــــــــ</w:t>
    </w:r>
  </w:p>
  <w:p w:rsidR="006A6939" w:rsidRPr="00D27A4F" w:rsidRDefault="006A6939" w:rsidP="006F740E">
    <w:pPr>
      <w:pStyle w:val="Footer"/>
      <w:tabs>
        <w:tab w:val="left" w:pos="945"/>
        <w:tab w:val="left" w:pos="1309"/>
      </w:tabs>
      <w:bidi/>
      <w:spacing w:after="60" w:line="280" w:lineRule="exact"/>
      <w:ind w:left="1338" w:right="1247" w:hanging="1338"/>
      <w:rPr>
        <w:rFonts w:hint="cs"/>
        <w:sz w:val="18"/>
        <w:szCs w:val="26"/>
        <w:lang w:val="en-US"/>
      </w:rPr>
    </w:pPr>
    <w:r w:rsidRPr="00D27A4F">
      <w:rPr>
        <w:rFonts w:hint="cs"/>
        <w:sz w:val="18"/>
        <w:szCs w:val="26"/>
        <w:rtl/>
        <w:lang w:val="en-US"/>
      </w:rPr>
      <w:tab/>
      <w:t>*</w:t>
    </w:r>
    <w:r w:rsidRPr="00D27A4F">
      <w:rPr>
        <w:rFonts w:hint="cs"/>
        <w:sz w:val="18"/>
        <w:szCs w:val="26"/>
        <w:rtl/>
        <w:lang w:val="en-US"/>
      </w:rPr>
      <w:tab/>
    </w:r>
    <w:r w:rsidRPr="00AC682E">
      <w:rPr>
        <w:szCs w:val="26"/>
        <w:rtl/>
      </w:rPr>
      <w:t>تأخر تقديم هذه الوثيقة</w:t>
    </w:r>
    <w:r w:rsidRPr="00AC682E">
      <w:rPr>
        <w:rFonts w:hint="cs"/>
        <w:szCs w:val="26"/>
        <w:rtl/>
      </w:rPr>
      <w:t>.</w:t>
    </w:r>
  </w:p>
  <w:p w:rsidR="006A6939" w:rsidRPr="00D27A4F" w:rsidRDefault="006A6939" w:rsidP="009606AF">
    <w:pPr>
      <w:pStyle w:val="Footer"/>
      <w:tabs>
        <w:tab w:val="left" w:pos="945"/>
        <w:tab w:val="left" w:pos="1309"/>
      </w:tabs>
      <w:bidi/>
      <w:spacing w:after="360" w:line="280" w:lineRule="exact"/>
      <w:ind w:left="1338" w:right="1247" w:hanging="1338"/>
      <w:rPr>
        <w:rFonts w:hint="cs"/>
        <w:sz w:val="18"/>
        <w:szCs w:val="26"/>
        <w:rtl/>
        <w:lang w:val="en-US"/>
      </w:rPr>
    </w:pPr>
    <w:r w:rsidRPr="00D27A4F">
      <w:rPr>
        <w:sz w:val="18"/>
        <w:szCs w:val="26"/>
        <w:rtl/>
      </w:rPr>
      <w:tab/>
    </w:r>
    <w:r>
      <w:rPr>
        <w:rFonts w:hint="cs"/>
        <w:sz w:val="18"/>
        <w:szCs w:val="26"/>
        <w:rtl/>
      </w:rPr>
      <w:t>*</w:t>
    </w:r>
    <w:r w:rsidRPr="00D27A4F">
      <w:rPr>
        <w:rStyle w:val="FootnoteReference"/>
        <w:szCs w:val="26"/>
        <w:vertAlign w:val="baseline"/>
        <w:rtl/>
      </w:rPr>
      <w:t>*</w:t>
    </w:r>
    <w:r w:rsidRPr="00D27A4F">
      <w:rPr>
        <w:sz w:val="18"/>
        <w:szCs w:val="26"/>
        <w:rtl/>
      </w:rPr>
      <w:tab/>
    </w:r>
    <w:r w:rsidRPr="00AC682E">
      <w:rPr>
        <w:szCs w:val="26"/>
        <w:rtl/>
      </w:rPr>
      <w:t>يُعمم موجز هذا التقرير بجميع اللغات الرسمية</w:t>
    </w:r>
    <w:r>
      <w:rPr>
        <w:rFonts w:hint="cs"/>
        <w:szCs w:val="26"/>
        <w:rtl/>
      </w:rPr>
      <w:t>.</w:t>
    </w:r>
    <w:r w:rsidRPr="00AC682E">
      <w:rPr>
        <w:szCs w:val="26"/>
        <w:rtl/>
      </w:rPr>
      <w:t xml:space="preserve"> أما التقرير نفسه، الوارد في مرفق الموجز، فيُعمم باللغة التي </w:t>
    </w:r>
    <w:r>
      <w:rPr>
        <w:rFonts w:hint="cs"/>
        <w:szCs w:val="26"/>
        <w:rtl/>
      </w:rPr>
      <w:t>ورد بها فقط</w:t>
    </w:r>
    <w:r w:rsidRPr="00AC682E">
      <w:rPr>
        <w:szCs w:val="26"/>
        <w:rtl/>
      </w:rPr>
      <w:t>.</w:t>
    </w:r>
  </w:p>
  <w:p w:rsidR="006A6939" w:rsidRDefault="006A6939" w:rsidP="006A7E3F">
    <w:pPr>
      <w:pStyle w:val="Footer"/>
      <w:jc w:val="right"/>
      <w:rPr>
        <w:sz w:val="20"/>
        <w:lang w:val="en-US"/>
      </w:rPr>
    </w:pPr>
  </w:p>
  <w:p w:rsidR="006A6939" w:rsidRDefault="006A6939" w:rsidP="006A7E3F">
    <w:pPr>
      <w:pStyle w:val="Footer"/>
      <w:jc w:val="right"/>
    </w:pPr>
    <w:r>
      <w:rPr>
        <w:sz w:val="20"/>
      </w:rPr>
      <w:t>(A)   GE.14-05671    200614    230614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sidR="009606AF">
      <w:tab/>
    </w:r>
    <w:r w:rsidR="009606AF">
      <w:rPr>
        <w:noProof/>
        <w:lang w:val="en-US"/>
      </w:rPr>
      <w:pict>
        <v:shape id="_x0000_s2051" type="#_x0000_t75" style="position:absolute;left:0;text-align:left;margin-left:.05pt;margin-top:0;width:50.25pt;height:50.25pt;z-index:2;mso-position-horizontal-relative:text;mso-position-vertical-relative:text" o:allowincell="f">
          <v:imagedata r:id="rId2" o:title="Add"/>
        </v:shape>
      </w:pict>
    </w:r>
    <w:r w:rsidR="009606AF">
      <w:br/>
    </w:r>
    <w:r w:rsidR="009606AF" w:rsidRPr="009606AF">
      <w:rPr>
        <w:rFonts w:ascii="C39T30Lfz" w:hAnsi="C39T30Lfz"/>
        <w:sz w:val="56"/>
      </w:rPr>
      <w:t></w:t>
    </w:r>
    <w:r w:rsidR="009606AF" w:rsidRPr="009606AF">
      <w:rPr>
        <w:rFonts w:ascii="C39T30Lfz" w:hAnsi="C39T30Lfz"/>
        <w:sz w:val="56"/>
      </w:rPr>
      <w:t></w:t>
    </w:r>
    <w:r w:rsidR="009606AF" w:rsidRPr="009606AF">
      <w:rPr>
        <w:rFonts w:ascii="C39T30Lfz" w:hAnsi="C39T30Lfz"/>
        <w:sz w:val="56"/>
      </w:rPr>
      <w:t></w:t>
    </w:r>
    <w:r w:rsidR="009606AF" w:rsidRPr="009606AF">
      <w:rPr>
        <w:rFonts w:ascii="C39T30Lfz" w:hAnsi="C39T30Lfz"/>
        <w:sz w:val="56"/>
      </w:rPr>
      <w:t></w:t>
    </w:r>
    <w:r w:rsidR="009606AF" w:rsidRPr="009606AF">
      <w:rPr>
        <w:rFonts w:ascii="C39T30Lfz" w:hAnsi="C39T30Lfz"/>
        <w:sz w:val="56"/>
      </w:rPr>
      <w:t></w:t>
    </w:r>
    <w:r w:rsidR="009606AF" w:rsidRPr="009606AF">
      <w:rPr>
        <w:rFonts w:ascii="C39T30Lfz" w:hAnsi="C39T30Lfz"/>
        <w:sz w:val="56"/>
      </w:rPr>
      <w:t></w:t>
    </w:r>
    <w:r w:rsidR="009606AF" w:rsidRPr="009606AF">
      <w:rPr>
        <w:rFonts w:ascii="C39T30Lfz" w:hAnsi="C39T30Lfz"/>
        <w:sz w:val="56"/>
      </w:rPr>
      <w:t></w:t>
    </w:r>
    <w:r w:rsidR="009606AF" w:rsidRPr="009606AF">
      <w:rPr>
        <w:rFonts w:ascii="C39T30Lfz" w:hAnsi="C39T30Lfz"/>
        <w:sz w:val="56"/>
      </w:rPr>
      <w:t></w:t>
    </w:r>
    <w:r w:rsidR="009606AF" w:rsidRPr="009606AF">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39" w:rsidRDefault="006A6939" w:rsidP="001D3B50">
      <w:pPr>
        <w:bidi w:val="0"/>
        <w:spacing w:line="240" w:lineRule="exact"/>
        <w:ind w:left="680"/>
      </w:pPr>
      <w:r w:rsidRPr="00C10C26">
        <w:rPr>
          <w:sz w:val="16"/>
          <w:rtl/>
        </w:rPr>
        <w:t>__________</w:t>
      </w:r>
    </w:p>
  </w:footnote>
  <w:footnote w:type="continuationSeparator" w:id="0">
    <w:p w:rsidR="006A6939" w:rsidRDefault="006A6939" w:rsidP="00444AA6">
      <w:pPr>
        <w:pStyle w:val="Footer"/>
        <w:bidi/>
        <w:spacing w:after="80" w:line="200" w:lineRule="exact"/>
        <w:ind w:left="680"/>
      </w:pPr>
      <w:r>
        <w:rPr>
          <w:rFonts w:hint="cs"/>
          <w:rtl/>
        </w:rPr>
        <w:t>__________</w:t>
      </w:r>
    </w:p>
  </w:footnote>
  <w:footnote w:id="1">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United Nations Population Fund (UNFPA), </w:t>
      </w:r>
      <w:r w:rsidRPr="00882224">
        <w:rPr>
          <w:i/>
          <w:sz w:val="18"/>
          <w:szCs w:val="18"/>
        </w:rPr>
        <w:t>2008 National Survey Report on Domestic Violence against Women in Azerbaijan</w:t>
      </w:r>
      <w:r w:rsidRPr="00882224">
        <w:rPr>
          <w:sz w:val="18"/>
          <w:szCs w:val="18"/>
        </w:rPr>
        <w:t>, 2012.</w:t>
      </w:r>
    </w:p>
  </w:footnote>
  <w:footnote w:id="2">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r>
      <w:r w:rsidRPr="00882224">
        <w:rPr>
          <w:sz w:val="18"/>
          <w:szCs w:val="16"/>
        </w:rPr>
        <w:t>On the conflict in and around the Nagorno-Karabakh region of the Republic of Azerbaijan, please s</w:t>
      </w:r>
      <w:r w:rsidRPr="00882224">
        <w:rPr>
          <w:sz w:val="18"/>
          <w:szCs w:val="18"/>
        </w:rPr>
        <w:t xml:space="preserve">ee </w:t>
      </w:r>
      <w:r w:rsidRPr="00882224">
        <w:rPr>
          <w:sz w:val="18"/>
          <w:szCs w:val="16"/>
        </w:rPr>
        <w:t>Security Council resolutions 822, 853, 874 and 884 of 1993 and General Assembly resolution 62/243 of 14 March 2008.</w:t>
      </w:r>
    </w:p>
  </w:footnote>
  <w:footnote w:id="3">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United Nations Development Programme (UNDP) Azerbaijan, </w:t>
      </w:r>
      <w:r w:rsidRPr="00882224">
        <w:rPr>
          <w:i/>
          <w:sz w:val="18"/>
          <w:szCs w:val="16"/>
        </w:rPr>
        <w:t>Azerbaijan</w:t>
      </w:r>
      <w:r w:rsidRPr="00882224">
        <w:rPr>
          <w:i/>
          <w:sz w:val="18"/>
          <w:szCs w:val="18"/>
        </w:rPr>
        <w:t xml:space="preserve"> Human Development Report 2007, Gender Attitudes in Azerbaijan: Trends and Challenges</w:t>
      </w:r>
      <w:r w:rsidRPr="00882224">
        <w:rPr>
          <w:sz w:val="18"/>
          <w:szCs w:val="18"/>
        </w:rPr>
        <w:t xml:space="preserve"> (2007), p. 65.</w:t>
      </w:r>
    </w:p>
  </w:footnote>
  <w:footnote w:id="4">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 xml:space="preserve">UNICEF, </w:t>
      </w:r>
      <w:r w:rsidRPr="00882224">
        <w:rPr>
          <w:i/>
          <w:sz w:val="18"/>
          <w:szCs w:val="16"/>
        </w:rPr>
        <w:t>Study on Child Marriages in Azerbaijan</w:t>
      </w:r>
      <w:r w:rsidRPr="00882224">
        <w:rPr>
          <w:sz w:val="18"/>
          <w:szCs w:val="16"/>
        </w:rPr>
        <w:t xml:space="preserve"> (2009), p. 5.</w:t>
      </w:r>
    </w:p>
  </w:footnote>
  <w:footnote w:id="5">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r>
      <w:r w:rsidRPr="00882224">
        <w:rPr>
          <w:i/>
          <w:sz w:val="18"/>
          <w:szCs w:val="16"/>
        </w:rPr>
        <w:t>Ibid.</w:t>
      </w:r>
      <w:r w:rsidRPr="00882224">
        <w:rPr>
          <w:sz w:val="18"/>
          <w:szCs w:val="16"/>
        </w:rPr>
        <w:t>, p. 37–41.</w:t>
      </w:r>
    </w:p>
  </w:footnote>
  <w:footnote w:id="6">
    <w:p w:rsidR="006A6939" w:rsidRPr="00882224" w:rsidRDefault="006A6939" w:rsidP="00650B4A">
      <w:pPr>
        <w:pStyle w:val="FootnoteText"/>
        <w:tabs>
          <w:tab w:val="right" w:pos="1000"/>
        </w:tabs>
        <w:bidi w:val="0"/>
        <w:spacing w:line="220" w:lineRule="exact"/>
        <w:ind w:left="1134" w:right="1134" w:hanging="1134"/>
        <w:jc w:val="left"/>
        <w:rPr>
          <w:rFonts w:ascii="Cambria" w:hAnsi="Cambria" w:cs="Arial"/>
          <w:sz w:val="14"/>
          <w:szCs w:val="14"/>
        </w:rPr>
      </w:pPr>
      <w:r w:rsidRPr="00882224">
        <w:rPr>
          <w:sz w:val="18"/>
          <w:szCs w:val="16"/>
        </w:rPr>
        <w:tab/>
      </w:r>
      <w:r w:rsidRPr="00882224">
        <w:rPr>
          <w:rStyle w:val="FootnoteReference"/>
          <w:b w:val="0"/>
          <w:sz w:val="16"/>
          <w:szCs w:val="26"/>
        </w:rPr>
        <w:footnoteRef/>
      </w:r>
      <w:r w:rsidRPr="00882224">
        <w:rPr>
          <w:sz w:val="18"/>
          <w:szCs w:val="16"/>
        </w:rPr>
        <w:tab/>
      </w:r>
      <w:r w:rsidRPr="00882224">
        <w:rPr>
          <w:i/>
          <w:sz w:val="18"/>
          <w:szCs w:val="16"/>
        </w:rPr>
        <w:t>Ibid.</w:t>
      </w:r>
      <w:r w:rsidRPr="00882224">
        <w:rPr>
          <w:sz w:val="18"/>
          <w:szCs w:val="16"/>
        </w:rPr>
        <w:t>, p. 42.</w:t>
      </w:r>
    </w:p>
  </w:footnote>
  <w:footnote w:id="7">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 xml:space="preserve"> Counterpart International </w:t>
      </w:r>
      <w:r w:rsidRPr="00882224">
        <w:rPr>
          <w:i/>
          <w:sz w:val="18"/>
          <w:szCs w:val="16"/>
        </w:rPr>
        <w:t>et al.</w:t>
      </w:r>
      <w:r w:rsidRPr="00882224">
        <w:rPr>
          <w:sz w:val="18"/>
          <w:szCs w:val="16"/>
        </w:rPr>
        <w:t>, “Alternative monitoring report to the Committee on the Elimination of All Forms of Discrimination Against Women in Azerbaijan (CEDAW)”, Baku, 2013. Available from tbinternet.ohchr.org/Treaties/CEDAW/Shared%20Documents/AZE/INT_CEDAW_NGO_AZE_16008_E.pdf.</w:t>
      </w:r>
    </w:p>
  </w:footnote>
  <w:footnote w:id="8">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The draft law </w:t>
      </w:r>
      <w:r w:rsidRPr="00882224">
        <w:rPr>
          <w:sz w:val="18"/>
          <w:szCs w:val="16"/>
        </w:rPr>
        <w:t>on</w:t>
      </w:r>
      <w:r w:rsidRPr="00882224">
        <w:rPr>
          <w:sz w:val="18"/>
          <w:szCs w:val="18"/>
        </w:rPr>
        <w:t xml:space="preserve"> reproductive health that has been before the Parliament since 2008 would prohibit defining the sex of a child and artificial termination of pregnancy because of sex, except for cases when transmission of hereditary disease is high. </w:t>
      </w:r>
    </w:p>
  </w:footnote>
  <w:footnote w:id="9">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United Nations Country Team (UNCT) Azerbaijan, “Country gender briefing kit”, 2012.</w:t>
      </w:r>
    </w:p>
  </w:footnote>
  <w:footnote w:id="10">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K. Gilles and Ch. Feldman-Jacobs, “When technology and tradition collide: from gender bias to sex selection”, Policy Brief (Population Reference Bureau, September 2012). Available from www.prb.org/pdf12/gender-bias-sex-selection.pdf.</w:t>
      </w:r>
    </w:p>
  </w:footnote>
  <w:footnote w:id="11">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According to the data provided by the Ministry of Internal Affairs, 16 women were sentenced to up to 3 years’ imprisonment, 50 up to 5 years, 223 up to 10 years, and 81 women were sentenced to more than 10 years’ imprisonment.</w:t>
      </w:r>
    </w:p>
  </w:footnote>
  <w:footnote w:id="12">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According to the </w:t>
      </w:r>
      <w:r w:rsidRPr="00882224">
        <w:rPr>
          <w:sz w:val="18"/>
          <w:szCs w:val="16"/>
        </w:rPr>
        <w:t>information</w:t>
      </w:r>
      <w:r w:rsidRPr="00882224">
        <w:rPr>
          <w:sz w:val="18"/>
          <w:szCs w:val="18"/>
        </w:rPr>
        <w:t xml:space="preserve"> provided by the State, the figure is two offenders in the last five years.</w:t>
      </w:r>
    </w:p>
  </w:footnote>
  <w:footnote w:id="13">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The Special </w:t>
      </w:r>
      <w:r w:rsidRPr="00882224">
        <w:rPr>
          <w:sz w:val="18"/>
          <w:szCs w:val="16"/>
        </w:rPr>
        <w:t>Rapporteur</w:t>
      </w:r>
      <w:r w:rsidRPr="00882224">
        <w:rPr>
          <w:sz w:val="18"/>
          <w:szCs w:val="18"/>
        </w:rPr>
        <w:t xml:space="preserve"> was informed that a newly constructed detention facility for women in the Zabrat settlement of Baku would have adequate conditions for keeping girls separate from adults. It is hoped that such facility is in line with international norms and standards.</w:t>
      </w:r>
    </w:p>
  </w:footnote>
  <w:footnote w:id="14">
    <w:p w:rsidR="006A6939" w:rsidRPr="00882224" w:rsidRDefault="006A6939" w:rsidP="00650B4A">
      <w:pPr>
        <w:pStyle w:val="FootnoteText"/>
        <w:widowControl w:val="0"/>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Council of Europe, “Report to the Azerbaijani Government on the visit to Azerbaijan carried out by the European Committee for the Prevention of Torture and Inhuman or Degrading Treatment or Punishment (CPT) from 24 November to 6 December 2002”, CPT/Inf(2004)36. Available from www.cpt.coe.int/documents/aze/2004-36-inf-eng.htm. </w:t>
      </w:r>
    </w:p>
    <w:p w:rsidR="006A6939" w:rsidRPr="00882224" w:rsidRDefault="006A6939" w:rsidP="00650B4A">
      <w:pPr>
        <w:pStyle w:val="FootnoteText"/>
        <w:widowControl w:val="0"/>
        <w:tabs>
          <w:tab w:val="right" w:pos="1000"/>
        </w:tabs>
        <w:bidi w:val="0"/>
        <w:spacing w:line="220" w:lineRule="exact"/>
        <w:ind w:left="1134" w:right="1134" w:hanging="1134"/>
        <w:jc w:val="left"/>
        <w:rPr>
          <w:sz w:val="18"/>
          <w:szCs w:val="18"/>
        </w:rPr>
      </w:pPr>
    </w:p>
  </w:footnote>
  <w:footnote w:id="15">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United Nations Development Fund for Women (UNIFEM), </w:t>
      </w:r>
      <w:r w:rsidRPr="00882224">
        <w:rPr>
          <w:i/>
          <w:sz w:val="18"/>
          <w:szCs w:val="18"/>
        </w:rPr>
        <w:t>The Status of IDP Women in Azerbaijan: a Rapid Assessment</w:t>
      </w:r>
      <w:r w:rsidRPr="00882224">
        <w:rPr>
          <w:sz w:val="18"/>
          <w:szCs w:val="18"/>
        </w:rPr>
        <w:t xml:space="preserve"> (Baku, 2006).</w:t>
      </w:r>
    </w:p>
  </w:footnote>
  <w:footnote w:id="16">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Inter-Parliamentary Union/UN-Women, “Women in politics: 2014, situation on 1 January  2014”. Available from www.</w:t>
      </w:r>
      <w:r w:rsidRPr="00882224">
        <w:rPr>
          <w:sz w:val="18"/>
          <w:szCs w:val="18"/>
        </w:rPr>
        <w:t>ipu</w:t>
      </w:r>
      <w:r w:rsidRPr="00882224">
        <w:rPr>
          <w:sz w:val="18"/>
          <w:szCs w:val="16"/>
        </w:rPr>
        <w:t>.org/pdf/publications/wmnmap14_en.pdf.</w:t>
      </w:r>
    </w:p>
  </w:footnote>
  <w:footnote w:id="17">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President of Azerbaijan, “Administration: structure”. Available from en.president.az/administration/structure/.</w:t>
      </w:r>
    </w:p>
  </w:footnote>
  <w:footnote w:id="18">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See footnote 9 above.</w:t>
      </w:r>
    </w:p>
  </w:footnote>
  <w:footnote w:id="19">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rFonts w:ascii="Cambria" w:hAnsi="Cambria" w:cs="Arial"/>
          <w:sz w:val="14"/>
          <w:szCs w:val="14"/>
        </w:rPr>
        <w:tab/>
      </w:r>
      <w:r w:rsidRPr="00882224">
        <w:rPr>
          <w:rStyle w:val="FootnoteReference"/>
          <w:b w:val="0"/>
          <w:sz w:val="16"/>
          <w:szCs w:val="26"/>
        </w:rPr>
        <w:footnoteRef/>
      </w:r>
      <w:r w:rsidRPr="00882224">
        <w:rPr>
          <w:rFonts w:ascii="Cambria" w:hAnsi="Cambria" w:cs="Arial"/>
          <w:sz w:val="14"/>
          <w:szCs w:val="14"/>
        </w:rPr>
        <w:tab/>
      </w:r>
      <w:r w:rsidRPr="00882224">
        <w:rPr>
          <w:sz w:val="18"/>
          <w:szCs w:val="16"/>
        </w:rPr>
        <w:t>United Nations Azerbaijan, “Post-2015 Development Agenda: ‘The future we want’: national consultations in Azerbaijan, final report”, Baku, 2013, p. 45.</w:t>
      </w:r>
    </w:p>
  </w:footnote>
  <w:footnote w:id="20">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r>
      <w:r w:rsidRPr="00882224">
        <w:rPr>
          <w:i/>
          <w:sz w:val="18"/>
          <w:szCs w:val="18"/>
        </w:rPr>
        <w:t>Ibid</w:t>
      </w:r>
      <w:r w:rsidRPr="00882224">
        <w:rPr>
          <w:sz w:val="18"/>
          <w:szCs w:val="18"/>
        </w:rPr>
        <w:t>, p. 14.</w:t>
      </w:r>
    </w:p>
  </w:footnote>
  <w:footnote w:id="21">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r>
      <w:r w:rsidRPr="00882224">
        <w:rPr>
          <w:i/>
          <w:sz w:val="18"/>
          <w:szCs w:val="18"/>
        </w:rPr>
        <w:t>Ibid</w:t>
      </w:r>
      <w:r w:rsidRPr="00882224">
        <w:rPr>
          <w:sz w:val="18"/>
          <w:szCs w:val="18"/>
        </w:rPr>
        <w:t>.</w:t>
      </w:r>
    </w:p>
  </w:footnote>
  <w:footnote w:id="22">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UNDP Azerbaijan, “Pension reforms to serve and protect the vulnerable”. Available from http://www.az.undp.org/content/azerbaijan/en/home/ourwork/democraticgovernance/successstories/title-of-my-success-story/.</w:t>
      </w:r>
    </w:p>
  </w:footnote>
  <w:footnote w:id="23">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State Statistical Committee of the Republic of Azerbaijan, “Women and men in Azerbaijan: 2012”. Available from www.stat.gov.az/source/gender/indexen.php.</w:t>
      </w:r>
    </w:p>
  </w:footnote>
  <w:footnote w:id="24">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See footnote 19 above.</w:t>
      </w:r>
    </w:p>
  </w:footnote>
  <w:footnote w:id="25">
    <w:p w:rsidR="006A6939" w:rsidRPr="00882224" w:rsidRDefault="006A6939" w:rsidP="00650B4A">
      <w:pPr>
        <w:pStyle w:val="FootnoteText"/>
        <w:widowControl w:val="0"/>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 Citizens’ Labor Rights Protection League and Open Society Institute – Assistance Foundation, </w:t>
      </w:r>
      <w:r w:rsidRPr="00882224">
        <w:rPr>
          <w:i/>
          <w:sz w:val="18"/>
          <w:szCs w:val="18"/>
        </w:rPr>
        <w:t>Employment Policy in Azerbaijan</w:t>
      </w:r>
      <w:r w:rsidRPr="00882224">
        <w:rPr>
          <w:sz w:val="18"/>
          <w:szCs w:val="18"/>
        </w:rPr>
        <w:t xml:space="preserve"> (Baku, 2008), p. 14. Available from </w:t>
      </w:r>
      <w:r w:rsidRPr="00882224">
        <w:rPr>
          <w:rStyle w:val="HTMLCite"/>
          <w:i w:val="0"/>
          <w:sz w:val="18"/>
          <w:szCs w:val="18"/>
        </w:rPr>
        <w:t>clrpl.az/upload/file/Employment%20policy%20in%20Azerbaijan.pdf.</w:t>
      </w:r>
    </w:p>
  </w:footnote>
  <w:footnote w:id="26">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r>
      <w:r w:rsidRPr="00882224">
        <w:rPr>
          <w:sz w:val="18"/>
          <w:szCs w:val="16"/>
        </w:rPr>
        <w:t>See footnote 23 above.</w:t>
      </w:r>
      <w:r w:rsidRPr="00882224">
        <w:rPr>
          <w:sz w:val="18"/>
          <w:szCs w:val="18"/>
        </w:rPr>
        <w:t>.</w:t>
      </w:r>
    </w:p>
  </w:footnote>
  <w:footnote w:id="27">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UNHCR, </w:t>
      </w:r>
      <w:r w:rsidRPr="00882224">
        <w:rPr>
          <w:i/>
          <w:sz w:val="18"/>
          <w:szCs w:val="18"/>
        </w:rPr>
        <w:t>Azerbaijan: Analysis of Gaps in the Protection of Internally Displaced Persons (IDPs)</w:t>
      </w:r>
      <w:r w:rsidRPr="00882224">
        <w:rPr>
          <w:sz w:val="18"/>
          <w:szCs w:val="18"/>
        </w:rPr>
        <w:t xml:space="preserve"> (2009), pp. 43–44. Available from </w:t>
      </w:r>
      <w:r w:rsidRPr="00882224">
        <w:rPr>
          <w:rStyle w:val="HTMLCite"/>
          <w:i w:val="0"/>
          <w:sz w:val="18"/>
          <w:szCs w:val="18"/>
        </w:rPr>
        <w:t>www.unhcr.org/4bd7edbd9.pdf.</w:t>
      </w:r>
    </w:p>
  </w:footnote>
  <w:footnote w:id="28">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r>
      <w:r w:rsidRPr="00882224">
        <w:rPr>
          <w:i/>
          <w:sz w:val="18"/>
          <w:szCs w:val="18"/>
        </w:rPr>
        <w:t>Ibid.</w:t>
      </w:r>
      <w:r w:rsidRPr="00882224">
        <w:rPr>
          <w:sz w:val="18"/>
          <w:szCs w:val="18"/>
        </w:rPr>
        <w:t>, p. 9.</w:t>
      </w:r>
    </w:p>
  </w:footnote>
  <w:footnote w:id="29">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r>
      <w:r w:rsidRPr="00882224">
        <w:rPr>
          <w:sz w:val="18"/>
          <w:szCs w:val="16"/>
        </w:rPr>
        <w:t>See footnote 9 above</w:t>
      </w:r>
      <w:r w:rsidRPr="00882224">
        <w:rPr>
          <w:sz w:val="18"/>
          <w:szCs w:val="18"/>
        </w:rPr>
        <w:t>.</w:t>
      </w:r>
    </w:p>
  </w:footnote>
  <w:footnote w:id="30">
    <w:p w:rsidR="006A6939" w:rsidRPr="00882224" w:rsidRDefault="006A6939" w:rsidP="00650B4A">
      <w:pPr>
        <w:pStyle w:val="FootnoteText"/>
        <w:widowControl w:val="0"/>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 Article 3.0.3. Available from www.edu.gov.az/view.php?lang=en&amp;menu=72&amp;id=5244.</w:t>
      </w:r>
    </w:p>
  </w:footnote>
  <w:footnote w:id="31">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According to interviewees.</w:t>
      </w:r>
    </w:p>
  </w:footnote>
  <w:footnote w:id="32">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UNICEF, </w:t>
      </w:r>
      <w:r w:rsidRPr="00882224">
        <w:rPr>
          <w:i/>
          <w:sz w:val="18"/>
          <w:szCs w:val="18"/>
        </w:rPr>
        <w:t>Azerbaijan Multiple Indicator Cluster Survey 2000</w:t>
      </w:r>
      <w:r w:rsidRPr="00882224">
        <w:rPr>
          <w:sz w:val="18"/>
          <w:szCs w:val="18"/>
        </w:rPr>
        <w:t>, (Baku, 2000), p. 23. Available from www.childinfo.org/files/Azerbaijan.pdf.</w:t>
      </w:r>
    </w:p>
  </w:footnote>
  <w:footnote w:id="33">
    <w:p w:rsidR="006A6939" w:rsidRPr="00882224" w:rsidRDefault="006A6939" w:rsidP="00650B4A">
      <w:pPr>
        <w:pStyle w:val="FootnoteText"/>
        <w:widowControl w:val="0"/>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See footnote 3 above, p. 47. </w:t>
      </w:r>
    </w:p>
  </w:footnote>
  <w:footnote w:id="34">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8"/>
        </w:rPr>
        <w:tab/>
      </w:r>
      <w:r w:rsidRPr="00882224">
        <w:rPr>
          <w:rStyle w:val="FootnoteReference"/>
          <w:b w:val="0"/>
          <w:sz w:val="16"/>
          <w:szCs w:val="26"/>
        </w:rPr>
        <w:footnoteRef/>
      </w:r>
      <w:r w:rsidRPr="00882224">
        <w:rPr>
          <w:sz w:val="18"/>
          <w:szCs w:val="18"/>
        </w:rPr>
        <w:tab/>
        <w:t>See footnote 27 above.</w:t>
      </w:r>
    </w:p>
    <w:p w:rsidR="006A6939" w:rsidRPr="00882224" w:rsidRDefault="006A6939" w:rsidP="00650B4A">
      <w:pPr>
        <w:pStyle w:val="FootnoteText"/>
        <w:tabs>
          <w:tab w:val="right" w:pos="1000"/>
        </w:tabs>
        <w:bidi w:val="0"/>
        <w:spacing w:line="220" w:lineRule="exact"/>
        <w:ind w:left="1134" w:right="1134" w:hanging="1134"/>
        <w:jc w:val="left"/>
        <w:rPr>
          <w:sz w:val="18"/>
          <w:szCs w:val="18"/>
        </w:rPr>
      </w:pPr>
    </w:p>
  </w:footnote>
  <w:footnote w:id="35">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According to article 12 of the Constitution, the rights and freedoms contained in the Constitution shall be applied in accordance with the international treaties to which the country is a party.</w:t>
      </w:r>
    </w:p>
  </w:footnote>
  <w:footnote w:id="36">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r>
      <w:r w:rsidRPr="00882224">
        <w:rPr>
          <w:sz w:val="18"/>
          <w:szCs w:val="16"/>
        </w:rPr>
        <w:t>See footnote 9 above</w:t>
      </w:r>
      <w:r w:rsidRPr="00882224">
        <w:rPr>
          <w:sz w:val="18"/>
          <w:szCs w:val="18"/>
        </w:rPr>
        <w:t>.</w:t>
      </w:r>
    </w:p>
  </w:footnote>
  <w:footnote w:id="37">
    <w:p w:rsidR="006A6939" w:rsidRPr="00882224" w:rsidRDefault="006A6939" w:rsidP="00650B4A">
      <w:pPr>
        <w:pStyle w:val="FootnoteText"/>
        <w:widowControl w:val="0"/>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 xml:space="preserve">See footnote 1 above. </w:t>
      </w:r>
    </w:p>
  </w:footnote>
  <w:footnote w:id="38">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According to the information provided by the Government, a database on classification of crimes was established.</w:t>
      </w:r>
    </w:p>
  </w:footnote>
  <w:footnote w:id="39">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OSCE, “Domestic violence cases in the justice system of Azerbaijan”, Baku, December 2013. Available from www.osce.org/baku/110044.</w:t>
      </w:r>
    </w:p>
  </w:footnote>
  <w:footnote w:id="40">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r>
      <w:r w:rsidRPr="00882224">
        <w:rPr>
          <w:sz w:val="18"/>
          <w:szCs w:val="16"/>
        </w:rPr>
        <w:t>See footnote 7 above</w:t>
      </w:r>
      <w:r w:rsidRPr="00882224">
        <w:rPr>
          <w:sz w:val="18"/>
          <w:szCs w:val="18"/>
        </w:rPr>
        <w:t>, p. 17.</w:t>
      </w:r>
    </w:p>
  </w:footnote>
  <w:footnote w:id="41">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8"/>
        </w:rPr>
        <w:tab/>
      </w:r>
      <w:r w:rsidRPr="00882224">
        <w:rPr>
          <w:rStyle w:val="FootnoteReference"/>
          <w:b w:val="0"/>
          <w:sz w:val="16"/>
          <w:szCs w:val="26"/>
        </w:rPr>
        <w:footnoteRef/>
      </w:r>
      <w:r w:rsidRPr="00882224">
        <w:rPr>
          <w:sz w:val="18"/>
          <w:szCs w:val="18"/>
        </w:rPr>
        <w:tab/>
        <w:t>Currently funded by the European Commission until November 2014.</w:t>
      </w:r>
    </w:p>
  </w:footnote>
  <w:footnote w:id="42">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8"/>
        </w:rPr>
        <w:tab/>
      </w:r>
      <w:r w:rsidRPr="00882224">
        <w:rPr>
          <w:rStyle w:val="FootnoteReference"/>
          <w:b w:val="0"/>
          <w:sz w:val="16"/>
          <w:szCs w:val="26"/>
        </w:rPr>
        <w:footnoteRef/>
      </w:r>
      <w:r w:rsidRPr="00882224">
        <w:rPr>
          <w:sz w:val="18"/>
          <w:szCs w:val="16"/>
        </w:rPr>
        <w:tab/>
        <w:t xml:space="preserve"> “Domestic violence cases in the justice system of Azerbaijan” (see footnote 39 above).</w:t>
      </w:r>
    </w:p>
  </w:footnote>
  <w:footnote w:id="43">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r>
      <w:r w:rsidRPr="00882224">
        <w:rPr>
          <w:i/>
          <w:sz w:val="18"/>
          <w:szCs w:val="16"/>
        </w:rPr>
        <w:t>Ibid</w:t>
      </w:r>
      <w:r w:rsidRPr="00882224">
        <w:rPr>
          <w:sz w:val="18"/>
          <w:szCs w:val="16"/>
        </w:rPr>
        <w:t>.</w:t>
      </w:r>
    </w:p>
  </w:footnote>
  <w:footnote w:id="44">
    <w:p w:rsidR="006A6939" w:rsidRPr="00882224" w:rsidRDefault="006A6939" w:rsidP="00650B4A">
      <w:pPr>
        <w:pStyle w:val="FootnoteText"/>
        <w:tabs>
          <w:tab w:val="right" w:pos="1000"/>
        </w:tabs>
        <w:bidi w:val="0"/>
        <w:spacing w:line="220" w:lineRule="exact"/>
        <w:ind w:left="1134" w:right="1134" w:hanging="1134"/>
        <w:jc w:val="left"/>
        <w:rPr>
          <w:sz w:val="18"/>
          <w:szCs w:val="16"/>
        </w:rPr>
      </w:pPr>
      <w:r w:rsidRPr="00882224">
        <w:rPr>
          <w:sz w:val="18"/>
          <w:szCs w:val="16"/>
        </w:rPr>
        <w:tab/>
      </w:r>
      <w:r w:rsidRPr="00882224">
        <w:rPr>
          <w:rStyle w:val="FootnoteReference"/>
          <w:b w:val="0"/>
          <w:sz w:val="16"/>
          <w:szCs w:val="26"/>
        </w:rPr>
        <w:footnoteRef/>
      </w:r>
      <w:r w:rsidRPr="00882224">
        <w:rPr>
          <w:sz w:val="18"/>
          <w:szCs w:val="16"/>
        </w:rPr>
        <w:tab/>
        <w:t>See footnote 15 above.</w:t>
      </w:r>
    </w:p>
  </w:footnote>
  <w:footnote w:id="45">
    <w:p w:rsidR="006A6939" w:rsidRPr="00882224" w:rsidRDefault="006A6939" w:rsidP="00650B4A">
      <w:pPr>
        <w:pStyle w:val="FootnoteText"/>
        <w:tabs>
          <w:tab w:val="right" w:pos="1000"/>
        </w:tabs>
        <w:bidi w:val="0"/>
        <w:spacing w:line="220" w:lineRule="exact"/>
        <w:ind w:left="1134" w:right="1134" w:hanging="1134"/>
        <w:jc w:val="left"/>
        <w:rPr>
          <w:sz w:val="18"/>
          <w:szCs w:val="18"/>
        </w:rPr>
      </w:pPr>
      <w:r w:rsidRPr="00882224">
        <w:rPr>
          <w:sz w:val="18"/>
          <w:szCs w:val="16"/>
        </w:rPr>
        <w:tab/>
      </w:r>
      <w:r w:rsidRPr="00882224">
        <w:rPr>
          <w:rStyle w:val="FootnoteReference"/>
          <w:b w:val="0"/>
          <w:sz w:val="16"/>
          <w:szCs w:val="26"/>
        </w:rPr>
        <w:footnoteRef/>
      </w:r>
      <w:r w:rsidRPr="00882224">
        <w:rPr>
          <w:sz w:val="18"/>
          <w:szCs w:val="16"/>
        </w:rPr>
        <w:tab/>
      </w:r>
      <w:r w:rsidRPr="00882224">
        <w:rPr>
          <w:sz w:val="18"/>
          <w:szCs w:val="18"/>
        </w:rPr>
        <w:t>See footnote 27 above, p. 8</w:t>
      </w:r>
      <w:r w:rsidRPr="00882224">
        <w:rPr>
          <w:sz w:val="18"/>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39" w:rsidRPr="006A7E3F" w:rsidRDefault="006A6939" w:rsidP="006A7E3F">
    <w:pPr>
      <w:pStyle w:val="Header"/>
      <w:jc w:val="right"/>
    </w:pPr>
    <w:r w:rsidRPr="006A7E3F">
      <w:t>A/HRC/26/38/Add.3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39" w:rsidRPr="006A7E3F" w:rsidRDefault="006A6939" w:rsidP="006A7E3F">
    <w:pPr>
      <w:pStyle w:val="Header"/>
      <w:jc w:val="left"/>
    </w:pPr>
    <w:r w:rsidRPr="006A7E3F">
      <w:t>A/HRC/26/38/Add.3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3C0AAA"/>
    <w:multiLevelType w:val="hybridMultilevel"/>
    <w:tmpl w:val="258CCB2A"/>
    <w:lvl w:ilvl="0" w:tplc="C1FC5748">
      <w:start w:val="1"/>
      <w:numFmt w:val="decimal"/>
      <w:lvlText w:val="%1."/>
      <w:lvlJc w:val="left"/>
      <w:pPr>
        <w:ind w:left="1495"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19"/>
  </w:num>
  <w:num w:numId="3">
    <w:abstractNumId w:val="15"/>
  </w:num>
  <w:num w:numId="4">
    <w:abstractNumId w:val="12"/>
  </w:num>
  <w:num w:numId="5">
    <w:abstractNumId w:val="20"/>
  </w:num>
  <w:num w:numId="6">
    <w:abstractNumId w:val="17"/>
  </w:num>
  <w:num w:numId="7">
    <w:abstractNumId w:val="11"/>
  </w:num>
  <w:num w:numId="8">
    <w:abstractNumId w:val="10"/>
  </w:num>
  <w:num w:numId="9">
    <w:abstractNumId w:val="18"/>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1671"/>
    <w:rsid w:val="00011476"/>
    <w:rsid w:val="00040E25"/>
    <w:rsid w:val="00042149"/>
    <w:rsid w:val="00063C31"/>
    <w:rsid w:val="000648EA"/>
    <w:rsid w:val="0008771B"/>
    <w:rsid w:val="000957C8"/>
    <w:rsid w:val="000B52F2"/>
    <w:rsid w:val="000D0EAE"/>
    <w:rsid w:val="000D5380"/>
    <w:rsid w:val="000D6654"/>
    <w:rsid w:val="000F0264"/>
    <w:rsid w:val="000F2EBF"/>
    <w:rsid w:val="000F5FF6"/>
    <w:rsid w:val="00113FA5"/>
    <w:rsid w:val="001455A0"/>
    <w:rsid w:val="00156395"/>
    <w:rsid w:val="001602A3"/>
    <w:rsid w:val="00161671"/>
    <w:rsid w:val="001A5161"/>
    <w:rsid w:val="001A60BD"/>
    <w:rsid w:val="001D3729"/>
    <w:rsid w:val="001D3B50"/>
    <w:rsid w:val="00222E07"/>
    <w:rsid w:val="002273FF"/>
    <w:rsid w:val="0023736D"/>
    <w:rsid w:val="0024766D"/>
    <w:rsid w:val="00257225"/>
    <w:rsid w:val="00263391"/>
    <w:rsid w:val="00275860"/>
    <w:rsid w:val="00302CDF"/>
    <w:rsid w:val="00310160"/>
    <w:rsid w:val="00341A8C"/>
    <w:rsid w:val="003519E6"/>
    <w:rsid w:val="00386587"/>
    <w:rsid w:val="003B4356"/>
    <w:rsid w:val="003D5D43"/>
    <w:rsid w:val="003F08A8"/>
    <w:rsid w:val="004250E3"/>
    <w:rsid w:val="00444AA6"/>
    <w:rsid w:val="00472A81"/>
    <w:rsid w:val="004B2C92"/>
    <w:rsid w:val="004D6A3A"/>
    <w:rsid w:val="004F4AD7"/>
    <w:rsid w:val="005449D8"/>
    <w:rsid w:val="00557CD3"/>
    <w:rsid w:val="00571432"/>
    <w:rsid w:val="005732A2"/>
    <w:rsid w:val="005762A5"/>
    <w:rsid w:val="00590BA3"/>
    <w:rsid w:val="005A1A9A"/>
    <w:rsid w:val="005B7AE0"/>
    <w:rsid w:val="005F146F"/>
    <w:rsid w:val="005F71B6"/>
    <w:rsid w:val="00650B4A"/>
    <w:rsid w:val="00660FD4"/>
    <w:rsid w:val="006865FC"/>
    <w:rsid w:val="006A4425"/>
    <w:rsid w:val="006A6939"/>
    <w:rsid w:val="006A7E3F"/>
    <w:rsid w:val="006B4669"/>
    <w:rsid w:val="006C768B"/>
    <w:rsid w:val="006E3473"/>
    <w:rsid w:val="006F1DD8"/>
    <w:rsid w:val="006F6BF8"/>
    <w:rsid w:val="006F740E"/>
    <w:rsid w:val="00707BDF"/>
    <w:rsid w:val="00710727"/>
    <w:rsid w:val="00710DA1"/>
    <w:rsid w:val="00715F45"/>
    <w:rsid w:val="00731B84"/>
    <w:rsid w:val="00734AE7"/>
    <w:rsid w:val="00786B69"/>
    <w:rsid w:val="007B599E"/>
    <w:rsid w:val="007E197F"/>
    <w:rsid w:val="007F68C4"/>
    <w:rsid w:val="008153DE"/>
    <w:rsid w:val="00852A10"/>
    <w:rsid w:val="00862634"/>
    <w:rsid w:val="00866C59"/>
    <w:rsid w:val="00877306"/>
    <w:rsid w:val="00882224"/>
    <w:rsid w:val="00884D49"/>
    <w:rsid w:val="00887B5C"/>
    <w:rsid w:val="008A2F81"/>
    <w:rsid w:val="008A6242"/>
    <w:rsid w:val="008B4BC6"/>
    <w:rsid w:val="00901E57"/>
    <w:rsid w:val="00935F0E"/>
    <w:rsid w:val="0095208F"/>
    <w:rsid w:val="009606AF"/>
    <w:rsid w:val="00977B3F"/>
    <w:rsid w:val="009814AE"/>
    <w:rsid w:val="00983870"/>
    <w:rsid w:val="009858CC"/>
    <w:rsid w:val="00994B89"/>
    <w:rsid w:val="00996BBE"/>
    <w:rsid w:val="009A0C39"/>
    <w:rsid w:val="009D1DD5"/>
    <w:rsid w:val="009F139A"/>
    <w:rsid w:val="00A11DDA"/>
    <w:rsid w:val="00A26157"/>
    <w:rsid w:val="00A265C3"/>
    <w:rsid w:val="00A43F9A"/>
    <w:rsid w:val="00A46045"/>
    <w:rsid w:val="00A543D4"/>
    <w:rsid w:val="00AD0014"/>
    <w:rsid w:val="00AD4CF2"/>
    <w:rsid w:val="00AF0BBA"/>
    <w:rsid w:val="00B30468"/>
    <w:rsid w:val="00B54239"/>
    <w:rsid w:val="00B60E70"/>
    <w:rsid w:val="00B639B9"/>
    <w:rsid w:val="00BB2C41"/>
    <w:rsid w:val="00BC55C8"/>
    <w:rsid w:val="00BC5C10"/>
    <w:rsid w:val="00BE2964"/>
    <w:rsid w:val="00BF297D"/>
    <w:rsid w:val="00C2134E"/>
    <w:rsid w:val="00C24FBD"/>
    <w:rsid w:val="00C473BA"/>
    <w:rsid w:val="00C611ED"/>
    <w:rsid w:val="00C6490A"/>
    <w:rsid w:val="00C64FE1"/>
    <w:rsid w:val="00C66164"/>
    <w:rsid w:val="00C8345E"/>
    <w:rsid w:val="00CA4C17"/>
    <w:rsid w:val="00CA5F7C"/>
    <w:rsid w:val="00CE7C87"/>
    <w:rsid w:val="00D06637"/>
    <w:rsid w:val="00D51067"/>
    <w:rsid w:val="00D75657"/>
    <w:rsid w:val="00D960AD"/>
    <w:rsid w:val="00DA0E0E"/>
    <w:rsid w:val="00DB0C39"/>
    <w:rsid w:val="00DB7679"/>
    <w:rsid w:val="00DE3904"/>
    <w:rsid w:val="00DF1702"/>
    <w:rsid w:val="00DF4DD8"/>
    <w:rsid w:val="00DF668E"/>
    <w:rsid w:val="00E05DE3"/>
    <w:rsid w:val="00E14D2B"/>
    <w:rsid w:val="00E20DBA"/>
    <w:rsid w:val="00E660D6"/>
    <w:rsid w:val="00E771AB"/>
    <w:rsid w:val="00EA796F"/>
    <w:rsid w:val="00EB077B"/>
    <w:rsid w:val="00EC50B9"/>
    <w:rsid w:val="00ED26A0"/>
    <w:rsid w:val="00ED62A0"/>
    <w:rsid w:val="00F04473"/>
    <w:rsid w:val="00F1727A"/>
    <w:rsid w:val="00F34764"/>
    <w:rsid w:val="00F54E3C"/>
    <w:rsid w:val="00F874BD"/>
    <w:rsid w:val="00FA6DD0"/>
    <w:rsid w:val="00FC2EF4"/>
    <w:rsid w:val="00FC3987"/>
    <w:rsid w:val="00FD19C7"/>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ED62A0"/>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ED62A0"/>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ED62A0"/>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ED62A0"/>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ED62A0"/>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ED62A0"/>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tref,referencia nota al pie,BVI fnr,Footnotes refss,Footnote text,Footnote,Footnote Ref,16 Point,Superscript 6 Point,Appel note de bas de p.,Ref,de nota al pie,Fußnotenzeichen DISS,fr,(NECG) Footnote Reference,footnote ref"/>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semiHidden/>
    <w:rsid w:val="00FE6865"/>
    <w:rPr>
      <w:vertAlign w:val="superscript"/>
    </w:rPr>
  </w:style>
  <w:style w:type="character" w:customStyle="1" w:styleId="FooterChar">
    <w:name w:val="Footer Char"/>
    <w:aliases w:val="3_GA Char,3_G Char"/>
    <w:link w:val="Footer"/>
    <w:rsid w:val="009F139A"/>
    <w:rPr>
      <w:rFonts w:cs="Traditional Arabic"/>
      <w:sz w:val="16"/>
      <w:szCs w:val="22"/>
      <w:lang w:val="en-GB" w:eastAsia="en-US" w:bidi="ar-SA"/>
    </w:rPr>
  </w:style>
  <w:style w:type="numbering" w:customStyle="1" w:styleId="1">
    <w:name w:val="بلا قائمة1"/>
    <w:next w:val="NoList"/>
    <w:semiHidden/>
    <w:unhideWhenUsed/>
    <w:rsid w:val="00ED62A0"/>
  </w:style>
  <w:style w:type="paragraph" w:customStyle="1" w:styleId="SingleTxtG">
    <w:name w:val="_ Single Txt_G"/>
    <w:basedOn w:val="Normal"/>
    <w:link w:val="SingleTxtGChar"/>
    <w:rsid w:val="00ED62A0"/>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ED62A0"/>
    <w:rPr>
      <w:lang w:val="en-GB" w:eastAsia="en-US" w:bidi="ar-SA"/>
    </w:rPr>
  </w:style>
  <w:style w:type="paragraph" w:customStyle="1" w:styleId="HMG">
    <w:name w:val="_ H __M_G"/>
    <w:basedOn w:val="Normal"/>
    <w:next w:val="Normal"/>
    <w:rsid w:val="00ED62A0"/>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table" w:customStyle="1" w:styleId="10">
    <w:name w:val="شبكة جدول1"/>
    <w:basedOn w:val="TableNormal"/>
    <w:next w:val="TableGrid"/>
    <w:semiHidden/>
    <w:rsid w:val="00ED62A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ED62A0"/>
    <w:rPr>
      <w:color w:val="auto"/>
      <w:u w:val="none"/>
    </w:rPr>
  </w:style>
  <w:style w:type="character" w:styleId="FollowedHyperlink">
    <w:name w:val="FollowedHyperlink"/>
    <w:semiHidden/>
    <w:rsid w:val="00ED62A0"/>
    <w:rPr>
      <w:color w:val="auto"/>
      <w:u w:val="none"/>
    </w:rPr>
  </w:style>
  <w:style w:type="paragraph" w:customStyle="1" w:styleId="SMG">
    <w:name w:val="__S_M_G"/>
    <w:basedOn w:val="Normal"/>
    <w:next w:val="Normal"/>
    <w:rsid w:val="00ED62A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ED62A0"/>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ED62A0"/>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ED62A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ED62A0"/>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ED62A0"/>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ED62A0"/>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ED62A0"/>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ED62A0"/>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ED62A0"/>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styleId="CommentReference">
    <w:name w:val="annotation reference"/>
    <w:rsid w:val="00ED62A0"/>
    <w:rPr>
      <w:sz w:val="16"/>
      <w:szCs w:val="16"/>
    </w:rPr>
  </w:style>
  <w:style w:type="paragraph" w:styleId="NormalWeb">
    <w:name w:val="Normal (Web)"/>
    <w:basedOn w:val="Normal"/>
    <w:unhideWhenUsed/>
    <w:rsid w:val="00ED62A0"/>
    <w:pPr>
      <w:bidi w:val="0"/>
      <w:spacing w:before="100" w:beforeAutospacing="1" w:after="100" w:afterAutospacing="1" w:line="240" w:lineRule="auto"/>
      <w:jc w:val="left"/>
    </w:pPr>
    <w:rPr>
      <w:rFonts w:cs="Times New Roman"/>
      <w:sz w:val="24"/>
      <w:szCs w:val="24"/>
      <w:lang w:val="en-GB" w:eastAsia="en-GB"/>
    </w:rPr>
  </w:style>
  <w:style w:type="paragraph" w:customStyle="1" w:styleId="Default">
    <w:name w:val="Default"/>
    <w:rsid w:val="00ED62A0"/>
    <w:pPr>
      <w:autoSpaceDE w:val="0"/>
      <w:autoSpaceDN w:val="0"/>
      <w:adjustRightInd w:val="0"/>
    </w:pPr>
    <w:rPr>
      <w:color w:val="000000"/>
      <w:sz w:val="24"/>
      <w:szCs w:val="24"/>
      <w:lang w:val="en-GB" w:eastAsia="en-GB"/>
    </w:rPr>
  </w:style>
  <w:style w:type="paragraph" w:styleId="BalloonText">
    <w:name w:val="Balloon Text"/>
    <w:basedOn w:val="Normal"/>
    <w:link w:val="BalloonTextChar"/>
    <w:rsid w:val="00ED62A0"/>
    <w:pPr>
      <w:suppressAutoHyphens/>
      <w:bidi w:val="0"/>
      <w:spacing w:line="240" w:lineRule="auto"/>
      <w:jc w:val="left"/>
    </w:pPr>
    <w:rPr>
      <w:rFonts w:ascii="Tahoma" w:hAnsi="Tahoma" w:cs="Tahoma"/>
      <w:sz w:val="16"/>
      <w:szCs w:val="16"/>
      <w:lang w:val="en-GB"/>
    </w:rPr>
  </w:style>
  <w:style w:type="character" w:customStyle="1" w:styleId="BalloonTextChar">
    <w:name w:val="Balloon Text Char"/>
    <w:link w:val="BalloonText"/>
    <w:rsid w:val="00ED62A0"/>
    <w:rPr>
      <w:rFonts w:ascii="Tahoma" w:hAnsi="Tahoma" w:cs="Tahoma"/>
      <w:sz w:val="16"/>
      <w:szCs w:val="16"/>
      <w:lang w:val="en-GB" w:eastAsia="en-US" w:bidi="ar-SA"/>
    </w:rPr>
  </w:style>
  <w:style w:type="paragraph" w:customStyle="1" w:styleId="HChG">
    <w:name w:val="_ H _Ch_G"/>
    <w:basedOn w:val="Normal"/>
    <w:next w:val="Normal"/>
    <w:rsid w:val="00ED62A0"/>
    <w:pPr>
      <w:keepNext/>
      <w:keepLines/>
      <w:tabs>
        <w:tab w:val="right" w:pos="851"/>
      </w:tabs>
      <w:suppressAutoHyphens/>
      <w:bidi w:val="0"/>
      <w:spacing w:before="360" w:after="240" w:line="300" w:lineRule="exact"/>
      <w:ind w:left="1134" w:right="1134" w:hanging="1134"/>
      <w:jc w:val="left"/>
    </w:pPr>
    <w:rPr>
      <w:rFonts w:eastAsia="SimSun" w:cs="Times New Roman"/>
      <w:b/>
      <w:sz w:val="28"/>
      <w:szCs w:val="20"/>
      <w:lang w:val="en-GB" w:eastAsia="zh-CN"/>
    </w:rPr>
  </w:style>
  <w:style w:type="character" w:styleId="HTMLCite">
    <w:name w:val="HTML Cite"/>
    <w:rsid w:val="00ED62A0"/>
    <w:rPr>
      <w:i/>
      <w:iCs/>
    </w:rPr>
  </w:style>
  <w:style w:type="paragraph" w:styleId="CommentText">
    <w:name w:val="annotation text"/>
    <w:basedOn w:val="Normal"/>
    <w:link w:val="CommentTextChar"/>
    <w:rsid w:val="00ED62A0"/>
    <w:pPr>
      <w:suppressAutoHyphens/>
      <w:bidi w:val="0"/>
      <w:jc w:val="left"/>
    </w:pPr>
    <w:rPr>
      <w:rFonts w:cs="Times New Roman"/>
      <w:sz w:val="24"/>
      <w:szCs w:val="24"/>
      <w:lang w:val="en-GB"/>
    </w:rPr>
  </w:style>
  <w:style w:type="character" w:customStyle="1" w:styleId="CommentTextChar">
    <w:name w:val="Comment Text Char"/>
    <w:link w:val="CommentText"/>
    <w:rsid w:val="00ED62A0"/>
    <w:rPr>
      <w:sz w:val="24"/>
      <w:szCs w:val="24"/>
      <w:lang w:val="en-GB" w:eastAsia="en-US" w:bidi="ar-SA"/>
    </w:rPr>
  </w:style>
  <w:style w:type="paragraph" w:styleId="CommentSubject">
    <w:name w:val="annotation subject"/>
    <w:basedOn w:val="CommentText"/>
    <w:next w:val="CommentText"/>
    <w:link w:val="CommentSubjectChar"/>
    <w:rsid w:val="00ED62A0"/>
    <w:rPr>
      <w:b/>
      <w:bCs/>
      <w:sz w:val="20"/>
      <w:szCs w:val="20"/>
    </w:rPr>
  </w:style>
  <w:style w:type="character" w:customStyle="1" w:styleId="CommentSubjectChar">
    <w:name w:val="Comment Subject Char"/>
    <w:link w:val="CommentSubject"/>
    <w:rsid w:val="00ED62A0"/>
    <w:rPr>
      <w:b/>
      <w:bCs/>
      <w:lang w:val="en-GB" w:eastAsia="en-US" w:bidi="ar-SA"/>
    </w:rPr>
  </w:style>
  <w:style w:type="paragraph" w:customStyle="1" w:styleId="ColorfulShading-Accent11">
    <w:name w:val="Colorful Shading - Accent 11"/>
    <w:hidden/>
    <w:rsid w:val="00ED62A0"/>
    <w:rPr>
      <w:lang w:val="en-GB"/>
    </w:rPr>
  </w:style>
  <w:style w:type="numbering" w:styleId="ArticleSection">
    <w:name w:val="Outline List 3"/>
    <w:basedOn w:val="NoList"/>
    <w:semiHidden/>
    <w:rsid w:val="00ED62A0"/>
    <w:pPr>
      <w:numPr>
        <w:numId w:val="21"/>
      </w:numPr>
    </w:pPr>
  </w:style>
  <w:style w:type="paragraph" w:styleId="BlockText">
    <w:name w:val="Block Text"/>
    <w:basedOn w:val="Normal"/>
    <w:semiHidden/>
    <w:rsid w:val="00ED62A0"/>
    <w:pPr>
      <w:spacing w:after="120"/>
      <w:ind w:left="1440" w:right="1440"/>
    </w:pPr>
  </w:style>
  <w:style w:type="paragraph" w:styleId="BodyText">
    <w:name w:val="Body Text"/>
    <w:basedOn w:val="Normal"/>
    <w:semiHidden/>
    <w:rsid w:val="00ED62A0"/>
    <w:pPr>
      <w:spacing w:after="120"/>
    </w:pPr>
  </w:style>
  <w:style w:type="paragraph" w:styleId="BodyText2">
    <w:name w:val="Body Text 2"/>
    <w:basedOn w:val="Normal"/>
    <w:semiHidden/>
    <w:rsid w:val="00ED62A0"/>
    <w:pPr>
      <w:spacing w:after="120" w:line="480" w:lineRule="auto"/>
    </w:pPr>
  </w:style>
  <w:style w:type="paragraph" w:styleId="BodyText3">
    <w:name w:val="Body Text 3"/>
    <w:basedOn w:val="Normal"/>
    <w:semiHidden/>
    <w:rsid w:val="00ED62A0"/>
    <w:pPr>
      <w:spacing w:after="120"/>
    </w:pPr>
    <w:rPr>
      <w:sz w:val="16"/>
      <w:szCs w:val="16"/>
    </w:rPr>
  </w:style>
  <w:style w:type="paragraph" w:styleId="BodyTextFirstIndent">
    <w:name w:val="Body Text First Indent"/>
    <w:basedOn w:val="BodyText"/>
    <w:semiHidden/>
    <w:rsid w:val="00ED62A0"/>
    <w:pPr>
      <w:ind w:firstLine="210"/>
    </w:pPr>
  </w:style>
  <w:style w:type="paragraph" w:styleId="BodyTextIndent">
    <w:name w:val="Body Text Indent"/>
    <w:basedOn w:val="Normal"/>
    <w:semiHidden/>
    <w:rsid w:val="00ED62A0"/>
    <w:pPr>
      <w:spacing w:after="120"/>
      <w:ind w:left="360"/>
    </w:pPr>
  </w:style>
  <w:style w:type="paragraph" w:styleId="BodyTextFirstIndent2">
    <w:name w:val="Body Text First Indent 2"/>
    <w:basedOn w:val="BodyTextIndent"/>
    <w:semiHidden/>
    <w:rsid w:val="00ED62A0"/>
    <w:pPr>
      <w:ind w:firstLine="210"/>
    </w:pPr>
  </w:style>
  <w:style w:type="paragraph" w:styleId="BodyTextIndent2">
    <w:name w:val="Body Text Indent 2"/>
    <w:basedOn w:val="Normal"/>
    <w:semiHidden/>
    <w:rsid w:val="00ED62A0"/>
    <w:pPr>
      <w:spacing w:after="120" w:line="480" w:lineRule="auto"/>
      <w:ind w:left="360"/>
    </w:pPr>
  </w:style>
  <w:style w:type="paragraph" w:styleId="BodyTextIndent3">
    <w:name w:val="Body Text Indent 3"/>
    <w:basedOn w:val="Normal"/>
    <w:semiHidden/>
    <w:rsid w:val="00ED62A0"/>
    <w:pPr>
      <w:spacing w:after="120"/>
      <w:ind w:left="360"/>
    </w:pPr>
    <w:rPr>
      <w:sz w:val="16"/>
      <w:szCs w:val="16"/>
    </w:rPr>
  </w:style>
  <w:style w:type="paragraph" w:styleId="Closing">
    <w:name w:val="Closing"/>
    <w:basedOn w:val="Normal"/>
    <w:semiHidden/>
    <w:rsid w:val="00ED62A0"/>
    <w:pPr>
      <w:ind w:left="4320"/>
    </w:pPr>
  </w:style>
  <w:style w:type="paragraph" w:styleId="Date">
    <w:name w:val="Date"/>
    <w:basedOn w:val="Normal"/>
    <w:next w:val="Normal"/>
    <w:semiHidden/>
    <w:rsid w:val="00ED62A0"/>
  </w:style>
  <w:style w:type="paragraph" w:styleId="E-mailSignature">
    <w:name w:val="E-mail Signature"/>
    <w:basedOn w:val="Normal"/>
    <w:semiHidden/>
    <w:rsid w:val="00ED62A0"/>
  </w:style>
  <w:style w:type="character" w:styleId="Emphasis">
    <w:name w:val="Emphasis"/>
    <w:basedOn w:val="DefaultParagraphFont"/>
    <w:qFormat/>
    <w:rsid w:val="00ED62A0"/>
    <w:rPr>
      <w:i/>
      <w:iCs/>
    </w:rPr>
  </w:style>
  <w:style w:type="paragraph" w:styleId="EnvelopeAddress">
    <w:name w:val="envelope address"/>
    <w:basedOn w:val="Normal"/>
    <w:semiHidden/>
    <w:rsid w:val="00ED62A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D62A0"/>
    <w:rPr>
      <w:rFonts w:ascii="Arial" w:hAnsi="Arial" w:cs="Arial"/>
      <w:szCs w:val="20"/>
    </w:rPr>
  </w:style>
  <w:style w:type="character" w:styleId="HTMLAcronym">
    <w:name w:val="HTML Acronym"/>
    <w:basedOn w:val="DefaultParagraphFont"/>
    <w:semiHidden/>
    <w:rsid w:val="00ED62A0"/>
  </w:style>
  <w:style w:type="paragraph" w:styleId="HTMLAddress">
    <w:name w:val="HTML Address"/>
    <w:basedOn w:val="Normal"/>
    <w:semiHidden/>
    <w:rsid w:val="00ED62A0"/>
    <w:rPr>
      <w:i/>
      <w:iCs/>
    </w:rPr>
  </w:style>
  <w:style w:type="character" w:styleId="HTMLCode">
    <w:name w:val="HTML Code"/>
    <w:basedOn w:val="DefaultParagraphFont"/>
    <w:semiHidden/>
    <w:rsid w:val="00ED62A0"/>
    <w:rPr>
      <w:rFonts w:ascii="Courier New" w:hAnsi="Courier New" w:cs="Courier New"/>
      <w:sz w:val="20"/>
      <w:szCs w:val="20"/>
    </w:rPr>
  </w:style>
  <w:style w:type="character" w:styleId="HTMLDefinition">
    <w:name w:val="HTML Definition"/>
    <w:basedOn w:val="DefaultParagraphFont"/>
    <w:semiHidden/>
    <w:rsid w:val="00ED62A0"/>
    <w:rPr>
      <w:i/>
      <w:iCs/>
    </w:rPr>
  </w:style>
  <w:style w:type="character" w:styleId="HTMLKeyboard">
    <w:name w:val="HTML Keyboard"/>
    <w:basedOn w:val="DefaultParagraphFont"/>
    <w:semiHidden/>
    <w:rsid w:val="00ED62A0"/>
    <w:rPr>
      <w:rFonts w:ascii="Courier New" w:hAnsi="Courier New" w:cs="Courier New"/>
      <w:sz w:val="20"/>
      <w:szCs w:val="20"/>
    </w:rPr>
  </w:style>
  <w:style w:type="paragraph" w:styleId="HTMLPreformatted">
    <w:name w:val="HTML Preformatted"/>
    <w:basedOn w:val="Normal"/>
    <w:semiHidden/>
    <w:rsid w:val="00ED62A0"/>
    <w:rPr>
      <w:rFonts w:ascii="Courier New" w:hAnsi="Courier New" w:cs="Courier New"/>
      <w:szCs w:val="20"/>
    </w:rPr>
  </w:style>
  <w:style w:type="character" w:styleId="HTMLSample">
    <w:name w:val="HTML Sample"/>
    <w:basedOn w:val="DefaultParagraphFont"/>
    <w:semiHidden/>
    <w:rsid w:val="00ED62A0"/>
    <w:rPr>
      <w:rFonts w:ascii="Courier New" w:hAnsi="Courier New" w:cs="Courier New"/>
    </w:rPr>
  </w:style>
  <w:style w:type="character" w:styleId="HTMLTypewriter">
    <w:name w:val="HTML Typewriter"/>
    <w:basedOn w:val="DefaultParagraphFont"/>
    <w:semiHidden/>
    <w:rsid w:val="00ED62A0"/>
    <w:rPr>
      <w:rFonts w:ascii="Courier New" w:hAnsi="Courier New" w:cs="Courier New"/>
      <w:sz w:val="20"/>
      <w:szCs w:val="20"/>
    </w:rPr>
  </w:style>
  <w:style w:type="character" w:styleId="HTMLVariable">
    <w:name w:val="HTML Variable"/>
    <w:basedOn w:val="DefaultParagraphFont"/>
    <w:semiHidden/>
    <w:rsid w:val="00ED62A0"/>
    <w:rPr>
      <w:i/>
      <w:iCs/>
    </w:rPr>
  </w:style>
  <w:style w:type="character" w:styleId="LineNumber">
    <w:name w:val="line number"/>
    <w:basedOn w:val="DefaultParagraphFont"/>
    <w:semiHidden/>
    <w:rsid w:val="00ED62A0"/>
  </w:style>
  <w:style w:type="paragraph" w:styleId="List">
    <w:name w:val="List"/>
    <w:basedOn w:val="Normal"/>
    <w:semiHidden/>
    <w:rsid w:val="00ED62A0"/>
    <w:pPr>
      <w:ind w:left="360" w:hanging="360"/>
    </w:pPr>
  </w:style>
  <w:style w:type="paragraph" w:styleId="List2">
    <w:name w:val="List 2"/>
    <w:basedOn w:val="Normal"/>
    <w:semiHidden/>
    <w:rsid w:val="00ED62A0"/>
    <w:pPr>
      <w:ind w:left="720" w:hanging="360"/>
    </w:pPr>
  </w:style>
  <w:style w:type="paragraph" w:styleId="List3">
    <w:name w:val="List 3"/>
    <w:basedOn w:val="Normal"/>
    <w:semiHidden/>
    <w:rsid w:val="00ED62A0"/>
    <w:pPr>
      <w:ind w:left="1080" w:hanging="360"/>
    </w:pPr>
  </w:style>
  <w:style w:type="paragraph" w:styleId="List4">
    <w:name w:val="List 4"/>
    <w:basedOn w:val="Normal"/>
    <w:semiHidden/>
    <w:rsid w:val="00ED62A0"/>
    <w:pPr>
      <w:ind w:left="1440" w:hanging="360"/>
    </w:pPr>
  </w:style>
  <w:style w:type="paragraph" w:styleId="List5">
    <w:name w:val="List 5"/>
    <w:basedOn w:val="Normal"/>
    <w:semiHidden/>
    <w:rsid w:val="00ED62A0"/>
    <w:pPr>
      <w:ind w:left="1800" w:hanging="360"/>
    </w:pPr>
  </w:style>
  <w:style w:type="paragraph" w:styleId="ListBullet">
    <w:name w:val="List Bullet"/>
    <w:basedOn w:val="Normal"/>
    <w:semiHidden/>
    <w:rsid w:val="00ED62A0"/>
    <w:pPr>
      <w:numPr>
        <w:numId w:val="11"/>
      </w:numPr>
    </w:pPr>
  </w:style>
  <w:style w:type="paragraph" w:styleId="ListBullet2">
    <w:name w:val="List Bullet 2"/>
    <w:basedOn w:val="Normal"/>
    <w:semiHidden/>
    <w:rsid w:val="00ED62A0"/>
    <w:pPr>
      <w:numPr>
        <w:numId w:val="12"/>
      </w:numPr>
    </w:pPr>
  </w:style>
  <w:style w:type="paragraph" w:styleId="ListBullet3">
    <w:name w:val="List Bullet 3"/>
    <w:basedOn w:val="Normal"/>
    <w:semiHidden/>
    <w:rsid w:val="00ED62A0"/>
    <w:pPr>
      <w:numPr>
        <w:numId w:val="13"/>
      </w:numPr>
    </w:pPr>
  </w:style>
  <w:style w:type="paragraph" w:styleId="ListBullet4">
    <w:name w:val="List Bullet 4"/>
    <w:basedOn w:val="Normal"/>
    <w:semiHidden/>
    <w:rsid w:val="00ED62A0"/>
    <w:pPr>
      <w:numPr>
        <w:numId w:val="14"/>
      </w:numPr>
    </w:pPr>
  </w:style>
  <w:style w:type="paragraph" w:styleId="ListBullet5">
    <w:name w:val="List Bullet 5"/>
    <w:basedOn w:val="Normal"/>
    <w:semiHidden/>
    <w:rsid w:val="00ED62A0"/>
    <w:pPr>
      <w:numPr>
        <w:numId w:val="15"/>
      </w:numPr>
    </w:pPr>
  </w:style>
  <w:style w:type="paragraph" w:styleId="ListContinue">
    <w:name w:val="List Continue"/>
    <w:basedOn w:val="Normal"/>
    <w:semiHidden/>
    <w:rsid w:val="00ED62A0"/>
    <w:pPr>
      <w:spacing w:after="120"/>
      <w:ind w:left="360"/>
    </w:pPr>
  </w:style>
  <w:style w:type="paragraph" w:styleId="ListContinue2">
    <w:name w:val="List Continue 2"/>
    <w:basedOn w:val="Normal"/>
    <w:semiHidden/>
    <w:rsid w:val="00ED62A0"/>
    <w:pPr>
      <w:spacing w:after="120"/>
      <w:ind w:left="720"/>
    </w:pPr>
  </w:style>
  <w:style w:type="paragraph" w:styleId="ListContinue3">
    <w:name w:val="List Continue 3"/>
    <w:basedOn w:val="Normal"/>
    <w:semiHidden/>
    <w:rsid w:val="00ED62A0"/>
    <w:pPr>
      <w:spacing w:after="120"/>
      <w:ind w:left="1080"/>
    </w:pPr>
  </w:style>
  <w:style w:type="paragraph" w:styleId="ListContinue4">
    <w:name w:val="List Continue 4"/>
    <w:basedOn w:val="Normal"/>
    <w:semiHidden/>
    <w:rsid w:val="00ED62A0"/>
    <w:pPr>
      <w:spacing w:after="120"/>
      <w:ind w:left="1440"/>
    </w:pPr>
  </w:style>
  <w:style w:type="paragraph" w:styleId="ListContinue5">
    <w:name w:val="List Continue 5"/>
    <w:basedOn w:val="Normal"/>
    <w:semiHidden/>
    <w:rsid w:val="00ED62A0"/>
    <w:pPr>
      <w:spacing w:after="120"/>
      <w:ind w:left="1800"/>
    </w:pPr>
  </w:style>
  <w:style w:type="paragraph" w:styleId="ListNumber">
    <w:name w:val="List Number"/>
    <w:basedOn w:val="Normal"/>
    <w:semiHidden/>
    <w:rsid w:val="00ED62A0"/>
    <w:pPr>
      <w:numPr>
        <w:numId w:val="16"/>
      </w:numPr>
    </w:pPr>
  </w:style>
  <w:style w:type="paragraph" w:styleId="ListNumber2">
    <w:name w:val="List Number 2"/>
    <w:basedOn w:val="Normal"/>
    <w:semiHidden/>
    <w:rsid w:val="00ED62A0"/>
    <w:pPr>
      <w:numPr>
        <w:numId w:val="17"/>
      </w:numPr>
    </w:pPr>
  </w:style>
  <w:style w:type="paragraph" w:styleId="ListNumber3">
    <w:name w:val="List Number 3"/>
    <w:basedOn w:val="Normal"/>
    <w:semiHidden/>
    <w:rsid w:val="00ED62A0"/>
    <w:pPr>
      <w:numPr>
        <w:numId w:val="18"/>
      </w:numPr>
    </w:pPr>
  </w:style>
  <w:style w:type="paragraph" w:styleId="ListNumber4">
    <w:name w:val="List Number 4"/>
    <w:basedOn w:val="Normal"/>
    <w:semiHidden/>
    <w:rsid w:val="00ED62A0"/>
    <w:pPr>
      <w:numPr>
        <w:numId w:val="19"/>
      </w:numPr>
    </w:pPr>
  </w:style>
  <w:style w:type="paragraph" w:styleId="ListNumber5">
    <w:name w:val="List Number 5"/>
    <w:basedOn w:val="Normal"/>
    <w:semiHidden/>
    <w:rsid w:val="00ED62A0"/>
    <w:pPr>
      <w:numPr>
        <w:numId w:val="20"/>
      </w:numPr>
    </w:pPr>
  </w:style>
  <w:style w:type="paragraph" w:styleId="MessageHeader">
    <w:name w:val="Message Header"/>
    <w:basedOn w:val="Normal"/>
    <w:semiHidden/>
    <w:rsid w:val="00ED62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ED62A0"/>
    <w:pPr>
      <w:ind w:left="680"/>
    </w:pPr>
  </w:style>
  <w:style w:type="paragraph" w:styleId="NoteHeading">
    <w:name w:val="Note Heading"/>
    <w:basedOn w:val="Normal"/>
    <w:next w:val="Normal"/>
    <w:semiHidden/>
    <w:rsid w:val="00ED62A0"/>
  </w:style>
  <w:style w:type="paragraph" w:styleId="PlainText">
    <w:name w:val="Plain Text"/>
    <w:basedOn w:val="Normal"/>
    <w:semiHidden/>
    <w:rsid w:val="00ED62A0"/>
    <w:rPr>
      <w:rFonts w:ascii="Courier New" w:hAnsi="Courier New" w:cs="Courier New"/>
      <w:szCs w:val="20"/>
    </w:rPr>
  </w:style>
  <w:style w:type="paragraph" w:styleId="Salutation">
    <w:name w:val="Salutation"/>
    <w:basedOn w:val="Normal"/>
    <w:next w:val="Normal"/>
    <w:semiHidden/>
    <w:rsid w:val="00ED62A0"/>
  </w:style>
  <w:style w:type="paragraph" w:styleId="Signature">
    <w:name w:val="Signature"/>
    <w:basedOn w:val="Normal"/>
    <w:semiHidden/>
    <w:rsid w:val="00ED62A0"/>
    <w:pPr>
      <w:ind w:left="4320"/>
    </w:pPr>
  </w:style>
  <w:style w:type="character" w:styleId="Strong">
    <w:name w:val="Strong"/>
    <w:basedOn w:val="DefaultParagraphFont"/>
    <w:qFormat/>
    <w:rsid w:val="00ED62A0"/>
    <w:rPr>
      <w:b/>
      <w:bCs/>
    </w:rPr>
  </w:style>
  <w:style w:type="table" w:styleId="Table3Deffects1">
    <w:name w:val="Table 3D effects 1"/>
    <w:basedOn w:val="TableNormal"/>
    <w:semiHidden/>
    <w:rsid w:val="00ED62A0"/>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D62A0"/>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D62A0"/>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D62A0"/>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D62A0"/>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62A0"/>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1</TotalTime>
  <Pages>22</Pages>
  <Words>9841</Words>
  <Characters>56097</Characters>
  <Application>Microsoft Office Outlook</Application>
  <DocSecurity>4</DocSecurity>
  <Lines>467</Lines>
  <Paragraphs>131</Paragraphs>
  <ScaleCrop>false</ScaleCrop>
  <HeadingPairs>
    <vt:vector size="2" baseType="variant">
      <vt:variant>
        <vt:lpstr>العنوان</vt:lpstr>
      </vt:variant>
      <vt:variant>
        <vt:i4>1</vt:i4>
      </vt:variant>
    </vt:vector>
  </HeadingPairs>
  <TitlesOfParts>
    <vt:vector size="1" baseType="lpstr">
      <vt:lpstr>A/HRC/26/38/Add.3</vt:lpstr>
    </vt:vector>
  </TitlesOfParts>
  <Company>CSD</Company>
  <LinksUpToDate>false</LinksUpToDate>
  <CharactersWithSpaces>65807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A/HRC/26/38/Add.3</dc:title>
  <dc:subject>Safraoui</dc:subject>
  <dc:creator>Mervat</dc:creator>
  <cp:keywords/>
  <dc:description/>
  <cp:lastModifiedBy>TPS</cp:lastModifiedBy>
  <cp:revision>2</cp:revision>
  <cp:lastPrinted>2014-06-23T07:31:00Z</cp:lastPrinted>
  <dcterms:created xsi:type="dcterms:W3CDTF">2014-06-24T16:24:00Z</dcterms:created>
  <dcterms:modified xsi:type="dcterms:W3CDTF">2014-06-24T16:24:00Z</dcterms:modified>
</cp:coreProperties>
</file>