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EAE7A" w14:textId="6D6F2C99" w:rsidR="00483E94" w:rsidRPr="00FA3966" w:rsidRDefault="00B13943" w:rsidP="00483E94">
      <w:pPr>
        <w:spacing w:after="360"/>
        <w:jc w:val="right"/>
        <w:outlineLvl w:val="0"/>
        <w:rPr>
          <w:b/>
          <w:lang w:val="fr-FR"/>
        </w:rPr>
      </w:pPr>
      <w:r>
        <w:fldChar w:fldCharType="begin"/>
      </w:r>
      <w:r>
        <w:instrText xml:space="preserve"> HYPERLINK "https://undocs.org/fr/A/76/18" </w:instrText>
      </w:r>
      <w:r>
        <w:fldChar w:fldCharType="separate"/>
      </w:r>
      <w:r w:rsidR="00A132E2" w:rsidRPr="002F7FAD">
        <w:rPr>
          <w:rStyle w:val="Lienhypertexte"/>
          <w:b/>
          <w:lang w:val="fr-FR"/>
        </w:rPr>
        <w:t>A/76/18</w:t>
      </w:r>
      <w:r>
        <w:rPr>
          <w:rStyle w:val="Lienhypertexte"/>
          <w:b/>
          <w:lang w:val="fr-FR"/>
        </w:rPr>
        <w:fldChar w:fldCharType="end"/>
      </w:r>
    </w:p>
    <w:p w14:paraId="69684965" w14:textId="77777777" w:rsidR="00483E94" w:rsidRPr="00FA3966" w:rsidRDefault="001D12EC" w:rsidP="00483E94">
      <w:pPr>
        <w:ind w:left="1134"/>
        <w:rPr>
          <w:lang w:val="fr-FR"/>
        </w:rPr>
      </w:pPr>
      <w:r>
        <w:rPr>
          <w:noProof/>
          <w:lang w:eastAsia="fr-CH"/>
        </w:rPr>
        <w:drawing>
          <wp:inline distT="0" distB="0" distL="0" distR="0" wp14:anchorId="587DC67C" wp14:editId="6C34716A">
            <wp:extent cx="1190625" cy="1019175"/>
            <wp:effectExtent l="0" t="0" r="9525" b="952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a:ln>
                      <a:noFill/>
                    </a:ln>
                  </pic:spPr>
                </pic:pic>
              </a:graphicData>
            </a:graphic>
          </wp:inline>
        </w:drawing>
      </w:r>
    </w:p>
    <w:p w14:paraId="60D4A80B" w14:textId="041DAA55" w:rsidR="00483E94" w:rsidRPr="00FA3966" w:rsidRDefault="00483E94" w:rsidP="00483E94">
      <w:pPr>
        <w:pStyle w:val="SMG"/>
        <w:spacing w:before="0" w:after="1080"/>
        <w:rPr>
          <w:lang w:val="fr-FR"/>
        </w:rPr>
      </w:pPr>
      <w:r w:rsidRPr="00FA3966">
        <w:rPr>
          <w:lang w:val="fr-FR"/>
        </w:rPr>
        <w:t>Nations</w:t>
      </w:r>
      <w:r w:rsidR="00A132E2">
        <w:rPr>
          <w:lang w:val="fr-FR"/>
        </w:rPr>
        <w:t> </w:t>
      </w:r>
      <w:r w:rsidRPr="00FA3966">
        <w:rPr>
          <w:lang w:val="fr-FR"/>
        </w:rPr>
        <w:t>Unies</w:t>
      </w:r>
    </w:p>
    <w:p w14:paraId="593F8D9A" w14:textId="154BB9B4" w:rsidR="00483E94" w:rsidRPr="00C66C3B" w:rsidRDefault="00483E94" w:rsidP="00483E94">
      <w:pPr>
        <w:pStyle w:val="SLG"/>
        <w:spacing w:after="960"/>
        <w:rPr>
          <w:sz w:val="57"/>
          <w:szCs w:val="57"/>
          <w:lang w:val="fr-FR"/>
        </w:rPr>
      </w:pPr>
      <w:r w:rsidRPr="00C66C3B">
        <w:rPr>
          <w:sz w:val="57"/>
          <w:szCs w:val="57"/>
          <w:lang w:val="fr-FR"/>
        </w:rPr>
        <w:t xml:space="preserve">Rapport du </w:t>
      </w:r>
      <w:r w:rsidR="00A132E2">
        <w:rPr>
          <w:sz w:val="57"/>
          <w:szCs w:val="57"/>
          <w:lang w:val="fr-FR"/>
        </w:rPr>
        <w:t>Comité pour l’élimination de la discrimination raciale</w:t>
      </w:r>
    </w:p>
    <w:p w14:paraId="01D70B7C" w14:textId="0F92254E" w:rsidR="00483E94" w:rsidRDefault="00A132E2" w:rsidP="00DC1F96">
      <w:pPr>
        <w:spacing w:after="120"/>
        <w:ind w:left="1134" w:right="1134"/>
        <w:rPr>
          <w:b/>
          <w:sz w:val="40"/>
          <w:szCs w:val="40"/>
          <w:lang w:val="fr-FR"/>
        </w:rPr>
      </w:pPr>
      <w:r>
        <w:rPr>
          <w:b/>
          <w:sz w:val="40"/>
          <w:szCs w:val="40"/>
          <w:lang w:val="fr-FR"/>
        </w:rPr>
        <w:t>101</w:t>
      </w:r>
      <w:r w:rsidRPr="00A132E2">
        <w:rPr>
          <w:b/>
          <w:sz w:val="40"/>
          <w:szCs w:val="40"/>
          <w:vertAlign w:val="superscript"/>
          <w:lang w:val="fr-FR"/>
        </w:rPr>
        <w:t>e</w:t>
      </w:r>
      <w:r>
        <w:rPr>
          <w:b/>
          <w:sz w:val="40"/>
          <w:szCs w:val="40"/>
          <w:lang w:val="fr-FR"/>
        </w:rPr>
        <w:t> </w:t>
      </w:r>
      <w:r w:rsidR="00483E94" w:rsidRPr="00C66C3B">
        <w:rPr>
          <w:b/>
          <w:sz w:val="40"/>
          <w:szCs w:val="40"/>
          <w:lang w:val="fr-FR"/>
        </w:rPr>
        <w:t>session</w:t>
      </w:r>
      <w:r w:rsidR="00FA5DFC">
        <w:rPr>
          <w:b/>
          <w:sz w:val="40"/>
          <w:szCs w:val="40"/>
          <w:lang w:val="fr-FR"/>
        </w:rPr>
        <w:t xml:space="preserve"> </w:t>
      </w:r>
      <w:r w:rsidR="00FA5DFC">
        <w:rPr>
          <w:b/>
          <w:sz w:val="40"/>
          <w:szCs w:val="40"/>
          <w:lang w:val="fr-FR"/>
        </w:rPr>
        <w:br/>
      </w:r>
      <w:r w:rsidR="00483E94" w:rsidRPr="00C66C3B">
        <w:rPr>
          <w:b/>
          <w:sz w:val="40"/>
          <w:szCs w:val="40"/>
          <w:lang w:val="fr-FR"/>
        </w:rPr>
        <w:t>(</w:t>
      </w:r>
      <w:r>
        <w:rPr>
          <w:b/>
          <w:sz w:val="40"/>
          <w:szCs w:val="40"/>
          <w:lang w:val="fr-FR"/>
        </w:rPr>
        <w:t>4-7 août 2021</w:t>
      </w:r>
      <w:r w:rsidR="00483E94" w:rsidRPr="00C66C3B">
        <w:rPr>
          <w:b/>
          <w:sz w:val="40"/>
          <w:szCs w:val="40"/>
          <w:lang w:val="fr-FR"/>
        </w:rPr>
        <w:t>)</w:t>
      </w:r>
    </w:p>
    <w:p w14:paraId="30868591" w14:textId="720D0230" w:rsidR="00A132E2" w:rsidRDefault="00A132E2" w:rsidP="00483E94">
      <w:pPr>
        <w:spacing w:after="120"/>
        <w:ind w:left="1134" w:right="1134"/>
        <w:rPr>
          <w:b/>
          <w:sz w:val="40"/>
          <w:szCs w:val="40"/>
          <w:lang w:val="fr-FR"/>
        </w:rPr>
      </w:pPr>
      <w:r>
        <w:rPr>
          <w:b/>
          <w:sz w:val="40"/>
          <w:szCs w:val="40"/>
          <w:lang w:val="fr-FR"/>
        </w:rPr>
        <w:t>102</w:t>
      </w:r>
      <w:r w:rsidRPr="00A132E2">
        <w:rPr>
          <w:b/>
          <w:sz w:val="40"/>
          <w:szCs w:val="40"/>
          <w:vertAlign w:val="superscript"/>
          <w:lang w:val="fr-FR"/>
        </w:rPr>
        <w:t>e</w:t>
      </w:r>
      <w:r>
        <w:rPr>
          <w:b/>
          <w:sz w:val="40"/>
          <w:szCs w:val="40"/>
          <w:lang w:val="fr-FR"/>
        </w:rPr>
        <w:t> session</w:t>
      </w:r>
      <w:r w:rsidR="00FA5DFC">
        <w:rPr>
          <w:b/>
          <w:sz w:val="40"/>
          <w:szCs w:val="40"/>
          <w:lang w:val="fr-FR"/>
        </w:rPr>
        <w:t xml:space="preserve"> </w:t>
      </w:r>
      <w:r w:rsidR="00FA5DFC">
        <w:rPr>
          <w:b/>
          <w:sz w:val="40"/>
          <w:szCs w:val="40"/>
          <w:lang w:val="fr-FR"/>
        </w:rPr>
        <w:br/>
      </w:r>
      <w:r>
        <w:rPr>
          <w:b/>
          <w:sz w:val="40"/>
          <w:szCs w:val="40"/>
          <w:lang w:val="fr-FR"/>
        </w:rPr>
        <w:t>(16-24 novembre 2021)</w:t>
      </w:r>
    </w:p>
    <w:p w14:paraId="35A99BB8" w14:textId="68A5402B" w:rsidR="00A132E2" w:rsidRPr="00C66C3B" w:rsidRDefault="00A132E2" w:rsidP="00DC1F96">
      <w:pPr>
        <w:spacing w:after="120"/>
        <w:ind w:left="1134" w:right="1134"/>
        <w:rPr>
          <w:b/>
          <w:sz w:val="40"/>
          <w:szCs w:val="40"/>
          <w:lang w:val="fr-FR"/>
        </w:rPr>
      </w:pPr>
      <w:r>
        <w:rPr>
          <w:b/>
          <w:sz w:val="40"/>
          <w:szCs w:val="40"/>
          <w:lang w:val="fr-FR"/>
        </w:rPr>
        <w:t>103</w:t>
      </w:r>
      <w:r w:rsidRPr="00A132E2">
        <w:rPr>
          <w:b/>
          <w:sz w:val="40"/>
          <w:szCs w:val="40"/>
          <w:vertAlign w:val="superscript"/>
          <w:lang w:val="fr-FR"/>
        </w:rPr>
        <w:t>e</w:t>
      </w:r>
      <w:r>
        <w:rPr>
          <w:b/>
          <w:sz w:val="40"/>
          <w:szCs w:val="40"/>
          <w:lang w:val="fr-FR"/>
        </w:rPr>
        <w:t> session</w:t>
      </w:r>
      <w:r w:rsidR="00DC1F96">
        <w:rPr>
          <w:b/>
          <w:sz w:val="40"/>
          <w:szCs w:val="40"/>
          <w:lang w:val="fr-FR"/>
        </w:rPr>
        <w:t xml:space="preserve"> </w:t>
      </w:r>
      <w:r w:rsidR="00DC1F96">
        <w:rPr>
          <w:b/>
          <w:sz w:val="40"/>
          <w:szCs w:val="40"/>
          <w:lang w:val="fr-FR"/>
        </w:rPr>
        <w:br/>
      </w:r>
      <w:r>
        <w:rPr>
          <w:b/>
          <w:sz w:val="40"/>
          <w:szCs w:val="40"/>
          <w:lang w:val="fr-FR"/>
        </w:rPr>
        <w:t>(19-30 avril 2021)</w:t>
      </w:r>
    </w:p>
    <w:p w14:paraId="31E0328B" w14:textId="77777777" w:rsidR="00483E94" w:rsidRPr="00FA3966" w:rsidRDefault="00483E94" w:rsidP="00DC1F96">
      <w:pPr>
        <w:pStyle w:val="SMG"/>
        <w:spacing w:before="3000" w:after="0"/>
        <w:ind w:right="0"/>
        <w:rPr>
          <w:lang w:val="fr-FR"/>
        </w:rPr>
      </w:pPr>
      <w:r w:rsidRPr="00FA3966">
        <w:rPr>
          <w:lang w:val="fr-FR"/>
        </w:rPr>
        <w:t>Assemblée générale</w:t>
      </w:r>
    </w:p>
    <w:p w14:paraId="00FFD592" w14:textId="77777777" w:rsidR="00483E94" w:rsidRPr="00FA3966" w:rsidRDefault="00483E94" w:rsidP="00483E94">
      <w:pPr>
        <w:ind w:left="1134"/>
        <w:rPr>
          <w:b/>
          <w:sz w:val="28"/>
          <w:szCs w:val="28"/>
          <w:lang w:val="fr-FR"/>
        </w:rPr>
      </w:pPr>
      <w:r w:rsidRPr="00FA3966">
        <w:rPr>
          <w:b/>
          <w:sz w:val="28"/>
          <w:szCs w:val="28"/>
          <w:lang w:val="fr-FR"/>
        </w:rPr>
        <w:t>Documents officiels</w:t>
      </w:r>
    </w:p>
    <w:p w14:paraId="71B0E8B3" w14:textId="2CF58343" w:rsidR="00483E94" w:rsidRPr="00FA3966" w:rsidRDefault="00DC1F96" w:rsidP="00483E94">
      <w:pPr>
        <w:ind w:left="1134" w:right="1134"/>
        <w:rPr>
          <w:b/>
          <w:sz w:val="28"/>
          <w:szCs w:val="28"/>
          <w:lang w:val="fr-FR"/>
        </w:rPr>
      </w:pPr>
      <w:r>
        <w:rPr>
          <w:b/>
          <w:sz w:val="28"/>
          <w:szCs w:val="28"/>
          <w:lang w:val="fr-FR"/>
        </w:rPr>
        <w:t xml:space="preserve">Soixante-seizième </w:t>
      </w:r>
      <w:r w:rsidR="00483E94" w:rsidRPr="00FA3966">
        <w:rPr>
          <w:b/>
          <w:sz w:val="28"/>
          <w:szCs w:val="28"/>
          <w:lang w:val="fr-FR"/>
        </w:rPr>
        <w:t>session</w:t>
      </w:r>
    </w:p>
    <w:p w14:paraId="2ADC10BE" w14:textId="4540F33E" w:rsidR="00483E94" w:rsidRDefault="00483E94" w:rsidP="00483E94">
      <w:pPr>
        <w:ind w:left="1134" w:right="1134"/>
        <w:rPr>
          <w:b/>
          <w:sz w:val="28"/>
          <w:szCs w:val="28"/>
          <w:lang w:val="fr-FR"/>
        </w:rPr>
      </w:pPr>
      <w:r w:rsidRPr="00FA3966">
        <w:rPr>
          <w:b/>
          <w:sz w:val="28"/>
          <w:szCs w:val="28"/>
          <w:lang w:val="fr-FR"/>
        </w:rPr>
        <w:t>Supplément n</w:t>
      </w:r>
      <w:r w:rsidRPr="00FA3966">
        <w:rPr>
          <w:b/>
          <w:sz w:val="28"/>
          <w:szCs w:val="28"/>
          <w:vertAlign w:val="superscript"/>
          <w:lang w:val="fr-FR"/>
        </w:rPr>
        <w:t>o</w:t>
      </w:r>
      <w:r w:rsidR="00A132E2">
        <w:rPr>
          <w:b/>
          <w:sz w:val="28"/>
          <w:szCs w:val="28"/>
          <w:lang w:val="fr-FR"/>
        </w:rPr>
        <w:t> 18</w:t>
      </w:r>
      <w:r w:rsidR="00FB1C8F">
        <w:rPr>
          <w:b/>
          <w:sz w:val="28"/>
          <w:szCs w:val="28"/>
          <w:lang w:val="fr-FR"/>
        </w:rPr>
        <w:t xml:space="preserve"> </w:t>
      </w:r>
      <w:r w:rsidRPr="00FA3966">
        <w:rPr>
          <w:b/>
          <w:sz w:val="28"/>
          <w:szCs w:val="28"/>
          <w:lang w:val="fr-FR"/>
        </w:rPr>
        <w:t>(</w:t>
      </w:r>
      <w:r w:rsidR="00A132E2">
        <w:rPr>
          <w:b/>
          <w:sz w:val="28"/>
          <w:szCs w:val="28"/>
          <w:lang w:val="fr-FR"/>
        </w:rPr>
        <w:t>A/76/18</w:t>
      </w:r>
      <w:r w:rsidRPr="00FA3966">
        <w:rPr>
          <w:b/>
          <w:sz w:val="28"/>
          <w:szCs w:val="28"/>
          <w:lang w:val="fr-FR"/>
        </w:rPr>
        <w:t>)</w:t>
      </w:r>
    </w:p>
    <w:p w14:paraId="577B15D3" w14:textId="77777777" w:rsidR="00483E94" w:rsidRDefault="00483E94" w:rsidP="00C451B9">
      <w:pPr>
        <w:sectPr w:rsidR="00483E94" w:rsidSect="00A132E2">
          <w:footerReference w:type="first" r:id="rId8"/>
          <w:endnotePr>
            <w:numFmt w:val="decimal"/>
          </w:endnotePr>
          <w:type w:val="oddPage"/>
          <w:pgSz w:w="11907" w:h="16840" w:code="9"/>
          <w:pgMar w:top="1417" w:right="1134" w:bottom="1134" w:left="1134" w:header="850" w:footer="567" w:gutter="0"/>
          <w:cols w:space="720"/>
          <w:titlePg/>
          <w:docGrid w:linePitch="272"/>
        </w:sectPr>
      </w:pPr>
    </w:p>
    <w:p w14:paraId="28012076" w14:textId="77777777" w:rsidR="00541BE4" w:rsidRPr="00FA3966" w:rsidRDefault="00A132E2" w:rsidP="00541BE4">
      <w:pPr>
        <w:spacing w:after="1200"/>
        <w:jc w:val="right"/>
        <w:outlineLvl w:val="0"/>
        <w:rPr>
          <w:b/>
          <w:lang w:val="fr-FR"/>
        </w:rPr>
      </w:pPr>
      <w:r>
        <w:rPr>
          <w:b/>
          <w:lang w:val="fr-FR"/>
        </w:rPr>
        <w:lastRenderedPageBreak/>
        <w:t>A/76/18</w:t>
      </w:r>
    </w:p>
    <w:p w14:paraId="4E471C6B" w14:textId="77777777" w:rsidR="00541BE4" w:rsidRPr="00FA3966" w:rsidRDefault="00541BE4" w:rsidP="00541BE4">
      <w:pPr>
        <w:rPr>
          <w:b/>
          <w:sz w:val="24"/>
          <w:szCs w:val="24"/>
          <w:lang w:val="fr-FR"/>
        </w:rPr>
      </w:pPr>
      <w:r w:rsidRPr="00FA3966">
        <w:rPr>
          <w:b/>
          <w:sz w:val="24"/>
          <w:szCs w:val="24"/>
          <w:lang w:val="fr-FR"/>
        </w:rPr>
        <w:t>Assemblée générale</w:t>
      </w:r>
    </w:p>
    <w:p w14:paraId="191A0EA3" w14:textId="77777777" w:rsidR="00541BE4" w:rsidRPr="00FA3966" w:rsidRDefault="00541BE4" w:rsidP="00541BE4">
      <w:pPr>
        <w:rPr>
          <w:sz w:val="24"/>
          <w:szCs w:val="24"/>
          <w:lang w:val="fr-FR"/>
        </w:rPr>
      </w:pPr>
      <w:r w:rsidRPr="00FA3966">
        <w:rPr>
          <w:sz w:val="24"/>
          <w:szCs w:val="24"/>
          <w:lang w:val="fr-FR"/>
        </w:rPr>
        <w:t>Documents officiels</w:t>
      </w:r>
    </w:p>
    <w:p w14:paraId="17B04DEC" w14:textId="5B84A01A" w:rsidR="00541BE4" w:rsidRPr="00FA3966" w:rsidRDefault="00DC1F96" w:rsidP="00541BE4">
      <w:pPr>
        <w:rPr>
          <w:sz w:val="24"/>
          <w:szCs w:val="24"/>
          <w:lang w:val="fr-FR"/>
        </w:rPr>
      </w:pPr>
      <w:r>
        <w:rPr>
          <w:sz w:val="24"/>
          <w:szCs w:val="24"/>
          <w:lang w:val="fr-FR"/>
        </w:rPr>
        <w:t xml:space="preserve">Soixante-seizième </w:t>
      </w:r>
      <w:r w:rsidR="00541BE4" w:rsidRPr="00FA3966">
        <w:rPr>
          <w:sz w:val="24"/>
          <w:szCs w:val="24"/>
          <w:lang w:val="fr-FR"/>
        </w:rPr>
        <w:t>session</w:t>
      </w:r>
    </w:p>
    <w:p w14:paraId="61AA0DE1" w14:textId="53B01238" w:rsidR="00541BE4" w:rsidRPr="00FA3966" w:rsidRDefault="00541BE4" w:rsidP="00541BE4">
      <w:pPr>
        <w:spacing w:after="1080"/>
        <w:rPr>
          <w:b/>
          <w:sz w:val="24"/>
          <w:szCs w:val="24"/>
          <w:lang w:val="fr-FR"/>
        </w:rPr>
      </w:pPr>
      <w:r w:rsidRPr="00FA3966">
        <w:rPr>
          <w:sz w:val="24"/>
          <w:szCs w:val="24"/>
          <w:lang w:val="fr-FR"/>
        </w:rPr>
        <w:t>Supplément n</w:t>
      </w:r>
      <w:r w:rsidR="00A132E2" w:rsidRPr="00A132E2">
        <w:rPr>
          <w:sz w:val="24"/>
          <w:szCs w:val="24"/>
          <w:vertAlign w:val="superscript"/>
          <w:lang w:val="fr-FR"/>
        </w:rPr>
        <w:t>o</w:t>
      </w:r>
      <w:r w:rsidR="00A132E2">
        <w:rPr>
          <w:sz w:val="24"/>
          <w:szCs w:val="24"/>
          <w:lang w:val="fr-FR"/>
        </w:rPr>
        <w:t> </w:t>
      </w:r>
      <w:r w:rsidR="00A132E2" w:rsidRPr="00A132E2">
        <w:rPr>
          <w:sz w:val="24"/>
          <w:szCs w:val="24"/>
          <w:lang w:val="fr-FR"/>
        </w:rPr>
        <w:t>18</w:t>
      </w:r>
    </w:p>
    <w:p w14:paraId="53E364F3" w14:textId="1444089D" w:rsidR="00541BE4" w:rsidRPr="00FA3966" w:rsidRDefault="00541BE4" w:rsidP="00DF4D0D">
      <w:pPr>
        <w:pStyle w:val="SMG"/>
        <w:spacing w:before="0" w:after="960"/>
        <w:rPr>
          <w:szCs w:val="40"/>
          <w:lang w:val="fr-FR"/>
        </w:rPr>
      </w:pPr>
      <w:r w:rsidRPr="00FA3966">
        <w:rPr>
          <w:lang w:val="fr-FR"/>
        </w:rPr>
        <w:t xml:space="preserve">Rapport du </w:t>
      </w:r>
      <w:r w:rsidR="00A132E2">
        <w:rPr>
          <w:lang w:val="fr-FR"/>
        </w:rPr>
        <w:t>Comité pour l’élimination de</w:t>
      </w:r>
      <w:r w:rsidR="00DC1F96">
        <w:rPr>
          <w:lang w:val="fr-FR"/>
        </w:rPr>
        <w:t> </w:t>
      </w:r>
      <w:r w:rsidR="00A132E2">
        <w:rPr>
          <w:lang w:val="fr-FR"/>
        </w:rPr>
        <w:t>la discrimination raciale</w:t>
      </w:r>
    </w:p>
    <w:p w14:paraId="5D133670" w14:textId="73B8E4D7" w:rsidR="00A132E2" w:rsidRPr="00A132E2" w:rsidRDefault="00A132E2" w:rsidP="00A132E2">
      <w:pPr>
        <w:spacing w:after="120"/>
        <w:ind w:left="1134"/>
        <w:rPr>
          <w:b/>
          <w:sz w:val="28"/>
          <w:szCs w:val="28"/>
          <w:lang w:val="fr-FR"/>
        </w:rPr>
      </w:pPr>
      <w:r>
        <w:rPr>
          <w:b/>
          <w:sz w:val="28"/>
          <w:szCs w:val="28"/>
          <w:lang w:val="fr-FR"/>
        </w:rPr>
        <w:t>101</w:t>
      </w:r>
      <w:r w:rsidRPr="00A132E2">
        <w:rPr>
          <w:b/>
          <w:sz w:val="28"/>
          <w:szCs w:val="28"/>
          <w:vertAlign w:val="superscript"/>
          <w:lang w:val="fr-FR"/>
        </w:rPr>
        <w:t>e</w:t>
      </w:r>
      <w:r>
        <w:rPr>
          <w:b/>
          <w:sz w:val="28"/>
          <w:szCs w:val="28"/>
          <w:lang w:val="fr-FR"/>
        </w:rPr>
        <w:t> </w:t>
      </w:r>
      <w:r w:rsidR="00541BE4" w:rsidRPr="00FA3966">
        <w:rPr>
          <w:b/>
          <w:sz w:val="28"/>
          <w:szCs w:val="28"/>
          <w:lang w:val="fr-FR"/>
        </w:rPr>
        <w:t>session</w:t>
      </w:r>
      <w:r w:rsidR="00DC1F96">
        <w:rPr>
          <w:b/>
          <w:sz w:val="28"/>
          <w:szCs w:val="28"/>
          <w:lang w:val="fr-FR"/>
        </w:rPr>
        <w:t xml:space="preserve"> </w:t>
      </w:r>
      <w:r w:rsidR="00DC1F96">
        <w:rPr>
          <w:b/>
          <w:sz w:val="28"/>
          <w:szCs w:val="28"/>
          <w:lang w:val="fr-FR"/>
        </w:rPr>
        <w:br/>
      </w:r>
      <w:r w:rsidRPr="00A132E2">
        <w:rPr>
          <w:b/>
          <w:sz w:val="28"/>
          <w:szCs w:val="28"/>
          <w:lang w:val="fr-FR"/>
        </w:rPr>
        <w:t>(4-7 août 2021)</w:t>
      </w:r>
    </w:p>
    <w:p w14:paraId="69DE35F4" w14:textId="74CB2D45" w:rsidR="00A132E2" w:rsidRPr="00A132E2" w:rsidRDefault="00A132E2" w:rsidP="00A132E2">
      <w:pPr>
        <w:spacing w:after="120"/>
        <w:ind w:left="1134"/>
        <w:rPr>
          <w:b/>
          <w:sz w:val="28"/>
          <w:szCs w:val="28"/>
          <w:lang w:val="fr-FR"/>
        </w:rPr>
      </w:pPr>
      <w:r w:rsidRPr="00A132E2">
        <w:rPr>
          <w:b/>
          <w:sz w:val="28"/>
          <w:szCs w:val="28"/>
          <w:lang w:val="fr-FR"/>
        </w:rPr>
        <w:t>102</w:t>
      </w:r>
      <w:r w:rsidRPr="00AF2A49">
        <w:rPr>
          <w:b/>
          <w:sz w:val="28"/>
          <w:szCs w:val="28"/>
          <w:vertAlign w:val="superscript"/>
          <w:lang w:val="fr-FR"/>
        </w:rPr>
        <w:t>e</w:t>
      </w:r>
      <w:r w:rsidRPr="00A132E2">
        <w:rPr>
          <w:b/>
          <w:sz w:val="28"/>
          <w:szCs w:val="28"/>
          <w:lang w:val="fr-FR"/>
        </w:rPr>
        <w:t> session</w:t>
      </w:r>
      <w:r w:rsidR="00DC1F96">
        <w:rPr>
          <w:b/>
          <w:sz w:val="28"/>
          <w:szCs w:val="28"/>
          <w:lang w:val="fr-FR"/>
        </w:rPr>
        <w:t xml:space="preserve"> </w:t>
      </w:r>
      <w:r w:rsidR="00DC1F96">
        <w:rPr>
          <w:b/>
          <w:sz w:val="28"/>
          <w:szCs w:val="28"/>
          <w:lang w:val="fr-FR"/>
        </w:rPr>
        <w:br/>
      </w:r>
      <w:r w:rsidRPr="00A132E2">
        <w:rPr>
          <w:b/>
          <w:sz w:val="28"/>
          <w:szCs w:val="28"/>
          <w:lang w:val="fr-FR"/>
        </w:rPr>
        <w:t>(16-24 novembre 2021)</w:t>
      </w:r>
    </w:p>
    <w:p w14:paraId="5130ED7A" w14:textId="046EB861" w:rsidR="00A132E2" w:rsidRPr="00FA3966" w:rsidRDefault="00A132E2" w:rsidP="00A132E2">
      <w:pPr>
        <w:spacing w:after="120"/>
        <w:ind w:left="1134"/>
        <w:rPr>
          <w:b/>
          <w:sz w:val="28"/>
          <w:szCs w:val="28"/>
          <w:lang w:val="fr-FR"/>
        </w:rPr>
      </w:pPr>
      <w:r w:rsidRPr="00A132E2">
        <w:rPr>
          <w:b/>
          <w:sz w:val="28"/>
          <w:szCs w:val="28"/>
          <w:lang w:val="fr-FR"/>
        </w:rPr>
        <w:t>103</w:t>
      </w:r>
      <w:r w:rsidRPr="00AF2A49">
        <w:rPr>
          <w:b/>
          <w:sz w:val="28"/>
          <w:szCs w:val="28"/>
          <w:vertAlign w:val="superscript"/>
          <w:lang w:val="fr-FR"/>
        </w:rPr>
        <w:t>e</w:t>
      </w:r>
      <w:r w:rsidRPr="00A132E2">
        <w:rPr>
          <w:b/>
          <w:sz w:val="28"/>
          <w:szCs w:val="28"/>
          <w:lang w:val="fr-FR"/>
        </w:rPr>
        <w:t> session</w:t>
      </w:r>
      <w:r w:rsidR="00DC1F96">
        <w:rPr>
          <w:b/>
          <w:sz w:val="28"/>
          <w:szCs w:val="28"/>
          <w:lang w:val="fr-FR"/>
        </w:rPr>
        <w:t xml:space="preserve"> </w:t>
      </w:r>
      <w:r w:rsidR="00DC1F96">
        <w:rPr>
          <w:b/>
          <w:sz w:val="28"/>
          <w:szCs w:val="28"/>
          <w:lang w:val="fr-FR"/>
        </w:rPr>
        <w:br/>
      </w:r>
      <w:r w:rsidRPr="00A132E2">
        <w:rPr>
          <w:b/>
          <w:sz w:val="28"/>
          <w:szCs w:val="28"/>
          <w:lang w:val="fr-FR"/>
        </w:rPr>
        <w:t>(19-30 avril 2021)</w:t>
      </w:r>
    </w:p>
    <w:p w14:paraId="2A96F898" w14:textId="77777777" w:rsidR="00DF4D0D" w:rsidRDefault="001D12EC" w:rsidP="00DF4D0D">
      <w:pPr>
        <w:spacing w:before="5200"/>
        <w:ind w:left="1134"/>
        <w:outlineLvl w:val="0"/>
      </w:pPr>
      <w:r>
        <w:rPr>
          <w:noProof/>
          <w:lang w:eastAsia="fr-CH"/>
        </w:rPr>
        <w:drawing>
          <wp:inline distT="0" distB="0" distL="0" distR="0" wp14:anchorId="3FC419DF" wp14:editId="61216071">
            <wp:extent cx="533400" cy="495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25" t="-133" r="-125" b="-133"/>
                    <a:stretch>
                      <a:fillRect/>
                    </a:stretch>
                  </pic:blipFill>
                  <pic:spPr bwMode="auto">
                    <a:xfrm>
                      <a:off x="0" y="0"/>
                      <a:ext cx="533400" cy="495300"/>
                    </a:xfrm>
                    <a:prstGeom prst="rect">
                      <a:avLst/>
                    </a:prstGeom>
                    <a:noFill/>
                    <a:ln>
                      <a:noFill/>
                    </a:ln>
                  </pic:spPr>
                </pic:pic>
              </a:graphicData>
            </a:graphic>
          </wp:inline>
        </w:drawing>
      </w:r>
      <w:r w:rsidR="00DF4D0D">
        <w:t xml:space="preserve"> </w:t>
      </w:r>
    </w:p>
    <w:p w14:paraId="7CCB97DC" w14:textId="23F1C8D1" w:rsidR="00541BE4" w:rsidRPr="00FA3966" w:rsidRDefault="00541BE4" w:rsidP="00541BE4">
      <w:pPr>
        <w:ind w:left="1134"/>
        <w:outlineLvl w:val="0"/>
        <w:rPr>
          <w:b/>
          <w:sz w:val="24"/>
          <w:szCs w:val="24"/>
          <w:lang w:val="fr-FR"/>
        </w:rPr>
      </w:pPr>
      <w:r w:rsidRPr="00FA3966">
        <w:rPr>
          <w:b/>
          <w:noProof/>
          <w:sz w:val="28"/>
          <w:lang w:val="fr-FR"/>
        </w:rPr>
        <w:t>Nations</w:t>
      </w:r>
      <w:r w:rsidR="00A132E2">
        <w:rPr>
          <w:b/>
          <w:noProof/>
          <w:sz w:val="28"/>
          <w:lang w:val="fr-FR"/>
        </w:rPr>
        <w:t> </w:t>
      </w:r>
      <w:r w:rsidRPr="00FA3966">
        <w:rPr>
          <w:b/>
          <w:noProof/>
          <w:sz w:val="28"/>
          <w:lang w:val="fr-FR"/>
        </w:rPr>
        <w:t>Unies</w:t>
      </w:r>
      <w:r w:rsidRPr="00FA3966">
        <w:rPr>
          <w:b/>
          <w:sz w:val="28"/>
          <w:lang w:val="fr-FR"/>
        </w:rPr>
        <w:t xml:space="preserve"> • New</w:t>
      </w:r>
      <w:r w:rsidR="00A132E2">
        <w:rPr>
          <w:b/>
          <w:sz w:val="28"/>
          <w:lang w:val="fr-FR"/>
        </w:rPr>
        <w:t> </w:t>
      </w:r>
      <w:r w:rsidRPr="00FA3966">
        <w:rPr>
          <w:b/>
          <w:sz w:val="28"/>
          <w:lang w:val="fr-FR"/>
        </w:rPr>
        <w:t xml:space="preserve">York, </w:t>
      </w:r>
      <w:r w:rsidR="00A132E2">
        <w:rPr>
          <w:b/>
          <w:sz w:val="28"/>
          <w:lang w:val="fr-FR"/>
        </w:rPr>
        <w:t>2021</w:t>
      </w:r>
    </w:p>
    <w:p w14:paraId="298DDF6A" w14:textId="77777777" w:rsidR="007B0ECA" w:rsidRDefault="007B0ECA" w:rsidP="00541BE4">
      <w:pPr>
        <w:spacing w:before="4800" w:after="120"/>
        <w:ind w:left="1134"/>
        <w:rPr>
          <w:lang w:val="fr-FR"/>
        </w:rPr>
      </w:pPr>
    </w:p>
    <w:p w14:paraId="42C0AF2A" w14:textId="77777777" w:rsidR="00541BE4" w:rsidRPr="00FA3966" w:rsidRDefault="00541BE4" w:rsidP="007B0ECA">
      <w:pPr>
        <w:spacing w:before="1400" w:after="120"/>
        <w:ind w:left="1134"/>
        <w:rPr>
          <w:i/>
          <w:lang w:val="fr-FR"/>
        </w:rPr>
      </w:pPr>
      <w:r w:rsidRPr="00FA3966">
        <w:rPr>
          <w:i/>
          <w:lang w:val="fr-FR"/>
        </w:rPr>
        <w:t>Note</w:t>
      </w:r>
    </w:p>
    <w:p w14:paraId="750CA6EF" w14:textId="78D9A619" w:rsidR="00541BE4" w:rsidRPr="00FA3966" w:rsidRDefault="00541BE4" w:rsidP="00270821">
      <w:pPr>
        <w:pStyle w:val="SingleTxtG"/>
        <w:ind w:firstLine="567"/>
        <w:rPr>
          <w:lang w:val="fr-FR"/>
        </w:rPr>
      </w:pPr>
      <w:r w:rsidRPr="00FA3966">
        <w:rPr>
          <w:bCs/>
          <w:lang w:val="fr-FR"/>
        </w:rPr>
        <w:t>Les cotes des documents de l’Organisation des Nations</w:t>
      </w:r>
      <w:r w:rsidR="00A132E2">
        <w:rPr>
          <w:bCs/>
          <w:lang w:val="fr-FR"/>
        </w:rPr>
        <w:t> </w:t>
      </w:r>
      <w:r w:rsidRPr="00FA3966">
        <w:rPr>
          <w:bCs/>
          <w:lang w:val="fr-FR"/>
        </w:rPr>
        <w:t>Unies se composent de lettres majuscules et de chiffres. La simple mention d’une cote dans un texte signifie qu’il s’agit d’un document de l’Organisation.</w:t>
      </w:r>
    </w:p>
    <w:p w14:paraId="016D2660" w14:textId="77777777" w:rsidR="00541BE4" w:rsidRDefault="00541BE4" w:rsidP="00C451B9">
      <w:pPr>
        <w:sectPr w:rsidR="00541BE4" w:rsidSect="00A132E2">
          <w:headerReference w:type="default" r:id="rId10"/>
          <w:footerReference w:type="default" r:id="rId11"/>
          <w:headerReference w:type="first" r:id="rId12"/>
          <w:footerReference w:type="first" r:id="rId13"/>
          <w:endnotePr>
            <w:numFmt w:val="decimal"/>
          </w:endnotePr>
          <w:type w:val="oddPage"/>
          <w:pgSz w:w="11907" w:h="16840" w:code="9"/>
          <w:pgMar w:top="1417" w:right="1134" w:bottom="1134" w:left="1134" w:header="850" w:footer="567" w:gutter="0"/>
          <w:cols w:space="720"/>
          <w:titlePg/>
          <w:docGrid w:linePitch="272"/>
        </w:sectPr>
      </w:pPr>
    </w:p>
    <w:p w14:paraId="57D90833" w14:textId="26A413D1" w:rsidR="00A132E2" w:rsidRDefault="00FA5DFC" w:rsidP="00FA5DFC">
      <w:pPr>
        <w:spacing w:after="120"/>
        <w:rPr>
          <w:sz w:val="28"/>
        </w:rPr>
      </w:pPr>
      <w:r w:rsidRPr="00FA5DFC">
        <w:rPr>
          <w:sz w:val="28"/>
        </w:rPr>
        <w:lastRenderedPageBreak/>
        <w:t>Table des matières</w:t>
      </w:r>
    </w:p>
    <w:p w14:paraId="59D181CC" w14:textId="5B397CF7" w:rsidR="00775680" w:rsidRDefault="00775680" w:rsidP="00775680">
      <w:pPr>
        <w:tabs>
          <w:tab w:val="right" w:pos="850"/>
          <w:tab w:val="right" w:leader="dot" w:pos="8787"/>
          <w:tab w:val="right" w:pos="9638"/>
        </w:tabs>
        <w:spacing w:after="120"/>
        <w:ind w:left="1134" w:hanging="1134"/>
        <w:jc w:val="right"/>
      </w:pPr>
      <w:r w:rsidRPr="00FA5DFC">
        <w:rPr>
          <w:i/>
          <w:sz w:val="18"/>
        </w:rPr>
        <w:t>Page</w:t>
      </w:r>
    </w:p>
    <w:p w14:paraId="7B77A08A" w14:textId="1113EA89" w:rsidR="00DC1F96" w:rsidRDefault="00DC1F96" w:rsidP="00DC1F96">
      <w:pPr>
        <w:tabs>
          <w:tab w:val="right" w:pos="850"/>
          <w:tab w:val="right" w:leader="dot" w:pos="8787"/>
          <w:tab w:val="right" w:pos="9638"/>
        </w:tabs>
        <w:spacing w:after="120"/>
        <w:ind w:left="1134" w:hanging="1134"/>
      </w:pPr>
      <w:r>
        <w:tab/>
      </w:r>
      <w:r w:rsidR="00775680">
        <w:tab/>
      </w:r>
      <w:r w:rsidR="003E7C09">
        <w:rPr>
          <w:lang w:val="fr-FR"/>
        </w:rPr>
        <w:t>Lettre d’envoi</w:t>
      </w:r>
      <w:r>
        <w:tab/>
      </w:r>
      <w:r>
        <w:tab/>
      </w:r>
      <w:r w:rsidR="003E7C09">
        <w:t>1</w:t>
      </w:r>
    </w:p>
    <w:p w14:paraId="74049BB7" w14:textId="77777777" w:rsidR="00775680" w:rsidRDefault="00FA5DFC" w:rsidP="00FA5DFC">
      <w:pPr>
        <w:tabs>
          <w:tab w:val="right" w:pos="9638"/>
        </w:tabs>
        <w:spacing w:after="120"/>
        <w:ind w:left="283"/>
        <w:rPr>
          <w:i/>
          <w:sz w:val="18"/>
        </w:rPr>
      </w:pPr>
      <w:r w:rsidRPr="00FA5DFC">
        <w:rPr>
          <w:i/>
          <w:sz w:val="18"/>
        </w:rPr>
        <w:t>Chapitre</w:t>
      </w:r>
    </w:p>
    <w:p w14:paraId="41680532" w14:textId="2443965E" w:rsidR="00FA5DFC" w:rsidRDefault="00FA5DFC" w:rsidP="00FA5DFC">
      <w:pPr>
        <w:tabs>
          <w:tab w:val="right" w:pos="850"/>
          <w:tab w:val="right" w:leader="dot" w:pos="8787"/>
          <w:tab w:val="right" w:pos="9638"/>
        </w:tabs>
        <w:spacing w:after="120"/>
        <w:ind w:left="1134" w:hanging="1134"/>
      </w:pPr>
      <w:r>
        <w:tab/>
        <w:t>I.</w:t>
      </w:r>
      <w:r>
        <w:tab/>
      </w:r>
      <w:r w:rsidR="003E7C09">
        <w:rPr>
          <w:lang w:val="fr-FR"/>
        </w:rPr>
        <w:t>Questions d’organisation et questions connexes</w:t>
      </w:r>
      <w:r>
        <w:tab/>
      </w:r>
      <w:r>
        <w:tab/>
      </w:r>
      <w:r w:rsidR="003E7C09">
        <w:t>2</w:t>
      </w:r>
    </w:p>
    <w:p w14:paraId="63BBE58C" w14:textId="586E3E6C" w:rsidR="00FA5DFC" w:rsidRDefault="00FA5DFC" w:rsidP="00FA5DFC">
      <w:pPr>
        <w:tabs>
          <w:tab w:val="right" w:leader="dot" w:pos="8787"/>
          <w:tab w:val="right" w:pos="9638"/>
        </w:tabs>
        <w:spacing w:after="120"/>
        <w:ind w:left="1559" w:hanging="425"/>
      </w:pPr>
      <w:r>
        <w:t>A.</w:t>
      </w:r>
      <w:r>
        <w:tab/>
      </w:r>
      <w:r w:rsidR="003E7C09">
        <w:rPr>
          <w:lang w:val="fr-FR"/>
        </w:rPr>
        <w:t xml:space="preserve">États parties à la Convention internationale sur l’élimination de toutes les formes </w:t>
      </w:r>
      <w:r w:rsidR="003E7C09">
        <w:rPr>
          <w:lang w:val="fr-FR"/>
        </w:rPr>
        <w:br/>
        <w:t>de discrimination raciale</w:t>
      </w:r>
      <w:r>
        <w:tab/>
      </w:r>
      <w:r>
        <w:tab/>
      </w:r>
      <w:r w:rsidR="003E7C09">
        <w:t>2</w:t>
      </w:r>
    </w:p>
    <w:p w14:paraId="1BA71ABD" w14:textId="3D7A3C01" w:rsidR="00DC1F96" w:rsidRDefault="00DC1F96" w:rsidP="00DC1F96">
      <w:pPr>
        <w:tabs>
          <w:tab w:val="right" w:leader="dot" w:pos="8787"/>
          <w:tab w:val="right" w:pos="9638"/>
        </w:tabs>
        <w:spacing w:after="120"/>
        <w:ind w:left="1559" w:hanging="425"/>
      </w:pPr>
      <w:r>
        <w:t>B.</w:t>
      </w:r>
      <w:r>
        <w:tab/>
      </w:r>
      <w:r w:rsidR="003E7C09">
        <w:rPr>
          <w:lang w:val="fr-FR"/>
        </w:rPr>
        <w:t>Sessions et ordres du jour</w:t>
      </w:r>
      <w:r>
        <w:tab/>
      </w:r>
      <w:r>
        <w:tab/>
      </w:r>
      <w:r w:rsidR="003E7C09">
        <w:t>2</w:t>
      </w:r>
    </w:p>
    <w:p w14:paraId="74B994AE" w14:textId="155CCD7B" w:rsidR="00DC1F96" w:rsidRDefault="00DC1F96" w:rsidP="00DC1F96">
      <w:pPr>
        <w:tabs>
          <w:tab w:val="right" w:leader="dot" w:pos="8787"/>
          <w:tab w:val="right" w:pos="9638"/>
        </w:tabs>
        <w:spacing w:after="120"/>
        <w:ind w:left="1559" w:hanging="425"/>
      </w:pPr>
      <w:r>
        <w:t>C.</w:t>
      </w:r>
      <w:r>
        <w:tab/>
      </w:r>
      <w:r w:rsidR="003E7C09">
        <w:rPr>
          <w:lang w:val="fr-FR"/>
        </w:rPr>
        <w:t>Composition</w:t>
      </w:r>
      <w:r>
        <w:tab/>
      </w:r>
      <w:r>
        <w:tab/>
      </w:r>
      <w:r w:rsidR="003E7C09">
        <w:t>2</w:t>
      </w:r>
    </w:p>
    <w:p w14:paraId="0E89D71E" w14:textId="11F253B2" w:rsidR="00DC1F96" w:rsidRDefault="00DC1F96" w:rsidP="00DC1F96">
      <w:pPr>
        <w:tabs>
          <w:tab w:val="right" w:leader="dot" w:pos="8787"/>
          <w:tab w:val="right" w:pos="9638"/>
        </w:tabs>
        <w:spacing w:after="120"/>
        <w:ind w:left="1559" w:hanging="425"/>
      </w:pPr>
      <w:r>
        <w:t>D.</w:t>
      </w:r>
      <w:r>
        <w:tab/>
      </w:r>
      <w:r w:rsidR="003E7C09">
        <w:rPr>
          <w:lang w:val="fr-FR"/>
        </w:rPr>
        <w:t>Bureau du Comité</w:t>
      </w:r>
      <w:r>
        <w:tab/>
      </w:r>
      <w:r>
        <w:tab/>
      </w:r>
      <w:r w:rsidR="003E7C09">
        <w:t>3</w:t>
      </w:r>
    </w:p>
    <w:p w14:paraId="590E4FC5" w14:textId="5B62992E" w:rsidR="00DC1F96" w:rsidRDefault="00DC1F96" w:rsidP="00DC1F96">
      <w:pPr>
        <w:tabs>
          <w:tab w:val="right" w:leader="dot" w:pos="8787"/>
          <w:tab w:val="right" w:pos="9638"/>
        </w:tabs>
        <w:spacing w:after="120"/>
        <w:ind w:left="1559" w:hanging="425"/>
      </w:pPr>
      <w:r w:rsidRPr="00775680">
        <w:rPr>
          <w:spacing w:val="4"/>
        </w:rPr>
        <w:t>E.</w:t>
      </w:r>
      <w:r w:rsidRPr="00775680">
        <w:rPr>
          <w:spacing w:val="4"/>
        </w:rPr>
        <w:tab/>
      </w:r>
      <w:r w:rsidR="003E7C09" w:rsidRPr="00775680">
        <w:rPr>
          <w:spacing w:val="4"/>
          <w:lang w:val="fr-FR"/>
        </w:rPr>
        <w:t>Coopération avec l’Organisation internationale du Travail, le Haut</w:t>
      </w:r>
      <w:r w:rsidR="003E7C09" w:rsidRPr="00775680">
        <w:rPr>
          <w:spacing w:val="4"/>
          <w:lang w:val="fr-FR"/>
        </w:rPr>
        <w:noBreakHyphen/>
        <w:t>Commissariat</w:t>
      </w:r>
      <w:r w:rsidR="003E7C09">
        <w:rPr>
          <w:lang w:val="fr-FR"/>
        </w:rPr>
        <w:t xml:space="preserve"> </w:t>
      </w:r>
      <w:r w:rsidR="003E7C09">
        <w:rPr>
          <w:lang w:val="fr-FR"/>
        </w:rPr>
        <w:br/>
      </w:r>
      <w:r w:rsidR="003E7C09" w:rsidRPr="00775680">
        <w:rPr>
          <w:spacing w:val="-2"/>
          <w:lang w:val="fr-FR"/>
        </w:rPr>
        <w:t>des Nations Unies pour les réfugiés, l’Organisation des Nations Unies pour l’éducation,</w:t>
      </w:r>
      <w:r w:rsidR="003E7C09">
        <w:rPr>
          <w:lang w:val="fr-FR"/>
        </w:rPr>
        <w:t xml:space="preserve"> </w:t>
      </w:r>
      <w:r w:rsidR="003E7C09">
        <w:rPr>
          <w:lang w:val="fr-FR"/>
        </w:rPr>
        <w:br/>
        <w:t xml:space="preserve">la science et la culture, les procédures spéciales du Conseil des droits de l’homme </w:t>
      </w:r>
      <w:r w:rsidR="003E7C09">
        <w:rPr>
          <w:lang w:val="fr-FR"/>
        </w:rPr>
        <w:br/>
        <w:t>et les mécanismes régionaux des droits de l’homme</w:t>
      </w:r>
      <w:r>
        <w:tab/>
      </w:r>
      <w:r>
        <w:tab/>
      </w:r>
      <w:r w:rsidR="003E7C09">
        <w:t>4</w:t>
      </w:r>
    </w:p>
    <w:p w14:paraId="15172969" w14:textId="7BF11053" w:rsidR="00DC1F96" w:rsidRDefault="00DC1F96" w:rsidP="00DC1F96">
      <w:pPr>
        <w:tabs>
          <w:tab w:val="right" w:leader="dot" w:pos="8787"/>
          <w:tab w:val="right" w:pos="9638"/>
        </w:tabs>
        <w:spacing w:after="120"/>
        <w:ind w:left="1559" w:hanging="425"/>
      </w:pPr>
      <w:r>
        <w:t>F.</w:t>
      </w:r>
      <w:r>
        <w:tab/>
      </w:r>
      <w:r w:rsidR="003E7C09">
        <w:rPr>
          <w:lang w:val="fr-FR"/>
        </w:rPr>
        <w:t>Questions diverses</w:t>
      </w:r>
      <w:r>
        <w:tab/>
      </w:r>
      <w:r>
        <w:tab/>
      </w:r>
      <w:r w:rsidR="003E7C09">
        <w:t>4</w:t>
      </w:r>
    </w:p>
    <w:p w14:paraId="349C69C0" w14:textId="25322BE1" w:rsidR="00DC1F96" w:rsidRDefault="00DC1F96" w:rsidP="00DC1F96">
      <w:pPr>
        <w:tabs>
          <w:tab w:val="right" w:leader="dot" w:pos="8787"/>
          <w:tab w:val="right" w:pos="9638"/>
        </w:tabs>
        <w:spacing w:after="120"/>
        <w:ind w:left="1559" w:hanging="425"/>
      </w:pPr>
      <w:r>
        <w:t>G.</w:t>
      </w:r>
      <w:r>
        <w:tab/>
      </w:r>
      <w:r w:rsidR="003E7C09">
        <w:rPr>
          <w:lang w:val="fr-FR"/>
        </w:rPr>
        <w:t>Adoption du rapport</w:t>
      </w:r>
      <w:r>
        <w:tab/>
      </w:r>
      <w:r>
        <w:tab/>
      </w:r>
      <w:r w:rsidR="003E7C09">
        <w:t>4</w:t>
      </w:r>
    </w:p>
    <w:p w14:paraId="3D288059" w14:textId="39F746B9" w:rsidR="00DC1F96" w:rsidRDefault="00DC1F96" w:rsidP="00DC1F96">
      <w:pPr>
        <w:tabs>
          <w:tab w:val="right" w:pos="850"/>
          <w:tab w:val="right" w:leader="dot" w:pos="8787"/>
          <w:tab w:val="right" w:pos="9638"/>
        </w:tabs>
        <w:spacing w:after="120"/>
        <w:ind w:left="1134" w:hanging="1134"/>
      </w:pPr>
      <w:r w:rsidRPr="00775680">
        <w:rPr>
          <w:spacing w:val="-3"/>
        </w:rPr>
        <w:tab/>
        <w:t>II.</w:t>
      </w:r>
      <w:r w:rsidRPr="00775680">
        <w:rPr>
          <w:spacing w:val="-3"/>
        </w:rPr>
        <w:tab/>
      </w:r>
      <w:r w:rsidR="003E7C09" w:rsidRPr="00775680">
        <w:rPr>
          <w:spacing w:val="-3"/>
          <w:lang w:val="fr-FR"/>
        </w:rPr>
        <w:t>Prévention de la discrimination raciale, y compris les procédures d’alerte rapide et d’intervention</w:t>
      </w:r>
      <w:r w:rsidR="003E7C09">
        <w:rPr>
          <w:lang w:val="fr-FR"/>
        </w:rPr>
        <w:t xml:space="preserve"> </w:t>
      </w:r>
      <w:r w:rsidR="00775680">
        <w:rPr>
          <w:lang w:val="fr-FR"/>
        </w:rPr>
        <w:br/>
      </w:r>
      <w:r w:rsidR="003E7C09">
        <w:rPr>
          <w:lang w:val="fr-FR"/>
        </w:rPr>
        <w:t>d’urgence</w:t>
      </w:r>
      <w:r>
        <w:tab/>
      </w:r>
      <w:r>
        <w:tab/>
      </w:r>
      <w:r w:rsidR="003E7C09">
        <w:t>5</w:t>
      </w:r>
    </w:p>
    <w:p w14:paraId="3856559A" w14:textId="078FA8D6" w:rsidR="00DC1F96" w:rsidRDefault="00DC1F96" w:rsidP="00DC1F96">
      <w:pPr>
        <w:tabs>
          <w:tab w:val="right" w:leader="dot" w:pos="8787"/>
          <w:tab w:val="right" w:pos="9638"/>
        </w:tabs>
        <w:spacing w:after="120"/>
        <w:ind w:left="1559" w:hanging="425"/>
      </w:pPr>
      <w:r>
        <w:t>A.</w:t>
      </w:r>
      <w:r>
        <w:tab/>
      </w:r>
      <w:r w:rsidR="003E7C09" w:rsidRPr="002B45EB">
        <w:t>Déclarations</w:t>
      </w:r>
      <w:r>
        <w:tab/>
      </w:r>
      <w:r>
        <w:tab/>
      </w:r>
      <w:r w:rsidR="003E7C09">
        <w:t>5</w:t>
      </w:r>
    </w:p>
    <w:p w14:paraId="631EDA06" w14:textId="0963BABD" w:rsidR="00DC1F96" w:rsidRDefault="00DC1F96" w:rsidP="00DC1F96">
      <w:pPr>
        <w:tabs>
          <w:tab w:val="right" w:leader="dot" w:pos="8787"/>
          <w:tab w:val="right" w:pos="9638"/>
        </w:tabs>
        <w:spacing w:after="120"/>
        <w:ind w:left="1559" w:hanging="425"/>
      </w:pPr>
      <w:r w:rsidRPr="002476EF">
        <w:rPr>
          <w:spacing w:val="-2"/>
        </w:rPr>
        <w:t>B.</w:t>
      </w:r>
      <w:r w:rsidRPr="002476EF">
        <w:rPr>
          <w:spacing w:val="-2"/>
        </w:rPr>
        <w:tab/>
      </w:r>
      <w:r w:rsidR="002476EF" w:rsidRPr="002476EF">
        <w:rPr>
          <w:spacing w:val="-2"/>
          <w:lang w:val="fr-FR"/>
        </w:rPr>
        <w:t>Examen de situations au titre des procédures d’alerte rapide et d’intervention d’urgence</w:t>
      </w:r>
      <w:r>
        <w:tab/>
      </w:r>
      <w:r>
        <w:tab/>
      </w:r>
      <w:r w:rsidR="002476EF">
        <w:t>11</w:t>
      </w:r>
    </w:p>
    <w:p w14:paraId="41E0DB35" w14:textId="045131FC" w:rsidR="00DC1F96" w:rsidRDefault="00DC1F96" w:rsidP="00DC1F96">
      <w:pPr>
        <w:tabs>
          <w:tab w:val="right" w:pos="850"/>
          <w:tab w:val="right" w:leader="dot" w:pos="8787"/>
          <w:tab w:val="right" w:pos="9638"/>
        </w:tabs>
        <w:spacing w:after="120"/>
        <w:ind w:left="1134" w:hanging="1134"/>
      </w:pPr>
      <w:r>
        <w:tab/>
        <w:t>III.</w:t>
      </w:r>
      <w:r>
        <w:tab/>
      </w:r>
      <w:r w:rsidR="002476EF" w:rsidRPr="00781E5C">
        <w:rPr>
          <w:spacing w:val="2"/>
          <w:lang w:val="fr-FR"/>
        </w:rPr>
        <w:t xml:space="preserve">Examen des rapports, observations et renseignements </w:t>
      </w:r>
      <w:r w:rsidR="002476EF" w:rsidRPr="00781E5C">
        <w:rPr>
          <w:spacing w:val="-3"/>
          <w:lang w:val="fr-FR"/>
        </w:rPr>
        <w:t>soumis</w:t>
      </w:r>
      <w:r w:rsidR="00775680">
        <w:rPr>
          <w:spacing w:val="-3"/>
          <w:lang w:val="fr-FR"/>
        </w:rPr>
        <w:t xml:space="preserve"> </w:t>
      </w:r>
      <w:r w:rsidR="002476EF" w:rsidRPr="00781E5C">
        <w:rPr>
          <w:spacing w:val="-3"/>
          <w:lang w:val="fr-FR"/>
        </w:rPr>
        <w:t xml:space="preserve">par les États parties en application </w:t>
      </w:r>
      <w:r w:rsidR="00775680">
        <w:rPr>
          <w:spacing w:val="-3"/>
          <w:lang w:val="fr-FR"/>
        </w:rPr>
        <w:br/>
      </w:r>
      <w:r w:rsidR="002476EF" w:rsidRPr="00781E5C">
        <w:rPr>
          <w:spacing w:val="-3"/>
          <w:lang w:val="fr-FR"/>
        </w:rPr>
        <w:t>de l’article 9</w:t>
      </w:r>
      <w:r w:rsidR="002476EF">
        <w:rPr>
          <w:lang w:val="fr-FR"/>
        </w:rPr>
        <w:t xml:space="preserve"> de la Convention</w:t>
      </w:r>
      <w:r>
        <w:tab/>
      </w:r>
      <w:r>
        <w:tab/>
      </w:r>
      <w:r w:rsidR="002476EF">
        <w:t>14</w:t>
      </w:r>
    </w:p>
    <w:p w14:paraId="6A4664BB" w14:textId="63769779" w:rsidR="00DC1F96" w:rsidRDefault="00DC1F96" w:rsidP="00DC1F96">
      <w:pPr>
        <w:tabs>
          <w:tab w:val="right" w:pos="850"/>
          <w:tab w:val="right" w:leader="dot" w:pos="8787"/>
          <w:tab w:val="right" w:pos="9638"/>
        </w:tabs>
        <w:spacing w:after="120"/>
        <w:ind w:left="1134" w:hanging="1134"/>
      </w:pPr>
      <w:r>
        <w:tab/>
        <w:t>IV.</w:t>
      </w:r>
      <w:r>
        <w:tab/>
      </w:r>
      <w:r w:rsidR="002476EF">
        <w:rPr>
          <w:lang w:val="fr-FR"/>
        </w:rPr>
        <w:t xml:space="preserve">Suivi de l’examen des rapports soumis par les États parties en application de l’article 9 </w:t>
      </w:r>
      <w:r w:rsidR="002476EF">
        <w:rPr>
          <w:lang w:val="fr-FR"/>
        </w:rPr>
        <w:br/>
        <w:t>de la Convention</w:t>
      </w:r>
      <w:r>
        <w:tab/>
      </w:r>
      <w:r>
        <w:tab/>
      </w:r>
      <w:r w:rsidR="002476EF">
        <w:t>15</w:t>
      </w:r>
    </w:p>
    <w:p w14:paraId="29934A07" w14:textId="77BB0887" w:rsidR="00DC1F96" w:rsidRDefault="00DC1F96" w:rsidP="00DC1F96">
      <w:pPr>
        <w:tabs>
          <w:tab w:val="right" w:pos="850"/>
          <w:tab w:val="right" w:leader="dot" w:pos="8787"/>
          <w:tab w:val="right" w:pos="9638"/>
        </w:tabs>
        <w:spacing w:after="120"/>
        <w:ind w:left="1134" w:hanging="1134"/>
      </w:pPr>
      <w:r>
        <w:tab/>
        <w:t>V.</w:t>
      </w:r>
      <w:r>
        <w:tab/>
      </w:r>
      <w:r w:rsidR="002476EF">
        <w:rPr>
          <w:lang w:val="fr-FR"/>
        </w:rPr>
        <w:t>Examen des communications soumises au titre de l’article 11 de la Convention</w:t>
      </w:r>
      <w:r>
        <w:tab/>
      </w:r>
      <w:r>
        <w:tab/>
      </w:r>
      <w:r w:rsidR="002476EF">
        <w:t>16</w:t>
      </w:r>
    </w:p>
    <w:p w14:paraId="128BBE32" w14:textId="0258FEB8" w:rsidR="00DC1F96" w:rsidRDefault="00DC1F96" w:rsidP="00DC1F96">
      <w:pPr>
        <w:tabs>
          <w:tab w:val="right" w:pos="850"/>
          <w:tab w:val="right" w:leader="dot" w:pos="8787"/>
          <w:tab w:val="right" w:pos="9638"/>
        </w:tabs>
        <w:spacing w:after="120"/>
        <w:ind w:left="1134" w:hanging="1134"/>
      </w:pPr>
      <w:r>
        <w:tab/>
        <w:t>VI.</w:t>
      </w:r>
      <w:r>
        <w:tab/>
      </w:r>
      <w:r w:rsidR="002476EF" w:rsidRPr="003E3EA0">
        <w:rPr>
          <w:lang w:val="fr-FR"/>
        </w:rPr>
        <w:t>Méthodes de travail</w:t>
      </w:r>
      <w:r>
        <w:tab/>
      </w:r>
      <w:r>
        <w:tab/>
      </w:r>
      <w:r w:rsidR="002476EF">
        <w:t>18</w:t>
      </w:r>
    </w:p>
    <w:p w14:paraId="160C3ADD" w14:textId="0B59AA8C" w:rsidR="00DC1F96" w:rsidRDefault="00DC1F96" w:rsidP="00DC1F96">
      <w:pPr>
        <w:tabs>
          <w:tab w:val="right" w:pos="850"/>
          <w:tab w:val="right" w:leader="dot" w:pos="8787"/>
          <w:tab w:val="right" w:pos="9638"/>
        </w:tabs>
        <w:spacing w:after="120"/>
        <w:ind w:left="1134" w:hanging="1134"/>
      </w:pPr>
      <w:r>
        <w:tab/>
        <w:t>VII.</w:t>
      </w:r>
      <w:r>
        <w:tab/>
      </w:r>
      <w:r w:rsidR="002476EF">
        <w:rPr>
          <w:lang w:val="fr-FR"/>
        </w:rPr>
        <w:t>États parties dont les rapports sont très en retard</w:t>
      </w:r>
      <w:r>
        <w:tab/>
      </w:r>
      <w:r>
        <w:tab/>
      </w:r>
      <w:r w:rsidR="002476EF">
        <w:t>19</w:t>
      </w:r>
    </w:p>
    <w:p w14:paraId="1A6E210C" w14:textId="6C2ADCCB" w:rsidR="00DC1F96" w:rsidRDefault="00DC1F96" w:rsidP="00DC1F96">
      <w:pPr>
        <w:tabs>
          <w:tab w:val="right" w:leader="dot" w:pos="8787"/>
          <w:tab w:val="right" w:pos="9638"/>
        </w:tabs>
        <w:spacing w:after="120"/>
        <w:ind w:left="1559" w:hanging="425"/>
      </w:pPr>
      <w:r>
        <w:t>A.</w:t>
      </w:r>
      <w:r>
        <w:tab/>
      </w:r>
      <w:r w:rsidR="002476EF">
        <w:rPr>
          <w:lang w:val="fr-FR"/>
        </w:rPr>
        <w:t>Rapports en retard d’au moins dix ans</w:t>
      </w:r>
      <w:r>
        <w:tab/>
      </w:r>
      <w:r>
        <w:tab/>
      </w:r>
      <w:r w:rsidR="002476EF">
        <w:t>19</w:t>
      </w:r>
    </w:p>
    <w:p w14:paraId="0DF67D5D" w14:textId="01710E19" w:rsidR="00DC1F96" w:rsidRDefault="00DC1F96" w:rsidP="00DC1F96">
      <w:pPr>
        <w:tabs>
          <w:tab w:val="right" w:leader="dot" w:pos="8787"/>
          <w:tab w:val="right" w:pos="9638"/>
        </w:tabs>
        <w:spacing w:after="120"/>
        <w:ind w:left="1559" w:hanging="425"/>
      </w:pPr>
      <w:r>
        <w:t>B.</w:t>
      </w:r>
      <w:r>
        <w:tab/>
      </w:r>
      <w:r w:rsidR="002476EF">
        <w:rPr>
          <w:lang w:val="fr-FR"/>
        </w:rPr>
        <w:t>Rapports en retard d’au moins cinq ans</w:t>
      </w:r>
      <w:r>
        <w:tab/>
      </w:r>
      <w:r>
        <w:tab/>
      </w:r>
      <w:r w:rsidR="002476EF">
        <w:t>20</w:t>
      </w:r>
    </w:p>
    <w:p w14:paraId="39E8594A" w14:textId="5ABF8297" w:rsidR="00DC1F96" w:rsidRDefault="00DC1F96" w:rsidP="00DC1F96">
      <w:pPr>
        <w:tabs>
          <w:tab w:val="right" w:leader="dot" w:pos="8787"/>
          <w:tab w:val="right" w:pos="9638"/>
        </w:tabs>
        <w:spacing w:after="120"/>
        <w:ind w:left="1559" w:hanging="425"/>
      </w:pPr>
      <w:r w:rsidRPr="002476EF">
        <w:rPr>
          <w:spacing w:val="-2"/>
        </w:rPr>
        <w:t>C.</w:t>
      </w:r>
      <w:r w:rsidRPr="002476EF">
        <w:rPr>
          <w:spacing w:val="-2"/>
        </w:rPr>
        <w:tab/>
      </w:r>
      <w:r w:rsidR="002476EF" w:rsidRPr="002476EF">
        <w:rPr>
          <w:spacing w:val="-2"/>
          <w:lang w:val="fr-FR"/>
        </w:rPr>
        <w:t>Mesures que le Comité a prises pour amener les États parties à soumettre leurs rapports</w:t>
      </w:r>
      <w:r>
        <w:tab/>
      </w:r>
      <w:r>
        <w:tab/>
      </w:r>
      <w:r w:rsidR="002476EF">
        <w:t>21</w:t>
      </w:r>
    </w:p>
    <w:p w14:paraId="6E3AFAB0" w14:textId="0F779095" w:rsidR="00DC1F96" w:rsidRDefault="00DC1F96" w:rsidP="00DC1F96">
      <w:pPr>
        <w:tabs>
          <w:tab w:val="right" w:pos="850"/>
          <w:tab w:val="right" w:leader="dot" w:pos="8787"/>
          <w:tab w:val="right" w:pos="9638"/>
        </w:tabs>
        <w:spacing w:after="120"/>
        <w:ind w:left="1134" w:hanging="1134"/>
      </w:pPr>
      <w:r>
        <w:tab/>
        <w:t>VIII.</w:t>
      </w:r>
      <w:r>
        <w:tab/>
      </w:r>
      <w:r w:rsidR="002476EF">
        <w:rPr>
          <w:lang w:val="fr-FR"/>
        </w:rPr>
        <w:t>Examen des communications soumises au titre de l’article 14 de la Convention</w:t>
      </w:r>
      <w:r>
        <w:tab/>
      </w:r>
      <w:r>
        <w:tab/>
      </w:r>
      <w:r w:rsidR="002476EF">
        <w:t>22</w:t>
      </w:r>
    </w:p>
    <w:p w14:paraId="67B019F0" w14:textId="3DCF06F0" w:rsidR="00DC1F96" w:rsidRDefault="00DC1F96" w:rsidP="00DC1F96">
      <w:pPr>
        <w:tabs>
          <w:tab w:val="right" w:pos="850"/>
          <w:tab w:val="right" w:leader="dot" w:pos="8787"/>
          <w:tab w:val="right" w:pos="9638"/>
        </w:tabs>
        <w:spacing w:after="120"/>
        <w:ind w:left="1134" w:hanging="1134"/>
      </w:pPr>
      <w:r>
        <w:tab/>
        <w:t>IX.</w:t>
      </w:r>
      <w:r>
        <w:tab/>
      </w:r>
      <w:r w:rsidR="002476EF">
        <w:rPr>
          <w:lang w:val="fr-FR"/>
        </w:rPr>
        <w:t>Suivi des communications émanant de particuliers</w:t>
      </w:r>
      <w:r>
        <w:tab/>
      </w:r>
      <w:r>
        <w:tab/>
      </w:r>
      <w:r w:rsidR="002476EF">
        <w:t>23</w:t>
      </w:r>
    </w:p>
    <w:p w14:paraId="69DFEA85" w14:textId="469247A6" w:rsidR="00DC1F96" w:rsidRDefault="00DC1F96" w:rsidP="00DC1F96">
      <w:pPr>
        <w:tabs>
          <w:tab w:val="right" w:pos="850"/>
          <w:tab w:val="right" w:leader="dot" w:pos="8787"/>
          <w:tab w:val="right" w:pos="9638"/>
        </w:tabs>
        <w:spacing w:after="120"/>
        <w:ind w:left="1134" w:hanging="1134"/>
      </w:pPr>
      <w:r>
        <w:tab/>
        <w:t>X.</w:t>
      </w:r>
      <w:r>
        <w:tab/>
      </w:r>
      <w:r w:rsidR="002476EF" w:rsidRPr="00395242">
        <w:rPr>
          <w:spacing w:val="4"/>
          <w:lang w:val="fr-FR"/>
        </w:rPr>
        <w:t>Suite donnée à la Conférence mondiale contre le racisme,</w:t>
      </w:r>
      <w:r w:rsidR="002476EF">
        <w:rPr>
          <w:lang w:val="fr-FR"/>
        </w:rPr>
        <w:t xml:space="preserve"> </w:t>
      </w:r>
      <w:r w:rsidR="002476EF" w:rsidRPr="00395242">
        <w:rPr>
          <w:spacing w:val="-2"/>
          <w:lang w:val="fr-FR"/>
        </w:rPr>
        <w:t>la</w:t>
      </w:r>
      <w:r w:rsidR="00775680">
        <w:rPr>
          <w:spacing w:val="-2"/>
          <w:lang w:val="fr-FR"/>
        </w:rPr>
        <w:t xml:space="preserve"> </w:t>
      </w:r>
      <w:r w:rsidR="002476EF" w:rsidRPr="00395242">
        <w:rPr>
          <w:spacing w:val="-2"/>
          <w:lang w:val="fr-FR"/>
        </w:rPr>
        <w:t xml:space="preserve">discrimination raciale, </w:t>
      </w:r>
      <w:r w:rsidR="002476EF">
        <w:rPr>
          <w:spacing w:val="-2"/>
          <w:lang w:val="fr-FR"/>
        </w:rPr>
        <w:br/>
      </w:r>
      <w:r w:rsidR="002476EF" w:rsidRPr="00395242">
        <w:rPr>
          <w:spacing w:val="-2"/>
          <w:lang w:val="fr-FR"/>
        </w:rPr>
        <w:t>la xénophobie et l’intolérance qui</w:t>
      </w:r>
      <w:r w:rsidR="002476EF">
        <w:rPr>
          <w:lang w:val="fr-FR"/>
        </w:rPr>
        <w:t xml:space="preserve"> y est associée, et à la Conférence d’examen de Durban</w:t>
      </w:r>
      <w:r>
        <w:tab/>
      </w:r>
      <w:r>
        <w:tab/>
      </w:r>
      <w:r w:rsidR="002476EF">
        <w:t>25</w:t>
      </w:r>
    </w:p>
    <w:p w14:paraId="4E34E474" w14:textId="42E3A65C" w:rsidR="00DC1F96" w:rsidRDefault="00DC1F96" w:rsidP="00DC1F96">
      <w:pPr>
        <w:tabs>
          <w:tab w:val="right" w:pos="850"/>
          <w:tab w:val="right" w:leader="dot" w:pos="8787"/>
          <w:tab w:val="right" w:pos="9638"/>
        </w:tabs>
        <w:spacing w:after="120"/>
        <w:ind w:left="1134" w:hanging="1134"/>
      </w:pPr>
      <w:r>
        <w:tab/>
        <w:t>XI.</w:t>
      </w:r>
      <w:r>
        <w:tab/>
      </w:r>
      <w:r w:rsidR="002476EF">
        <w:rPr>
          <w:lang w:val="fr-FR"/>
        </w:rPr>
        <w:t xml:space="preserve">Recommandation générale sur la prévention et l’élimination du recours au profilage racial </w:t>
      </w:r>
      <w:r w:rsidR="002476EF">
        <w:rPr>
          <w:lang w:val="fr-FR"/>
        </w:rPr>
        <w:br/>
        <w:t>par les représentants de la loi</w:t>
      </w:r>
      <w:r>
        <w:tab/>
      </w:r>
      <w:r>
        <w:tab/>
      </w:r>
      <w:r w:rsidR="002476EF">
        <w:t>26</w:t>
      </w:r>
    </w:p>
    <w:p w14:paraId="5E2D24CF" w14:textId="2BB7C969" w:rsidR="00DC1F96" w:rsidRDefault="00DC1F96" w:rsidP="00DC1F96">
      <w:pPr>
        <w:tabs>
          <w:tab w:val="right" w:pos="850"/>
          <w:tab w:val="right" w:leader="dot" w:pos="8787"/>
          <w:tab w:val="right" w:pos="9638"/>
        </w:tabs>
        <w:spacing w:after="120"/>
        <w:ind w:left="1134" w:hanging="1134"/>
      </w:pPr>
      <w:r>
        <w:tab/>
        <w:t>XII.</w:t>
      </w:r>
      <w:r>
        <w:tab/>
      </w:r>
      <w:r w:rsidR="002476EF" w:rsidRPr="00395242">
        <w:rPr>
          <w:spacing w:val="4"/>
          <w:lang w:val="fr-FR"/>
        </w:rPr>
        <w:t xml:space="preserve">Examen des copies de pétitions, des copies de rapports et autres renseignements relatifs </w:t>
      </w:r>
      <w:r w:rsidR="002476EF">
        <w:rPr>
          <w:spacing w:val="4"/>
          <w:lang w:val="fr-FR"/>
        </w:rPr>
        <w:br/>
      </w:r>
      <w:r w:rsidR="002476EF" w:rsidRPr="00395242">
        <w:rPr>
          <w:spacing w:val="4"/>
          <w:lang w:val="fr-FR"/>
        </w:rPr>
        <w:t>aux territoires sous tutelle,</w:t>
      </w:r>
      <w:r w:rsidR="002476EF">
        <w:rPr>
          <w:lang w:val="fr-FR"/>
        </w:rPr>
        <w:t xml:space="preserve"> aux territoires non autonomes et à tous les autres territoires </w:t>
      </w:r>
      <w:r w:rsidR="002476EF">
        <w:rPr>
          <w:lang w:val="fr-FR"/>
        </w:rPr>
        <w:br/>
        <w:t xml:space="preserve">auxquels s’applique la résolution 1514 (XV) de l’Assemblée générale, conformément </w:t>
      </w:r>
      <w:r w:rsidR="002476EF">
        <w:rPr>
          <w:lang w:val="fr-FR"/>
        </w:rPr>
        <w:br/>
        <w:t>à l’article 15 de la Convention</w:t>
      </w:r>
      <w:r>
        <w:tab/>
      </w:r>
      <w:r>
        <w:tab/>
      </w:r>
      <w:r w:rsidR="002476EF">
        <w:t>27</w:t>
      </w:r>
    </w:p>
    <w:p w14:paraId="16BDFF3E" w14:textId="285491DC" w:rsidR="00A132E2" w:rsidRPr="002476EF" w:rsidRDefault="00DC1F96" w:rsidP="002476EF">
      <w:pPr>
        <w:tabs>
          <w:tab w:val="right" w:pos="850"/>
          <w:tab w:val="right" w:leader="dot" w:pos="8787"/>
          <w:tab w:val="right" w:pos="9638"/>
        </w:tabs>
        <w:spacing w:after="120"/>
        <w:ind w:left="1134" w:hanging="1134"/>
      </w:pPr>
      <w:r>
        <w:tab/>
        <w:t>XIII.</w:t>
      </w:r>
      <w:r>
        <w:tab/>
      </w:r>
      <w:r w:rsidR="002476EF">
        <w:rPr>
          <w:lang w:val="fr-FR"/>
        </w:rPr>
        <w:t>Débat sur le renforcement des organes conventionnels</w:t>
      </w:r>
      <w:r>
        <w:tab/>
      </w:r>
      <w:r>
        <w:tab/>
      </w:r>
      <w:r w:rsidR="002476EF">
        <w:t>28</w:t>
      </w:r>
    </w:p>
    <w:p w14:paraId="049A7D88" w14:textId="77777777" w:rsidR="00CD044C" w:rsidRDefault="00CD044C" w:rsidP="00C451B9"/>
    <w:p w14:paraId="35CE77F7" w14:textId="77777777" w:rsidR="00A132E2" w:rsidRDefault="00A132E2" w:rsidP="00C451B9">
      <w:pPr>
        <w:sectPr w:rsidR="00A132E2" w:rsidSect="00A132E2">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1417" w:right="1134" w:bottom="1134" w:left="1134" w:header="850" w:footer="567" w:gutter="0"/>
          <w:pgNumType w:fmt="lowerRoman" w:start="3"/>
          <w:cols w:space="720"/>
          <w:titlePg/>
          <w:docGrid w:linePitch="272"/>
        </w:sectPr>
      </w:pPr>
    </w:p>
    <w:p w14:paraId="1B631FB3" w14:textId="77777777" w:rsidR="00DC1F96" w:rsidRPr="002543F5" w:rsidRDefault="00DC1F96" w:rsidP="00DC1F96">
      <w:pPr>
        <w:pStyle w:val="HChG"/>
        <w:rPr>
          <w:lang w:val="fr-FR"/>
        </w:rPr>
      </w:pPr>
      <w:r w:rsidRPr="002476EF">
        <w:lastRenderedPageBreak/>
        <w:tab/>
      </w:r>
      <w:r w:rsidRPr="002476EF">
        <w:tab/>
      </w:r>
      <w:r>
        <w:rPr>
          <w:lang w:val="fr-FR"/>
        </w:rPr>
        <w:t>Lettre d’envoi</w:t>
      </w:r>
      <w:bookmarkStart w:id="0" w:name="_Toc428794275"/>
      <w:bookmarkStart w:id="1" w:name="_Toc17361288"/>
      <w:bookmarkStart w:id="2" w:name="_Toc48752311"/>
      <w:bookmarkStart w:id="3" w:name="_Toc48816864"/>
      <w:bookmarkStart w:id="4" w:name="_Toc81563217"/>
      <w:bookmarkEnd w:id="0"/>
      <w:bookmarkEnd w:id="1"/>
      <w:bookmarkEnd w:id="2"/>
      <w:bookmarkEnd w:id="3"/>
      <w:bookmarkEnd w:id="4"/>
    </w:p>
    <w:p w14:paraId="44C3D365" w14:textId="39B86551" w:rsidR="00DC1F96" w:rsidRPr="002543F5" w:rsidRDefault="00DC1F96" w:rsidP="00DC1F96">
      <w:pPr>
        <w:pStyle w:val="SingleTxtG"/>
        <w:jc w:val="right"/>
        <w:rPr>
          <w:lang w:val="fr-FR"/>
        </w:rPr>
      </w:pPr>
      <w:r>
        <w:rPr>
          <w:lang w:val="fr-FR"/>
        </w:rPr>
        <w:t>9 août 2021</w:t>
      </w:r>
    </w:p>
    <w:p w14:paraId="27919A77" w14:textId="77777777" w:rsidR="00DC1F96" w:rsidRPr="002543F5" w:rsidRDefault="00DC1F96" w:rsidP="002F0905">
      <w:pPr>
        <w:pStyle w:val="SingleTxtG"/>
        <w:rPr>
          <w:lang w:val="fr-FR"/>
        </w:rPr>
      </w:pPr>
      <w:r>
        <w:rPr>
          <w:lang w:val="fr-FR"/>
        </w:rPr>
        <w:t>Monsieur le Secrétaire général,</w:t>
      </w:r>
    </w:p>
    <w:p w14:paraId="17DF99BB" w14:textId="37D609C4" w:rsidR="00DC1F96" w:rsidRPr="002543F5" w:rsidRDefault="00DC1F96" w:rsidP="00DC1F96">
      <w:pPr>
        <w:pStyle w:val="SingleTxtG"/>
        <w:ind w:firstLine="567"/>
        <w:rPr>
          <w:lang w:val="fr-FR"/>
        </w:rPr>
      </w:pPr>
      <w:r>
        <w:rPr>
          <w:lang w:val="fr-FR"/>
        </w:rPr>
        <w:t>J’ai l’honneur de vous faire tenir le rapport annuel du Comité pour l’élimination de la discrimination raciale.</w:t>
      </w:r>
    </w:p>
    <w:p w14:paraId="78194DE2" w14:textId="149CB531" w:rsidR="00DC1F96" w:rsidRPr="002543F5" w:rsidRDefault="00DC1F96" w:rsidP="00DC1F96">
      <w:pPr>
        <w:pStyle w:val="SingleTxtG"/>
        <w:ind w:firstLine="567"/>
        <w:rPr>
          <w:lang w:val="fr-FR"/>
        </w:rPr>
      </w:pPr>
      <w:r>
        <w:rPr>
          <w:lang w:val="fr-FR"/>
        </w:rPr>
        <w:t>Ce rapport comprend des renseignements relatifs aux 101</w:t>
      </w:r>
      <w:r w:rsidRPr="007A05E6">
        <w:rPr>
          <w:vertAlign w:val="superscript"/>
          <w:lang w:val="fr-FR"/>
        </w:rPr>
        <w:t>e</w:t>
      </w:r>
      <w:r>
        <w:rPr>
          <w:lang w:val="fr-FR"/>
        </w:rPr>
        <w:t>, 102</w:t>
      </w:r>
      <w:r w:rsidRPr="007A05E6">
        <w:rPr>
          <w:vertAlign w:val="superscript"/>
          <w:lang w:val="fr-FR"/>
        </w:rPr>
        <w:t>e</w:t>
      </w:r>
      <w:r>
        <w:rPr>
          <w:lang w:val="fr-FR"/>
        </w:rPr>
        <w:t xml:space="preserve"> et 103</w:t>
      </w:r>
      <w:r w:rsidRPr="007A05E6">
        <w:rPr>
          <w:vertAlign w:val="superscript"/>
          <w:lang w:val="fr-FR"/>
        </w:rPr>
        <w:t>e</w:t>
      </w:r>
      <w:r>
        <w:rPr>
          <w:lang w:val="fr-FR"/>
        </w:rPr>
        <w:t> sessions du Comité, qui se sont tenues du 4 au 7 août 2020, du 16 au 24 novembre 2020 et du 19 au 30 avril 2021, respectivement.</w:t>
      </w:r>
    </w:p>
    <w:p w14:paraId="7DCDC4B8" w14:textId="0C8CB664" w:rsidR="00DC1F96" w:rsidRPr="002543F5" w:rsidRDefault="00DC1F96" w:rsidP="00DC1F96">
      <w:pPr>
        <w:pStyle w:val="SingleTxtG"/>
        <w:ind w:firstLine="567"/>
        <w:rPr>
          <w:lang w:val="fr-FR"/>
        </w:rPr>
      </w:pPr>
      <w:r>
        <w:rPr>
          <w:lang w:val="fr-FR"/>
        </w:rPr>
        <w:t>En raison de la pandémie de maladie à coronavirus (COVID-19), les 101</w:t>
      </w:r>
      <w:r>
        <w:rPr>
          <w:vertAlign w:val="superscript"/>
          <w:lang w:val="fr-FR"/>
        </w:rPr>
        <w:t>e</w:t>
      </w:r>
      <w:r>
        <w:rPr>
          <w:lang w:val="fr-FR"/>
        </w:rPr>
        <w:t>, 102</w:t>
      </w:r>
      <w:r>
        <w:rPr>
          <w:vertAlign w:val="superscript"/>
          <w:lang w:val="fr-FR"/>
        </w:rPr>
        <w:t>e</w:t>
      </w:r>
      <w:r>
        <w:rPr>
          <w:lang w:val="fr-FR"/>
        </w:rPr>
        <w:t xml:space="preserve"> et 103</w:t>
      </w:r>
      <w:r>
        <w:rPr>
          <w:vertAlign w:val="superscript"/>
          <w:lang w:val="fr-FR"/>
        </w:rPr>
        <w:t>e</w:t>
      </w:r>
      <w:r>
        <w:rPr>
          <w:lang w:val="fr-FR"/>
        </w:rPr>
        <w:t> sessions se sont tenues en ligne. À la 103</w:t>
      </w:r>
      <w:r>
        <w:rPr>
          <w:vertAlign w:val="superscript"/>
          <w:lang w:val="fr-FR"/>
        </w:rPr>
        <w:t>e</w:t>
      </w:r>
      <w:r>
        <w:rPr>
          <w:lang w:val="fr-FR"/>
        </w:rPr>
        <w:t> session, le rapport d’un pays a été examiné.</w:t>
      </w:r>
    </w:p>
    <w:p w14:paraId="5A00BD27" w14:textId="3492EBE4" w:rsidR="00DC1F96" w:rsidRPr="002543F5" w:rsidRDefault="00DC1F96" w:rsidP="00DC1F96">
      <w:pPr>
        <w:pStyle w:val="SingleTxtG"/>
        <w:ind w:firstLine="567"/>
        <w:rPr>
          <w:lang w:val="fr-FR"/>
        </w:rPr>
      </w:pPr>
      <w:r>
        <w:rPr>
          <w:lang w:val="fr-FR"/>
        </w:rPr>
        <w:t>Aujourd’hui, 182 États ont ratifié la Convention internationale sur l’élimination de toutes les formes de discrimination raciale, base normative sur laquelle doivent reposer les efforts internationaux de lutte contre la discrimination raciale.</w:t>
      </w:r>
    </w:p>
    <w:p w14:paraId="69657A2D" w14:textId="345E003C" w:rsidR="00DC1F96" w:rsidRPr="002543F5" w:rsidRDefault="00DC1F96" w:rsidP="00DC1F96">
      <w:pPr>
        <w:pStyle w:val="SingleTxtG"/>
        <w:ind w:firstLine="567"/>
        <w:rPr>
          <w:lang w:val="fr-FR"/>
        </w:rPr>
      </w:pPr>
      <w:r>
        <w:rPr>
          <w:lang w:val="fr-FR"/>
        </w:rPr>
        <w:t>À ses 101</w:t>
      </w:r>
      <w:r>
        <w:rPr>
          <w:vertAlign w:val="superscript"/>
          <w:lang w:val="fr-FR"/>
        </w:rPr>
        <w:t>e</w:t>
      </w:r>
      <w:r>
        <w:rPr>
          <w:lang w:val="fr-FR"/>
        </w:rPr>
        <w:t>, 102</w:t>
      </w:r>
      <w:r>
        <w:rPr>
          <w:vertAlign w:val="superscript"/>
          <w:lang w:val="fr-FR"/>
        </w:rPr>
        <w:t>e</w:t>
      </w:r>
      <w:r>
        <w:rPr>
          <w:lang w:val="fr-FR"/>
        </w:rPr>
        <w:t xml:space="preserve"> et 103</w:t>
      </w:r>
      <w:r>
        <w:rPr>
          <w:vertAlign w:val="superscript"/>
          <w:lang w:val="fr-FR"/>
        </w:rPr>
        <w:t>e</w:t>
      </w:r>
      <w:r>
        <w:rPr>
          <w:lang w:val="fr-FR"/>
        </w:rPr>
        <w:t> sessions, le Comité a de nouveau traité un volume de travail important concernant notamment l’examen des rapports des États parties (voir chap. III) et des communications soumises au titre des articles 11 et 14 (voir chap. V et VIII).</w:t>
      </w:r>
    </w:p>
    <w:p w14:paraId="750CF799" w14:textId="513D5543" w:rsidR="00DC1F96" w:rsidRPr="002543F5" w:rsidRDefault="00DC1F96" w:rsidP="00DC1F96">
      <w:pPr>
        <w:pStyle w:val="SingleTxtG"/>
        <w:ind w:firstLine="567"/>
        <w:rPr>
          <w:lang w:val="fr-FR"/>
        </w:rPr>
      </w:pPr>
      <w:r>
        <w:rPr>
          <w:lang w:val="fr-FR"/>
        </w:rPr>
        <w:t>Le Comité a examiné la situation de plusieurs États parties au titre de ses procédures d’alerte rapide et d’intervention d’urgence (voir chap. II). Il a aussi examiné des informations communiquées par plusieurs États parties au titre de sa procédure de suivi de l’examen des rapports (voir chap. IV). En outre, à sa 102</w:t>
      </w:r>
      <w:r>
        <w:rPr>
          <w:vertAlign w:val="superscript"/>
          <w:lang w:val="fr-FR"/>
        </w:rPr>
        <w:t>e</w:t>
      </w:r>
      <w:r>
        <w:rPr>
          <w:lang w:val="fr-FR"/>
        </w:rPr>
        <w:t> session, il a achevé d’élaborer et adopté sa recommandation générale sur la prévention et l’élimination du recours au profilage racial.</w:t>
      </w:r>
    </w:p>
    <w:p w14:paraId="0D838DF7" w14:textId="7362B709" w:rsidR="00DC1F96" w:rsidRPr="002543F5" w:rsidRDefault="00DC1F96" w:rsidP="00DC1F96">
      <w:pPr>
        <w:pStyle w:val="SingleTxtG"/>
        <w:ind w:firstLine="567"/>
        <w:rPr>
          <w:lang w:val="fr-FR"/>
        </w:rPr>
      </w:pPr>
      <w:r>
        <w:rPr>
          <w:lang w:val="fr-FR"/>
        </w:rPr>
        <w:t>La pandémie de COVID-19 continue d’aggraver les difficultés auxquelles se heurtent les personnes qui font déjà l’objet de discrimination raciale et le Comité suit attentivement les effets qu’elle a eus sur la façon dont ces personnes exercent leurs droits humains et libertés fondamentales. Dans ce contexte, il a adopté une déclaration dans laquelle il rappelle aux États parties les obligations que leur impose la Convention, notamment en ce qui concerne l’égalité d’accès aux vaccins et leur distribution. Je ne doute pas que, grâce au dévouement et au professionnalisme de ses membres, ainsi qu’à la nature pluraliste et multidisciplinaire de leurs contributions, le Comité continuera de jouer un rôle important dans la mise en œuvre de la Convention et les activités menées pour donner suite à la Conférence mondiale contre le racisme, la discrimination raciale, la xénophobie et l’intolérance qui y est associée dans les années à venir.</w:t>
      </w:r>
    </w:p>
    <w:p w14:paraId="0AE9E712" w14:textId="38FCC9D3" w:rsidR="00DC1F96" w:rsidRPr="002543F5" w:rsidRDefault="00DC1F96" w:rsidP="00DC1F96">
      <w:pPr>
        <w:pStyle w:val="SingleTxtG"/>
        <w:ind w:firstLine="567"/>
        <w:rPr>
          <w:lang w:val="fr-FR"/>
        </w:rPr>
      </w:pPr>
      <w:r>
        <w:rPr>
          <w:lang w:val="fr-FR"/>
        </w:rPr>
        <w:t>Veuillez agréer, Monsieur le Secrétaire général, les assurances de ma très haute considération.</w:t>
      </w:r>
    </w:p>
    <w:p w14:paraId="2A51846B" w14:textId="017383E2" w:rsidR="00DC1F96" w:rsidRDefault="00DC1F96" w:rsidP="00DC1F96">
      <w:pPr>
        <w:pStyle w:val="SingleTxtG"/>
        <w:jc w:val="right"/>
        <w:rPr>
          <w:lang w:val="fr-FR"/>
        </w:rPr>
      </w:pPr>
      <w:r w:rsidRPr="00DC1F96">
        <w:t>(</w:t>
      </w:r>
      <w:r w:rsidRPr="00DC1F96">
        <w:rPr>
          <w:i/>
          <w:iCs/>
        </w:rPr>
        <w:t>Signé</w:t>
      </w:r>
      <w:r w:rsidRPr="00DC1F96">
        <w:t xml:space="preserve">) Yanduan </w:t>
      </w:r>
      <w:r w:rsidRPr="00DC1F96">
        <w:rPr>
          <w:b/>
        </w:rPr>
        <w:t>Li</w:t>
      </w:r>
      <w:r w:rsidRPr="00A51B6D">
        <w:rPr>
          <w:bCs/>
        </w:rPr>
        <w:t xml:space="preserve"> </w:t>
      </w:r>
      <w:r w:rsidRPr="00DC1F96">
        <w:rPr>
          <w:b/>
        </w:rPr>
        <w:br/>
      </w:r>
      <w:r>
        <w:rPr>
          <w:lang w:val="fr-FR"/>
        </w:rPr>
        <w:t xml:space="preserve">Présidente </w:t>
      </w:r>
      <w:r w:rsidR="002F0905">
        <w:rPr>
          <w:lang w:val="fr-FR"/>
        </w:rPr>
        <w:br/>
      </w:r>
      <w:r>
        <w:rPr>
          <w:lang w:val="fr-FR"/>
        </w:rPr>
        <w:t xml:space="preserve">du Comité pour l’élimination </w:t>
      </w:r>
      <w:r>
        <w:rPr>
          <w:lang w:val="fr-FR"/>
        </w:rPr>
        <w:br/>
        <w:t>de la discrimination raciale</w:t>
      </w:r>
    </w:p>
    <w:p w14:paraId="4CDD02FD" w14:textId="63923A08" w:rsidR="00DC1F96" w:rsidRDefault="00DC1F96" w:rsidP="00DC1F96">
      <w:pPr>
        <w:pStyle w:val="SingleTxtG"/>
        <w:spacing w:before="2040"/>
        <w:jc w:val="left"/>
        <w:rPr>
          <w:lang w:val="fr-FR"/>
        </w:rPr>
      </w:pPr>
      <w:r w:rsidRPr="00DC1F96">
        <w:t xml:space="preserve">S. E. M. António Guterres </w:t>
      </w:r>
      <w:r>
        <w:br/>
      </w:r>
      <w:r>
        <w:rPr>
          <w:lang w:val="fr-FR"/>
        </w:rPr>
        <w:t>Secrétaire général de l’Organisation des Nations Unies</w:t>
      </w:r>
      <w:r>
        <w:t xml:space="preserve"> </w:t>
      </w:r>
      <w:r>
        <w:br/>
      </w:r>
      <w:r>
        <w:rPr>
          <w:lang w:val="fr-FR"/>
        </w:rPr>
        <w:t>New York</w:t>
      </w:r>
      <w:r>
        <w:rPr>
          <w:lang w:val="fr-FR"/>
        </w:rPr>
        <w:br w:type="page"/>
      </w:r>
    </w:p>
    <w:p w14:paraId="36C7350F" w14:textId="77777777" w:rsidR="00DC1F96" w:rsidRPr="002543F5" w:rsidRDefault="00DC1F96" w:rsidP="00DC1F96">
      <w:pPr>
        <w:pStyle w:val="HChG"/>
        <w:rPr>
          <w:lang w:val="fr-FR"/>
        </w:rPr>
      </w:pPr>
      <w:r>
        <w:rPr>
          <w:lang w:val="fr-FR"/>
        </w:rPr>
        <w:lastRenderedPageBreak/>
        <w:tab/>
        <w:t>I.</w:t>
      </w:r>
      <w:r>
        <w:rPr>
          <w:lang w:val="fr-FR"/>
        </w:rPr>
        <w:tab/>
      </w:r>
      <w:r>
        <w:rPr>
          <w:lang w:val="fr-FR"/>
        </w:rPr>
        <w:tab/>
        <w:t>Questions d’organisation et questions connexes</w:t>
      </w:r>
      <w:bookmarkStart w:id="5" w:name="_Toc428794276"/>
      <w:bookmarkStart w:id="6" w:name="_Toc17361289"/>
      <w:bookmarkStart w:id="7" w:name="_Toc48752312"/>
      <w:bookmarkStart w:id="8" w:name="_Toc48816865"/>
      <w:bookmarkStart w:id="9" w:name="_Toc81563218"/>
      <w:bookmarkEnd w:id="5"/>
      <w:bookmarkEnd w:id="6"/>
      <w:bookmarkEnd w:id="7"/>
      <w:bookmarkEnd w:id="8"/>
      <w:bookmarkEnd w:id="9"/>
    </w:p>
    <w:p w14:paraId="134B4875" w14:textId="34327D2F" w:rsidR="00DC1F96" w:rsidRPr="002543F5" w:rsidRDefault="00DC1F96" w:rsidP="00DC1F96">
      <w:pPr>
        <w:pStyle w:val="H1G"/>
        <w:rPr>
          <w:lang w:val="fr-FR"/>
        </w:rPr>
      </w:pPr>
      <w:r>
        <w:rPr>
          <w:lang w:val="fr-FR"/>
        </w:rPr>
        <w:tab/>
        <w:t>A.</w:t>
      </w:r>
      <w:r>
        <w:rPr>
          <w:lang w:val="fr-FR"/>
        </w:rPr>
        <w:tab/>
        <w:t>États parties à la Convention internationale sur l’élimination de toutes les formes de discrimination raciale</w:t>
      </w:r>
      <w:bookmarkStart w:id="10" w:name="_Toc428794277"/>
      <w:bookmarkStart w:id="11" w:name="_Toc17361290"/>
      <w:bookmarkStart w:id="12" w:name="_Toc48752313"/>
      <w:bookmarkStart w:id="13" w:name="_Toc48816866"/>
      <w:bookmarkStart w:id="14" w:name="_Toc81563219"/>
      <w:bookmarkEnd w:id="10"/>
      <w:bookmarkEnd w:id="11"/>
      <w:bookmarkEnd w:id="12"/>
      <w:bookmarkEnd w:id="13"/>
      <w:bookmarkEnd w:id="14"/>
    </w:p>
    <w:p w14:paraId="4A277955" w14:textId="548DDC08" w:rsidR="00DC1F96" w:rsidRPr="002543F5" w:rsidRDefault="00FF0C71" w:rsidP="00DC1F96">
      <w:pPr>
        <w:pStyle w:val="SingleTxtG"/>
        <w:rPr>
          <w:lang w:val="fr-FR"/>
        </w:rPr>
      </w:pPr>
      <w:r>
        <w:rPr>
          <w:lang w:val="fr-FR"/>
        </w:rPr>
        <w:t>1.</w:t>
      </w:r>
      <w:r>
        <w:rPr>
          <w:lang w:val="fr-FR"/>
        </w:rPr>
        <w:tab/>
      </w:r>
      <w:r w:rsidR="00DC1F96">
        <w:rPr>
          <w:lang w:val="fr-FR"/>
        </w:rPr>
        <w:t>Au 30</w:t>
      </w:r>
      <w:r>
        <w:rPr>
          <w:lang w:val="fr-FR"/>
        </w:rPr>
        <w:t> </w:t>
      </w:r>
      <w:r w:rsidR="00DC1F96">
        <w:rPr>
          <w:lang w:val="fr-FR"/>
        </w:rPr>
        <w:t>avril 2021, date de clôture de la 103</w:t>
      </w:r>
      <w:r w:rsidR="00DC1F96">
        <w:rPr>
          <w:vertAlign w:val="superscript"/>
          <w:lang w:val="fr-FR"/>
        </w:rPr>
        <w:t>e</w:t>
      </w:r>
      <w:r>
        <w:rPr>
          <w:lang w:val="fr-FR"/>
        </w:rPr>
        <w:t> </w:t>
      </w:r>
      <w:r w:rsidR="00DC1F96">
        <w:rPr>
          <w:lang w:val="fr-FR"/>
        </w:rPr>
        <w:t>session du Comité pour l’élimination de la discrimination raciale, 182</w:t>
      </w:r>
      <w:r>
        <w:rPr>
          <w:lang w:val="fr-FR"/>
        </w:rPr>
        <w:t> </w:t>
      </w:r>
      <w:r w:rsidR="00DC1F96">
        <w:rPr>
          <w:lang w:val="fr-FR"/>
        </w:rPr>
        <w:t>États étaient parties à la Convention internationale sur l’élimination de toutes les formes de discrimination raciale, adoptée par l’Assemblée générale des Nations</w:t>
      </w:r>
      <w:r>
        <w:rPr>
          <w:lang w:val="fr-FR"/>
        </w:rPr>
        <w:t> </w:t>
      </w:r>
      <w:r w:rsidR="00DC1F96">
        <w:rPr>
          <w:lang w:val="fr-FR"/>
        </w:rPr>
        <w:t>Unies dans sa résolution 2106 A (XX) du 21</w:t>
      </w:r>
      <w:r>
        <w:rPr>
          <w:lang w:val="fr-FR"/>
        </w:rPr>
        <w:t> </w:t>
      </w:r>
      <w:r w:rsidR="00DC1F96">
        <w:rPr>
          <w:lang w:val="fr-FR"/>
        </w:rPr>
        <w:t>décembre 1965 et ouverte à la signature et à la ratification à New</w:t>
      </w:r>
      <w:r>
        <w:rPr>
          <w:lang w:val="fr-FR"/>
        </w:rPr>
        <w:t> </w:t>
      </w:r>
      <w:r w:rsidR="00DC1F96">
        <w:rPr>
          <w:lang w:val="fr-FR"/>
        </w:rPr>
        <w:t>York le 7</w:t>
      </w:r>
      <w:r>
        <w:rPr>
          <w:lang w:val="fr-FR"/>
        </w:rPr>
        <w:t> </w:t>
      </w:r>
      <w:r w:rsidR="00DC1F96">
        <w:rPr>
          <w:lang w:val="fr-FR"/>
        </w:rPr>
        <w:t>mars 1966. La Convention est entrée en vigueur le 4</w:t>
      </w:r>
      <w:r>
        <w:rPr>
          <w:lang w:val="fr-FR"/>
        </w:rPr>
        <w:t> </w:t>
      </w:r>
      <w:r w:rsidR="00DC1F96">
        <w:rPr>
          <w:lang w:val="fr-FR"/>
        </w:rPr>
        <w:t>janvier 1969, conformément aux dispositions de son article</w:t>
      </w:r>
      <w:r>
        <w:rPr>
          <w:lang w:val="fr-FR"/>
        </w:rPr>
        <w:t> </w:t>
      </w:r>
      <w:r w:rsidR="00DC1F96">
        <w:rPr>
          <w:lang w:val="fr-FR"/>
        </w:rPr>
        <w:t>19.</w:t>
      </w:r>
    </w:p>
    <w:p w14:paraId="6766A0FF" w14:textId="2FA91C64" w:rsidR="00DC1F96" w:rsidRPr="002543F5" w:rsidRDefault="00FF0C71" w:rsidP="00DC1F96">
      <w:pPr>
        <w:pStyle w:val="SingleTxtG"/>
        <w:rPr>
          <w:lang w:val="fr-FR"/>
        </w:rPr>
      </w:pPr>
      <w:r>
        <w:rPr>
          <w:lang w:val="fr-FR"/>
        </w:rPr>
        <w:t>2.</w:t>
      </w:r>
      <w:r>
        <w:rPr>
          <w:lang w:val="fr-FR"/>
        </w:rPr>
        <w:tab/>
      </w:r>
      <w:r w:rsidR="00DC1F96">
        <w:rPr>
          <w:lang w:val="fr-FR"/>
        </w:rPr>
        <w:t>À la date de clôture de la 103</w:t>
      </w:r>
      <w:r w:rsidR="00DC1F96">
        <w:rPr>
          <w:vertAlign w:val="superscript"/>
          <w:lang w:val="fr-FR"/>
        </w:rPr>
        <w:t>e</w:t>
      </w:r>
      <w:r>
        <w:rPr>
          <w:lang w:val="fr-FR"/>
        </w:rPr>
        <w:t> </w:t>
      </w:r>
      <w:r w:rsidR="00DC1F96">
        <w:rPr>
          <w:lang w:val="fr-FR"/>
        </w:rPr>
        <w:t>session reportée, 59 des 182</w:t>
      </w:r>
      <w:r>
        <w:rPr>
          <w:lang w:val="fr-FR"/>
        </w:rPr>
        <w:t> </w:t>
      </w:r>
      <w:r w:rsidR="00DC1F96">
        <w:rPr>
          <w:lang w:val="fr-FR"/>
        </w:rPr>
        <w:t>États parties à la Convention avaient fait la déclaration prévue au paragraphe</w:t>
      </w:r>
      <w:r>
        <w:rPr>
          <w:lang w:val="fr-FR"/>
        </w:rPr>
        <w:t> </w:t>
      </w:r>
      <w:r w:rsidR="00DC1F96">
        <w:rPr>
          <w:lang w:val="fr-FR"/>
        </w:rPr>
        <w:t>1 de l’article</w:t>
      </w:r>
      <w:r>
        <w:rPr>
          <w:lang w:val="fr-FR"/>
        </w:rPr>
        <w:t> </w:t>
      </w:r>
      <w:r w:rsidR="00DC1F96">
        <w:rPr>
          <w:lang w:val="fr-FR"/>
        </w:rPr>
        <w:t>14 de cet instrument, reconnaissant ainsi la compétence du Comité pour recevoir et examiner les communications émanant de particuliers ou de groupes de particuliers qui affirment qu’un État partie a violé l’un quelconque des droits que leur donne la Convention.</w:t>
      </w:r>
    </w:p>
    <w:p w14:paraId="673B3EC9" w14:textId="0C841315" w:rsidR="00DC1F96" w:rsidRPr="002543F5" w:rsidRDefault="00FF0C71" w:rsidP="00DC1F96">
      <w:pPr>
        <w:pStyle w:val="SingleTxtG"/>
        <w:rPr>
          <w:lang w:val="fr-FR"/>
        </w:rPr>
      </w:pPr>
      <w:r>
        <w:rPr>
          <w:lang w:val="fr-FR"/>
        </w:rPr>
        <w:t>3.</w:t>
      </w:r>
      <w:r>
        <w:rPr>
          <w:lang w:val="fr-FR"/>
        </w:rPr>
        <w:tab/>
      </w:r>
      <w:r w:rsidR="00DC1F96">
        <w:rPr>
          <w:lang w:val="fr-FR"/>
        </w:rPr>
        <w:t>Cinquante et un États parties ont accepté l’amendement au paragraphe</w:t>
      </w:r>
      <w:r>
        <w:rPr>
          <w:lang w:val="fr-FR"/>
        </w:rPr>
        <w:t> </w:t>
      </w:r>
      <w:r w:rsidR="00DC1F96">
        <w:rPr>
          <w:lang w:val="fr-FR"/>
        </w:rPr>
        <w:t>6 de l’article</w:t>
      </w:r>
      <w:r>
        <w:rPr>
          <w:lang w:val="fr-FR"/>
        </w:rPr>
        <w:t> </w:t>
      </w:r>
      <w:r w:rsidR="00DC1F96">
        <w:rPr>
          <w:lang w:val="fr-FR"/>
        </w:rPr>
        <w:t>8 de la Convention concernant le financement des activités du Comité, adopté le 15</w:t>
      </w:r>
      <w:r>
        <w:rPr>
          <w:lang w:val="fr-FR"/>
        </w:rPr>
        <w:t> </w:t>
      </w:r>
      <w:r w:rsidR="00DC1F96">
        <w:rPr>
          <w:lang w:val="fr-FR"/>
        </w:rPr>
        <w:t>janvier 1992 à la quatorzième réunion des États parties et approuvé par l’Assemblée générale dans la résolution</w:t>
      </w:r>
      <w:r>
        <w:rPr>
          <w:lang w:val="fr-FR"/>
        </w:rPr>
        <w:t> </w:t>
      </w:r>
      <w:r w:rsidR="00DC1F96">
        <w:rPr>
          <w:lang w:val="fr-FR"/>
        </w:rPr>
        <w:t>47/111, du 16</w:t>
      </w:r>
      <w:r>
        <w:rPr>
          <w:lang w:val="fr-FR"/>
        </w:rPr>
        <w:t> </w:t>
      </w:r>
      <w:r w:rsidR="00DC1F96">
        <w:rPr>
          <w:lang w:val="fr-FR"/>
        </w:rPr>
        <w:t>décembre 1992.</w:t>
      </w:r>
    </w:p>
    <w:p w14:paraId="66E4914A" w14:textId="3FB0A515" w:rsidR="00DC1F96" w:rsidRPr="002543F5" w:rsidRDefault="00FF0C71" w:rsidP="00DC1F96">
      <w:pPr>
        <w:pStyle w:val="SingleTxtG"/>
        <w:rPr>
          <w:lang w:val="fr-FR"/>
        </w:rPr>
      </w:pPr>
      <w:r>
        <w:rPr>
          <w:lang w:val="fr-FR"/>
        </w:rPr>
        <w:t>4.</w:t>
      </w:r>
      <w:r>
        <w:rPr>
          <w:lang w:val="fr-FR"/>
        </w:rPr>
        <w:tab/>
      </w:r>
      <w:r w:rsidR="00DC1F96">
        <w:rPr>
          <w:lang w:val="fr-FR"/>
        </w:rPr>
        <w:t>La liste des États parties qui ont fait la déclaration prévue à l’article</w:t>
      </w:r>
      <w:r>
        <w:rPr>
          <w:lang w:val="fr-FR"/>
        </w:rPr>
        <w:t> </w:t>
      </w:r>
      <w:r w:rsidR="00DC1F96">
        <w:rPr>
          <w:lang w:val="fr-FR"/>
        </w:rPr>
        <w:t>14 et de ceux qui ont accepté l’amendement au paragraphe</w:t>
      </w:r>
      <w:r>
        <w:rPr>
          <w:lang w:val="fr-FR"/>
        </w:rPr>
        <w:t> </w:t>
      </w:r>
      <w:r w:rsidR="00DC1F96">
        <w:rPr>
          <w:lang w:val="fr-FR"/>
        </w:rPr>
        <w:t>6 de l’article</w:t>
      </w:r>
      <w:r>
        <w:rPr>
          <w:lang w:val="fr-FR"/>
        </w:rPr>
        <w:t> </w:t>
      </w:r>
      <w:r w:rsidR="00DC1F96">
        <w:rPr>
          <w:lang w:val="fr-FR"/>
        </w:rPr>
        <w:t xml:space="preserve">8 de la Convention peut être consultée </w:t>
      </w:r>
      <w:r w:rsidR="00DC1F96" w:rsidRPr="00FF0C71">
        <w:rPr>
          <w:spacing w:val="-3"/>
          <w:lang w:val="fr-FR"/>
        </w:rPr>
        <w:t>sur le site Web de la Collection des traités des Nations</w:t>
      </w:r>
      <w:r w:rsidRPr="00FF0C71">
        <w:rPr>
          <w:spacing w:val="-3"/>
          <w:lang w:val="fr-FR"/>
        </w:rPr>
        <w:t> </w:t>
      </w:r>
      <w:r w:rsidR="00DC1F96" w:rsidRPr="00FF0C71">
        <w:rPr>
          <w:spacing w:val="-3"/>
          <w:lang w:val="fr-FR"/>
        </w:rPr>
        <w:t>Unies (voir https://treaties.un.org/Pages/ViewDetails.aspx?src=TREATY&amp;mtdsg_no=IV-2-a&amp;chapter=4&amp;</w:t>
      </w:r>
      <w:r w:rsidR="00B363B0">
        <w:rPr>
          <w:spacing w:val="-3"/>
          <w:lang w:val="fr-FR"/>
        </w:rPr>
        <w:br/>
      </w:r>
      <w:r w:rsidR="00DC1F96" w:rsidRPr="00FF0C71">
        <w:rPr>
          <w:spacing w:val="-3"/>
          <w:lang w:val="fr-FR"/>
        </w:rPr>
        <w:t>clang=_fr).</w:t>
      </w:r>
      <w:bookmarkStart w:id="15" w:name="_Toc428794278"/>
    </w:p>
    <w:p w14:paraId="69A6AFC7" w14:textId="77777777" w:rsidR="00DC1F96" w:rsidRPr="002543F5" w:rsidRDefault="00DC1F96" w:rsidP="00FF0C71">
      <w:pPr>
        <w:pStyle w:val="H1G"/>
        <w:rPr>
          <w:lang w:val="fr-FR"/>
        </w:rPr>
      </w:pPr>
      <w:r>
        <w:rPr>
          <w:lang w:val="fr-FR"/>
        </w:rPr>
        <w:tab/>
        <w:t>B.</w:t>
      </w:r>
      <w:r>
        <w:rPr>
          <w:lang w:val="fr-FR"/>
        </w:rPr>
        <w:tab/>
        <w:t>Sessions et ordres du jour</w:t>
      </w:r>
      <w:bookmarkStart w:id="16" w:name="_Toc17361291"/>
      <w:bookmarkStart w:id="17" w:name="_Toc48752314"/>
      <w:bookmarkStart w:id="18" w:name="_Toc48816867"/>
      <w:bookmarkStart w:id="19" w:name="_Toc81563220"/>
      <w:bookmarkEnd w:id="16"/>
      <w:bookmarkEnd w:id="17"/>
      <w:bookmarkEnd w:id="18"/>
      <w:bookmarkEnd w:id="19"/>
      <w:bookmarkEnd w:id="15"/>
    </w:p>
    <w:p w14:paraId="3AB254B6" w14:textId="734F5109" w:rsidR="00DC1F96" w:rsidRPr="002543F5" w:rsidRDefault="00B363B0" w:rsidP="00DC1F96">
      <w:pPr>
        <w:pStyle w:val="SingleTxtG"/>
        <w:rPr>
          <w:lang w:val="fr-FR"/>
        </w:rPr>
      </w:pPr>
      <w:r>
        <w:rPr>
          <w:lang w:val="fr-FR"/>
        </w:rPr>
        <w:t>5.</w:t>
      </w:r>
      <w:r>
        <w:rPr>
          <w:lang w:val="fr-FR"/>
        </w:rPr>
        <w:tab/>
      </w:r>
      <w:r w:rsidR="00DC1F96">
        <w:rPr>
          <w:lang w:val="fr-FR"/>
        </w:rPr>
        <w:t>Le Comité a tenu trois sessions au cours de la période considérée. La 101</w:t>
      </w:r>
      <w:r w:rsidR="00DC1F96" w:rsidRPr="009C5EF4">
        <w:rPr>
          <w:vertAlign w:val="superscript"/>
          <w:lang w:val="fr-FR"/>
        </w:rPr>
        <w:t>e</w:t>
      </w:r>
      <w:r>
        <w:rPr>
          <w:lang w:val="fr-FR"/>
        </w:rPr>
        <w:t> </w:t>
      </w:r>
      <w:r w:rsidR="00DC1F96">
        <w:rPr>
          <w:lang w:val="fr-FR"/>
        </w:rPr>
        <w:t>session (2803</w:t>
      </w:r>
      <w:r w:rsidR="00DC1F96" w:rsidRPr="009C5EF4">
        <w:rPr>
          <w:vertAlign w:val="superscript"/>
          <w:lang w:val="fr-FR"/>
        </w:rPr>
        <w:t>e</w:t>
      </w:r>
      <w:r w:rsidR="00DC1F96">
        <w:rPr>
          <w:lang w:val="fr-FR"/>
        </w:rPr>
        <w:t xml:space="preserve"> à 2805</w:t>
      </w:r>
      <w:r w:rsidR="00DC1F96" w:rsidRPr="009C5EF4">
        <w:rPr>
          <w:vertAlign w:val="superscript"/>
          <w:lang w:val="fr-FR"/>
        </w:rPr>
        <w:t>e</w:t>
      </w:r>
      <w:r>
        <w:rPr>
          <w:lang w:val="fr-FR"/>
        </w:rPr>
        <w:t> </w:t>
      </w:r>
      <w:r w:rsidR="00DC1F96">
        <w:rPr>
          <w:lang w:val="fr-FR"/>
        </w:rPr>
        <w:t>séances), la 102</w:t>
      </w:r>
      <w:r w:rsidR="00DC1F96" w:rsidRPr="009C5EF4">
        <w:rPr>
          <w:vertAlign w:val="superscript"/>
          <w:lang w:val="fr-FR"/>
        </w:rPr>
        <w:t>e</w:t>
      </w:r>
      <w:r>
        <w:rPr>
          <w:lang w:val="fr-FR"/>
        </w:rPr>
        <w:t> </w:t>
      </w:r>
      <w:r w:rsidR="00DC1F96">
        <w:rPr>
          <w:lang w:val="fr-FR"/>
        </w:rPr>
        <w:t>session (2806</w:t>
      </w:r>
      <w:r w:rsidR="00DC1F96" w:rsidRPr="009C5EF4">
        <w:rPr>
          <w:vertAlign w:val="superscript"/>
          <w:lang w:val="fr-FR"/>
        </w:rPr>
        <w:t>e</w:t>
      </w:r>
      <w:r w:rsidR="00DC1F96">
        <w:rPr>
          <w:lang w:val="fr-FR"/>
        </w:rPr>
        <w:t xml:space="preserve"> à 2812</w:t>
      </w:r>
      <w:r w:rsidR="00DC1F96" w:rsidRPr="009C5EF4">
        <w:rPr>
          <w:vertAlign w:val="superscript"/>
          <w:lang w:val="fr-FR"/>
        </w:rPr>
        <w:t>e</w:t>
      </w:r>
      <w:r>
        <w:rPr>
          <w:lang w:val="fr-FR"/>
        </w:rPr>
        <w:t> </w:t>
      </w:r>
      <w:r w:rsidR="00DC1F96">
        <w:rPr>
          <w:lang w:val="fr-FR"/>
        </w:rPr>
        <w:t>séances) et la 103</w:t>
      </w:r>
      <w:r w:rsidR="00DC1F96" w:rsidRPr="009C5EF4">
        <w:rPr>
          <w:vertAlign w:val="superscript"/>
          <w:lang w:val="fr-FR"/>
        </w:rPr>
        <w:t>e</w:t>
      </w:r>
      <w:r>
        <w:rPr>
          <w:lang w:val="fr-FR"/>
        </w:rPr>
        <w:t> </w:t>
      </w:r>
      <w:r w:rsidR="00DC1F96">
        <w:rPr>
          <w:lang w:val="fr-FR"/>
        </w:rPr>
        <w:t>session (2813</w:t>
      </w:r>
      <w:r w:rsidR="00DC1F96" w:rsidRPr="009C5EF4">
        <w:rPr>
          <w:vertAlign w:val="superscript"/>
          <w:lang w:val="fr-FR"/>
        </w:rPr>
        <w:t>e</w:t>
      </w:r>
      <w:r w:rsidR="00DC1F96">
        <w:rPr>
          <w:lang w:val="fr-FR"/>
        </w:rPr>
        <w:t xml:space="preserve"> à</w:t>
      </w:r>
      <w:r>
        <w:rPr>
          <w:lang w:val="fr-FR"/>
        </w:rPr>
        <w:t> </w:t>
      </w:r>
      <w:r w:rsidR="00DC1F96">
        <w:rPr>
          <w:lang w:val="fr-FR"/>
        </w:rPr>
        <w:t>2822</w:t>
      </w:r>
      <w:r w:rsidR="00DC1F96" w:rsidRPr="009C5EF4">
        <w:rPr>
          <w:vertAlign w:val="superscript"/>
          <w:lang w:val="fr-FR"/>
        </w:rPr>
        <w:t>e</w:t>
      </w:r>
      <w:r>
        <w:rPr>
          <w:lang w:val="fr-FR"/>
        </w:rPr>
        <w:t> </w:t>
      </w:r>
      <w:r w:rsidR="00DC1F96">
        <w:rPr>
          <w:lang w:val="fr-FR"/>
        </w:rPr>
        <w:t>séances) se sont tenues en ligne du 4 au 7</w:t>
      </w:r>
      <w:r>
        <w:rPr>
          <w:lang w:val="fr-FR"/>
        </w:rPr>
        <w:t> </w:t>
      </w:r>
      <w:r w:rsidR="00DC1F96">
        <w:rPr>
          <w:lang w:val="fr-FR"/>
        </w:rPr>
        <w:t xml:space="preserve">août 2020, du 16 au </w:t>
      </w:r>
      <w:r w:rsidR="002F0905">
        <w:rPr>
          <w:lang w:val="fr-FR"/>
        </w:rPr>
        <w:t>24 </w:t>
      </w:r>
      <w:r w:rsidR="00DC1F96">
        <w:rPr>
          <w:lang w:val="fr-FR"/>
        </w:rPr>
        <w:t>novembre 2020 et du</w:t>
      </w:r>
      <w:r>
        <w:rPr>
          <w:lang w:val="fr-FR"/>
        </w:rPr>
        <w:t> </w:t>
      </w:r>
      <w:r w:rsidR="00DC1F96">
        <w:rPr>
          <w:lang w:val="fr-FR"/>
        </w:rPr>
        <w:t>19 au 30</w:t>
      </w:r>
      <w:r>
        <w:rPr>
          <w:lang w:val="fr-FR"/>
        </w:rPr>
        <w:t> </w:t>
      </w:r>
      <w:r w:rsidR="00DC1F96">
        <w:rPr>
          <w:lang w:val="fr-FR"/>
        </w:rPr>
        <w:t>avril 2021, respectivement.</w:t>
      </w:r>
    </w:p>
    <w:p w14:paraId="6668A7C7" w14:textId="239231AA" w:rsidR="00DC1F96" w:rsidRPr="002543F5" w:rsidRDefault="00B363B0" w:rsidP="00DC1F96">
      <w:pPr>
        <w:pStyle w:val="SingleTxtG"/>
        <w:rPr>
          <w:lang w:val="fr-FR"/>
        </w:rPr>
      </w:pPr>
      <w:r>
        <w:rPr>
          <w:lang w:val="fr-FR"/>
        </w:rPr>
        <w:t>6.</w:t>
      </w:r>
      <w:r>
        <w:rPr>
          <w:lang w:val="fr-FR"/>
        </w:rPr>
        <w:tab/>
      </w:r>
      <w:r w:rsidR="00DC1F96">
        <w:rPr>
          <w:lang w:val="fr-FR"/>
        </w:rPr>
        <w:t>Les ordres du jour provisoires des 101</w:t>
      </w:r>
      <w:r w:rsidR="00DC1F96">
        <w:rPr>
          <w:vertAlign w:val="superscript"/>
          <w:lang w:val="fr-FR"/>
        </w:rPr>
        <w:t>e</w:t>
      </w:r>
      <w:r w:rsidR="00DC1F96">
        <w:rPr>
          <w:lang w:val="fr-FR"/>
        </w:rPr>
        <w:t>, 102</w:t>
      </w:r>
      <w:r w:rsidR="00DC1F96">
        <w:rPr>
          <w:vertAlign w:val="superscript"/>
          <w:lang w:val="fr-FR"/>
        </w:rPr>
        <w:t>e</w:t>
      </w:r>
      <w:r w:rsidR="00DC1F96">
        <w:rPr>
          <w:lang w:val="fr-FR"/>
        </w:rPr>
        <w:t xml:space="preserve"> et 103</w:t>
      </w:r>
      <w:r w:rsidR="00DC1F96">
        <w:rPr>
          <w:vertAlign w:val="superscript"/>
          <w:lang w:val="fr-FR"/>
        </w:rPr>
        <w:t>e</w:t>
      </w:r>
      <w:r>
        <w:rPr>
          <w:lang w:val="fr-FR"/>
        </w:rPr>
        <w:t> </w:t>
      </w:r>
      <w:r w:rsidR="00DC1F96">
        <w:rPr>
          <w:lang w:val="fr-FR"/>
        </w:rPr>
        <w:t>sessions (</w:t>
      </w:r>
      <w:hyperlink r:id="rId20" w:history="1">
        <w:r w:rsidR="00DC1F96" w:rsidRPr="00B363B0">
          <w:rPr>
            <w:rStyle w:val="Lienhypertexte"/>
            <w:lang w:val="fr-FR"/>
          </w:rPr>
          <w:t>CERD/C/101/1</w:t>
        </w:r>
      </w:hyperlink>
      <w:r w:rsidR="00DC1F96">
        <w:rPr>
          <w:lang w:val="fr-FR"/>
        </w:rPr>
        <w:t xml:space="preserve">, </w:t>
      </w:r>
      <w:hyperlink r:id="rId21" w:history="1">
        <w:r w:rsidR="00DC1F96" w:rsidRPr="00B363B0">
          <w:rPr>
            <w:rStyle w:val="Lienhypertexte"/>
            <w:lang w:val="fr-FR"/>
          </w:rPr>
          <w:t>CERD/C/102/1</w:t>
        </w:r>
      </w:hyperlink>
      <w:r w:rsidR="00DC1F96">
        <w:rPr>
          <w:lang w:val="fr-FR"/>
        </w:rPr>
        <w:t xml:space="preserve"> et </w:t>
      </w:r>
      <w:hyperlink r:id="rId22" w:history="1">
        <w:r w:rsidR="00DC1F96" w:rsidRPr="00B363B0">
          <w:rPr>
            <w:rStyle w:val="Lienhypertexte"/>
            <w:lang w:val="fr-FR"/>
          </w:rPr>
          <w:t>CERD/C/103/1</w:t>
        </w:r>
      </w:hyperlink>
      <w:r w:rsidR="00DC1F96">
        <w:rPr>
          <w:lang w:val="fr-FR"/>
        </w:rPr>
        <w:t>) ont été adoptés par le Comité sans modification.</w:t>
      </w:r>
    </w:p>
    <w:p w14:paraId="57F95914" w14:textId="77777777" w:rsidR="00DC1F96" w:rsidRPr="00537EA7" w:rsidRDefault="00DC1F96" w:rsidP="00B363B0">
      <w:pPr>
        <w:pStyle w:val="H1G"/>
      </w:pPr>
      <w:r>
        <w:rPr>
          <w:lang w:val="fr-FR"/>
        </w:rPr>
        <w:tab/>
        <w:t>C.</w:t>
      </w:r>
      <w:r>
        <w:rPr>
          <w:lang w:val="fr-FR"/>
        </w:rPr>
        <w:tab/>
        <w:t>Composition</w:t>
      </w:r>
      <w:bookmarkStart w:id="20" w:name="_Toc428794279"/>
      <w:bookmarkStart w:id="21" w:name="_Toc17361292"/>
      <w:bookmarkStart w:id="22" w:name="_Toc48752315"/>
      <w:bookmarkStart w:id="23" w:name="_Toc48816868"/>
      <w:bookmarkStart w:id="24" w:name="_Toc81563221"/>
      <w:bookmarkEnd w:id="20"/>
      <w:bookmarkEnd w:id="21"/>
      <w:bookmarkEnd w:id="22"/>
      <w:bookmarkEnd w:id="23"/>
      <w:bookmarkEnd w:id="24"/>
    </w:p>
    <w:p w14:paraId="13DB41AA" w14:textId="4BA78A74" w:rsidR="00DC1F96" w:rsidRPr="002543F5" w:rsidRDefault="00F0010B" w:rsidP="00DC1F96">
      <w:pPr>
        <w:pStyle w:val="SingleTxtG"/>
        <w:rPr>
          <w:lang w:val="fr-FR"/>
        </w:rPr>
      </w:pPr>
      <w:r>
        <w:rPr>
          <w:lang w:val="fr-FR"/>
        </w:rPr>
        <w:t>7</w:t>
      </w:r>
      <w:r w:rsidR="00B363B0">
        <w:rPr>
          <w:lang w:val="fr-FR"/>
        </w:rPr>
        <w:t>.</w:t>
      </w:r>
      <w:r w:rsidR="00B363B0">
        <w:rPr>
          <w:lang w:val="fr-FR"/>
        </w:rPr>
        <w:tab/>
      </w:r>
      <w:r w:rsidR="00DC1F96">
        <w:rPr>
          <w:lang w:val="fr-FR"/>
        </w:rPr>
        <w:t>À ses 101</w:t>
      </w:r>
      <w:r w:rsidR="00DC1F96">
        <w:rPr>
          <w:vertAlign w:val="superscript"/>
          <w:lang w:val="fr-FR"/>
        </w:rPr>
        <w:t>e</w:t>
      </w:r>
      <w:r w:rsidR="00DC1F96">
        <w:rPr>
          <w:lang w:val="fr-FR"/>
        </w:rPr>
        <w:t>, 102</w:t>
      </w:r>
      <w:r w:rsidR="00DC1F96">
        <w:rPr>
          <w:vertAlign w:val="superscript"/>
          <w:lang w:val="fr-FR"/>
        </w:rPr>
        <w:t>e</w:t>
      </w:r>
      <w:r w:rsidR="00DC1F96">
        <w:rPr>
          <w:lang w:val="fr-FR"/>
        </w:rPr>
        <w:t xml:space="preserve"> et 103</w:t>
      </w:r>
      <w:r w:rsidR="00DC1F96">
        <w:rPr>
          <w:vertAlign w:val="superscript"/>
          <w:lang w:val="fr-FR"/>
        </w:rPr>
        <w:t>e</w:t>
      </w:r>
      <w:r w:rsidR="00B363B0">
        <w:rPr>
          <w:lang w:val="fr-FR"/>
        </w:rPr>
        <w:t> </w:t>
      </w:r>
      <w:r w:rsidR="00DC1F96">
        <w:rPr>
          <w:lang w:val="fr-FR"/>
        </w:rPr>
        <w:t>sessions, le Comité se composait des membres ci-après :</w:t>
      </w:r>
    </w:p>
    <w:tbl>
      <w:tblPr>
        <w:tblW w:w="7370" w:type="dxa"/>
        <w:tblInd w:w="1134" w:type="dxa"/>
        <w:tblLayout w:type="fixed"/>
        <w:tblCellMar>
          <w:left w:w="0" w:type="dxa"/>
          <w:right w:w="0" w:type="dxa"/>
        </w:tblCellMar>
        <w:tblLook w:val="01E0" w:firstRow="1" w:lastRow="1" w:firstColumn="1" w:lastColumn="1" w:noHBand="0" w:noVBand="0"/>
      </w:tblPr>
      <w:tblGrid>
        <w:gridCol w:w="3080"/>
        <w:gridCol w:w="2307"/>
        <w:gridCol w:w="1983"/>
      </w:tblGrid>
      <w:tr w:rsidR="00F0010B" w:rsidRPr="00B363B0" w14:paraId="20AD630D" w14:textId="77777777" w:rsidTr="00F0010B">
        <w:trPr>
          <w:cantSplit/>
          <w:tblHeader/>
        </w:trPr>
        <w:tc>
          <w:tcPr>
            <w:tcW w:w="3080" w:type="dxa"/>
            <w:tcBorders>
              <w:top w:val="single" w:sz="4" w:space="0" w:color="auto"/>
              <w:bottom w:val="single" w:sz="12" w:space="0" w:color="auto"/>
            </w:tcBorders>
            <w:shd w:val="clear" w:color="auto" w:fill="auto"/>
            <w:vAlign w:val="bottom"/>
          </w:tcPr>
          <w:p w14:paraId="5D72D1BA" w14:textId="77777777" w:rsidR="00DC1F96" w:rsidRPr="00B363B0" w:rsidRDefault="00DC1F96" w:rsidP="00B363B0">
            <w:pPr>
              <w:spacing w:before="80" w:after="80" w:line="200" w:lineRule="exact"/>
              <w:ind w:right="113"/>
              <w:rPr>
                <w:i/>
                <w:sz w:val="16"/>
              </w:rPr>
            </w:pPr>
            <w:r w:rsidRPr="00B363B0">
              <w:rPr>
                <w:i/>
                <w:sz w:val="16"/>
                <w:lang w:val="fr-FR"/>
              </w:rPr>
              <w:t>Nom</w:t>
            </w:r>
          </w:p>
        </w:tc>
        <w:tc>
          <w:tcPr>
            <w:tcW w:w="2307" w:type="dxa"/>
            <w:tcBorders>
              <w:top w:val="single" w:sz="4" w:space="0" w:color="auto"/>
              <w:bottom w:val="single" w:sz="12" w:space="0" w:color="auto"/>
            </w:tcBorders>
            <w:shd w:val="clear" w:color="auto" w:fill="auto"/>
            <w:vAlign w:val="bottom"/>
          </w:tcPr>
          <w:p w14:paraId="18E4A48A" w14:textId="77777777" w:rsidR="00DC1F96" w:rsidRPr="00B363B0" w:rsidRDefault="00DC1F96" w:rsidP="00B363B0">
            <w:pPr>
              <w:spacing w:before="80" w:after="80" w:line="200" w:lineRule="exact"/>
              <w:ind w:right="113"/>
              <w:rPr>
                <w:i/>
                <w:sz w:val="16"/>
              </w:rPr>
            </w:pPr>
            <w:r w:rsidRPr="00B363B0">
              <w:rPr>
                <w:i/>
                <w:sz w:val="16"/>
                <w:lang w:val="fr-FR"/>
              </w:rPr>
              <w:t>Nationalité</w:t>
            </w:r>
          </w:p>
        </w:tc>
        <w:tc>
          <w:tcPr>
            <w:tcW w:w="1983" w:type="dxa"/>
            <w:tcBorders>
              <w:top w:val="single" w:sz="4" w:space="0" w:color="auto"/>
              <w:bottom w:val="single" w:sz="12" w:space="0" w:color="auto"/>
            </w:tcBorders>
            <w:shd w:val="clear" w:color="auto" w:fill="auto"/>
            <w:vAlign w:val="bottom"/>
          </w:tcPr>
          <w:p w14:paraId="1688FF0D" w14:textId="5E9521E6" w:rsidR="00DC1F96" w:rsidRPr="00B363B0" w:rsidRDefault="00DC1F96" w:rsidP="00B363B0">
            <w:pPr>
              <w:spacing w:before="80" w:after="80" w:line="200" w:lineRule="exact"/>
              <w:ind w:right="113"/>
              <w:rPr>
                <w:i/>
                <w:sz w:val="16"/>
                <w:lang w:val="fr-FR"/>
              </w:rPr>
            </w:pPr>
            <w:r w:rsidRPr="00B363B0">
              <w:rPr>
                <w:i/>
                <w:sz w:val="16"/>
                <w:lang w:val="fr-FR"/>
              </w:rPr>
              <w:t>Mandat venant à expiration le 19</w:t>
            </w:r>
            <w:r w:rsidR="00B42710">
              <w:rPr>
                <w:i/>
                <w:sz w:val="16"/>
                <w:lang w:val="fr-FR"/>
              </w:rPr>
              <w:t> </w:t>
            </w:r>
            <w:r w:rsidRPr="00B363B0">
              <w:rPr>
                <w:i/>
                <w:sz w:val="16"/>
                <w:lang w:val="fr-FR"/>
              </w:rPr>
              <w:t>janvier</w:t>
            </w:r>
          </w:p>
        </w:tc>
      </w:tr>
      <w:tr w:rsidR="00B363B0" w:rsidRPr="00B363B0" w14:paraId="4D814BA4" w14:textId="77777777" w:rsidTr="00F0010B">
        <w:trPr>
          <w:cantSplit/>
          <w:trHeight w:hRule="exact" w:val="113"/>
          <w:tblHeader/>
        </w:trPr>
        <w:tc>
          <w:tcPr>
            <w:tcW w:w="3080" w:type="dxa"/>
            <w:tcBorders>
              <w:top w:val="single" w:sz="12" w:space="0" w:color="auto"/>
            </w:tcBorders>
            <w:shd w:val="clear" w:color="auto" w:fill="auto"/>
          </w:tcPr>
          <w:p w14:paraId="0501385C" w14:textId="77777777" w:rsidR="00B363B0" w:rsidRPr="00B363B0" w:rsidRDefault="00B363B0" w:rsidP="00B363B0">
            <w:pPr>
              <w:spacing w:before="40" w:after="120"/>
              <w:ind w:right="113"/>
              <w:rPr>
                <w:lang w:val="fr-FR"/>
              </w:rPr>
            </w:pPr>
          </w:p>
        </w:tc>
        <w:tc>
          <w:tcPr>
            <w:tcW w:w="2307" w:type="dxa"/>
            <w:tcBorders>
              <w:top w:val="single" w:sz="12" w:space="0" w:color="auto"/>
            </w:tcBorders>
            <w:shd w:val="clear" w:color="auto" w:fill="auto"/>
          </w:tcPr>
          <w:p w14:paraId="1ADBC9D0" w14:textId="77777777" w:rsidR="00B363B0" w:rsidRPr="00B363B0" w:rsidRDefault="00B363B0" w:rsidP="00B363B0">
            <w:pPr>
              <w:spacing w:before="40" w:after="120"/>
              <w:ind w:right="113"/>
              <w:rPr>
                <w:lang w:val="fr-FR"/>
              </w:rPr>
            </w:pPr>
          </w:p>
        </w:tc>
        <w:tc>
          <w:tcPr>
            <w:tcW w:w="1983" w:type="dxa"/>
            <w:tcBorders>
              <w:top w:val="single" w:sz="12" w:space="0" w:color="auto"/>
            </w:tcBorders>
            <w:shd w:val="clear" w:color="auto" w:fill="auto"/>
          </w:tcPr>
          <w:p w14:paraId="7CD9E05D" w14:textId="77777777" w:rsidR="00B363B0" w:rsidRPr="00B363B0" w:rsidRDefault="00B363B0" w:rsidP="00B363B0">
            <w:pPr>
              <w:spacing w:before="40" w:after="120"/>
              <w:ind w:right="113"/>
              <w:rPr>
                <w:lang w:val="fr-FR"/>
              </w:rPr>
            </w:pPr>
          </w:p>
        </w:tc>
      </w:tr>
      <w:tr w:rsidR="00DC1F96" w:rsidRPr="00B363B0" w14:paraId="13FBEFA5" w14:textId="77777777" w:rsidTr="00F0010B">
        <w:trPr>
          <w:cantSplit/>
        </w:trPr>
        <w:tc>
          <w:tcPr>
            <w:tcW w:w="3080" w:type="dxa"/>
            <w:shd w:val="clear" w:color="auto" w:fill="auto"/>
          </w:tcPr>
          <w:p w14:paraId="250457F2" w14:textId="77777777" w:rsidR="00DC1F96" w:rsidRPr="00B363B0" w:rsidRDefault="00DC1F96" w:rsidP="00B363B0">
            <w:pPr>
              <w:spacing w:before="40" w:after="120"/>
              <w:ind w:right="113"/>
              <w:rPr>
                <w:lang w:val="es-ES"/>
              </w:rPr>
            </w:pPr>
            <w:r w:rsidRPr="00B363B0">
              <w:rPr>
                <w:lang w:val="es-ES"/>
              </w:rPr>
              <w:t xml:space="preserve">Silvio José </w:t>
            </w:r>
            <w:r w:rsidRPr="00B363B0">
              <w:rPr>
                <w:b/>
                <w:lang w:val="es-ES"/>
              </w:rPr>
              <w:t>Albuquerque e Silva</w:t>
            </w:r>
          </w:p>
        </w:tc>
        <w:tc>
          <w:tcPr>
            <w:tcW w:w="2307" w:type="dxa"/>
            <w:shd w:val="clear" w:color="auto" w:fill="auto"/>
          </w:tcPr>
          <w:p w14:paraId="32AE9397" w14:textId="77777777" w:rsidR="00DC1F96" w:rsidRPr="00B363B0" w:rsidRDefault="00DC1F96" w:rsidP="00B363B0">
            <w:pPr>
              <w:spacing w:before="40" w:after="120"/>
              <w:ind w:right="113"/>
            </w:pPr>
            <w:r w:rsidRPr="00B363B0">
              <w:rPr>
                <w:lang w:val="fr-FR"/>
              </w:rPr>
              <w:t>Brésil</w:t>
            </w:r>
          </w:p>
        </w:tc>
        <w:tc>
          <w:tcPr>
            <w:tcW w:w="1983" w:type="dxa"/>
            <w:shd w:val="clear" w:color="auto" w:fill="auto"/>
          </w:tcPr>
          <w:p w14:paraId="6E60D5EE" w14:textId="77777777" w:rsidR="00DC1F96" w:rsidRPr="00B363B0" w:rsidRDefault="00DC1F96" w:rsidP="00B363B0">
            <w:pPr>
              <w:spacing w:before="40" w:after="120"/>
              <w:ind w:right="113"/>
            </w:pPr>
            <w:r w:rsidRPr="00B363B0">
              <w:rPr>
                <w:lang w:val="fr-FR"/>
              </w:rPr>
              <w:t>2022</w:t>
            </w:r>
          </w:p>
        </w:tc>
      </w:tr>
      <w:tr w:rsidR="00DC1F96" w:rsidRPr="00B363B0" w14:paraId="685CE6AF" w14:textId="77777777" w:rsidTr="00F0010B">
        <w:trPr>
          <w:cantSplit/>
        </w:trPr>
        <w:tc>
          <w:tcPr>
            <w:tcW w:w="3080" w:type="dxa"/>
            <w:shd w:val="clear" w:color="auto" w:fill="auto"/>
          </w:tcPr>
          <w:p w14:paraId="43253ADF" w14:textId="77777777" w:rsidR="00DC1F96" w:rsidRPr="00B363B0" w:rsidRDefault="00DC1F96" w:rsidP="00B363B0">
            <w:pPr>
              <w:spacing w:before="40" w:after="120"/>
              <w:ind w:right="113"/>
              <w:rPr>
                <w:lang w:val="es-ES"/>
              </w:rPr>
            </w:pPr>
            <w:r w:rsidRPr="00B363B0">
              <w:rPr>
                <w:lang w:val="es-ES"/>
              </w:rPr>
              <w:t xml:space="preserve">Sheikha Abdulla Ali </w:t>
            </w:r>
            <w:r w:rsidRPr="00B363B0">
              <w:rPr>
                <w:b/>
                <w:lang w:val="es-ES"/>
              </w:rPr>
              <w:t>al-Misnad</w:t>
            </w:r>
          </w:p>
        </w:tc>
        <w:tc>
          <w:tcPr>
            <w:tcW w:w="2307" w:type="dxa"/>
            <w:shd w:val="clear" w:color="auto" w:fill="auto"/>
          </w:tcPr>
          <w:p w14:paraId="0650641E" w14:textId="77777777" w:rsidR="00DC1F96" w:rsidRPr="00B363B0" w:rsidRDefault="00DC1F96" w:rsidP="00B363B0">
            <w:pPr>
              <w:spacing w:before="40" w:after="120"/>
              <w:ind w:right="113"/>
            </w:pPr>
            <w:r w:rsidRPr="00B363B0">
              <w:rPr>
                <w:lang w:val="fr-FR"/>
              </w:rPr>
              <w:t>Qatar</w:t>
            </w:r>
          </w:p>
        </w:tc>
        <w:tc>
          <w:tcPr>
            <w:tcW w:w="1983" w:type="dxa"/>
            <w:shd w:val="clear" w:color="auto" w:fill="auto"/>
          </w:tcPr>
          <w:p w14:paraId="551D83FA" w14:textId="77777777" w:rsidR="00DC1F96" w:rsidRPr="00B363B0" w:rsidRDefault="00DC1F96" w:rsidP="00B363B0">
            <w:pPr>
              <w:spacing w:before="40" w:after="120"/>
              <w:ind w:right="113"/>
            </w:pPr>
            <w:r w:rsidRPr="00B363B0">
              <w:rPr>
                <w:lang w:val="fr-FR"/>
              </w:rPr>
              <w:t>2024</w:t>
            </w:r>
          </w:p>
        </w:tc>
      </w:tr>
      <w:tr w:rsidR="00DC1F96" w:rsidRPr="00B363B0" w14:paraId="00D77EE1" w14:textId="77777777" w:rsidTr="00F0010B">
        <w:trPr>
          <w:cantSplit/>
        </w:trPr>
        <w:tc>
          <w:tcPr>
            <w:tcW w:w="3080" w:type="dxa"/>
            <w:shd w:val="clear" w:color="auto" w:fill="auto"/>
          </w:tcPr>
          <w:p w14:paraId="4F0AB1BF" w14:textId="77777777" w:rsidR="00DC1F96" w:rsidRPr="00B363B0" w:rsidRDefault="00DC1F96" w:rsidP="00B363B0">
            <w:pPr>
              <w:spacing w:before="40" w:after="120"/>
              <w:ind w:right="113"/>
            </w:pPr>
            <w:r w:rsidRPr="00B363B0">
              <w:rPr>
                <w:lang w:val="fr-FR"/>
              </w:rPr>
              <w:t xml:space="preserve">Nourredine </w:t>
            </w:r>
            <w:r w:rsidRPr="00B363B0">
              <w:rPr>
                <w:b/>
                <w:lang w:val="fr-FR"/>
              </w:rPr>
              <w:t>Amir</w:t>
            </w:r>
          </w:p>
        </w:tc>
        <w:tc>
          <w:tcPr>
            <w:tcW w:w="2307" w:type="dxa"/>
            <w:shd w:val="clear" w:color="auto" w:fill="auto"/>
          </w:tcPr>
          <w:p w14:paraId="6851D4FC" w14:textId="77777777" w:rsidR="00DC1F96" w:rsidRPr="00B363B0" w:rsidRDefault="00DC1F96" w:rsidP="00B363B0">
            <w:pPr>
              <w:spacing w:before="40" w:after="120"/>
              <w:ind w:right="113"/>
            </w:pPr>
            <w:r w:rsidRPr="00B363B0">
              <w:rPr>
                <w:lang w:val="fr-FR"/>
              </w:rPr>
              <w:t>Algérie</w:t>
            </w:r>
          </w:p>
        </w:tc>
        <w:tc>
          <w:tcPr>
            <w:tcW w:w="1983" w:type="dxa"/>
            <w:shd w:val="clear" w:color="auto" w:fill="auto"/>
          </w:tcPr>
          <w:p w14:paraId="2664B744" w14:textId="77777777" w:rsidR="00DC1F96" w:rsidRPr="00B363B0" w:rsidRDefault="00DC1F96" w:rsidP="00B363B0">
            <w:pPr>
              <w:spacing w:before="40" w:after="120"/>
              <w:ind w:right="113"/>
            </w:pPr>
            <w:r w:rsidRPr="00B363B0">
              <w:rPr>
                <w:lang w:val="fr-FR"/>
              </w:rPr>
              <w:t>2022</w:t>
            </w:r>
          </w:p>
        </w:tc>
      </w:tr>
      <w:tr w:rsidR="00DC1F96" w:rsidRPr="00B363B0" w14:paraId="39B02E8D" w14:textId="77777777" w:rsidTr="00F0010B">
        <w:trPr>
          <w:cantSplit/>
        </w:trPr>
        <w:tc>
          <w:tcPr>
            <w:tcW w:w="3080" w:type="dxa"/>
            <w:shd w:val="clear" w:color="auto" w:fill="auto"/>
          </w:tcPr>
          <w:p w14:paraId="662B22AD" w14:textId="77777777" w:rsidR="00DC1F96" w:rsidRPr="00B363B0" w:rsidRDefault="00DC1F96" w:rsidP="00B363B0">
            <w:pPr>
              <w:spacing w:before="40" w:after="120"/>
              <w:ind w:right="113"/>
            </w:pPr>
            <w:r w:rsidRPr="00B363B0">
              <w:rPr>
                <w:lang w:val="fr-FR"/>
              </w:rPr>
              <w:t xml:space="preserve">Marc </w:t>
            </w:r>
            <w:r w:rsidRPr="00B363B0">
              <w:rPr>
                <w:b/>
                <w:lang w:val="fr-FR"/>
              </w:rPr>
              <w:t>Bossuyt</w:t>
            </w:r>
          </w:p>
        </w:tc>
        <w:tc>
          <w:tcPr>
            <w:tcW w:w="2307" w:type="dxa"/>
            <w:shd w:val="clear" w:color="auto" w:fill="auto"/>
          </w:tcPr>
          <w:p w14:paraId="1FDE35BF" w14:textId="77777777" w:rsidR="00DC1F96" w:rsidRPr="00B363B0" w:rsidRDefault="00DC1F96" w:rsidP="00B363B0">
            <w:pPr>
              <w:spacing w:before="40" w:after="120"/>
              <w:ind w:right="113"/>
            </w:pPr>
            <w:r w:rsidRPr="00B363B0">
              <w:rPr>
                <w:lang w:val="fr-FR"/>
              </w:rPr>
              <w:t>Belgique</w:t>
            </w:r>
          </w:p>
        </w:tc>
        <w:tc>
          <w:tcPr>
            <w:tcW w:w="1983" w:type="dxa"/>
            <w:shd w:val="clear" w:color="auto" w:fill="auto"/>
          </w:tcPr>
          <w:p w14:paraId="2AC098BC" w14:textId="77777777" w:rsidR="00DC1F96" w:rsidRPr="00B363B0" w:rsidRDefault="00DC1F96" w:rsidP="00B363B0">
            <w:pPr>
              <w:spacing w:before="40" w:after="120"/>
              <w:ind w:right="113"/>
            </w:pPr>
            <w:r w:rsidRPr="00B363B0">
              <w:rPr>
                <w:lang w:val="fr-FR"/>
              </w:rPr>
              <w:t>2022</w:t>
            </w:r>
          </w:p>
        </w:tc>
      </w:tr>
      <w:tr w:rsidR="00DC1F96" w:rsidRPr="00B363B0" w14:paraId="5D682185" w14:textId="77777777" w:rsidTr="00F0010B">
        <w:trPr>
          <w:cantSplit/>
        </w:trPr>
        <w:tc>
          <w:tcPr>
            <w:tcW w:w="3080" w:type="dxa"/>
            <w:shd w:val="clear" w:color="auto" w:fill="auto"/>
          </w:tcPr>
          <w:p w14:paraId="36F6B14A" w14:textId="77777777" w:rsidR="00DC1F96" w:rsidRPr="00B363B0" w:rsidRDefault="00DC1F96" w:rsidP="00B363B0">
            <w:pPr>
              <w:spacing w:before="40" w:after="120"/>
              <w:ind w:right="113"/>
            </w:pPr>
            <w:r w:rsidRPr="00B363B0">
              <w:rPr>
                <w:lang w:val="fr-FR"/>
              </w:rPr>
              <w:t xml:space="preserve">Chinsung </w:t>
            </w:r>
            <w:r w:rsidRPr="00B363B0">
              <w:rPr>
                <w:b/>
                <w:lang w:val="fr-FR"/>
              </w:rPr>
              <w:t>Chung</w:t>
            </w:r>
          </w:p>
        </w:tc>
        <w:tc>
          <w:tcPr>
            <w:tcW w:w="2307" w:type="dxa"/>
            <w:shd w:val="clear" w:color="auto" w:fill="auto"/>
          </w:tcPr>
          <w:p w14:paraId="30FC2419" w14:textId="4008A665" w:rsidR="00DC1F96" w:rsidRPr="00B363B0" w:rsidRDefault="00DC1F96" w:rsidP="00B363B0">
            <w:pPr>
              <w:spacing w:before="40" w:after="120"/>
              <w:ind w:right="113"/>
            </w:pPr>
            <w:r w:rsidRPr="00B363B0">
              <w:rPr>
                <w:lang w:val="fr-FR"/>
              </w:rPr>
              <w:t>République de Corée</w:t>
            </w:r>
          </w:p>
        </w:tc>
        <w:tc>
          <w:tcPr>
            <w:tcW w:w="1983" w:type="dxa"/>
            <w:shd w:val="clear" w:color="auto" w:fill="auto"/>
          </w:tcPr>
          <w:p w14:paraId="5401A01B" w14:textId="6B5DFF52" w:rsidR="00DC1F96" w:rsidRPr="00B363B0" w:rsidRDefault="00DC1F96" w:rsidP="00B363B0">
            <w:pPr>
              <w:spacing w:before="40" w:after="120"/>
              <w:ind w:right="113"/>
            </w:pPr>
            <w:r w:rsidRPr="00B363B0">
              <w:rPr>
                <w:lang w:val="fr-FR"/>
              </w:rPr>
              <w:t>2022</w:t>
            </w:r>
          </w:p>
        </w:tc>
      </w:tr>
      <w:tr w:rsidR="00DC1F96" w:rsidRPr="00B363B0" w14:paraId="76028A5B" w14:textId="77777777" w:rsidTr="00F0010B">
        <w:trPr>
          <w:cantSplit/>
        </w:trPr>
        <w:tc>
          <w:tcPr>
            <w:tcW w:w="3080" w:type="dxa"/>
            <w:shd w:val="clear" w:color="auto" w:fill="auto"/>
          </w:tcPr>
          <w:p w14:paraId="7EDAD2DD" w14:textId="77777777" w:rsidR="00DC1F96" w:rsidRPr="00B363B0" w:rsidRDefault="00DC1F96" w:rsidP="00B363B0">
            <w:pPr>
              <w:spacing w:before="40" w:after="120"/>
              <w:ind w:right="113"/>
            </w:pPr>
            <w:r w:rsidRPr="00B363B0">
              <w:rPr>
                <w:lang w:val="fr-FR"/>
              </w:rPr>
              <w:t xml:space="preserve">Bakari Sidiki </w:t>
            </w:r>
            <w:r w:rsidRPr="00B363B0">
              <w:rPr>
                <w:b/>
                <w:lang w:val="fr-FR"/>
              </w:rPr>
              <w:t>Diaby</w:t>
            </w:r>
          </w:p>
        </w:tc>
        <w:tc>
          <w:tcPr>
            <w:tcW w:w="2307" w:type="dxa"/>
            <w:shd w:val="clear" w:color="auto" w:fill="auto"/>
          </w:tcPr>
          <w:p w14:paraId="2BD8698A" w14:textId="71717587" w:rsidR="00DC1F96" w:rsidRPr="00B363B0" w:rsidRDefault="00DC1F96" w:rsidP="00B363B0">
            <w:pPr>
              <w:spacing w:before="40" w:after="120"/>
              <w:ind w:right="113"/>
            </w:pPr>
            <w:r w:rsidRPr="00B363B0">
              <w:rPr>
                <w:lang w:val="fr-FR"/>
              </w:rPr>
              <w:t>Côte d’Ivoire</w:t>
            </w:r>
          </w:p>
        </w:tc>
        <w:tc>
          <w:tcPr>
            <w:tcW w:w="1983" w:type="dxa"/>
            <w:shd w:val="clear" w:color="auto" w:fill="auto"/>
          </w:tcPr>
          <w:p w14:paraId="28559359" w14:textId="1018DCA9" w:rsidR="00DC1F96" w:rsidRPr="00B363B0" w:rsidRDefault="00DC1F96" w:rsidP="00B363B0">
            <w:pPr>
              <w:spacing w:before="40" w:after="120"/>
              <w:ind w:right="113"/>
            </w:pPr>
            <w:r w:rsidRPr="00B363B0">
              <w:rPr>
                <w:lang w:val="fr-FR"/>
              </w:rPr>
              <w:t>2022</w:t>
            </w:r>
          </w:p>
        </w:tc>
      </w:tr>
      <w:tr w:rsidR="00DC1F96" w:rsidRPr="00B363B0" w14:paraId="1F9AFB6A" w14:textId="77777777" w:rsidTr="00F0010B">
        <w:trPr>
          <w:cantSplit/>
        </w:trPr>
        <w:tc>
          <w:tcPr>
            <w:tcW w:w="3080" w:type="dxa"/>
            <w:shd w:val="clear" w:color="auto" w:fill="auto"/>
          </w:tcPr>
          <w:p w14:paraId="5A82BAC5" w14:textId="77777777" w:rsidR="00DC1F96" w:rsidRPr="00B363B0" w:rsidRDefault="00DC1F96" w:rsidP="00B363B0">
            <w:pPr>
              <w:spacing w:before="40" w:after="120"/>
              <w:ind w:right="113"/>
            </w:pPr>
            <w:r w:rsidRPr="00B363B0">
              <w:rPr>
                <w:lang w:val="fr-FR"/>
              </w:rPr>
              <w:t xml:space="preserve">Ibrahima </w:t>
            </w:r>
            <w:r w:rsidRPr="00B363B0">
              <w:rPr>
                <w:b/>
                <w:lang w:val="fr-FR"/>
              </w:rPr>
              <w:t>Guisse</w:t>
            </w:r>
          </w:p>
        </w:tc>
        <w:tc>
          <w:tcPr>
            <w:tcW w:w="2307" w:type="dxa"/>
            <w:shd w:val="clear" w:color="auto" w:fill="auto"/>
          </w:tcPr>
          <w:p w14:paraId="6443FF31" w14:textId="77777777" w:rsidR="00DC1F96" w:rsidRPr="00B363B0" w:rsidRDefault="00DC1F96" w:rsidP="00B363B0">
            <w:pPr>
              <w:spacing w:before="40" w:after="120"/>
              <w:ind w:right="113"/>
            </w:pPr>
            <w:r w:rsidRPr="00B363B0">
              <w:rPr>
                <w:lang w:val="fr-FR"/>
              </w:rPr>
              <w:t>Sénégal</w:t>
            </w:r>
          </w:p>
        </w:tc>
        <w:tc>
          <w:tcPr>
            <w:tcW w:w="1983" w:type="dxa"/>
            <w:shd w:val="clear" w:color="auto" w:fill="auto"/>
          </w:tcPr>
          <w:p w14:paraId="1FA1DCA9" w14:textId="77777777" w:rsidR="00DC1F96" w:rsidRPr="00B363B0" w:rsidRDefault="00DC1F96" w:rsidP="00B363B0">
            <w:pPr>
              <w:spacing w:before="40" w:after="120"/>
              <w:ind w:right="113"/>
            </w:pPr>
            <w:r w:rsidRPr="00B363B0">
              <w:rPr>
                <w:lang w:val="fr-FR"/>
              </w:rPr>
              <w:t>2024</w:t>
            </w:r>
          </w:p>
        </w:tc>
      </w:tr>
      <w:tr w:rsidR="00DC1F96" w:rsidRPr="00B363B0" w14:paraId="6C8C37D2" w14:textId="77777777" w:rsidTr="00F0010B">
        <w:trPr>
          <w:cantSplit/>
        </w:trPr>
        <w:tc>
          <w:tcPr>
            <w:tcW w:w="3080" w:type="dxa"/>
            <w:shd w:val="clear" w:color="auto" w:fill="auto"/>
          </w:tcPr>
          <w:p w14:paraId="17ABD7F1" w14:textId="77777777" w:rsidR="00DC1F96" w:rsidRPr="00B363B0" w:rsidRDefault="00DC1F96" w:rsidP="00B363B0">
            <w:pPr>
              <w:spacing w:before="40" w:after="120"/>
              <w:ind w:right="113"/>
            </w:pPr>
            <w:r w:rsidRPr="00B363B0">
              <w:rPr>
                <w:lang w:val="fr-FR"/>
              </w:rPr>
              <w:t xml:space="preserve">Rita </w:t>
            </w:r>
            <w:r w:rsidRPr="00B363B0">
              <w:rPr>
                <w:b/>
                <w:lang w:val="fr-FR"/>
              </w:rPr>
              <w:t>Izsák-Ndiaye</w:t>
            </w:r>
          </w:p>
        </w:tc>
        <w:tc>
          <w:tcPr>
            <w:tcW w:w="2307" w:type="dxa"/>
            <w:shd w:val="clear" w:color="auto" w:fill="auto"/>
          </w:tcPr>
          <w:p w14:paraId="36880880" w14:textId="28B6C05E" w:rsidR="00DC1F96" w:rsidRPr="00B363B0" w:rsidRDefault="00DC1F96" w:rsidP="00B363B0">
            <w:pPr>
              <w:spacing w:before="40" w:after="120"/>
              <w:ind w:right="113"/>
            </w:pPr>
            <w:r w:rsidRPr="00B363B0">
              <w:rPr>
                <w:lang w:val="fr-FR"/>
              </w:rPr>
              <w:t>Hongrie</w:t>
            </w:r>
          </w:p>
        </w:tc>
        <w:tc>
          <w:tcPr>
            <w:tcW w:w="1983" w:type="dxa"/>
            <w:shd w:val="clear" w:color="auto" w:fill="auto"/>
          </w:tcPr>
          <w:p w14:paraId="1BBAE913" w14:textId="77777777" w:rsidR="00DC1F96" w:rsidRPr="00B363B0" w:rsidRDefault="00DC1F96" w:rsidP="00B363B0">
            <w:pPr>
              <w:spacing w:before="40" w:after="120"/>
              <w:ind w:right="113"/>
            </w:pPr>
            <w:r w:rsidRPr="00B363B0">
              <w:rPr>
                <w:lang w:val="fr-FR"/>
              </w:rPr>
              <w:t xml:space="preserve">2022 </w:t>
            </w:r>
          </w:p>
        </w:tc>
      </w:tr>
      <w:tr w:rsidR="00DC1F96" w:rsidRPr="00B363B0" w14:paraId="554EFF9F" w14:textId="77777777" w:rsidTr="00F0010B">
        <w:trPr>
          <w:cantSplit/>
        </w:trPr>
        <w:tc>
          <w:tcPr>
            <w:tcW w:w="3080" w:type="dxa"/>
            <w:shd w:val="clear" w:color="auto" w:fill="auto"/>
          </w:tcPr>
          <w:p w14:paraId="5A465CC9" w14:textId="77777777" w:rsidR="00DC1F96" w:rsidRPr="00B363B0" w:rsidRDefault="00DC1F96" w:rsidP="00B363B0">
            <w:pPr>
              <w:spacing w:before="40" w:after="120"/>
              <w:ind w:right="113"/>
            </w:pPr>
            <w:r w:rsidRPr="00B363B0">
              <w:rPr>
                <w:lang w:val="fr-FR"/>
              </w:rPr>
              <w:lastRenderedPageBreak/>
              <w:t xml:space="preserve">Keiko </w:t>
            </w:r>
            <w:r w:rsidRPr="00B363B0">
              <w:rPr>
                <w:b/>
                <w:lang w:val="fr-FR"/>
              </w:rPr>
              <w:t>Ko</w:t>
            </w:r>
          </w:p>
        </w:tc>
        <w:tc>
          <w:tcPr>
            <w:tcW w:w="2307" w:type="dxa"/>
            <w:shd w:val="clear" w:color="auto" w:fill="auto"/>
          </w:tcPr>
          <w:p w14:paraId="586281A1" w14:textId="0FD51590" w:rsidR="00DC1F96" w:rsidRPr="00B363B0" w:rsidRDefault="00DC1F96" w:rsidP="00B363B0">
            <w:pPr>
              <w:spacing w:before="40" w:after="120"/>
              <w:ind w:right="113"/>
            </w:pPr>
            <w:r w:rsidRPr="00B363B0">
              <w:rPr>
                <w:lang w:val="fr-FR"/>
              </w:rPr>
              <w:t>Japon</w:t>
            </w:r>
          </w:p>
        </w:tc>
        <w:tc>
          <w:tcPr>
            <w:tcW w:w="1983" w:type="dxa"/>
            <w:shd w:val="clear" w:color="auto" w:fill="auto"/>
          </w:tcPr>
          <w:p w14:paraId="5613EBEE" w14:textId="24D5FA37" w:rsidR="00DC1F96" w:rsidRPr="00B363B0" w:rsidRDefault="00DC1F96" w:rsidP="00B363B0">
            <w:pPr>
              <w:spacing w:before="40" w:after="120"/>
              <w:ind w:right="113"/>
            </w:pPr>
            <w:r w:rsidRPr="00B363B0">
              <w:rPr>
                <w:lang w:val="fr-FR"/>
              </w:rPr>
              <w:t>2022</w:t>
            </w:r>
          </w:p>
        </w:tc>
      </w:tr>
      <w:tr w:rsidR="00DC1F96" w:rsidRPr="00B363B0" w14:paraId="14CDDD32" w14:textId="77777777" w:rsidTr="00F0010B">
        <w:trPr>
          <w:cantSplit/>
        </w:trPr>
        <w:tc>
          <w:tcPr>
            <w:tcW w:w="3080" w:type="dxa"/>
            <w:shd w:val="clear" w:color="auto" w:fill="auto"/>
          </w:tcPr>
          <w:p w14:paraId="52B161C2" w14:textId="77777777" w:rsidR="00DC1F96" w:rsidRPr="00B363B0" w:rsidRDefault="00DC1F96" w:rsidP="00B363B0">
            <w:pPr>
              <w:spacing w:before="40" w:after="120"/>
              <w:ind w:right="113"/>
            </w:pPr>
            <w:r w:rsidRPr="00B363B0">
              <w:rPr>
                <w:lang w:val="fr-FR"/>
              </w:rPr>
              <w:t xml:space="preserve">Gun </w:t>
            </w:r>
            <w:r w:rsidRPr="00B363B0">
              <w:rPr>
                <w:b/>
                <w:lang w:val="fr-FR"/>
              </w:rPr>
              <w:t>Kut</w:t>
            </w:r>
          </w:p>
        </w:tc>
        <w:tc>
          <w:tcPr>
            <w:tcW w:w="2307" w:type="dxa"/>
            <w:shd w:val="clear" w:color="auto" w:fill="auto"/>
          </w:tcPr>
          <w:p w14:paraId="7A003800" w14:textId="77777777" w:rsidR="00DC1F96" w:rsidRPr="00B363B0" w:rsidRDefault="00DC1F96" w:rsidP="00B363B0">
            <w:pPr>
              <w:spacing w:before="40" w:after="120"/>
              <w:ind w:right="113"/>
            </w:pPr>
            <w:r w:rsidRPr="00B363B0">
              <w:rPr>
                <w:lang w:val="fr-FR"/>
              </w:rPr>
              <w:t>Turquie</w:t>
            </w:r>
          </w:p>
        </w:tc>
        <w:tc>
          <w:tcPr>
            <w:tcW w:w="1983" w:type="dxa"/>
            <w:shd w:val="clear" w:color="auto" w:fill="auto"/>
          </w:tcPr>
          <w:p w14:paraId="757140BF" w14:textId="77777777" w:rsidR="00DC1F96" w:rsidRPr="00B363B0" w:rsidRDefault="00DC1F96" w:rsidP="00B363B0">
            <w:pPr>
              <w:spacing w:before="40" w:after="120"/>
              <w:ind w:right="113"/>
            </w:pPr>
            <w:r w:rsidRPr="00B363B0">
              <w:rPr>
                <w:lang w:val="fr-FR"/>
              </w:rPr>
              <w:t>2022</w:t>
            </w:r>
          </w:p>
        </w:tc>
      </w:tr>
      <w:tr w:rsidR="00DC1F96" w:rsidRPr="00B363B0" w:rsidDel="00785636" w14:paraId="06EEFE60" w14:textId="77777777" w:rsidTr="00F0010B">
        <w:trPr>
          <w:cantSplit/>
        </w:trPr>
        <w:tc>
          <w:tcPr>
            <w:tcW w:w="3080" w:type="dxa"/>
            <w:shd w:val="clear" w:color="auto" w:fill="auto"/>
          </w:tcPr>
          <w:p w14:paraId="38AB79BE" w14:textId="77777777" w:rsidR="00DC1F96" w:rsidRPr="00B363B0" w:rsidDel="00785636" w:rsidRDefault="00DC1F96" w:rsidP="00B363B0">
            <w:pPr>
              <w:spacing w:before="40" w:after="120"/>
              <w:ind w:right="113"/>
            </w:pPr>
            <w:r w:rsidRPr="00B363B0">
              <w:rPr>
                <w:lang w:val="fr-FR"/>
              </w:rPr>
              <w:t xml:space="preserve">Yanduan </w:t>
            </w:r>
            <w:r w:rsidRPr="00B363B0">
              <w:rPr>
                <w:b/>
                <w:lang w:val="fr-FR"/>
              </w:rPr>
              <w:t>Li</w:t>
            </w:r>
            <w:r w:rsidRPr="00B363B0">
              <w:rPr>
                <w:lang w:val="fr-FR"/>
              </w:rPr>
              <w:t xml:space="preserve"> </w:t>
            </w:r>
          </w:p>
        </w:tc>
        <w:tc>
          <w:tcPr>
            <w:tcW w:w="2307" w:type="dxa"/>
            <w:shd w:val="clear" w:color="auto" w:fill="auto"/>
          </w:tcPr>
          <w:p w14:paraId="256A38CE" w14:textId="7CA8DD05" w:rsidR="00DC1F96" w:rsidRPr="00B363B0" w:rsidDel="00785636" w:rsidRDefault="00DC1F96" w:rsidP="00B363B0">
            <w:pPr>
              <w:spacing w:before="40" w:after="120"/>
              <w:ind w:right="113"/>
            </w:pPr>
            <w:r w:rsidRPr="00B363B0">
              <w:rPr>
                <w:lang w:val="fr-FR"/>
              </w:rPr>
              <w:t>Chine</w:t>
            </w:r>
          </w:p>
        </w:tc>
        <w:tc>
          <w:tcPr>
            <w:tcW w:w="1983" w:type="dxa"/>
            <w:shd w:val="clear" w:color="auto" w:fill="auto"/>
          </w:tcPr>
          <w:p w14:paraId="7711F4F3" w14:textId="77777777" w:rsidR="00DC1F96" w:rsidRPr="00B363B0" w:rsidDel="00785636" w:rsidRDefault="00DC1F96" w:rsidP="00B363B0">
            <w:pPr>
              <w:spacing w:before="40" w:after="120"/>
              <w:ind w:right="113"/>
            </w:pPr>
            <w:r w:rsidRPr="00B363B0">
              <w:rPr>
                <w:lang w:val="fr-FR"/>
              </w:rPr>
              <w:t xml:space="preserve">2024 </w:t>
            </w:r>
          </w:p>
        </w:tc>
      </w:tr>
      <w:tr w:rsidR="00DC1F96" w:rsidRPr="00B363B0" w14:paraId="7C1DBDC7" w14:textId="77777777" w:rsidTr="00F0010B">
        <w:trPr>
          <w:cantSplit/>
        </w:trPr>
        <w:tc>
          <w:tcPr>
            <w:tcW w:w="3080" w:type="dxa"/>
            <w:shd w:val="clear" w:color="auto" w:fill="auto"/>
          </w:tcPr>
          <w:p w14:paraId="19A1522A" w14:textId="77777777" w:rsidR="00DC1F96" w:rsidRPr="00B363B0" w:rsidRDefault="00DC1F96" w:rsidP="00B363B0">
            <w:pPr>
              <w:spacing w:before="40" w:after="120"/>
              <w:ind w:right="113"/>
            </w:pPr>
            <w:r w:rsidRPr="00B363B0">
              <w:rPr>
                <w:lang w:val="fr-FR"/>
              </w:rPr>
              <w:t xml:space="preserve">Yemhelhe Mint </w:t>
            </w:r>
            <w:r w:rsidRPr="00B363B0">
              <w:rPr>
                <w:b/>
                <w:lang w:val="fr-FR"/>
              </w:rPr>
              <w:t>Mohamed</w:t>
            </w:r>
          </w:p>
        </w:tc>
        <w:tc>
          <w:tcPr>
            <w:tcW w:w="2307" w:type="dxa"/>
            <w:shd w:val="clear" w:color="auto" w:fill="auto"/>
          </w:tcPr>
          <w:p w14:paraId="5CD9CBF4" w14:textId="77777777" w:rsidR="00DC1F96" w:rsidRPr="00B363B0" w:rsidRDefault="00DC1F96" w:rsidP="00B363B0">
            <w:pPr>
              <w:spacing w:before="40" w:after="120"/>
              <w:ind w:right="113"/>
            </w:pPr>
            <w:r w:rsidRPr="00B363B0">
              <w:rPr>
                <w:lang w:val="fr-FR"/>
              </w:rPr>
              <w:t>Mauritanie</w:t>
            </w:r>
          </w:p>
        </w:tc>
        <w:tc>
          <w:tcPr>
            <w:tcW w:w="1983" w:type="dxa"/>
            <w:shd w:val="clear" w:color="auto" w:fill="auto"/>
          </w:tcPr>
          <w:p w14:paraId="2A724069" w14:textId="77777777" w:rsidR="00DC1F96" w:rsidRPr="00B363B0" w:rsidRDefault="00DC1F96" w:rsidP="00B363B0">
            <w:pPr>
              <w:spacing w:before="40" w:after="120"/>
              <w:ind w:right="113"/>
            </w:pPr>
            <w:r w:rsidRPr="00B363B0">
              <w:rPr>
                <w:lang w:val="fr-FR"/>
              </w:rPr>
              <w:t>2024</w:t>
            </w:r>
          </w:p>
        </w:tc>
      </w:tr>
      <w:tr w:rsidR="00DC1F96" w:rsidRPr="00B363B0" w:rsidDel="00785636" w14:paraId="649F1323" w14:textId="77777777" w:rsidTr="00F0010B">
        <w:trPr>
          <w:cantSplit/>
        </w:trPr>
        <w:tc>
          <w:tcPr>
            <w:tcW w:w="3080" w:type="dxa"/>
            <w:shd w:val="clear" w:color="auto" w:fill="auto"/>
          </w:tcPr>
          <w:p w14:paraId="1C067FFE" w14:textId="77777777" w:rsidR="00DC1F96" w:rsidRPr="00B363B0" w:rsidRDefault="00DC1F96" w:rsidP="00B363B0">
            <w:pPr>
              <w:spacing w:before="40" w:after="120"/>
              <w:ind w:right="113"/>
            </w:pPr>
            <w:r w:rsidRPr="00B363B0">
              <w:rPr>
                <w:lang w:val="fr-FR"/>
              </w:rPr>
              <w:t xml:space="preserve">Mehrdad </w:t>
            </w:r>
            <w:r w:rsidRPr="00B363B0">
              <w:rPr>
                <w:b/>
                <w:lang w:val="fr-FR"/>
              </w:rPr>
              <w:t>Payandeh</w:t>
            </w:r>
          </w:p>
        </w:tc>
        <w:tc>
          <w:tcPr>
            <w:tcW w:w="2307" w:type="dxa"/>
            <w:shd w:val="clear" w:color="auto" w:fill="auto"/>
          </w:tcPr>
          <w:p w14:paraId="40690120" w14:textId="77777777" w:rsidR="00DC1F96" w:rsidRPr="00B363B0" w:rsidRDefault="00DC1F96" w:rsidP="00B363B0">
            <w:pPr>
              <w:spacing w:before="40" w:after="120"/>
              <w:ind w:right="113"/>
            </w:pPr>
            <w:r w:rsidRPr="00B363B0">
              <w:rPr>
                <w:lang w:val="fr-FR"/>
              </w:rPr>
              <w:t>Allemagne</w:t>
            </w:r>
          </w:p>
        </w:tc>
        <w:tc>
          <w:tcPr>
            <w:tcW w:w="1983" w:type="dxa"/>
            <w:shd w:val="clear" w:color="auto" w:fill="auto"/>
          </w:tcPr>
          <w:p w14:paraId="175CF7E7" w14:textId="77777777" w:rsidR="00DC1F96" w:rsidRPr="00B363B0" w:rsidRDefault="00DC1F96" w:rsidP="00B363B0">
            <w:pPr>
              <w:spacing w:before="40" w:after="120"/>
              <w:ind w:right="113"/>
            </w:pPr>
            <w:r w:rsidRPr="00B363B0">
              <w:rPr>
                <w:lang w:val="fr-FR"/>
              </w:rPr>
              <w:t>2024</w:t>
            </w:r>
          </w:p>
        </w:tc>
      </w:tr>
      <w:tr w:rsidR="00DC1F96" w:rsidRPr="00B363B0" w:rsidDel="00785636" w14:paraId="4FD5C75D" w14:textId="77777777" w:rsidTr="00F0010B">
        <w:trPr>
          <w:cantSplit/>
        </w:trPr>
        <w:tc>
          <w:tcPr>
            <w:tcW w:w="3080" w:type="dxa"/>
            <w:shd w:val="clear" w:color="auto" w:fill="auto"/>
          </w:tcPr>
          <w:p w14:paraId="45AE04B9" w14:textId="77777777" w:rsidR="00DC1F96" w:rsidRPr="00B363B0" w:rsidDel="00785636" w:rsidRDefault="00DC1F96" w:rsidP="00B363B0">
            <w:pPr>
              <w:spacing w:before="40" w:after="120"/>
              <w:ind w:right="113"/>
            </w:pPr>
            <w:r w:rsidRPr="00B363B0">
              <w:rPr>
                <w:lang w:val="fr-FR"/>
              </w:rPr>
              <w:t xml:space="preserve">Verene Albertha </w:t>
            </w:r>
            <w:r w:rsidRPr="00B363B0">
              <w:rPr>
                <w:b/>
                <w:lang w:val="fr-FR"/>
              </w:rPr>
              <w:t>Shepherd</w:t>
            </w:r>
          </w:p>
        </w:tc>
        <w:tc>
          <w:tcPr>
            <w:tcW w:w="2307" w:type="dxa"/>
            <w:shd w:val="clear" w:color="auto" w:fill="auto"/>
          </w:tcPr>
          <w:p w14:paraId="3FF81356" w14:textId="77777777" w:rsidR="00DC1F96" w:rsidRPr="00B363B0" w:rsidDel="00785636" w:rsidRDefault="00DC1F96" w:rsidP="00B363B0">
            <w:pPr>
              <w:spacing w:before="40" w:after="120"/>
              <w:ind w:right="113"/>
            </w:pPr>
            <w:r w:rsidRPr="00B363B0">
              <w:rPr>
                <w:lang w:val="fr-FR"/>
              </w:rPr>
              <w:t>Jamaïque</w:t>
            </w:r>
          </w:p>
        </w:tc>
        <w:tc>
          <w:tcPr>
            <w:tcW w:w="1983" w:type="dxa"/>
            <w:shd w:val="clear" w:color="auto" w:fill="auto"/>
          </w:tcPr>
          <w:p w14:paraId="2B0A93D3" w14:textId="77777777" w:rsidR="00DC1F96" w:rsidRPr="00B363B0" w:rsidDel="00785636" w:rsidRDefault="00DC1F96" w:rsidP="00B363B0">
            <w:pPr>
              <w:spacing w:before="40" w:after="120"/>
              <w:ind w:right="113"/>
            </w:pPr>
            <w:r w:rsidRPr="00B363B0">
              <w:rPr>
                <w:lang w:val="fr-FR"/>
              </w:rPr>
              <w:t>2024</w:t>
            </w:r>
          </w:p>
        </w:tc>
      </w:tr>
      <w:tr w:rsidR="00DC1F96" w:rsidRPr="00B363B0" w:rsidDel="00785636" w14:paraId="034C91E7" w14:textId="77777777" w:rsidTr="00F0010B">
        <w:trPr>
          <w:cantSplit/>
        </w:trPr>
        <w:tc>
          <w:tcPr>
            <w:tcW w:w="3080" w:type="dxa"/>
            <w:shd w:val="clear" w:color="auto" w:fill="auto"/>
          </w:tcPr>
          <w:p w14:paraId="574E2016" w14:textId="77777777" w:rsidR="00DC1F96" w:rsidRPr="00B363B0" w:rsidRDefault="00DC1F96" w:rsidP="00B363B0">
            <w:pPr>
              <w:spacing w:before="40" w:after="120"/>
              <w:ind w:right="113"/>
            </w:pPr>
            <w:r w:rsidRPr="00B363B0">
              <w:rPr>
                <w:lang w:val="fr-FR"/>
              </w:rPr>
              <w:t xml:space="preserve">Stamatia </w:t>
            </w:r>
            <w:r w:rsidRPr="00B363B0">
              <w:rPr>
                <w:b/>
                <w:lang w:val="fr-FR"/>
              </w:rPr>
              <w:t>Stavrinaki</w:t>
            </w:r>
          </w:p>
        </w:tc>
        <w:tc>
          <w:tcPr>
            <w:tcW w:w="2307" w:type="dxa"/>
            <w:shd w:val="clear" w:color="auto" w:fill="auto"/>
          </w:tcPr>
          <w:p w14:paraId="6B31DC02" w14:textId="77777777" w:rsidR="00DC1F96" w:rsidRPr="00B363B0" w:rsidRDefault="00DC1F96" w:rsidP="00B363B0">
            <w:pPr>
              <w:spacing w:before="40" w:after="120"/>
              <w:ind w:right="113"/>
            </w:pPr>
            <w:r w:rsidRPr="00B363B0">
              <w:rPr>
                <w:lang w:val="fr-FR"/>
              </w:rPr>
              <w:t>Grèce</w:t>
            </w:r>
          </w:p>
        </w:tc>
        <w:tc>
          <w:tcPr>
            <w:tcW w:w="1983" w:type="dxa"/>
            <w:shd w:val="clear" w:color="auto" w:fill="auto"/>
          </w:tcPr>
          <w:p w14:paraId="72D227C4" w14:textId="77777777" w:rsidR="00DC1F96" w:rsidRPr="00B363B0" w:rsidRDefault="00DC1F96" w:rsidP="00B363B0">
            <w:pPr>
              <w:spacing w:before="40" w:after="120"/>
              <w:ind w:right="113"/>
            </w:pPr>
            <w:r w:rsidRPr="00B363B0">
              <w:rPr>
                <w:lang w:val="fr-FR"/>
              </w:rPr>
              <w:t>2024</w:t>
            </w:r>
          </w:p>
        </w:tc>
      </w:tr>
      <w:tr w:rsidR="00DC1F96" w:rsidRPr="00B363B0" w:rsidDel="00785636" w14:paraId="7C140F00" w14:textId="77777777" w:rsidTr="00F0010B">
        <w:trPr>
          <w:cantSplit/>
        </w:trPr>
        <w:tc>
          <w:tcPr>
            <w:tcW w:w="3080" w:type="dxa"/>
            <w:shd w:val="clear" w:color="auto" w:fill="auto"/>
          </w:tcPr>
          <w:p w14:paraId="2B85FC99" w14:textId="77777777" w:rsidR="00DC1F96" w:rsidRPr="00B363B0" w:rsidRDefault="00DC1F96" w:rsidP="00B363B0">
            <w:pPr>
              <w:spacing w:before="40" w:after="120"/>
              <w:ind w:right="113"/>
            </w:pPr>
            <w:r w:rsidRPr="00B363B0">
              <w:rPr>
                <w:lang w:val="fr-FR"/>
              </w:rPr>
              <w:t xml:space="preserve">Faith Dikeledi Pansy </w:t>
            </w:r>
            <w:r w:rsidRPr="00B363B0">
              <w:rPr>
                <w:b/>
                <w:lang w:val="fr-FR"/>
              </w:rPr>
              <w:t>Tlakula</w:t>
            </w:r>
          </w:p>
        </w:tc>
        <w:tc>
          <w:tcPr>
            <w:tcW w:w="2307" w:type="dxa"/>
            <w:shd w:val="clear" w:color="auto" w:fill="auto"/>
          </w:tcPr>
          <w:p w14:paraId="4E383D78" w14:textId="77777777" w:rsidR="00DC1F96" w:rsidRPr="00B363B0" w:rsidRDefault="00DC1F96" w:rsidP="00B363B0">
            <w:pPr>
              <w:spacing w:before="40" w:after="120"/>
              <w:ind w:right="113"/>
            </w:pPr>
            <w:r w:rsidRPr="00B363B0">
              <w:rPr>
                <w:lang w:val="fr-FR"/>
              </w:rPr>
              <w:t>Afrique du Sud</w:t>
            </w:r>
          </w:p>
        </w:tc>
        <w:tc>
          <w:tcPr>
            <w:tcW w:w="1983" w:type="dxa"/>
            <w:shd w:val="clear" w:color="auto" w:fill="auto"/>
          </w:tcPr>
          <w:p w14:paraId="5E9B04CD" w14:textId="77777777" w:rsidR="00DC1F96" w:rsidRPr="00B363B0" w:rsidRDefault="00DC1F96" w:rsidP="00B363B0">
            <w:pPr>
              <w:spacing w:before="40" w:after="120"/>
              <w:ind w:right="113"/>
            </w:pPr>
            <w:r w:rsidRPr="00B363B0">
              <w:rPr>
                <w:lang w:val="fr-FR"/>
              </w:rPr>
              <w:t>2024</w:t>
            </w:r>
          </w:p>
        </w:tc>
      </w:tr>
      <w:tr w:rsidR="00DC1F96" w:rsidRPr="00B363B0" w:rsidDel="00785636" w14:paraId="4AA61098" w14:textId="77777777" w:rsidTr="00F0010B">
        <w:trPr>
          <w:cantSplit/>
        </w:trPr>
        <w:tc>
          <w:tcPr>
            <w:tcW w:w="3080" w:type="dxa"/>
            <w:shd w:val="clear" w:color="auto" w:fill="auto"/>
          </w:tcPr>
          <w:p w14:paraId="28906DBC" w14:textId="77777777" w:rsidR="00DC1F96" w:rsidRPr="00B363B0" w:rsidRDefault="00DC1F96" w:rsidP="00B363B0">
            <w:pPr>
              <w:spacing w:before="40" w:after="120"/>
              <w:ind w:right="113"/>
            </w:pPr>
            <w:r w:rsidRPr="00B363B0">
              <w:rPr>
                <w:lang w:val="fr-FR"/>
              </w:rPr>
              <w:t xml:space="preserve">Eduardo Ernesto </w:t>
            </w:r>
            <w:r w:rsidRPr="00B363B0">
              <w:rPr>
                <w:b/>
                <w:lang w:val="fr-FR"/>
              </w:rPr>
              <w:t>Vega Luna</w:t>
            </w:r>
          </w:p>
        </w:tc>
        <w:tc>
          <w:tcPr>
            <w:tcW w:w="2307" w:type="dxa"/>
            <w:shd w:val="clear" w:color="auto" w:fill="auto"/>
          </w:tcPr>
          <w:p w14:paraId="47CE8D27" w14:textId="77777777" w:rsidR="00DC1F96" w:rsidRPr="00B363B0" w:rsidRDefault="00DC1F96" w:rsidP="00B363B0">
            <w:pPr>
              <w:spacing w:before="40" w:after="120"/>
              <w:ind w:right="113"/>
            </w:pPr>
            <w:r w:rsidRPr="00B363B0">
              <w:rPr>
                <w:lang w:val="fr-FR"/>
              </w:rPr>
              <w:t>Pérou</w:t>
            </w:r>
          </w:p>
        </w:tc>
        <w:tc>
          <w:tcPr>
            <w:tcW w:w="1983" w:type="dxa"/>
            <w:shd w:val="clear" w:color="auto" w:fill="auto"/>
          </w:tcPr>
          <w:p w14:paraId="5A09F26C" w14:textId="77777777" w:rsidR="00DC1F96" w:rsidRPr="00B363B0" w:rsidRDefault="00DC1F96" w:rsidP="00B363B0">
            <w:pPr>
              <w:spacing w:before="40" w:after="120"/>
              <w:ind w:right="113"/>
            </w:pPr>
            <w:r w:rsidRPr="00B363B0">
              <w:rPr>
                <w:lang w:val="fr-FR"/>
              </w:rPr>
              <w:t>2024</w:t>
            </w:r>
          </w:p>
        </w:tc>
      </w:tr>
      <w:tr w:rsidR="00F0010B" w:rsidRPr="00B363B0" w14:paraId="3E07DD98" w14:textId="77777777" w:rsidTr="00F0010B">
        <w:trPr>
          <w:cantSplit/>
        </w:trPr>
        <w:tc>
          <w:tcPr>
            <w:tcW w:w="3080" w:type="dxa"/>
            <w:tcBorders>
              <w:bottom w:val="single" w:sz="12" w:space="0" w:color="auto"/>
            </w:tcBorders>
            <w:shd w:val="clear" w:color="auto" w:fill="auto"/>
          </w:tcPr>
          <w:p w14:paraId="5FD77E9E" w14:textId="77777777" w:rsidR="00DC1F96" w:rsidRPr="00B363B0" w:rsidRDefault="00DC1F96" w:rsidP="00B363B0">
            <w:pPr>
              <w:spacing w:before="40" w:after="120"/>
              <w:ind w:right="113"/>
              <w:rPr>
                <w:lang w:val="de-CH"/>
              </w:rPr>
            </w:pPr>
            <w:r w:rsidRPr="00B363B0">
              <w:rPr>
                <w:lang w:val="de-CH"/>
              </w:rPr>
              <w:t xml:space="preserve">Yeung Kam John </w:t>
            </w:r>
            <w:r w:rsidRPr="00B363B0">
              <w:rPr>
                <w:b/>
                <w:lang w:val="de-CH"/>
              </w:rPr>
              <w:t>Yeung Sik Yuen</w:t>
            </w:r>
          </w:p>
        </w:tc>
        <w:tc>
          <w:tcPr>
            <w:tcW w:w="2307" w:type="dxa"/>
            <w:tcBorders>
              <w:bottom w:val="single" w:sz="12" w:space="0" w:color="auto"/>
            </w:tcBorders>
            <w:shd w:val="clear" w:color="auto" w:fill="auto"/>
          </w:tcPr>
          <w:p w14:paraId="692166B6" w14:textId="77777777" w:rsidR="00DC1F96" w:rsidRPr="00B363B0" w:rsidRDefault="00DC1F96" w:rsidP="00B363B0">
            <w:pPr>
              <w:spacing w:before="40" w:after="120"/>
              <w:ind w:right="113"/>
            </w:pPr>
            <w:r w:rsidRPr="00B363B0">
              <w:rPr>
                <w:lang w:val="fr-FR"/>
              </w:rPr>
              <w:t>Maurice</w:t>
            </w:r>
          </w:p>
        </w:tc>
        <w:tc>
          <w:tcPr>
            <w:tcW w:w="1983" w:type="dxa"/>
            <w:tcBorders>
              <w:bottom w:val="single" w:sz="12" w:space="0" w:color="auto"/>
            </w:tcBorders>
            <w:shd w:val="clear" w:color="auto" w:fill="auto"/>
          </w:tcPr>
          <w:p w14:paraId="416E42DD" w14:textId="77777777" w:rsidR="00DC1F96" w:rsidRPr="00B363B0" w:rsidRDefault="00DC1F96" w:rsidP="00B363B0">
            <w:pPr>
              <w:spacing w:before="40" w:after="120"/>
              <w:ind w:right="113"/>
            </w:pPr>
            <w:r w:rsidRPr="00B363B0">
              <w:rPr>
                <w:lang w:val="fr-FR"/>
              </w:rPr>
              <w:t>2022</w:t>
            </w:r>
          </w:p>
        </w:tc>
      </w:tr>
    </w:tbl>
    <w:p w14:paraId="4ECCEABB" w14:textId="7E04475F" w:rsidR="00DC1F96" w:rsidRPr="002543F5" w:rsidRDefault="00F0010B" w:rsidP="00116B4E">
      <w:pPr>
        <w:pStyle w:val="SingleTxtG"/>
        <w:spacing w:before="240"/>
        <w:rPr>
          <w:lang w:val="fr-FR"/>
        </w:rPr>
      </w:pPr>
      <w:r>
        <w:rPr>
          <w:lang w:val="fr-FR"/>
        </w:rPr>
        <w:t>8.</w:t>
      </w:r>
      <w:r>
        <w:rPr>
          <w:lang w:val="fr-FR"/>
        </w:rPr>
        <w:tab/>
      </w:r>
      <w:r w:rsidR="00DC1F96">
        <w:rPr>
          <w:lang w:val="fr-FR"/>
        </w:rPr>
        <w:t>Le 11</w:t>
      </w:r>
      <w:r>
        <w:rPr>
          <w:lang w:val="fr-FR"/>
        </w:rPr>
        <w:t> </w:t>
      </w:r>
      <w:r w:rsidR="00DC1F96">
        <w:rPr>
          <w:lang w:val="fr-FR"/>
        </w:rPr>
        <w:t>décembre 2020, le Comité a été informé du décès de M</w:t>
      </w:r>
      <w:r w:rsidR="00DC1F96" w:rsidRPr="005B17C3">
        <w:rPr>
          <w:vertAlign w:val="superscript"/>
          <w:lang w:val="fr-FR"/>
        </w:rPr>
        <w:t>me</w:t>
      </w:r>
      <w:r>
        <w:rPr>
          <w:lang w:val="fr-FR"/>
        </w:rPr>
        <w:t> </w:t>
      </w:r>
      <w:r w:rsidR="00DC1F96">
        <w:rPr>
          <w:lang w:val="fr-FR"/>
        </w:rPr>
        <w:t>Mohamed. Dans une lettre en date du 19</w:t>
      </w:r>
      <w:r>
        <w:rPr>
          <w:lang w:val="fr-FR"/>
        </w:rPr>
        <w:t> </w:t>
      </w:r>
      <w:r w:rsidR="00DC1F96">
        <w:rPr>
          <w:lang w:val="fr-FR"/>
        </w:rPr>
        <w:t>février 2021, complétée par une lettre du 5</w:t>
      </w:r>
      <w:r>
        <w:rPr>
          <w:lang w:val="fr-FR"/>
        </w:rPr>
        <w:t> </w:t>
      </w:r>
      <w:r w:rsidR="00DC1F96">
        <w:rPr>
          <w:lang w:val="fr-FR"/>
        </w:rPr>
        <w:t>mars 2021, le Gouvernement mauritanien a désigné Vadili Mohamed Rayess pour achever le mandat de M</w:t>
      </w:r>
      <w:r w:rsidR="00DC1F96">
        <w:rPr>
          <w:vertAlign w:val="superscript"/>
          <w:lang w:val="fr-FR"/>
        </w:rPr>
        <w:t>me</w:t>
      </w:r>
      <w:r>
        <w:rPr>
          <w:lang w:val="fr-FR"/>
        </w:rPr>
        <w:t> </w:t>
      </w:r>
      <w:r w:rsidR="00DC1F96">
        <w:rPr>
          <w:lang w:val="fr-FR"/>
        </w:rPr>
        <w:t>Mohamed, qui devait expirer le 19</w:t>
      </w:r>
      <w:r>
        <w:rPr>
          <w:lang w:val="fr-FR"/>
        </w:rPr>
        <w:t> </w:t>
      </w:r>
      <w:r w:rsidR="00DC1F96">
        <w:rPr>
          <w:lang w:val="fr-FR"/>
        </w:rPr>
        <w:t>janvier 2024. M.</w:t>
      </w:r>
      <w:r>
        <w:rPr>
          <w:lang w:val="fr-FR"/>
        </w:rPr>
        <w:t> </w:t>
      </w:r>
      <w:r w:rsidR="00DC1F96">
        <w:rPr>
          <w:lang w:val="fr-FR"/>
        </w:rPr>
        <w:t>Rayess a fait sa déclaration solennelle à la 102</w:t>
      </w:r>
      <w:r w:rsidR="00DC1F96">
        <w:rPr>
          <w:vertAlign w:val="superscript"/>
          <w:lang w:val="fr-FR"/>
        </w:rPr>
        <w:t>e</w:t>
      </w:r>
      <w:r>
        <w:rPr>
          <w:lang w:val="fr-FR"/>
        </w:rPr>
        <w:t> </w:t>
      </w:r>
      <w:r w:rsidR="00DC1F96">
        <w:rPr>
          <w:lang w:val="fr-FR"/>
        </w:rPr>
        <w:t>session du Comité.</w:t>
      </w:r>
    </w:p>
    <w:p w14:paraId="2655F1F6" w14:textId="110F50FD" w:rsidR="00DC1F96" w:rsidRPr="002543F5" w:rsidRDefault="00F0010B" w:rsidP="00DC1F96">
      <w:pPr>
        <w:pStyle w:val="SingleTxtG"/>
        <w:rPr>
          <w:lang w:val="fr-FR"/>
        </w:rPr>
      </w:pPr>
      <w:r>
        <w:rPr>
          <w:lang w:val="fr-FR"/>
        </w:rPr>
        <w:t>9.</w:t>
      </w:r>
      <w:r>
        <w:rPr>
          <w:lang w:val="fr-FR"/>
        </w:rPr>
        <w:tab/>
      </w:r>
      <w:r w:rsidR="00DC1F96">
        <w:rPr>
          <w:lang w:val="fr-FR"/>
        </w:rPr>
        <w:t>À leur vingt-neuvième réunion, tenue le 24</w:t>
      </w:r>
      <w:r>
        <w:rPr>
          <w:lang w:val="fr-FR"/>
        </w:rPr>
        <w:t> </w:t>
      </w:r>
      <w:r w:rsidR="00DC1F96">
        <w:rPr>
          <w:lang w:val="fr-FR"/>
        </w:rPr>
        <w:t>juin 2021, les États parties ont élu neuf membres pour remplacer ceux dont le mandat expirait le 19</w:t>
      </w:r>
      <w:r>
        <w:rPr>
          <w:lang w:val="fr-FR"/>
        </w:rPr>
        <w:t> </w:t>
      </w:r>
      <w:r w:rsidR="00DC1F96">
        <w:rPr>
          <w:lang w:val="fr-FR"/>
        </w:rPr>
        <w:t>janvier 2022.</w:t>
      </w:r>
    </w:p>
    <w:tbl>
      <w:tblPr>
        <w:tblW w:w="7370" w:type="dxa"/>
        <w:tblInd w:w="1134" w:type="dxa"/>
        <w:tblLayout w:type="fixed"/>
        <w:tblCellMar>
          <w:left w:w="0" w:type="dxa"/>
          <w:right w:w="0" w:type="dxa"/>
        </w:tblCellMar>
        <w:tblLook w:val="01E0" w:firstRow="1" w:lastRow="1" w:firstColumn="1" w:lastColumn="1" w:noHBand="0" w:noVBand="0"/>
      </w:tblPr>
      <w:tblGrid>
        <w:gridCol w:w="3080"/>
        <w:gridCol w:w="2289"/>
        <w:gridCol w:w="2001"/>
      </w:tblGrid>
      <w:tr w:rsidR="00116B4E" w:rsidRPr="00116B4E" w14:paraId="3DBE030D" w14:textId="77777777" w:rsidTr="00116B4E">
        <w:trPr>
          <w:cantSplit/>
          <w:tblHeader/>
        </w:trPr>
        <w:tc>
          <w:tcPr>
            <w:tcW w:w="3080" w:type="dxa"/>
            <w:tcBorders>
              <w:top w:val="single" w:sz="4" w:space="0" w:color="auto"/>
              <w:bottom w:val="single" w:sz="12" w:space="0" w:color="auto"/>
            </w:tcBorders>
            <w:shd w:val="clear" w:color="auto" w:fill="auto"/>
            <w:vAlign w:val="bottom"/>
          </w:tcPr>
          <w:p w14:paraId="4A301EAB" w14:textId="77777777" w:rsidR="00DC1F96" w:rsidRPr="00116B4E" w:rsidRDefault="00DC1F96" w:rsidP="00116B4E">
            <w:pPr>
              <w:spacing w:before="80" w:after="80" w:line="200" w:lineRule="exact"/>
              <w:ind w:right="113"/>
              <w:rPr>
                <w:i/>
                <w:sz w:val="16"/>
              </w:rPr>
            </w:pPr>
            <w:r w:rsidRPr="00116B4E">
              <w:rPr>
                <w:i/>
                <w:sz w:val="16"/>
                <w:lang w:val="fr-FR"/>
              </w:rPr>
              <w:t>Nom</w:t>
            </w:r>
          </w:p>
        </w:tc>
        <w:tc>
          <w:tcPr>
            <w:tcW w:w="2289" w:type="dxa"/>
            <w:tcBorders>
              <w:top w:val="single" w:sz="4" w:space="0" w:color="auto"/>
              <w:bottom w:val="single" w:sz="12" w:space="0" w:color="auto"/>
            </w:tcBorders>
            <w:shd w:val="clear" w:color="auto" w:fill="auto"/>
            <w:vAlign w:val="bottom"/>
          </w:tcPr>
          <w:p w14:paraId="331557B8" w14:textId="77777777" w:rsidR="00DC1F96" w:rsidRPr="00116B4E" w:rsidRDefault="00DC1F96" w:rsidP="00116B4E">
            <w:pPr>
              <w:spacing w:before="80" w:after="80" w:line="200" w:lineRule="exact"/>
              <w:ind w:right="113"/>
              <w:rPr>
                <w:i/>
                <w:sz w:val="16"/>
              </w:rPr>
            </w:pPr>
            <w:r w:rsidRPr="00116B4E">
              <w:rPr>
                <w:i/>
                <w:sz w:val="16"/>
                <w:lang w:val="fr-FR"/>
              </w:rPr>
              <w:t>Nationalité</w:t>
            </w:r>
          </w:p>
        </w:tc>
        <w:tc>
          <w:tcPr>
            <w:tcW w:w="2001" w:type="dxa"/>
            <w:tcBorders>
              <w:top w:val="single" w:sz="4" w:space="0" w:color="auto"/>
              <w:bottom w:val="single" w:sz="12" w:space="0" w:color="auto"/>
            </w:tcBorders>
            <w:shd w:val="clear" w:color="auto" w:fill="auto"/>
            <w:vAlign w:val="bottom"/>
          </w:tcPr>
          <w:p w14:paraId="54D30044" w14:textId="2F9879DC" w:rsidR="00DC1F96" w:rsidRPr="00116B4E" w:rsidRDefault="00DC1F96" w:rsidP="00116B4E">
            <w:pPr>
              <w:spacing w:before="80" w:after="80" w:line="200" w:lineRule="exact"/>
              <w:ind w:right="113"/>
              <w:rPr>
                <w:i/>
                <w:sz w:val="16"/>
                <w:lang w:val="fr-FR"/>
              </w:rPr>
            </w:pPr>
            <w:r w:rsidRPr="00116B4E">
              <w:rPr>
                <w:i/>
                <w:sz w:val="16"/>
                <w:lang w:val="fr-FR"/>
              </w:rPr>
              <w:t>Mandat venant à expiration le</w:t>
            </w:r>
            <w:r w:rsidR="00116B4E">
              <w:rPr>
                <w:i/>
                <w:sz w:val="16"/>
                <w:lang w:val="fr-FR"/>
              </w:rPr>
              <w:t> </w:t>
            </w:r>
            <w:r w:rsidRPr="00116B4E">
              <w:rPr>
                <w:i/>
                <w:sz w:val="16"/>
                <w:lang w:val="fr-FR"/>
              </w:rPr>
              <w:t>19</w:t>
            </w:r>
            <w:r w:rsidR="00116B4E">
              <w:rPr>
                <w:i/>
                <w:sz w:val="16"/>
                <w:lang w:val="fr-FR"/>
              </w:rPr>
              <w:t> </w:t>
            </w:r>
            <w:r w:rsidRPr="00116B4E">
              <w:rPr>
                <w:i/>
                <w:sz w:val="16"/>
                <w:lang w:val="fr-FR"/>
              </w:rPr>
              <w:t>janvier</w:t>
            </w:r>
          </w:p>
        </w:tc>
      </w:tr>
      <w:tr w:rsidR="00116B4E" w:rsidRPr="00116B4E" w14:paraId="677B8F38" w14:textId="77777777" w:rsidTr="00116B4E">
        <w:trPr>
          <w:cantSplit/>
          <w:trHeight w:hRule="exact" w:val="113"/>
          <w:tblHeader/>
        </w:trPr>
        <w:tc>
          <w:tcPr>
            <w:tcW w:w="3080" w:type="dxa"/>
            <w:tcBorders>
              <w:top w:val="single" w:sz="12" w:space="0" w:color="auto"/>
            </w:tcBorders>
            <w:shd w:val="clear" w:color="auto" w:fill="auto"/>
          </w:tcPr>
          <w:p w14:paraId="46D44DF9" w14:textId="77777777" w:rsidR="00116B4E" w:rsidRPr="00116B4E" w:rsidRDefault="00116B4E" w:rsidP="00116B4E">
            <w:pPr>
              <w:spacing w:before="40" w:after="120"/>
              <w:ind w:right="113"/>
              <w:rPr>
                <w:lang w:val="fr-FR"/>
              </w:rPr>
            </w:pPr>
          </w:p>
        </w:tc>
        <w:tc>
          <w:tcPr>
            <w:tcW w:w="2289" w:type="dxa"/>
            <w:tcBorders>
              <w:top w:val="single" w:sz="12" w:space="0" w:color="auto"/>
            </w:tcBorders>
            <w:shd w:val="clear" w:color="auto" w:fill="auto"/>
          </w:tcPr>
          <w:p w14:paraId="59C02D1C" w14:textId="77777777" w:rsidR="00116B4E" w:rsidRPr="00116B4E" w:rsidRDefault="00116B4E" w:rsidP="00116B4E">
            <w:pPr>
              <w:spacing w:before="40" w:after="120"/>
              <w:ind w:right="113"/>
              <w:rPr>
                <w:lang w:val="fr-FR"/>
              </w:rPr>
            </w:pPr>
          </w:p>
        </w:tc>
        <w:tc>
          <w:tcPr>
            <w:tcW w:w="2001" w:type="dxa"/>
            <w:tcBorders>
              <w:top w:val="single" w:sz="12" w:space="0" w:color="auto"/>
            </w:tcBorders>
            <w:shd w:val="clear" w:color="auto" w:fill="auto"/>
          </w:tcPr>
          <w:p w14:paraId="3C8F7B57" w14:textId="77777777" w:rsidR="00116B4E" w:rsidRPr="00116B4E" w:rsidRDefault="00116B4E" w:rsidP="00116B4E">
            <w:pPr>
              <w:spacing w:before="40" w:after="120"/>
              <w:ind w:right="113"/>
              <w:rPr>
                <w:lang w:val="fr-FR"/>
              </w:rPr>
            </w:pPr>
          </w:p>
        </w:tc>
      </w:tr>
      <w:tr w:rsidR="00DC1F96" w:rsidRPr="00116B4E" w14:paraId="19CA3A44" w14:textId="77777777" w:rsidTr="00116B4E">
        <w:trPr>
          <w:cantSplit/>
        </w:trPr>
        <w:tc>
          <w:tcPr>
            <w:tcW w:w="3080" w:type="dxa"/>
            <w:shd w:val="clear" w:color="auto" w:fill="auto"/>
          </w:tcPr>
          <w:p w14:paraId="4391A91F" w14:textId="77777777" w:rsidR="00DC1F96" w:rsidRPr="00116B4E" w:rsidDel="00D61766" w:rsidRDefault="00DC1F96" w:rsidP="00116B4E">
            <w:pPr>
              <w:spacing w:before="40" w:after="120"/>
              <w:ind w:right="113"/>
            </w:pPr>
            <w:r w:rsidRPr="00116B4E">
              <w:rPr>
                <w:lang w:val="fr-FR"/>
              </w:rPr>
              <w:t xml:space="preserve">Nourredine </w:t>
            </w:r>
            <w:r w:rsidRPr="00116B4E">
              <w:rPr>
                <w:b/>
                <w:lang w:val="fr-FR"/>
              </w:rPr>
              <w:t>Amir</w:t>
            </w:r>
          </w:p>
        </w:tc>
        <w:tc>
          <w:tcPr>
            <w:tcW w:w="2289" w:type="dxa"/>
            <w:shd w:val="clear" w:color="auto" w:fill="auto"/>
          </w:tcPr>
          <w:p w14:paraId="4611D03F" w14:textId="77777777" w:rsidR="00DC1F96" w:rsidRPr="00116B4E" w:rsidRDefault="00DC1F96" w:rsidP="00116B4E">
            <w:pPr>
              <w:spacing w:before="40" w:after="120"/>
              <w:ind w:right="113"/>
            </w:pPr>
            <w:r w:rsidRPr="00116B4E">
              <w:rPr>
                <w:lang w:val="fr-FR"/>
              </w:rPr>
              <w:t>Algérie</w:t>
            </w:r>
          </w:p>
        </w:tc>
        <w:tc>
          <w:tcPr>
            <w:tcW w:w="2001" w:type="dxa"/>
            <w:shd w:val="clear" w:color="auto" w:fill="auto"/>
          </w:tcPr>
          <w:p w14:paraId="346ECD64" w14:textId="77777777" w:rsidR="00DC1F96" w:rsidRPr="00116B4E" w:rsidRDefault="00DC1F96" w:rsidP="00116B4E">
            <w:pPr>
              <w:spacing w:before="40" w:after="120"/>
              <w:ind w:right="113"/>
            </w:pPr>
            <w:r w:rsidRPr="00116B4E">
              <w:rPr>
                <w:lang w:val="fr-FR"/>
              </w:rPr>
              <w:t>2026</w:t>
            </w:r>
          </w:p>
        </w:tc>
      </w:tr>
      <w:tr w:rsidR="00DC1F96" w:rsidRPr="00116B4E" w14:paraId="5DF44598" w14:textId="77777777" w:rsidTr="00116B4E">
        <w:trPr>
          <w:cantSplit/>
        </w:trPr>
        <w:tc>
          <w:tcPr>
            <w:tcW w:w="3080" w:type="dxa"/>
            <w:shd w:val="clear" w:color="auto" w:fill="auto"/>
          </w:tcPr>
          <w:p w14:paraId="7E29FA5F" w14:textId="77777777" w:rsidR="00DC1F96" w:rsidRPr="00116B4E" w:rsidRDefault="00DC1F96" w:rsidP="00116B4E">
            <w:pPr>
              <w:spacing w:before="40" w:after="120"/>
              <w:ind w:right="113"/>
            </w:pPr>
            <w:r w:rsidRPr="00116B4E">
              <w:rPr>
                <w:lang w:val="fr-FR"/>
              </w:rPr>
              <w:t xml:space="preserve">Michal </w:t>
            </w:r>
            <w:r w:rsidRPr="00116B4E">
              <w:rPr>
                <w:b/>
                <w:lang w:val="fr-FR"/>
              </w:rPr>
              <w:t>Balcerzak</w:t>
            </w:r>
          </w:p>
        </w:tc>
        <w:tc>
          <w:tcPr>
            <w:tcW w:w="2289" w:type="dxa"/>
            <w:shd w:val="clear" w:color="auto" w:fill="auto"/>
          </w:tcPr>
          <w:p w14:paraId="2B770D24" w14:textId="77777777" w:rsidR="00DC1F96" w:rsidRPr="00116B4E" w:rsidRDefault="00DC1F96" w:rsidP="00116B4E">
            <w:pPr>
              <w:spacing w:before="40" w:after="120"/>
              <w:ind w:right="113"/>
            </w:pPr>
            <w:r w:rsidRPr="00116B4E">
              <w:rPr>
                <w:lang w:val="fr-FR"/>
              </w:rPr>
              <w:t>Pologne</w:t>
            </w:r>
          </w:p>
        </w:tc>
        <w:tc>
          <w:tcPr>
            <w:tcW w:w="2001" w:type="dxa"/>
            <w:shd w:val="clear" w:color="auto" w:fill="auto"/>
          </w:tcPr>
          <w:p w14:paraId="113FF705" w14:textId="77777777" w:rsidR="00DC1F96" w:rsidRPr="00116B4E" w:rsidRDefault="00DC1F96" w:rsidP="00116B4E">
            <w:pPr>
              <w:spacing w:before="40" w:after="120"/>
              <w:ind w:right="113"/>
            </w:pPr>
            <w:r w:rsidRPr="00116B4E">
              <w:rPr>
                <w:lang w:val="fr-FR"/>
              </w:rPr>
              <w:t>2026</w:t>
            </w:r>
          </w:p>
        </w:tc>
      </w:tr>
      <w:tr w:rsidR="00DC1F96" w:rsidRPr="00116B4E" w14:paraId="1793EAB0" w14:textId="77777777" w:rsidTr="00116B4E">
        <w:trPr>
          <w:cantSplit/>
        </w:trPr>
        <w:tc>
          <w:tcPr>
            <w:tcW w:w="3080" w:type="dxa"/>
            <w:shd w:val="clear" w:color="auto" w:fill="auto"/>
          </w:tcPr>
          <w:p w14:paraId="7F1EBCB2" w14:textId="77777777" w:rsidR="00DC1F96" w:rsidRPr="00116B4E" w:rsidRDefault="00DC1F96" w:rsidP="00116B4E">
            <w:pPr>
              <w:spacing w:before="40" w:after="120"/>
              <w:ind w:right="113"/>
              <w:rPr>
                <w:b/>
              </w:rPr>
            </w:pPr>
            <w:r w:rsidRPr="00116B4E">
              <w:rPr>
                <w:lang w:val="fr-FR"/>
              </w:rPr>
              <w:t xml:space="preserve">Chinsung </w:t>
            </w:r>
            <w:r w:rsidRPr="00116B4E">
              <w:rPr>
                <w:b/>
                <w:lang w:val="fr-FR"/>
              </w:rPr>
              <w:t>Chung</w:t>
            </w:r>
          </w:p>
        </w:tc>
        <w:tc>
          <w:tcPr>
            <w:tcW w:w="2289" w:type="dxa"/>
            <w:shd w:val="clear" w:color="auto" w:fill="auto"/>
          </w:tcPr>
          <w:p w14:paraId="5939E8C1" w14:textId="77777777" w:rsidR="00DC1F96" w:rsidRPr="00116B4E" w:rsidRDefault="00DC1F96" w:rsidP="00116B4E">
            <w:pPr>
              <w:spacing w:before="40" w:after="120"/>
              <w:ind w:right="113"/>
            </w:pPr>
            <w:r w:rsidRPr="00116B4E">
              <w:rPr>
                <w:lang w:val="fr-FR"/>
              </w:rPr>
              <w:t>République de Corée</w:t>
            </w:r>
          </w:p>
        </w:tc>
        <w:tc>
          <w:tcPr>
            <w:tcW w:w="2001" w:type="dxa"/>
            <w:shd w:val="clear" w:color="auto" w:fill="auto"/>
          </w:tcPr>
          <w:p w14:paraId="1DA32A21" w14:textId="77777777" w:rsidR="00DC1F96" w:rsidRPr="00116B4E" w:rsidRDefault="00DC1F96" w:rsidP="00116B4E">
            <w:pPr>
              <w:spacing w:before="40" w:after="120"/>
              <w:ind w:right="113"/>
            </w:pPr>
            <w:r w:rsidRPr="00116B4E">
              <w:rPr>
                <w:lang w:val="fr-FR"/>
              </w:rPr>
              <w:t>2026</w:t>
            </w:r>
          </w:p>
        </w:tc>
      </w:tr>
      <w:tr w:rsidR="00DC1F96" w:rsidRPr="00116B4E" w14:paraId="519954B7" w14:textId="77777777" w:rsidTr="00116B4E">
        <w:trPr>
          <w:cantSplit/>
        </w:trPr>
        <w:tc>
          <w:tcPr>
            <w:tcW w:w="3080" w:type="dxa"/>
            <w:shd w:val="clear" w:color="auto" w:fill="auto"/>
          </w:tcPr>
          <w:p w14:paraId="209F2C58" w14:textId="77777777" w:rsidR="00DC1F96" w:rsidRPr="00116B4E" w:rsidRDefault="00DC1F96" w:rsidP="00116B4E">
            <w:pPr>
              <w:spacing w:before="40" w:after="120"/>
              <w:ind w:right="113"/>
            </w:pPr>
            <w:r w:rsidRPr="00116B4E">
              <w:rPr>
                <w:lang w:val="fr-FR"/>
              </w:rPr>
              <w:t xml:space="preserve">Bakari Sidiki </w:t>
            </w:r>
            <w:r w:rsidRPr="00116B4E">
              <w:rPr>
                <w:b/>
                <w:lang w:val="fr-FR"/>
              </w:rPr>
              <w:t>Diaby</w:t>
            </w:r>
          </w:p>
        </w:tc>
        <w:tc>
          <w:tcPr>
            <w:tcW w:w="2289" w:type="dxa"/>
            <w:shd w:val="clear" w:color="auto" w:fill="auto"/>
          </w:tcPr>
          <w:p w14:paraId="1574ED9C" w14:textId="7534135B" w:rsidR="00DC1F96" w:rsidRPr="00116B4E" w:rsidRDefault="00DC1F96" w:rsidP="00116B4E">
            <w:pPr>
              <w:spacing w:before="40" w:after="120"/>
              <w:ind w:right="113"/>
            </w:pPr>
            <w:r w:rsidRPr="00116B4E">
              <w:rPr>
                <w:lang w:val="fr-FR"/>
              </w:rPr>
              <w:t>Côte d’Ivoire</w:t>
            </w:r>
          </w:p>
        </w:tc>
        <w:tc>
          <w:tcPr>
            <w:tcW w:w="2001" w:type="dxa"/>
            <w:shd w:val="clear" w:color="auto" w:fill="auto"/>
          </w:tcPr>
          <w:p w14:paraId="41CC31A5" w14:textId="77777777" w:rsidR="00DC1F96" w:rsidRPr="00116B4E" w:rsidRDefault="00DC1F96" w:rsidP="00116B4E">
            <w:pPr>
              <w:spacing w:before="40" w:after="120"/>
              <w:ind w:right="113"/>
            </w:pPr>
            <w:r w:rsidRPr="00116B4E">
              <w:rPr>
                <w:lang w:val="fr-FR"/>
              </w:rPr>
              <w:t>2026</w:t>
            </w:r>
          </w:p>
        </w:tc>
      </w:tr>
      <w:tr w:rsidR="00DC1F96" w:rsidRPr="00116B4E" w14:paraId="06556E94" w14:textId="77777777" w:rsidTr="00116B4E">
        <w:trPr>
          <w:cantSplit/>
        </w:trPr>
        <w:tc>
          <w:tcPr>
            <w:tcW w:w="3080" w:type="dxa"/>
            <w:shd w:val="clear" w:color="auto" w:fill="auto"/>
          </w:tcPr>
          <w:p w14:paraId="0253DF27" w14:textId="77777777" w:rsidR="00DC1F96" w:rsidRPr="00116B4E" w:rsidRDefault="00DC1F96" w:rsidP="00116B4E">
            <w:pPr>
              <w:spacing w:before="40" w:after="120"/>
              <w:ind w:right="113"/>
            </w:pPr>
            <w:r w:rsidRPr="00116B4E">
              <w:rPr>
                <w:lang w:val="fr-FR"/>
              </w:rPr>
              <w:t xml:space="preserve">Régine </w:t>
            </w:r>
            <w:r w:rsidRPr="00116B4E">
              <w:rPr>
                <w:b/>
                <w:lang w:val="fr-FR"/>
              </w:rPr>
              <w:t>Esseneme</w:t>
            </w:r>
          </w:p>
        </w:tc>
        <w:tc>
          <w:tcPr>
            <w:tcW w:w="2289" w:type="dxa"/>
            <w:shd w:val="clear" w:color="auto" w:fill="auto"/>
          </w:tcPr>
          <w:p w14:paraId="66A49982" w14:textId="77777777" w:rsidR="00DC1F96" w:rsidRPr="00116B4E" w:rsidRDefault="00DC1F96" w:rsidP="00116B4E">
            <w:pPr>
              <w:spacing w:before="40" w:after="120"/>
              <w:ind w:right="113"/>
            </w:pPr>
            <w:r w:rsidRPr="00116B4E">
              <w:rPr>
                <w:lang w:val="fr-FR"/>
              </w:rPr>
              <w:t>Cameroun</w:t>
            </w:r>
          </w:p>
        </w:tc>
        <w:tc>
          <w:tcPr>
            <w:tcW w:w="2001" w:type="dxa"/>
            <w:shd w:val="clear" w:color="auto" w:fill="auto"/>
          </w:tcPr>
          <w:p w14:paraId="53A1EEDD" w14:textId="77777777" w:rsidR="00DC1F96" w:rsidRPr="00116B4E" w:rsidRDefault="00DC1F96" w:rsidP="00116B4E">
            <w:pPr>
              <w:spacing w:before="40" w:after="120"/>
              <w:ind w:right="113"/>
            </w:pPr>
            <w:r w:rsidRPr="00116B4E">
              <w:rPr>
                <w:lang w:val="fr-FR"/>
              </w:rPr>
              <w:t>2026</w:t>
            </w:r>
          </w:p>
        </w:tc>
      </w:tr>
      <w:tr w:rsidR="00DC1F96" w:rsidRPr="00116B4E" w14:paraId="2727230A" w14:textId="77777777" w:rsidTr="00116B4E">
        <w:trPr>
          <w:cantSplit/>
        </w:trPr>
        <w:tc>
          <w:tcPr>
            <w:tcW w:w="3080" w:type="dxa"/>
            <w:shd w:val="clear" w:color="auto" w:fill="auto"/>
          </w:tcPr>
          <w:p w14:paraId="167FD286" w14:textId="3FECDA03" w:rsidR="00DC1F96" w:rsidRPr="00116B4E" w:rsidRDefault="00DC1F96" w:rsidP="00116B4E">
            <w:pPr>
              <w:spacing w:before="40" w:after="120"/>
              <w:ind w:right="113"/>
            </w:pPr>
            <w:r w:rsidRPr="00116B4E">
              <w:rPr>
                <w:lang w:val="fr-FR"/>
              </w:rPr>
              <w:t xml:space="preserve">Gun </w:t>
            </w:r>
            <w:r w:rsidRPr="00116B4E">
              <w:rPr>
                <w:b/>
                <w:lang w:val="fr-FR"/>
              </w:rPr>
              <w:t>Kut</w:t>
            </w:r>
          </w:p>
        </w:tc>
        <w:tc>
          <w:tcPr>
            <w:tcW w:w="2289" w:type="dxa"/>
            <w:shd w:val="clear" w:color="auto" w:fill="auto"/>
          </w:tcPr>
          <w:p w14:paraId="40BC1F58" w14:textId="77777777" w:rsidR="00DC1F96" w:rsidRPr="00116B4E" w:rsidRDefault="00DC1F96" w:rsidP="00116B4E">
            <w:pPr>
              <w:spacing w:before="40" w:after="120"/>
              <w:ind w:right="113"/>
            </w:pPr>
            <w:r w:rsidRPr="00116B4E">
              <w:rPr>
                <w:lang w:val="fr-FR"/>
              </w:rPr>
              <w:t>Turquie</w:t>
            </w:r>
          </w:p>
        </w:tc>
        <w:tc>
          <w:tcPr>
            <w:tcW w:w="2001" w:type="dxa"/>
            <w:shd w:val="clear" w:color="auto" w:fill="auto"/>
          </w:tcPr>
          <w:p w14:paraId="0C0B4372" w14:textId="77777777" w:rsidR="00DC1F96" w:rsidRPr="00116B4E" w:rsidRDefault="00DC1F96" w:rsidP="00116B4E">
            <w:pPr>
              <w:spacing w:before="40" w:after="120"/>
              <w:ind w:right="113"/>
            </w:pPr>
            <w:r w:rsidRPr="00116B4E">
              <w:rPr>
                <w:lang w:val="fr-FR"/>
              </w:rPr>
              <w:t>2026</w:t>
            </w:r>
          </w:p>
        </w:tc>
      </w:tr>
      <w:tr w:rsidR="00DC1F96" w:rsidRPr="00116B4E" w14:paraId="39FD6956" w14:textId="77777777" w:rsidTr="00116B4E">
        <w:trPr>
          <w:cantSplit/>
        </w:trPr>
        <w:tc>
          <w:tcPr>
            <w:tcW w:w="3080" w:type="dxa"/>
            <w:shd w:val="clear" w:color="auto" w:fill="auto"/>
          </w:tcPr>
          <w:p w14:paraId="2377FA12" w14:textId="77777777" w:rsidR="00DC1F96" w:rsidRPr="00116B4E" w:rsidRDefault="00DC1F96" w:rsidP="00116B4E">
            <w:pPr>
              <w:spacing w:before="40" w:after="120"/>
              <w:ind w:right="113"/>
            </w:pPr>
            <w:r w:rsidRPr="00116B4E">
              <w:rPr>
                <w:lang w:val="fr-FR"/>
              </w:rPr>
              <w:t xml:space="preserve">Gay </w:t>
            </w:r>
            <w:r w:rsidRPr="00116B4E">
              <w:rPr>
                <w:b/>
                <w:lang w:val="fr-FR"/>
              </w:rPr>
              <w:t>McDougall</w:t>
            </w:r>
            <w:r w:rsidRPr="00116B4E">
              <w:rPr>
                <w:lang w:val="fr-FR"/>
              </w:rPr>
              <w:t xml:space="preserve"> </w:t>
            </w:r>
          </w:p>
        </w:tc>
        <w:tc>
          <w:tcPr>
            <w:tcW w:w="2289" w:type="dxa"/>
            <w:shd w:val="clear" w:color="auto" w:fill="auto"/>
          </w:tcPr>
          <w:p w14:paraId="4CC14A4C" w14:textId="77777777" w:rsidR="00DC1F96" w:rsidRPr="00116B4E" w:rsidRDefault="00DC1F96" w:rsidP="00116B4E">
            <w:pPr>
              <w:spacing w:before="40" w:after="120"/>
              <w:ind w:right="113"/>
            </w:pPr>
            <w:r w:rsidRPr="00116B4E">
              <w:rPr>
                <w:lang w:val="fr-FR"/>
              </w:rPr>
              <w:t>États-Unis d’Amérique</w:t>
            </w:r>
          </w:p>
        </w:tc>
        <w:tc>
          <w:tcPr>
            <w:tcW w:w="2001" w:type="dxa"/>
            <w:shd w:val="clear" w:color="auto" w:fill="auto"/>
          </w:tcPr>
          <w:p w14:paraId="2E4C2392" w14:textId="77777777" w:rsidR="00DC1F96" w:rsidRPr="00116B4E" w:rsidRDefault="00DC1F96" w:rsidP="00116B4E">
            <w:pPr>
              <w:spacing w:before="40" w:after="120"/>
              <w:ind w:right="113"/>
            </w:pPr>
            <w:r w:rsidRPr="00116B4E">
              <w:rPr>
                <w:lang w:val="fr-FR"/>
              </w:rPr>
              <w:t>2026</w:t>
            </w:r>
          </w:p>
        </w:tc>
      </w:tr>
      <w:tr w:rsidR="00DC1F96" w:rsidRPr="00116B4E" w14:paraId="420FE653" w14:textId="77777777" w:rsidTr="00116B4E">
        <w:trPr>
          <w:cantSplit/>
        </w:trPr>
        <w:tc>
          <w:tcPr>
            <w:tcW w:w="3080" w:type="dxa"/>
            <w:shd w:val="clear" w:color="auto" w:fill="auto"/>
          </w:tcPr>
          <w:p w14:paraId="49BEE527" w14:textId="77777777" w:rsidR="00DC1F96" w:rsidRPr="00116B4E" w:rsidRDefault="00DC1F96" w:rsidP="00116B4E">
            <w:pPr>
              <w:spacing w:before="40" w:after="120"/>
              <w:ind w:right="113"/>
            </w:pPr>
            <w:r w:rsidRPr="00116B4E">
              <w:rPr>
                <w:lang w:val="fr-FR"/>
              </w:rPr>
              <w:t xml:space="preserve">Mazalo </w:t>
            </w:r>
            <w:r w:rsidRPr="00116B4E">
              <w:rPr>
                <w:b/>
                <w:lang w:val="fr-FR"/>
              </w:rPr>
              <w:t>Tebie</w:t>
            </w:r>
            <w:r w:rsidRPr="00116B4E">
              <w:rPr>
                <w:lang w:val="fr-FR"/>
              </w:rPr>
              <w:t xml:space="preserve"> </w:t>
            </w:r>
          </w:p>
        </w:tc>
        <w:tc>
          <w:tcPr>
            <w:tcW w:w="2289" w:type="dxa"/>
            <w:shd w:val="clear" w:color="auto" w:fill="auto"/>
          </w:tcPr>
          <w:p w14:paraId="3B69EC00" w14:textId="69D784B7" w:rsidR="00DC1F96" w:rsidRPr="00116B4E" w:rsidRDefault="00DC1F96" w:rsidP="00116B4E">
            <w:pPr>
              <w:spacing w:before="40" w:after="120"/>
              <w:ind w:right="113"/>
            </w:pPr>
            <w:r w:rsidRPr="00116B4E">
              <w:rPr>
                <w:lang w:val="fr-FR"/>
              </w:rPr>
              <w:t>Togo</w:t>
            </w:r>
          </w:p>
        </w:tc>
        <w:tc>
          <w:tcPr>
            <w:tcW w:w="2001" w:type="dxa"/>
            <w:shd w:val="clear" w:color="auto" w:fill="auto"/>
          </w:tcPr>
          <w:p w14:paraId="698F85E1" w14:textId="77777777" w:rsidR="00DC1F96" w:rsidRPr="00116B4E" w:rsidRDefault="00DC1F96" w:rsidP="00116B4E">
            <w:pPr>
              <w:spacing w:before="40" w:after="120"/>
              <w:ind w:right="113"/>
            </w:pPr>
            <w:r w:rsidRPr="00116B4E">
              <w:rPr>
                <w:lang w:val="fr-FR"/>
              </w:rPr>
              <w:t xml:space="preserve">2026 </w:t>
            </w:r>
          </w:p>
        </w:tc>
      </w:tr>
      <w:tr w:rsidR="00DC1F96" w:rsidRPr="00116B4E" w14:paraId="3B62C5D9" w14:textId="77777777" w:rsidTr="00116B4E">
        <w:trPr>
          <w:cantSplit/>
        </w:trPr>
        <w:tc>
          <w:tcPr>
            <w:tcW w:w="3080" w:type="dxa"/>
            <w:tcBorders>
              <w:bottom w:val="single" w:sz="12" w:space="0" w:color="auto"/>
            </w:tcBorders>
            <w:shd w:val="clear" w:color="auto" w:fill="auto"/>
          </w:tcPr>
          <w:p w14:paraId="7703D2F8" w14:textId="77777777" w:rsidR="00DC1F96" w:rsidRPr="00116B4E" w:rsidRDefault="00DC1F96" w:rsidP="00116B4E">
            <w:pPr>
              <w:spacing w:before="40" w:after="120"/>
              <w:ind w:right="113"/>
              <w:rPr>
                <w:lang w:val="de-CH"/>
              </w:rPr>
            </w:pPr>
            <w:r w:rsidRPr="00116B4E">
              <w:rPr>
                <w:lang w:val="de-CH"/>
              </w:rPr>
              <w:t xml:space="preserve">Yeung Kam John </w:t>
            </w:r>
            <w:r w:rsidRPr="00116B4E">
              <w:rPr>
                <w:b/>
                <w:lang w:val="de-CH"/>
              </w:rPr>
              <w:t>Yeung Sik Yuen</w:t>
            </w:r>
          </w:p>
        </w:tc>
        <w:tc>
          <w:tcPr>
            <w:tcW w:w="2289" w:type="dxa"/>
            <w:tcBorders>
              <w:bottom w:val="single" w:sz="12" w:space="0" w:color="auto"/>
            </w:tcBorders>
            <w:shd w:val="clear" w:color="auto" w:fill="auto"/>
          </w:tcPr>
          <w:p w14:paraId="68C1659C" w14:textId="77777777" w:rsidR="00DC1F96" w:rsidRPr="00116B4E" w:rsidRDefault="00DC1F96" w:rsidP="00116B4E">
            <w:pPr>
              <w:spacing w:before="40" w:after="120"/>
              <w:ind w:right="113"/>
            </w:pPr>
            <w:r w:rsidRPr="00116B4E">
              <w:rPr>
                <w:lang w:val="fr-FR"/>
              </w:rPr>
              <w:t>Maurice</w:t>
            </w:r>
          </w:p>
        </w:tc>
        <w:tc>
          <w:tcPr>
            <w:tcW w:w="2001" w:type="dxa"/>
            <w:tcBorders>
              <w:bottom w:val="single" w:sz="12" w:space="0" w:color="auto"/>
            </w:tcBorders>
            <w:shd w:val="clear" w:color="auto" w:fill="auto"/>
          </w:tcPr>
          <w:p w14:paraId="5E63F2B4" w14:textId="77777777" w:rsidR="00DC1F96" w:rsidRPr="00116B4E" w:rsidRDefault="00DC1F96" w:rsidP="00116B4E">
            <w:pPr>
              <w:spacing w:before="40" w:after="120"/>
              <w:ind w:right="113"/>
            </w:pPr>
            <w:r w:rsidRPr="00116B4E">
              <w:rPr>
                <w:lang w:val="fr-FR"/>
              </w:rPr>
              <w:t>2026</w:t>
            </w:r>
          </w:p>
        </w:tc>
      </w:tr>
    </w:tbl>
    <w:p w14:paraId="574CE33B" w14:textId="77777777" w:rsidR="00DC1F96" w:rsidRPr="00537EA7" w:rsidRDefault="00DC1F96" w:rsidP="00116B4E">
      <w:pPr>
        <w:pStyle w:val="H1G"/>
      </w:pPr>
      <w:r>
        <w:rPr>
          <w:lang w:val="fr-FR"/>
        </w:rPr>
        <w:tab/>
        <w:t>D.</w:t>
      </w:r>
      <w:r>
        <w:rPr>
          <w:lang w:val="fr-FR"/>
        </w:rPr>
        <w:tab/>
        <w:t>Bureau du Comité</w:t>
      </w:r>
      <w:bookmarkStart w:id="25" w:name="_Toc428794280"/>
      <w:bookmarkStart w:id="26" w:name="_Toc17361293"/>
      <w:bookmarkStart w:id="27" w:name="_Toc48752316"/>
      <w:bookmarkStart w:id="28" w:name="_Toc48816869"/>
      <w:bookmarkStart w:id="29" w:name="_Toc81563222"/>
      <w:bookmarkEnd w:id="25"/>
      <w:bookmarkEnd w:id="26"/>
      <w:bookmarkEnd w:id="27"/>
      <w:bookmarkEnd w:id="28"/>
      <w:bookmarkEnd w:id="29"/>
    </w:p>
    <w:p w14:paraId="3BB640A0" w14:textId="240DBC1A" w:rsidR="00DC1F96" w:rsidRPr="002543F5" w:rsidRDefault="00116B4E" w:rsidP="00DC1F96">
      <w:pPr>
        <w:pStyle w:val="SingleTxtG"/>
        <w:rPr>
          <w:lang w:val="fr-FR"/>
        </w:rPr>
      </w:pPr>
      <w:r>
        <w:rPr>
          <w:lang w:val="fr-FR"/>
        </w:rPr>
        <w:t>10.</w:t>
      </w:r>
      <w:r>
        <w:rPr>
          <w:lang w:val="fr-FR"/>
        </w:rPr>
        <w:tab/>
      </w:r>
      <w:r w:rsidR="00DC1F96">
        <w:rPr>
          <w:lang w:val="fr-FR"/>
        </w:rPr>
        <w:t>Aux 101</w:t>
      </w:r>
      <w:r w:rsidR="00DC1F96">
        <w:rPr>
          <w:vertAlign w:val="superscript"/>
          <w:lang w:val="fr-FR"/>
        </w:rPr>
        <w:t>e</w:t>
      </w:r>
      <w:r w:rsidR="00DC1F96">
        <w:rPr>
          <w:lang w:val="fr-FR"/>
        </w:rPr>
        <w:t>, 102</w:t>
      </w:r>
      <w:r w:rsidR="00DC1F96">
        <w:rPr>
          <w:vertAlign w:val="superscript"/>
          <w:lang w:val="fr-FR"/>
        </w:rPr>
        <w:t>e</w:t>
      </w:r>
      <w:r w:rsidR="00DC1F96">
        <w:rPr>
          <w:lang w:val="fr-FR"/>
        </w:rPr>
        <w:t xml:space="preserve"> et 103</w:t>
      </w:r>
      <w:r w:rsidR="00DC1F96">
        <w:rPr>
          <w:vertAlign w:val="superscript"/>
          <w:lang w:val="fr-FR"/>
        </w:rPr>
        <w:t>e</w:t>
      </w:r>
      <w:r>
        <w:rPr>
          <w:lang w:val="fr-FR"/>
        </w:rPr>
        <w:t> </w:t>
      </w:r>
      <w:r w:rsidR="00DC1F96">
        <w:rPr>
          <w:lang w:val="fr-FR"/>
        </w:rPr>
        <w:t>sessions, le Bureau du Comité se composait des membres ci</w:t>
      </w:r>
      <w:r>
        <w:rPr>
          <w:lang w:val="fr-FR"/>
        </w:rPr>
        <w:noBreakHyphen/>
      </w:r>
      <w:r w:rsidR="00DC1F96">
        <w:rPr>
          <w:lang w:val="fr-FR"/>
        </w:rPr>
        <w:t>après, élus le 17</w:t>
      </w:r>
      <w:r>
        <w:rPr>
          <w:lang w:val="fr-FR"/>
        </w:rPr>
        <w:t> </w:t>
      </w:r>
      <w:r w:rsidR="00DC1F96">
        <w:rPr>
          <w:lang w:val="fr-FR"/>
        </w:rPr>
        <w:t>juin 2020 pour un mandat de deux ans (2020-2022) :</w:t>
      </w:r>
    </w:p>
    <w:p w14:paraId="59DA0D12" w14:textId="65A0DACA" w:rsidR="00DC1F96" w:rsidRPr="002543F5" w:rsidRDefault="00DC1F96" w:rsidP="00116B4E">
      <w:pPr>
        <w:pStyle w:val="SingleTxtG"/>
        <w:tabs>
          <w:tab w:val="clear" w:pos="2268"/>
          <w:tab w:val="left" w:pos="2870"/>
        </w:tabs>
        <w:rPr>
          <w:lang w:val="fr-FR"/>
        </w:rPr>
      </w:pPr>
      <w:r>
        <w:rPr>
          <w:i/>
          <w:iCs/>
          <w:lang w:val="fr-FR"/>
        </w:rPr>
        <w:t>Présidente</w:t>
      </w:r>
      <w:r w:rsidRPr="00116B4E">
        <w:rPr>
          <w:lang w:val="fr-FR"/>
        </w:rPr>
        <w:t> :</w:t>
      </w:r>
      <w:r w:rsidR="00116B4E">
        <w:rPr>
          <w:lang w:val="fr-FR"/>
        </w:rPr>
        <w:tab/>
      </w:r>
      <w:r>
        <w:rPr>
          <w:lang w:val="fr-FR"/>
        </w:rPr>
        <w:t>Yanduan Li</w:t>
      </w:r>
    </w:p>
    <w:p w14:paraId="5030C4C5" w14:textId="7C746A3F" w:rsidR="00DC1F96" w:rsidRPr="00116B4E" w:rsidRDefault="00DC1F96" w:rsidP="00116B4E">
      <w:pPr>
        <w:pStyle w:val="SingleTxtG"/>
        <w:tabs>
          <w:tab w:val="clear" w:pos="2268"/>
          <w:tab w:val="left" w:pos="2870"/>
        </w:tabs>
        <w:ind w:left="2835" w:hanging="1701"/>
        <w:jc w:val="left"/>
        <w:rPr>
          <w:lang w:val="fr-FR"/>
        </w:rPr>
      </w:pPr>
      <w:r>
        <w:rPr>
          <w:i/>
          <w:iCs/>
          <w:lang w:val="fr-FR"/>
        </w:rPr>
        <w:t>Vice-Présidents</w:t>
      </w:r>
      <w:r w:rsidRPr="00116B4E">
        <w:rPr>
          <w:lang w:val="fr-FR"/>
        </w:rPr>
        <w:t> :</w:t>
      </w:r>
      <w:r>
        <w:rPr>
          <w:lang w:val="fr-FR"/>
        </w:rPr>
        <w:tab/>
        <w:t>Marc Bossuy</w:t>
      </w:r>
      <w:r w:rsidR="00116B4E">
        <w:rPr>
          <w:lang w:val="fr-FR"/>
        </w:rPr>
        <w:t xml:space="preserve">t </w:t>
      </w:r>
      <w:r w:rsidR="00116B4E">
        <w:rPr>
          <w:lang w:val="fr-FR"/>
        </w:rPr>
        <w:br/>
      </w:r>
      <w:r w:rsidRPr="00232A62">
        <w:rPr>
          <w:lang w:val="fr-FR"/>
        </w:rPr>
        <w:t>Verene Albertha Shepherd</w:t>
      </w:r>
      <w:r w:rsidR="00116B4E">
        <w:rPr>
          <w:lang w:val="fr-FR"/>
        </w:rPr>
        <w:t xml:space="preserve"> </w:t>
      </w:r>
      <w:r w:rsidR="00116B4E">
        <w:rPr>
          <w:lang w:val="fr-FR"/>
        </w:rPr>
        <w:br/>
      </w:r>
      <w:r w:rsidRPr="00232A62">
        <w:rPr>
          <w:lang w:val="fr-FR"/>
        </w:rPr>
        <w:t>Yeung Kam John Yeung Sik Yuen</w:t>
      </w:r>
    </w:p>
    <w:p w14:paraId="79F99666" w14:textId="79023B08" w:rsidR="00DC1F96" w:rsidRPr="002543F5" w:rsidRDefault="00DC1F96" w:rsidP="00116B4E">
      <w:pPr>
        <w:pStyle w:val="SingleTxtG"/>
        <w:tabs>
          <w:tab w:val="clear" w:pos="2268"/>
          <w:tab w:val="left" w:pos="2870"/>
        </w:tabs>
        <w:rPr>
          <w:lang w:val="fr-FR"/>
        </w:rPr>
      </w:pPr>
      <w:r>
        <w:rPr>
          <w:i/>
          <w:iCs/>
          <w:lang w:val="fr-FR"/>
        </w:rPr>
        <w:t>Rapporteuse</w:t>
      </w:r>
      <w:r w:rsidRPr="00116B4E">
        <w:rPr>
          <w:lang w:val="fr-FR"/>
        </w:rPr>
        <w:t> :</w:t>
      </w:r>
      <w:r w:rsidR="00116B4E">
        <w:rPr>
          <w:lang w:val="fr-FR"/>
        </w:rPr>
        <w:tab/>
      </w:r>
      <w:r>
        <w:rPr>
          <w:lang w:val="fr-FR"/>
        </w:rPr>
        <w:t>Rita Izsák-Ndiaye</w:t>
      </w:r>
    </w:p>
    <w:p w14:paraId="770BC947" w14:textId="04023A22" w:rsidR="00DC1F96" w:rsidRPr="002543F5" w:rsidRDefault="00DC1F96" w:rsidP="00B8612F">
      <w:pPr>
        <w:pStyle w:val="H1G"/>
        <w:rPr>
          <w:lang w:val="fr-FR"/>
        </w:rPr>
      </w:pPr>
      <w:r w:rsidRPr="00152C09">
        <w:rPr>
          <w:spacing w:val="3"/>
          <w:lang w:val="fr-FR"/>
        </w:rPr>
        <w:lastRenderedPageBreak/>
        <w:tab/>
        <w:t>E.</w:t>
      </w:r>
      <w:r w:rsidRPr="00152C09">
        <w:rPr>
          <w:spacing w:val="3"/>
          <w:lang w:val="fr-FR"/>
        </w:rPr>
        <w:tab/>
        <w:t>Coopération avec l’Organisation internationale du Travail, le</w:t>
      </w:r>
      <w:r w:rsidR="00152C09" w:rsidRPr="00152C09">
        <w:rPr>
          <w:spacing w:val="3"/>
          <w:lang w:val="fr-FR"/>
        </w:rPr>
        <w:t> </w:t>
      </w:r>
      <w:r w:rsidRPr="00152C09">
        <w:rPr>
          <w:spacing w:val="3"/>
          <w:lang w:val="fr-FR"/>
        </w:rPr>
        <w:t>Haut</w:t>
      </w:r>
      <w:r w:rsidR="00B8612F" w:rsidRPr="00152C09">
        <w:rPr>
          <w:spacing w:val="3"/>
          <w:lang w:val="fr-FR"/>
        </w:rPr>
        <w:noBreakHyphen/>
      </w:r>
      <w:r w:rsidRPr="00152C09">
        <w:rPr>
          <w:spacing w:val="3"/>
          <w:lang w:val="fr-FR"/>
        </w:rPr>
        <w:t>Commissariat des Nations</w:t>
      </w:r>
      <w:r w:rsidR="00B8612F" w:rsidRPr="00152C09">
        <w:rPr>
          <w:spacing w:val="3"/>
          <w:lang w:val="fr-FR"/>
        </w:rPr>
        <w:t> </w:t>
      </w:r>
      <w:r w:rsidRPr="00152C09">
        <w:rPr>
          <w:spacing w:val="3"/>
          <w:lang w:val="fr-FR"/>
        </w:rPr>
        <w:t>Unies pour les réfugiés,</w:t>
      </w:r>
      <w:r>
        <w:rPr>
          <w:lang w:val="fr-FR"/>
        </w:rPr>
        <w:t xml:space="preserve"> </w:t>
      </w:r>
      <w:r w:rsidRPr="00152C09">
        <w:rPr>
          <w:spacing w:val="-2"/>
          <w:lang w:val="fr-FR"/>
        </w:rPr>
        <w:t>l’Organisation</w:t>
      </w:r>
      <w:r w:rsidR="00B8612F" w:rsidRPr="00152C09">
        <w:rPr>
          <w:spacing w:val="-2"/>
          <w:lang w:val="fr-FR"/>
        </w:rPr>
        <w:t xml:space="preserve"> </w:t>
      </w:r>
      <w:r w:rsidRPr="00152C09">
        <w:rPr>
          <w:spacing w:val="-2"/>
          <w:lang w:val="fr-FR"/>
        </w:rPr>
        <w:t>des Nations</w:t>
      </w:r>
      <w:r w:rsidR="00B8612F" w:rsidRPr="00152C09">
        <w:rPr>
          <w:spacing w:val="-2"/>
          <w:lang w:val="fr-FR"/>
        </w:rPr>
        <w:t> </w:t>
      </w:r>
      <w:r w:rsidRPr="00152C09">
        <w:rPr>
          <w:spacing w:val="-2"/>
          <w:lang w:val="fr-FR"/>
        </w:rPr>
        <w:t xml:space="preserve">Unies pour l’éducation, la science </w:t>
      </w:r>
      <w:r w:rsidR="00152C09" w:rsidRPr="00152C09">
        <w:rPr>
          <w:spacing w:val="-2"/>
          <w:lang w:val="fr-FR"/>
        </w:rPr>
        <w:br/>
      </w:r>
      <w:r w:rsidRPr="00152C09">
        <w:rPr>
          <w:spacing w:val="-2"/>
          <w:lang w:val="fr-FR"/>
        </w:rPr>
        <w:t xml:space="preserve">et la culture, les procédures spéciales du Conseil des droits de </w:t>
      </w:r>
      <w:r w:rsidR="00152C09" w:rsidRPr="00152C09">
        <w:rPr>
          <w:spacing w:val="-2"/>
          <w:lang w:val="fr-FR"/>
        </w:rPr>
        <w:br/>
      </w:r>
      <w:r w:rsidRPr="00152C09">
        <w:rPr>
          <w:spacing w:val="-2"/>
          <w:lang w:val="fr-FR"/>
        </w:rPr>
        <w:t>l’homme et les mécanismes régionaux des droits de l’homme</w:t>
      </w:r>
      <w:bookmarkStart w:id="30" w:name="_Toc428794281"/>
      <w:bookmarkStart w:id="31" w:name="_Toc17361294"/>
      <w:bookmarkStart w:id="32" w:name="_Toc48752317"/>
      <w:bookmarkStart w:id="33" w:name="_Toc48816870"/>
      <w:bookmarkStart w:id="34" w:name="_Toc81563223"/>
      <w:bookmarkEnd w:id="30"/>
      <w:bookmarkEnd w:id="31"/>
      <w:bookmarkEnd w:id="32"/>
      <w:bookmarkEnd w:id="33"/>
      <w:bookmarkEnd w:id="34"/>
    </w:p>
    <w:p w14:paraId="1A359D4F" w14:textId="3D4F70E7" w:rsidR="00DC1F96" w:rsidRPr="002543F5" w:rsidRDefault="00B8612F" w:rsidP="00DC1F96">
      <w:pPr>
        <w:pStyle w:val="SingleTxtG"/>
        <w:rPr>
          <w:lang w:val="fr-FR"/>
        </w:rPr>
      </w:pPr>
      <w:r>
        <w:rPr>
          <w:lang w:val="fr-FR"/>
        </w:rPr>
        <w:t>11.</w:t>
      </w:r>
      <w:r>
        <w:rPr>
          <w:lang w:val="fr-FR"/>
        </w:rPr>
        <w:tab/>
      </w:r>
      <w:r w:rsidR="00DC1F96">
        <w:rPr>
          <w:lang w:val="fr-FR"/>
        </w:rPr>
        <w:t>À la 103</w:t>
      </w:r>
      <w:r w:rsidR="00DC1F96">
        <w:rPr>
          <w:vertAlign w:val="superscript"/>
          <w:lang w:val="fr-FR"/>
        </w:rPr>
        <w:t>e</w:t>
      </w:r>
      <w:r>
        <w:rPr>
          <w:lang w:val="fr-FR"/>
        </w:rPr>
        <w:t> </w:t>
      </w:r>
      <w:r w:rsidR="00DC1F96">
        <w:rPr>
          <w:lang w:val="fr-FR"/>
        </w:rPr>
        <w:t xml:space="preserve">session du Comité, un rapport du Fonds des </w:t>
      </w:r>
      <w:r>
        <w:rPr>
          <w:lang w:val="fr-FR"/>
        </w:rPr>
        <w:t>N</w:t>
      </w:r>
      <w:r w:rsidR="00DC1F96">
        <w:rPr>
          <w:lang w:val="fr-FR"/>
        </w:rPr>
        <w:t>ations</w:t>
      </w:r>
      <w:r>
        <w:rPr>
          <w:lang w:val="fr-FR"/>
        </w:rPr>
        <w:t> U</w:t>
      </w:r>
      <w:r w:rsidR="00DC1F96">
        <w:rPr>
          <w:lang w:val="fr-FR"/>
        </w:rPr>
        <w:t>nies pour l’enfance concernant l’État partie qui faisait l’objet d’un examen a été transmis aux membres du</w:t>
      </w:r>
      <w:r>
        <w:rPr>
          <w:lang w:val="fr-FR"/>
        </w:rPr>
        <w:t> </w:t>
      </w:r>
      <w:r w:rsidR="00DC1F96">
        <w:rPr>
          <w:lang w:val="fr-FR"/>
        </w:rPr>
        <w:t>Comité, qui en ont pris note avec satisfaction.</w:t>
      </w:r>
    </w:p>
    <w:p w14:paraId="15E0A490" w14:textId="77777777" w:rsidR="00DC1F96" w:rsidRPr="00537EA7" w:rsidRDefault="00DC1F96" w:rsidP="00B8612F">
      <w:pPr>
        <w:pStyle w:val="H1G"/>
      </w:pPr>
      <w:bookmarkStart w:id="35" w:name="_Toc428794282"/>
      <w:r>
        <w:rPr>
          <w:lang w:val="fr-FR"/>
        </w:rPr>
        <w:tab/>
        <w:t>F.</w:t>
      </w:r>
      <w:r>
        <w:rPr>
          <w:lang w:val="fr-FR"/>
        </w:rPr>
        <w:tab/>
        <w:t>Questions diverses</w:t>
      </w:r>
      <w:bookmarkStart w:id="36" w:name="_Toc17361295"/>
      <w:bookmarkStart w:id="37" w:name="_Toc48752318"/>
      <w:bookmarkStart w:id="38" w:name="_Toc48816871"/>
      <w:bookmarkStart w:id="39" w:name="_Toc81563224"/>
      <w:bookmarkEnd w:id="35"/>
      <w:bookmarkEnd w:id="36"/>
      <w:bookmarkEnd w:id="37"/>
      <w:bookmarkEnd w:id="38"/>
      <w:bookmarkEnd w:id="39"/>
    </w:p>
    <w:p w14:paraId="6615D904" w14:textId="4EA3F489" w:rsidR="00DC1F96" w:rsidRPr="002543F5" w:rsidRDefault="00B8612F" w:rsidP="00DC1F96">
      <w:pPr>
        <w:pStyle w:val="SingleTxtG"/>
        <w:rPr>
          <w:lang w:val="fr-FR"/>
        </w:rPr>
      </w:pPr>
      <w:r>
        <w:rPr>
          <w:lang w:val="fr-FR"/>
        </w:rPr>
        <w:t>12.</w:t>
      </w:r>
      <w:r>
        <w:rPr>
          <w:lang w:val="fr-FR"/>
        </w:rPr>
        <w:tab/>
      </w:r>
      <w:r w:rsidR="00DC1F96">
        <w:rPr>
          <w:lang w:val="fr-FR"/>
        </w:rPr>
        <w:t>À sa 102</w:t>
      </w:r>
      <w:r w:rsidR="00DC1F96">
        <w:rPr>
          <w:vertAlign w:val="superscript"/>
          <w:lang w:val="fr-FR"/>
        </w:rPr>
        <w:t>e</w:t>
      </w:r>
      <w:r>
        <w:rPr>
          <w:lang w:val="fr-FR"/>
        </w:rPr>
        <w:t> </w:t>
      </w:r>
      <w:r w:rsidR="00DC1F96">
        <w:rPr>
          <w:lang w:val="fr-FR"/>
        </w:rPr>
        <w:t>session, le 16</w:t>
      </w:r>
      <w:r>
        <w:rPr>
          <w:lang w:val="fr-FR"/>
        </w:rPr>
        <w:t> </w:t>
      </w:r>
      <w:r w:rsidR="00DC1F96">
        <w:rPr>
          <w:lang w:val="fr-FR"/>
        </w:rPr>
        <w:t>novembre 2020, le Comité s’est entretenu avec la Rapporteuse spéciale sur les formes contemporaines de racisme, de discrimination raciale, de xénophobie et de l’intolérance qui y est associée pour échanger des vues et des informations sur des questions d’intérêt commun et explorer des pistes de coopération future.</w:t>
      </w:r>
    </w:p>
    <w:p w14:paraId="6F334AD6" w14:textId="7D377F44" w:rsidR="00DC1F96" w:rsidRPr="002543F5" w:rsidRDefault="00B8612F" w:rsidP="00DC1F96">
      <w:pPr>
        <w:pStyle w:val="SingleTxtG"/>
        <w:rPr>
          <w:lang w:val="fr-FR"/>
        </w:rPr>
      </w:pPr>
      <w:r>
        <w:rPr>
          <w:lang w:val="fr-FR"/>
        </w:rPr>
        <w:t>13.</w:t>
      </w:r>
      <w:r>
        <w:rPr>
          <w:lang w:val="fr-FR"/>
        </w:rPr>
        <w:tab/>
      </w:r>
      <w:r w:rsidR="00DC1F96">
        <w:rPr>
          <w:lang w:val="fr-FR"/>
        </w:rPr>
        <w:t>À sa 102</w:t>
      </w:r>
      <w:r w:rsidR="00DC1F96">
        <w:rPr>
          <w:vertAlign w:val="superscript"/>
          <w:lang w:val="fr-FR"/>
        </w:rPr>
        <w:t>e</w:t>
      </w:r>
      <w:r>
        <w:rPr>
          <w:lang w:val="fr-FR"/>
        </w:rPr>
        <w:t> </w:t>
      </w:r>
      <w:r w:rsidR="00DC1F96">
        <w:rPr>
          <w:lang w:val="fr-FR"/>
        </w:rPr>
        <w:t>session, le 19</w:t>
      </w:r>
      <w:r>
        <w:rPr>
          <w:lang w:val="fr-FR"/>
        </w:rPr>
        <w:t> </w:t>
      </w:r>
      <w:r w:rsidR="00DC1F96">
        <w:rPr>
          <w:lang w:val="fr-FR"/>
        </w:rPr>
        <w:t>novembre 2020, la Haute-Commissaire des Nations</w:t>
      </w:r>
      <w:r>
        <w:rPr>
          <w:lang w:val="fr-FR"/>
        </w:rPr>
        <w:t> </w:t>
      </w:r>
      <w:r w:rsidR="00DC1F96">
        <w:rPr>
          <w:lang w:val="fr-FR"/>
        </w:rPr>
        <w:t>Unies aux droits de l’homme s’est adressée au Comité.</w:t>
      </w:r>
    </w:p>
    <w:p w14:paraId="1DCAF286" w14:textId="48E5BDDA" w:rsidR="00DC1F96" w:rsidRPr="002543F5" w:rsidRDefault="00B8612F" w:rsidP="00DC1F96">
      <w:pPr>
        <w:pStyle w:val="SingleTxtG"/>
        <w:rPr>
          <w:lang w:val="fr-FR"/>
        </w:rPr>
      </w:pPr>
      <w:r>
        <w:rPr>
          <w:lang w:val="fr-FR"/>
        </w:rPr>
        <w:t>14.</w:t>
      </w:r>
      <w:r>
        <w:rPr>
          <w:lang w:val="fr-FR"/>
        </w:rPr>
        <w:tab/>
      </w:r>
      <w:r w:rsidR="00DC1F96">
        <w:rPr>
          <w:lang w:val="fr-FR"/>
        </w:rPr>
        <w:t>À sa 102</w:t>
      </w:r>
      <w:r w:rsidR="00DC1F96">
        <w:rPr>
          <w:vertAlign w:val="superscript"/>
          <w:lang w:val="fr-FR"/>
        </w:rPr>
        <w:t>e</w:t>
      </w:r>
      <w:r>
        <w:rPr>
          <w:lang w:val="fr-FR"/>
        </w:rPr>
        <w:t> </w:t>
      </w:r>
      <w:r w:rsidR="00DC1F96">
        <w:rPr>
          <w:lang w:val="fr-FR"/>
        </w:rPr>
        <w:t>session, le 20</w:t>
      </w:r>
      <w:r>
        <w:rPr>
          <w:lang w:val="fr-FR"/>
        </w:rPr>
        <w:t> </w:t>
      </w:r>
      <w:r w:rsidR="00DC1F96">
        <w:rPr>
          <w:lang w:val="fr-FR"/>
        </w:rPr>
        <w:t>novembre 2020, le Comité s’est entretenu avec la Rapporteuse spéciale sur la traite des êtres humains, en particulier les femmes et les enfants. Les échanges ont porté sur des questions d’intérêt commun, les domaines de coopération possibles et la</w:t>
      </w:r>
      <w:r>
        <w:rPr>
          <w:lang w:val="fr-FR"/>
        </w:rPr>
        <w:t> </w:t>
      </w:r>
      <w:r w:rsidR="00DC1F96">
        <w:rPr>
          <w:lang w:val="fr-FR"/>
        </w:rPr>
        <w:t>coordination.</w:t>
      </w:r>
    </w:p>
    <w:p w14:paraId="0DC6BF0C" w14:textId="191CE5D4" w:rsidR="00DC1F96" w:rsidRDefault="00DC1F96" w:rsidP="00B8612F">
      <w:pPr>
        <w:pStyle w:val="H1G"/>
        <w:rPr>
          <w:lang w:val="fr-FR"/>
        </w:rPr>
      </w:pPr>
      <w:r>
        <w:rPr>
          <w:lang w:val="fr-FR"/>
        </w:rPr>
        <w:tab/>
        <w:t>G.</w:t>
      </w:r>
      <w:r>
        <w:rPr>
          <w:lang w:val="fr-FR"/>
        </w:rPr>
        <w:tab/>
        <w:t>Adoption du rapport</w:t>
      </w:r>
      <w:bookmarkStart w:id="40" w:name="_Toc428794283"/>
      <w:bookmarkStart w:id="41" w:name="_Toc17361296"/>
      <w:bookmarkStart w:id="42" w:name="_Toc48752319"/>
      <w:bookmarkStart w:id="43" w:name="_Toc48816872"/>
      <w:bookmarkStart w:id="44" w:name="_Toc81563225"/>
      <w:bookmarkEnd w:id="40"/>
      <w:bookmarkEnd w:id="41"/>
      <w:bookmarkEnd w:id="42"/>
      <w:bookmarkEnd w:id="43"/>
      <w:bookmarkEnd w:id="44"/>
    </w:p>
    <w:p w14:paraId="04A9C212" w14:textId="6C179750" w:rsidR="004374FA" w:rsidRPr="00232A62" w:rsidRDefault="004374FA" w:rsidP="004374FA">
      <w:pPr>
        <w:pStyle w:val="SingleTxtG"/>
      </w:pPr>
      <w:r w:rsidRPr="004374FA">
        <w:rPr>
          <w:lang w:val="fr-FR"/>
        </w:rPr>
        <w:t>15.</w:t>
      </w:r>
      <w:r w:rsidRPr="004374FA">
        <w:rPr>
          <w:lang w:val="fr-FR"/>
        </w:rPr>
        <w:tab/>
        <w:t>À sa 2823e séance (104e session), le Comité a adopté son rapport annuel à l’Assemblée générale.</w:t>
      </w:r>
    </w:p>
    <w:p w14:paraId="15E43C1A" w14:textId="37A1138F" w:rsidR="00B8612F" w:rsidRPr="00232A62" w:rsidRDefault="00B8612F" w:rsidP="00B8612F">
      <w:pPr>
        <w:pStyle w:val="SingleTxtG"/>
      </w:pPr>
      <w:r w:rsidRPr="00232A62">
        <w:br w:type="page"/>
      </w:r>
    </w:p>
    <w:p w14:paraId="421DF126" w14:textId="31FABFE2" w:rsidR="00DC1F96" w:rsidRPr="002543F5" w:rsidRDefault="00DC1F96" w:rsidP="00B8612F">
      <w:pPr>
        <w:pStyle w:val="HChG"/>
        <w:rPr>
          <w:lang w:val="fr-FR"/>
        </w:rPr>
      </w:pPr>
      <w:r w:rsidRPr="00232A62">
        <w:lastRenderedPageBreak/>
        <w:tab/>
      </w:r>
      <w:r>
        <w:rPr>
          <w:lang w:val="fr-FR"/>
        </w:rPr>
        <w:t>II.</w:t>
      </w:r>
      <w:r>
        <w:rPr>
          <w:lang w:val="fr-FR"/>
        </w:rPr>
        <w:tab/>
        <w:t>Prévention de la discrimination raciale, y</w:t>
      </w:r>
      <w:r w:rsidR="00B8612F">
        <w:rPr>
          <w:lang w:val="fr-FR"/>
        </w:rPr>
        <w:t> </w:t>
      </w:r>
      <w:r>
        <w:rPr>
          <w:lang w:val="fr-FR"/>
        </w:rPr>
        <w:t>compris les</w:t>
      </w:r>
      <w:r w:rsidR="00B8612F">
        <w:rPr>
          <w:lang w:val="fr-FR"/>
        </w:rPr>
        <w:t> </w:t>
      </w:r>
      <w:r>
        <w:rPr>
          <w:lang w:val="fr-FR"/>
        </w:rPr>
        <w:t>procédures d’alerte rapide et d’intervention d’urgence</w:t>
      </w:r>
      <w:bookmarkStart w:id="45" w:name="_Toc428794284"/>
      <w:bookmarkStart w:id="46" w:name="_Toc17361297"/>
      <w:bookmarkStart w:id="47" w:name="_Toc48752320"/>
      <w:bookmarkStart w:id="48" w:name="_Toc48816873"/>
      <w:bookmarkStart w:id="49" w:name="_Toc81563226"/>
      <w:bookmarkEnd w:id="45"/>
      <w:bookmarkEnd w:id="46"/>
      <w:bookmarkEnd w:id="47"/>
      <w:bookmarkEnd w:id="48"/>
      <w:bookmarkEnd w:id="49"/>
    </w:p>
    <w:p w14:paraId="11B90A43" w14:textId="51010AC9" w:rsidR="00DC1F96" w:rsidRPr="002543F5" w:rsidRDefault="00B8612F" w:rsidP="00DC1F96">
      <w:pPr>
        <w:pStyle w:val="SingleTxtG"/>
        <w:rPr>
          <w:lang w:val="fr-FR"/>
        </w:rPr>
      </w:pPr>
      <w:r>
        <w:rPr>
          <w:lang w:val="fr-FR"/>
        </w:rPr>
        <w:t>16.</w:t>
      </w:r>
      <w:r>
        <w:rPr>
          <w:lang w:val="fr-FR"/>
        </w:rPr>
        <w:tab/>
      </w:r>
      <w:r w:rsidR="00DC1F96">
        <w:rPr>
          <w:lang w:val="fr-FR"/>
        </w:rPr>
        <w:t>Les travaux que mène le Comité au titre de ses procédures d’alerte rapide et d’intervention d’urgence ont pour but de prévenir des violations graves de la Convention internationale sur l’élimination de toutes les formes de discrimination raciale et d’intervenir</w:t>
      </w:r>
      <w:r w:rsidR="00DC1F96" w:rsidRPr="0061448B">
        <w:rPr>
          <w:lang w:val="fr-FR"/>
        </w:rPr>
        <w:t xml:space="preserve"> </w:t>
      </w:r>
      <w:r w:rsidR="00DC1F96">
        <w:rPr>
          <w:lang w:val="fr-FR"/>
        </w:rPr>
        <w:t>le cas échéant. Ces travaux sont fondés sur des directives que le Comité a adoptées à sa soixante et onzième session, en août 2007</w:t>
      </w:r>
      <w:r w:rsidR="00DC1F96" w:rsidRPr="002B45EB">
        <w:rPr>
          <w:rStyle w:val="Appelnotedebasdep"/>
        </w:rPr>
        <w:footnoteReference w:id="2"/>
      </w:r>
      <w:r w:rsidR="00DC1F96">
        <w:rPr>
          <w:lang w:val="fr-FR"/>
        </w:rPr>
        <w:t>.</w:t>
      </w:r>
    </w:p>
    <w:p w14:paraId="02CB5C73" w14:textId="03A9799D" w:rsidR="00DC1F96" w:rsidRPr="002543F5" w:rsidRDefault="00B8612F" w:rsidP="00DC1F96">
      <w:pPr>
        <w:pStyle w:val="SingleTxtG"/>
        <w:rPr>
          <w:lang w:val="fr-FR"/>
        </w:rPr>
      </w:pPr>
      <w:r>
        <w:rPr>
          <w:lang w:val="fr-FR"/>
        </w:rPr>
        <w:t>17.</w:t>
      </w:r>
      <w:r>
        <w:rPr>
          <w:lang w:val="fr-FR"/>
        </w:rPr>
        <w:tab/>
      </w:r>
      <w:r w:rsidR="00DC1F96">
        <w:rPr>
          <w:lang w:val="fr-FR"/>
        </w:rPr>
        <w:t>Le Groupe de travail du Comité sur les procédures d’alerte rapide et d’intervention d’urgence a été créé à la soixante-cinquième session du Comité, en août 2004. Aux 101</w:t>
      </w:r>
      <w:r w:rsidR="00DC1F96">
        <w:rPr>
          <w:vertAlign w:val="superscript"/>
          <w:lang w:val="fr-FR"/>
        </w:rPr>
        <w:t>e</w:t>
      </w:r>
      <w:r w:rsidR="00DC1F96">
        <w:rPr>
          <w:lang w:val="fr-FR"/>
        </w:rPr>
        <w:t>, 102</w:t>
      </w:r>
      <w:r w:rsidR="00DC1F96">
        <w:rPr>
          <w:vertAlign w:val="superscript"/>
          <w:lang w:val="fr-FR"/>
        </w:rPr>
        <w:t>e</w:t>
      </w:r>
      <w:r w:rsidR="00DC1F96">
        <w:rPr>
          <w:lang w:val="fr-FR"/>
        </w:rPr>
        <w:t xml:space="preserve"> et 103</w:t>
      </w:r>
      <w:r w:rsidR="00DC1F96">
        <w:rPr>
          <w:vertAlign w:val="superscript"/>
          <w:lang w:val="fr-FR"/>
        </w:rPr>
        <w:t>e</w:t>
      </w:r>
      <w:r>
        <w:rPr>
          <w:lang w:val="fr-FR"/>
        </w:rPr>
        <w:t> </w:t>
      </w:r>
      <w:r w:rsidR="00DC1F96">
        <w:rPr>
          <w:lang w:val="fr-FR"/>
        </w:rPr>
        <w:t>sessions, le Groupe de travail était composé comme suit :</w:t>
      </w:r>
    </w:p>
    <w:p w14:paraId="4EA64C6B" w14:textId="77777777" w:rsidR="00DC1F96" w:rsidRPr="002543F5" w:rsidRDefault="00DC1F96" w:rsidP="00B8612F">
      <w:pPr>
        <w:pStyle w:val="SingleTxtG"/>
        <w:tabs>
          <w:tab w:val="clear" w:pos="2268"/>
          <w:tab w:val="left" w:pos="2870"/>
        </w:tabs>
        <w:rPr>
          <w:lang w:val="fr-FR"/>
        </w:rPr>
      </w:pPr>
      <w:r>
        <w:rPr>
          <w:i/>
          <w:iCs/>
          <w:lang w:val="fr-FR"/>
        </w:rPr>
        <w:t>Coordonnatrice</w:t>
      </w:r>
      <w:r w:rsidRPr="00B8612F">
        <w:rPr>
          <w:lang w:val="fr-FR"/>
        </w:rPr>
        <w:t> :</w:t>
      </w:r>
      <w:r>
        <w:rPr>
          <w:lang w:val="fr-FR"/>
        </w:rPr>
        <w:tab/>
        <w:t>Chinsung Chung</w:t>
      </w:r>
    </w:p>
    <w:p w14:paraId="03865F37" w14:textId="3FA6D84B" w:rsidR="00DC1F96" w:rsidRPr="00232A62" w:rsidRDefault="00DC1F96" w:rsidP="00152C09">
      <w:pPr>
        <w:pStyle w:val="SingleTxtG"/>
        <w:tabs>
          <w:tab w:val="clear" w:pos="2268"/>
          <w:tab w:val="left" w:pos="2870"/>
        </w:tabs>
        <w:ind w:left="2835" w:hanging="1701"/>
        <w:jc w:val="left"/>
        <w:rPr>
          <w:lang w:val="fr-FR"/>
        </w:rPr>
      </w:pPr>
      <w:r w:rsidRPr="00232A62">
        <w:rPr>
          <w:i/>
          <w:iCs/>
          <w:lang w:val="fr-FR"/>
        </w:rPr>
        <w:t>Membres</w:t>
      </w:r>
      <w:r w:rsidRPr="00232A62">
        <w:rPr>
          <w:lang w:val="fr-FR"/>
        </w:rPr>
        <w:t> :</w:t>
      </w:r>
      <w:r w:rsidRPr="00232A62">
        <w:rPr>
          <w:lang w:val="fr-FR"/>
        </w:rPr>
        <w:tab/>
        <w:t>Bakari Sidiki Diaby</w:t>
      </w:r>
      <w:r w:rsidR="00152C09" w:rsidRPr="00232A62">
        <w:rPr>
          <w:lang w:val="fr-FR"/>
        </w:rPr>
        <w:t xml:space="preserve"> </w:t>
      </w:r>
      <w:r w:rsidR="00152C09" w:rsidRPr="00232A62">
        <w:rPr>
          <w:lang w:val="fr-FR"/>
        </w:rPr>
        <w:br/>
      </w:r>
      <w:r w:rsidRPr="00232A62">
        <w:rPr>
          <w:lang w:val="fr-FR"/>
        </w:rPr>
        <w:t>Rita Izsák-Ndiaye</w:t>
      </w:r>
      <w:r w:rsidR="00152C09" w:rsidRPr="00232A62">
        <w:rPr>
          <w:lang w:val="fr-FR"/>
        </w:rPr>
        <w:t xml:space="preserve"> </w:t>
      </w:r>
      <w:r w:rsidR="00152C09" w:rsidRPr="00232A62">
        <w:rPr>
          <w:lang w:val="fr-FR"/>
        </w:rPr>
        <w:br/>
      </w:r>
      <w:r w:rsidRPr="00232A62">
        <w:rPr>
          <w:lang w:val="fr-FR"/>
        </w:rPr>
        <w:t>Mehrdad Payandeh</w:t>
      </w:r>
      <w:r w:rsidR="00152C09" w:rsidRPr="00232A62">
        <w:rPr>
          <w:lang w:val="fr-FR"/>
        </w:rPr>
        <w:t xml:space="preserve"> </w:t>
      </w:r>
      <w:r w:rsidR="00152C09" w:rsidRPr="00232A62">
        <w:rPr>
          <w:lang w:val="fr-FR"/>
        </w:rPr>
        <w:br/>
      </w:r>
      <w:r w:rsidRPr="00232A62">
        <w:rPr>
          <w:lang w:val="fr-FR"/>
        </w:rPr>
        <w:t>Eduardo Ernesto Vega Luna</w:t>
      </w:r>
    </w:p>
    <w:p w14:paraId="54FF7AD3" w14:textId="77777777" w:rsidR="00DC1F96" w:rsidRPr="002B45EB" w:rsidRDefault="00DC1F96" w:rsidP="00B8612F">
      <w:pPr>
        <w:pStyle w:val="H1G"/>
      </w:pPr>
      <w:r w:rsidRPr="00232A62">
        <w:rPr>
          <w:lang w:val="fr-FR"/>
        </w:rPr>
        <w:tab/>
      </w:r>
      <w:r w:rsidRPr="002B45EB">
        <w:t>A.</w:t>
      </w:r>
      <w:r w:rsidRPr="002B45EB">
        <w:tab/>
        <w:t>Déclarations</w:t>
      </w:r>
      <w:bookmarkStart w:id="50" w:name="_Toc48752322"/>
      <w:bookmarkStart w:id="51" w:name="_Toc48816875"/>
      <w:bookmarkStart w:id="52" w:name="_Toc81563227"/>
      <w:bookmarkEnd w:id="50"/>
      <w:bookmarkEnd w:id="51"/>
      <w:bookmarkEnd w:id="52"/>
    </w:p>
    <w:p w14:paraId="6817D32E" w14:textId="76DF9DBE" w:rsidR="00DC1F96" w:rsidRPr="002543F5" w:rsidRDefault="00441572" w:rsidP="00DC1F96">
      <w:pPr>
        <w:pStyle w:val="SingleTxtG"/>
        <w:rPr>
          <w:b/>
          <w:lang w:val="fr-FR"/>
        </w:rPr>
      </w:pPr>
      <w:r>
        <w:rPr>
          <w:lang w:val="fr-FR"/>
        </w:rPr>
        <w:t>18.</w:t>
      </w:r>
      <w:r>
        <w:rPr>
          <w:lang w:val="fr-FR"/>
        </w:rPr>
        <w:tab/>
      </w:r>
      <w:r w:rsidR="00DC1F96">
        <w:rPr>
          <w:lang w:val="fr-FR"/>
        </w:rPr>
        <w:t>Le Comité a adopté les déclarations ci-après à sa 101</w:t>
      </w:r>
      <w:r w:rsidR="00DC1F96">
        <w:rPr>
          <w:vertAlign w:val="superscript"/>
          <w:lang w:val="fr-FR"/>
        </w:rPr>
        <w:t>e</w:t>
      </w:r>
      <w:r w:rsidR="004374FA">
        <w:rPr>
          <w:lang w:val="fr-FR"/>
        </w:rPr>
        <w:t> </w:t>
      </w:r>
      <w:r w:rsidR="00DC1F96">
        <w:rPr>
          <w:lang w:val="fr-FR"/>
        </w:rPr>
        <w:t>session :</w:t>
      </w:r>
    </w:p>
    <w:p w14:paraId="750D8671" w14:textId="1707A2E5" w:rsidR="00DC1F96" w:rsidRPr="002543F5" w:rsidRDefault="00DC1F96" w:rsidP="00441572">
      <w:pPr>
        <w:pStyle w:val="H23G"/>
        <w:rPr>
          <w:lang w:val="fr-FR"/>
        </w:rPr>
      </w:pPr>
      <w:r>
        <w:rPr>
          <w:lang w:val="fr-FR"/>
        </w:rPr>
        <w:tab/>
      </w:r>
      <w:r>
        <w:rPr>
          <w:lang w:val="fr-FR"/>
        </w:rPr>
        <w:tab/>
        <w:t>Déclaration</w:t>
      </w:r>
      <w:r w:rsidR="00441572">
        <w:rPr>
          <w:lang w:val="fr-FR"/>
        </w:rPr>
        <w:t> </w:t>
      </w:r>
      <w:r>
        <w:rPr>
          <w:lang w:val="fr-FR"/>
        </w:rPr>
        <w:t xml:space="preserve">3 (2020) sur la pandémie de maladie à coronavirus (COVID-19) </w:t>
      </w:r>
      <w:r w:rsidR="00441572">
        <w:rPr>
          <w:lang w:val="fr-FR"/>
        </w:rPr>
        <w:br/>
      </w:r>
      <w:r>
        <w:rPr>
          <w:lang w:val="fr-FR"/>
        </w:rPr>
        <w:t xml:space="preserve">et ses effets sous l’angle de la Convention internationale sur l’élimination </w:t>
      </w:r>
      <w:r w:rsidR="00441572">
        <w:rPr>
          <w:lang w:val="fr-FR"/>
        </w:rPr>
        <w:br/>
      </w:r>
      <w:r>
        <w:rPr>
          <w:lang w:val="fr-FR"/>
        </w:rPr>
        <w:t>de toutes les formes de discrimination raciale</w:t>
      </w:r>
    </w:p>
    <w:p w14:paraId="22EB8B1F" w14:textId="77777777" w:rsidR="00DC1F96" w:rsidRPr="002543F5" w:rsidRDefault="00DC1F96" w:rsidP="00441572">
      <w:pPr>
        <w:pStyle w:val="H23G"/>
        <w:rPr>
          <w:lang w:val="fr-FR"/>
        </w:rPr>
      </w:pPr>
      <w:r>
        <w:rPr>
          <w:lang w:val="fr-FR"/>
        </w:rPr>
        <w:tab/>
        <w:t>I.</w:t>
      </w:r>
      <w:r>
        <w:rPr>
          <w:lang w:val="fr-FR"/>
        </w:rPr>
        <w:tab/>
        <w:t>Effets de la pandémie de COVID-19 sur le droit à la non-discrimination et à l’égalité</w:t>
      </w:r>
    </w:p>
    <w:p w14:paraId="07D3F837" w14:textId="77777777" w:rsidR="00441572" w:rsidRPr="004374FA" w:rsidRDefault="00DC1F96" w:rsidP="00441572">
      <w:pPr>
        <w:pStyle w:val="SingleTxtG"/>
        <w:ind w:firstLine="567"/>
        <w:rPr>
          <w:lang w:val="fr-FR"/>
        </w:rPr>
      </w:pPr>
      <w:r w:rsidRPr="004374FA">
        <w:rPr>
          <w:lang w:val="fr-FR"/>
        </w:rPr>
        <w:t>La pandémie de COVID-19 a des effets négatifs notables sur l’exercice des droits de l’homme, en particulier le droit à l’égalité et le droit de ne pas être soumis à la discrimination fondée sur l’un quelconque des motifs visés à l’article premier de la Convention internationale sur l’élimination de toutes les formes de discrimination raciale. Plusieurs mois après le début de la pandémie, les faits montrent que celle-ci touche de manière disproportionnée les personnes et les groupes marginalisés et davantage exposés à la discrimination raciale, en particulier les personnes appartenant à des minorités nationales, ethniques, religieuses ou linguistiques, ainsi que les peuples autochtones, notamment les personnes vivant dans l’isolement, les migrants, les réfugiés et les demandeurs d’asile, les Roms, les non-ressortissants, les personnes d’ascendance africaine et d’autres groupes en butte à la discrimination en raison de leur ascendance.</w:t>
      </w:r>
    </w:p>
    <w:p w14:paraId="2907B7DA" w14:textId="5461D790" w:rsidR="00441572" w:rsidRPr="004374FA" w:rsidRDefault="00DC1F96" w:rsidP="00441572">
      <w:pPr>
        <w:pStyle w:val="SingleTxtG"/>
        <w:ind w:firstLine="567"/>
        <w:rPr>
          <w:lang w:val="fr-FR"/>
        </w:rPr>
      </w:pPr>
      <w:r w:rsidRPr="004374FA">
        <w:rPr>
          <w:lang w:val="fr-FR"/>
        </w:rPr>
        <w:t>Partout dans le monde, les membres de minorités et de groupes marginalisés sont plus vulnérables face à la pandémie. En effet, ils risquent davantage de contracter le virus parce qu’ils vivent dans des conditions souvent difficiles ou bien particulières, par exemple dans des zones urbaines densément peuplées ou des communautés isolées, et n’ont guère ou pas du tout accès à l’eau potable et à l’assainissement ou encore à des soins de santé, à des médicaments, à des services médicaux, à la sécurité sociale et à des services sociaux, situation qui</w:t>
      </w:r>
      <w:r w:rsidR="00261730" w:rsidRPr="004374FA">
        <w:rPr>
          <w:lang w:val="fr-FR"/>
        </w:rPr>
        <w:t xml:space="preserve"> </w:t>
      </w:r>
      <w:r w:rsidRPr="004374FA">
        <w:rPr>
          <w:lang w:val="fr-FR"/>
        </w:rPr>
        <w:t>peut entraîner des taux d’infection et de mortalité plus élevés. En outre, les groupes victimes de discrimination raciale subissent de manière disproportionnée les effets néfastes de la pandémie de COVID-19 sur les services de santé en général, les problèmes de santé sans lien direct avec la COVID-19 étant relégués au second plan.</w:t>
      </w:r>
    </w:p>
    <w:p w14:paraId="2EE341AF" w14:textId="77777777" w:rsidR="00441572" w:rsidRPr="004374FA" w:rsidRDefault="00DC1F96" w:rsidP="00441572">
      <w:pPr>
        <w:pStyle w:val="SingleTxtG"/>
        <w:ind w:firstLine="567"/>
        <w:rPr>
          <w:spacing w:val="-2"/>
          <w:lang w:val="fr-FR"/>
        </w:rPr>
      </w:pPr>
      <w:r w:rsidRPr="004374FA">
        <w:rPr>
          <w:spacing w:val="-2"/>
          <w:lang w:val="fr-FR"/>
        </w:rPr>
        <w:t xml:space="preserve">Ainsi, la pandémie met en évidence et creuse les inégalités structurelles dont les groupes vulnérables protégés par la Convention pâtissent en raison de structures et de pratiques de discrimination et d’exclusion bien ancrées. Elle a, de surcroît, des effets socioéconomiques </w:t>
      </w:r>
      <w:r w:rsidRPr="004374FA">
        <w:rPr>
          <w:lang w:val="fr-FR"/>
        </w:rPr>
        <w:lastRenderedPageBreak/>
        <w:t>particulièrement marqués sur ces groupes et minorités, notamment dans les domaines du logement, de l’emploi et de l’éducation, et sur leur sécurité économique en général.</w:t>
      </w:r>
    </w:p>
    <w:p w14:paraId="6BC4D1DF" w14:textId="77777777" w:rsidR="00441572" w:rsidRPr="004374FA" w:rsidRDefault="00DC1F96" w:rsidP="00441572">
      <w:pPr>
        <w:pStyle w:val="SingleTxtG"/>
        <w:ind w:firstLine="567"/>
        <w:rPr>
          <w:lang w:val="fr-FR"/>
        </w:rPr>
      </w:pPr>
      <w:r w:rsidRPr="004374FA">
        <w:rPr>
          <w:lang w:val="fr-FR"/>
        </w:rPr>
        <w:t>Qui plus est, la pandémie et les mesures prises pour y faire face ont accentué la vulnérabilité des femmes et des filles ainsi que celle des enfants et des personnes handicapées, entraînant des formes multiples ou croisées de discrimination. On a constaté une augmentation de la violence domestique et d’autres formes de violence sexuelle, psychologique et physique contre les femmes issues de minorités et les femmes autochtones. En outre, le nombre élevé de ces femmes dans le secteur informel, les emplois à bas salaire et le secteur des services, soit les activités les plus durement touchées par la pandémie de COVID-19, conjugué à la fracture numérique entre les sexes, ont contribué à éloigner davantage de nombreuses femmes du marché du travail et des perspectives d’emploi.</w:t>
      </w:r>
    </w:p>
    <w:p w14:paraId="3FF5BE79" w14:textId="77777777" w:rsidR="00441572" w:rsidRPr="004374FA" w:rsidRDefault="00DC1F96" w:rsidP="00441572">
      <w:pPr>
        <w:pStyle w:val="SingleTxtG"/>
        <w:ind w:firstLine="567"/>
        <w:rPr>
          <w:lang w:val="fr-FR"/>
        </w:rPr>
      </w:pPr>
      <w:r w:rsidRPr="004374FA">
        <w:rPr>
          <w:lang w:val="fr-FR"/>
        </w:rPr>
        <w:t>Cette vulnérabilité accrue des membres de groupes marginalisés face à la pandémie s’accompagne d’une tendance de plus en plus marquée à la stigmatisation, au catalogage et à la désignation de boucs émissaires, qui donne souvent lieu à des actes discriminatoires voire des violences contre des groupes et minorités protégés par la Convention, en particulier les personnes d’ascendance asiatique et africaine, les migrants, les membres de la communauté rom et les personnes considérées comme appartenant à des castes inférieures. La xénophobie a augmenté de manière générale pendant la pandémie. On a observé une montée des discours de haine raciste visant en particulier les Asiatiques et les personnes d’ascendance asiatique et imputant la propagation du virus au comportement de certains groupes déjà victimes de discrimination raciale, ainsi qu’une multiplication des propos malveillants tenus dans la sphère publique et par des représentants de l’État, relayés par les médias traditionnels et sur les réseaux sociaux.</w:t>
      </w:r>
    </w:p>
    <w:p w14:paraId="7227D11E" w14:textId="5198FCDA" w:rsidR="00DC1F96" w:rsidRPr="002543F5" w:rsidRDefault="00DC1F96" w:rsidP="00441572">
      <w:pPr>
        <w:pStyle w:val="SingleTxtG"/>
        <w:ind w:firstLine="567"/>
        <w:rPr>
          <w:lang w:val="fr-FR"/>
        </w:rPr>
      </w:pPr>
      <w:r w:rsidRPr="004374FA">
        <w:rPr>
          <w:lang w:val="fr-FR"/>
        </w:rPr>
        <w:t>De plus, il semblerait d’après certaines informations que des pratiques visant à restreindre les droits de l’homme ainsi que d’autres mesures discriminatoires sur le plan racial, telles que la mise en œuvre de lois d’urgence, aient été adoptées dans le cadre de la lutte contre la pandémie de COVID-19. Enfin, la pandémie continue d’entraver l’accès à la justice et les mécanismes nationaux de lutte contre la discrimination raciale.</w:t>
      </w:r>
    </w:p>
    <w:p w14:paraId="7C8E6B7F" w14:textId="2908F747" w:rsidR="00DC1F96" w:rsidRPr="002543F5" w:rsidRDefault="00DC1F96" w:rsidP="00441572">
      <w:pPr>
        <w:pStyle w:val="H23G"/>
        <w:rPr>
          <w:lang w:val="fr-FR"/>
        </w:rPr>
      </w:pPr>
      <w:r>
        <w:rPr>
          <w:lang w:val="fr-FR"/>
        </w:rPr>
        <w:tab/>
        <w:t>II.</w:t>
      </w:r>
      <w:r>
        <w:rPr>
          <w:lang w:val="fr-FR"/>
        </w:rPr>
        <w:tab/>
        <w:t>Obligations des États découlant de la Convention internationale sur l’élimination de</w:t>
      </w:r>
      <w:r w:rsidR="00441572">
        <w:rPr>
          <w:lang w:val="fr-FR"/>
        </w:rPr>
        <w:t> </w:t>
      </w:r>
      <w:r>
        <w:rPr>
          <w:lang w:val="fr-FR"/>
        </w:rPr>
        <w:t>toutes les formes de discrimination raciale</w:t>
      </w:r>
    </w:p>
    <w:p w14:paraId="7EBEF439" w14:textId="069F8CF8" w:rsidR="00DC1F96" w:rsidRPr="002543F5" w:rsidRDefault="00DC1F96" w:rsidP="00441572">
      <w:pPr>
        <w:pStyle w:val="SingleTxtG"/>
        <w:ind w:firstLine="567"/>
        <w:rPr>
          <w:lang w:val="fr-FR"/>
        </w:rPr>
      </w:pPr>
      <w:r>
        <w:rPr>
          <w:lang w:val="fr-FR"/>
        </w:rPr>
        <w:t>Les États doivent respecter, préserver et honorer leurs obligations internationales en matière de droits de l’homme, y</w:t>
      </w:r>
      <w:r w:rsidR="00441572">
        <w:rPr>
          <w:lang w:val="fr-FR"/>
        </w:rPr>
        <w:t> </w:t>
      </w:r>
      <w:r>
        <w:rPr>
          <w:lang w:val="fr-FR"/>
        </w:rPr>
        <w:t>compris en temps de crise. Ils ne peuvent adopter ni appliquer de restrictions aux droits de l’homme pour des raisons de santé publique que si ces mesures sont nécessaires, raisonnables, proportionnées et non discriminatoires. S’agissant aussi bien des effets de la pandémie de COVID-19 en général que de l’action menée pour y faire face, les États doivent respecter les droits de l’homme et veiller à ce que les mesures qu’ils prennent soient conformes à leurs obligations internationales, notamment celles que leur impose la Convention internationale sur l’élimination de toutes les formes de discrimination raciale. Le Comité rappelle aux États parties ses recommandations générales visant à garantir que les mesures prises face à la pandémie et à ses conséquences respectent les dispositions de la Convention :</w:t>
      </w:r>
    </w:p>
    <w:p w14:paraId="7EAC301B" w14:textId="31EFBF7D" w:rsidR="00DC1F96" w:rsidRPr="002543F5" w:rsidRDefault="00DC1F96" w:rsidP="00441572">
      <w:pPr>
        <w:pStyle w:val="SingleTxtG"/>
        <w:ind w:firstLine="567"/>
        <w:rPr>
          <w:lang w:val="fr-FR"/>
        </w:rPr>
      </w:pPr>
      <w:r>
        <w:rPr>
          <w:lang w:val="fr-FR"/>
        </w:rPr>
        <w:t>a)</w:t>
      </w:r>
      <w:r>
        <w:rPr>
          <w:lang w:val="fr-FR"/>
        </w:rPr>
        <w:tab/>
        <w:t>Les mesures contre la pandémie de COVID-19 ne peuvent être prises et appliquées que dans le respect des obligations découlant du droit international des droits de l’homme. Les modalités d’adoption et d’application de mesures telles que la fermeture des frontières, les confinements, les quarantaines ou autres mesures de contrainte ne sauraient enfreindre l’interdiction de la discrimination raciale ;</w:t>
      </w:r>
    </w:p>
    <w:p w14:paraId="41B4D14F" w14:textId="77777777" w:rsidR="00441572" w:rsidRDefault="00DC1F96" w:rsidP="00441572">
      <w:pPr>
        <w:pStyle w:val="SingleTxtG"/>
        <w:ind w:firstLine="567"/>
        <w:rPr>
          <w:lang w:val="fr-FR"/>
        </w:rPr>
      </w:pPr>
      <w:r>
        <w:rPr>
          <w:lang w:val="fr-FR"/>
        </w:rPr>
        <w:t>b)</w:t>
      </w:r>
      <w:r>
        <w:rPr>
          <w:lang w:val="fr-FR"/>
        </w:rPr>
        <w:tab/>
        <w:t>La pandémie de COVID-19 a rendu les membres des groupes et minorités protégés par la Convention particulièrement vulnérables face à la discrimination. Outre l’obligation de s’abstenir eux-mêmes de tout acte ou pratique discriminatoire, les États sont tenus de protéger les membres des groupes vulnérables contre la discrimination exercée par des acteurs privés. Cette obligation s’applique en particulier aux injures racistes et aux discours de haine, au harcèlement, aux actes de violence et à l’exclusion ou au refus de biens et de services au mépris de l’interdiction de la discrimination raciale ;</w:t>
      </w:r>
    </w:p>
    <w:p w14:paraId="149230D0" w14:textId="77777777" w:rsidR="00441572" w:rsidRDefault="00DC1F96" w:rsidP="003E7C09">
      <w:pPr>
        <w:pStyle w:val="SingleTxtG"/>
        <w:keepNext/>
        <w:keepLines/>
        <w:ind w:firstLine="567"/>
        <w:rPr>
          <w:lang w:val="fr-FR"/>
        </w:rPr>
      </w:pPr>
      <w:r>
        <w:rPr>
          <w:lang w:val="fr-FR"/>
        </w:rPr>
        <w:lastRenderedPageBreak/>
        <w:t>c)</w:t>
      </w:r>
      <w:r>
        <w:rPr>
          <w:lang w:val="fr-FR"/>
        </w:rPr>
        <w:tab/>
        <w:t>La pandémie de COVID-19 a entraîné une recrudescence des stéréotypes racistes associant le virus à une région, une nationalité ou un groupe en particulier, ou imputant la maladie et son apparition aux migrations ou aux étrangers en général. Les États doivent s’abstenir de prendre toute mesure propre à renforcer ces stéréotypes et à entraîner une stigmatisation, mais également condamner et combattre de telles mesures, notamment lorsqu’elles risquent d’inciter à des actes de discrimination raciale. Ils se doivent de lutter contre les stéréotypes et préjugés en diffusant des informations factuelles et en menant des campagnes de sensibilisation ;</w:t>
      </w:r>
    </w:p>
    <w:p w14:paraId="0D497B29" w14:textId="47675794" w:rsidR="00DC1F96" w:rsidRPr="002543F5" w:rsidRDefault="00DC1F96" w:rsidP="00441572">
      <w:pPr>
        <w:pStyle w:val="SingleTxtG"/>
        <w:ind w:firstLine="567"/>
        <w:rPr>
          <w:lang w:val="fr-FR"/>
        </w:rPr>
      </w:pPr>
      <w:r>
        <w:rPr>
          <w:lang w:val="fr-FR"/>
        </w:rPr>
        <w:t>d)</w:t>
      </w:r>
      <w:r>
        <w:rPr>
          <w:lang w:val="fr-FR"/>
        </w:rPr>
        <w:tab/>
        <w:t>Les effets de la pandémie de COVID-19 sont très différents en ce qui concerne l’exercice des droits économiques, sociaux et culturels. Les États doivent prévenir et atténuer les effets de la pandémie sur les personnes et les groupes victimes de discrimination et d’inégalités structurelles fondées sur les motifs énoncés dans la Convention, en tenant compte de la dimension genrée de la discrimination raciale :</w:t>
      </w:r>
    </w:p>
    <w:p w14:paraId="1080387E" w14:textId="77777777" w:rsidR="00441572" w:rsidRDefault="00DC1F96" w:rsidP="00441572">
      <w:pPr>
        <w:pStyle w:val="SingleTxtG"/>
        <w:ind w:left="1701"/>
        <w:rPr>
          <w:lang w:val="fr-FR"/>
        </w:rPr>
      </w:pPr>
      <w:r>
        <w:rPr>
          <w:lang w:val="fr-FR"/>
        </w:rPr>
        <w:t>i)</w:t>
      </w:r>
      <w:r>
        <w:rPr>
          <w:lang w:val="fr-FR"/>
        </w:rPr>
        <w:tab/>
        <w:t>Les États doivent garantir l’égalité d’accès aux services de santé, notamment aux tests, aux médicaments et aux procédures médicales, et éliminer les pratiques discriminatoires à l’égard des groupes et minorités protégés par la Convention, tels que les migrants et les sans-papiers, qui seraient de nature à les empêcher d’accéder aux soins de santé ;</w:t>
      </w:r>
    </w:p>
    <w:p w14:paraId="30E5D4CA" w14:textId="65D0A614" w:rsidR="00DC1F96" w:rsidRPr="002543F5" w:rsidRDefault="00DC1F96" w:rsidP="00441572">
      <w:pPr>
        <w:pStyle w:val="SingleTxtG"/>
        <w:ind w:left="1701"/>
        <w:rPr>
          <w:lang w:val="fr-FR"/>
        </w:rPr>
      </w:pPr>
      <w:r>
        <w:rPr>
          <w:lang w:val="fr-FR"/>
        </w:rPr>
        <w:t>ii)</w:t>
      </w:r>
      <w:r>
        <w:rPr>
          <w:lang w:val="fr-FR"/>
        </w:rPr>
        <w:tab/>
        <w:t>Les États doivent prendre des mesures appropriées pour remédier aux effets disproportionnés de la pandémie de COVID-19 sur les groupes et minorités protégés par la Convention en ce qui concerne l’accès à un logement décent et le sans-abrisme au moyen, par exemple, d’une aide financière ou de mesures réglementaires concernant les loyers et le remboursement des prêts hypothécaires, ou en instaurant des moratoires sur les expulsions ;</w:t>
      </w:r>
    </w:p>
    <w:p w14:paraId="7C2109BE" w14:textId="5F5E9E40" w:rsidR="00DC1F96" w:rsidRPr="003E7C09" w:rsidRDefault="00DC1F96" w:rsidP="00441572">
      <w:pPr>
        <w:pStyle w:val="SingleTxtG"/>
        <w:ind w:left="1701"/>
        <w:rPr>
          <w:spacing w:val="-1"/>
          <w:lang w:val="fr-FR"/>
        </w:rPr>
      </w:pPr>
      <w:r w:rsidRPr="003E7C09">
        <w:rPr>
          <w:spacing w:val="-1"/>
          <w:lang w:val="fr-FR"/>
        </w:rPr>
        <w:t>iii)</w:t>
      </w:r>
      <w:r w:rsidRPr="003E7C09">
        <w:rPr>
          <w:spacing w:val="-1"/>
          <w:lang w:val="fr-FR"/>
        </w:rPr>
        <w:tab/>
        <w:t>Les États doivent prendre les mesures voulues pour remédier aux effets disproportionnés de la pandémie de COVID-19 sur les groupes et minorités protégés par la Convention en ce qui concerne l’emploi et les conditions d’emploi, eu égard notamment au risque accru de chômage et aux conséquences plus graves qu’il entraîne. Il convient de fournir sans discrimination du matériel et des vêtements de protection aux personnes dont la profession les expose à un risque élevé de contamination ;</w:t>
      </w:r>
    </w:p>
    <w:p w14:paraId="1A7FBF5A" w14:textId="461ED523" w:rsidR="00DC1F96" w:rsidRPr="002543F5" w:rsidRDefault="00DC1F96" w:rsidP="00441572">
      <w:pPr>
        <w:pStyle w:val="SingleTxtG"/>
        <w:ind w:left="1701"/>
        <w:rPr>
          <w:lang w:val="fr-FR"/>
        </w:rPr>
      </w:pPr>
      <w:r>
        <w:rPr>
          <w:lang w:val="fr-FR"/>
        </w:rPr>
        <w:t>iv)</w:t>
      </w:r>
      <w:r>
        <w:rPr>
          <w:lang w:val="fr-FR"/>
        </w:rPr>
        <w:tab/>
        <w:t>Les États doivent prendre des mesures appropriées pour remédier aux effets plus marqués de la pandémie de COVID-19 sur les groupes et minorités protégés par la Convention en matière d’accès à l’éducation, en tenant particulièrement compte, par exemple, des besoins de ces groupes lorsqu’ils prennent des décisions relatives à la réouverture des écoles, mettent en place des solutions d’apprentissage différentes et adoptent des mesures visant à combler la fracture numérique ;</w:t>
      </w:r>
    </w:p>
    <w:p w14:paraId="31DCA6F4" w14:textId="4BE9EED7" w:rsidR="00DC1F96" w:rsidRPr="002543F5" w:rsidRDefault="00DC1F96" w:rsidP="00441572">
      <w:pPr>
        <w:pStyle w:val="SingleTxtG"/>
        <w:ind w:left="1701"/>
        <w:rPr>
          <w:lang w:val="fr-FR"/>
        </w:rPr>
      </w:pPr>
      <w:r>
        <w:rPr>
          <w:lang w:val="fr-FR"/>
        </w:rPr>
        <w:t>v)</w:t>
      </w:r>
      <w:r>
        <w:rPr>
          <w:lang w:val="fr-FR"/>
        </w:rPr>
        <w:tab/>
        <w:t>Les États doivent garantir que toutes les personnes et tous les groupes bénéficient sans discrimination de l’aide financière proposée et des autres mesures de soutien économique prises en lien avec la pandémie de COVID-19. Compte tenu de l’incidence particulière de la pandémie sur les groupes et minorités protégés par la Convention, ils devraient envisager de prendre des mesures spéciales visant à garantir aux groupes défavorisés, dans des conditions d’égalité, la pleine jouissance des droits de l’homme et des libertés fondamentales ;</w:t>
      </w:r>
    </w:p>
    <w:p w14:paraId="78FDAE83" w14:textId="0E0FD2A5" w:rsidR="00DC1F96" w:rsidRPr="002543F5" w:rsidRDefault="00DC1F96" w:rsidP="00441572">
      <w:pPr>
        <w:pStyle w:val="SingleTxtG"/>
        <w:ind w:left="1701"/>
        <w:rPr>
          <w:lang w:val="fr-FR"/>
        </w:rPr>
      </w:pPr>
      <w:r>
        <w:rPr>
          <w:lang w:val="fr-FR"/>
        </w:rPr>
        <w:t>vi)</w:t>
      </w:r>
      <w:r>
        <w:rPr>
          <w:lang w:val="fr-FR"/>
        </w:rPr>
        <w:tab/>
        <w:t>Les peuples autochtones, en particulier ceux qui vivent dans des zones reculées et isolées, sont particulièrement vulnérables face à la pandémie de COVID-19. Les</w:t>
      </w:r>
      <w:r w:rsidR="00441572">
        <w:rPr>
          <w:lang w:val="fr-FR"/>
        </w:rPr>
        <w:t> </w:t>
      </w:r>
      <w:r>
        <w:rPr>
          <w:lang w:val="fr-FR"/>
        </w:rPr>
        <w:t>États doivent veiller, au moyen de mesures positives si nécessaire, à la protection des droits des communautés autochtones vivant sur leur territoire ;</w:t>
      </w:r>
    </w:p>
    <w:p w14:paraId="371CC98F" w14:textId="6A89BB97" w:rsidR="00DC1F96" w:rsidRPr="002543F5" w:rsidRDefault="00DC1F96" w:rsidP="00441572">
      <w:pPr>
        <w:pStyle w:val="SingleTxtG"/>
        <w:ind w:firstLine="567"/>
        <w:rPr>
          <w:lang w:val="fr-FR"/>
        </w:rPr>
      </w:pPr>
      <w:r>
        <w:rPr>
          <w:lang w:val="fr-FR"/>
        </w:rPr>
        <w:t>e)</w:t>
      </w:r>
      <w:r>
        <w:rPr>
          <w:lang w:val="fr-FR"/>
        </w:rPr>
        <w:tab/>
        <w:t>Les États doivent faire en sorte, dans leurs actions et grâce à la coopération internationale, que les vaccins contre la COVID-19 soient mis au point et accessibles à tous sans discrimination, en tenant compte de la situation et des besoins des groupes marginalisés et victimes de discrimination ;</w:t>
      </w:r>
    </w:p>
    <w:p w14:paraId="666D3110" w14:textId="53A48B88" w:rsidR="00DC1F96" w:rsidRPr="002543F5" w:rsidRDefault="00DC1F96" w:rsidP="00441572">
      <w:pPr>
        <w:pStyle w:val="SingleTxtG"/>
        <w:ind w:firstLine="567"/>
        <w:rPr>
          <w:lang w:val="fr-FR"/>
        </w:rPr>
      </w:pPr>
      <w:r>
        <w:rPr>
          <w:lang w:val="fr-FR"/>
        </w:rPr>
        <w:t>f)</w:t>
      </w:r>
      <w:r>
        <w:rPr>
          <w:lang w:val="fr-FR"/>
        </w:rPr>
        <w:tab/>
        <w:t xml:space="preserve">Les États doivent lutter contre la pandémie de COVID-19 conformément au principe de la solidarité internationale, en déployant une aide et une coopération internationales. Ils doivent également coopérer afin d’atténuer les effets disproportionnés de </w:t>
      </w:r>
      <w:r>
        <w:rPr>
          <w:lang w:val="fr-FR"/>
        </w:rPr>
        <w:lastRenderedPageBreak/>
        <w:t>la pandémie et ses conséquences socioéconomiques, notamment pour les groupes et minorités protégés par la Convention ;</w:t>
      </w:r>
    </w:p>
    <w:p w14:paraId="060022E9" w14:textId="1EF261F4" w:rsidR="00DC1F96" w:rsidRPr="002543F5" w:rsidRDefault="00DC1F96" w:rsidP="00441572">
      <w:pPr>
        <w:pStyle w:val="SingleTxtG"/>
        <w:ind w:firstLine="567"/>
        <w:rPr>
          <w:lang w:val="fr-FR"/>
        </w:rPr>
      </w:pPr>
      <w:r>
        <w:rPr>
          <w:lang w:val="fr-FR"/>
        </w:rPr>
        <w:t>g)</w:t>
      </w:r>
      <w:r>
        <w:rPr>
          <w:lang w:val="fr-FR"/>
        </w:rPr>
        <w:tab/>
        <w:t>Les États devraient aborder la lutte contre la pandémie de COVID-19 selon une approche consultative, notamment en garantissant la participation de l’ensemble des groupes et minorités protégés par la Constitution à l’élaboration et à la mise en œuvre de mesures d’urgence.</w:t>
      </w:r>
    </w:p>
    <w:p w14:paraId="4E47EDEE" w14:textId="40EE923B" w:rsidR="00DC1F96" w:rsidRPr="002543F5" w:rsidRDefault="00DC1F96" w:rsidP="00441572">
      <w:pPr>
        <w:pStyle w:val="H23G"/>
        <w:rPr>
          <w:lang w:val="fr-FR"/>
        </w:rPr>
      </w:pPr>
      <w:r>
        <w:rPr>
          <w:lang w:val="fr-FR"/>
        </w:rPr>
        <w:tab/>
        <w:t>III.</w:t>
      </w:r>
      <w:r>
        <w:rPr>
          <w:lang w:val="fr-FR"/>
        </w:rPr>
        <w:tab/>
        <w:t>Rôle et recommandations du Comité pour l’élimination de la discrimination raciale</w:t>
      </w:r>
    </w:p>
    <w:p w14:paraId="387FA086" w14:textId="3E74DB29" w:rsidR="00DC1F96" w:rsidRPr="002543F5" w:rsidRDefault="00DC1F96" w:rsidP="00441572">
      <w:pPr>
        <w:pStyle w:val="SingleTxtG"/>
        <w:ind w:firstLine="567"/>
        <w:rPr>
          <w:lang w:val="fr-FR"/>
        </w:rPr>
      </w:pPr>
      <w:r>
        <w:rPr>
          <w:lang w:val="fr-FR"/>
        </w:rPr>
        <w:t xml:space="preserve">Le Comité pour l’élimination de la discrimination raciale observe attentivement les effets de la pandémie de COVID-19 et des mesures que les États ont </w:t>
      </w:r>
      <w:r w:rsidRPr="00A30D88">
        <w:rPr>
          <w:lang w:val="fr-FR"/>
        </w:rPr>
        <w:t>prises pour y faire face sur l’interdiction de la discrimination raciale. Il usera de toutes ses pr</w:t>
      </w:r>
      <w:r>
        <w:rPr>
          <w:lang w:val="fr-FR"/>
        </w:rPr>
        <w:t>océdures selon qu’il conviendra, notamment sa procédure d’établissement de rapports et ses procédures d’alerte rapide et d’intervention d’urgence.</w:t>
      </w:r>
    </w:p>
    <w:p w14:paraId="133DFF16" w14:textId="572D48B8" w:rsidR="00DC1F96" w:rsidRPr="002543F5" w:rsidRDefault="00DC1F96" w:rsidP="00441572">
      <w:pPr>
        <w:pStyle w:val="SingleTxtG"/>
        <w:ind w:firstLine="567"/>
        <w:rPr>
          <w:lang w:val="fr-FR"/>
        </w:rPr>
      </w:pPr>
      <w:r>
        <w:rPr>
          <w:lang w:val="fr-FR"/>
        </w:rPr>
        <w:t>Le Comité engage tous les États parties à la Convention internationale sur l’élimination de toutes les formes de discrimination raciale à examiner en particulier les questions suivantes dans les prochains rapports qu’ils soumettront en application de l’article 9 de la Convention :</w:t>
      </w:r>
    </w:p>
    <w:p w14:paraId="4C6FB0A1" w14:textId="0599F518" w:rsidR="00DC1F96" w:rsidRPr="002543F5" w:rsidRDefault="00DC1F96" w:rsidP="00441572">
      <w:pPr>
        <w:pStyle w:val="SingleTxtG"/>
        <w:ind w:firstLine="567"/>
        <w:rPr>
          <w:lang w:val="fr-FR"/>
        </w:rPr>
      </w:pPr>
      <w:r>
        <w:rPr>
          <w:lang w:val="fr-FR"/>
        </w:rPr>
        <w:t>a)</w:t>
      </w:r>
      <w:r>
        <w:rPr>
          <w:lang w:val="fr-FR"/>
        </w:rPr>
        <w:tab/>
        <w:t>Les effets de la pandémie de COVID-19 sur les groupes et minorités protégés par la Convention qui vivent sur leur territoire et relèvent de leur juridiction ;</w:t>
      </w:r>
    </w:p>
    <w:p w14:paraId="73D7EED2" w14:textId="7E5C3CDB" w:rsidR="00DC1F96" w:rsidRPr="002543F5" w:rsidRDefault="00DC1F96" w:rsidP="00441572">
      <w:pPr>
        <w:pStyle w:val="SingleTxtG"/>
        <w:ind w:firstLine="567"/>
        <w:rPr>
          <w:lang w:val="fr-FR"/>
        </w:rPr>
      </w:pPr>
      <w:r>
        <w:rPr>
          <w:lang w:val="fr-FR"/>
        </w:rPr>
        <w:t>b)</w:t>
      </w:r>
      <w:r>
        <w:rPr>
          <w:lang w:val="fr-FR"/>
        </w:rPr>
        <w:tab/>
        <w:t>Les mesures prises pour assurer la participation de tous les groupes et minorités, en particulier les femmes, les enfants et les personnes handicapées, à l’élaboration et à la mise en œuvre des mesures de riposte à la pandémie de COVID-19 ;</w:t>
      </w:r>
    </w:p>
    <w:p w14:paraId="3DF1E26E" w14:textId="3397A508" w:rsidR="00DC1F96" w:rsidRPr="002543F5" w:rsidRDefault="00DC1F96" w:rsidP="00441572">
      <w:pPr>
        <w:pStyle w:val="SingleTxtG"/>
        <w:ind w:firstLine="567"/>
        <w:rPr>
          <w:lang w:val="fr-FR"/>
        </w:rPr>
      </w:pPr>
      <w:r>
        <w:rPr>
          <w:lang w:val="fr-FR"/>
        </w:rPr>
        <w:t>c)</w:t>
      </w:r>
      <w:r>
        <w:rPr>
          <w:lang w:val="fr-FR"/>
        </w:rPr>
        <w:tab/>
        <w:t>Les mesures prises pour protéger les personnes appartenant aux groupes et minorités protégés par la Convention contre les effets de la pandémie de COVID-19 ;</w:t>
      </w:r>
    </w:p>
    <w:p w14:paraId="03885E6C" w14:textId="5BA2E6F7" w:rsidR="00DC1F96" w:rsidRPr="002543F5" w:rsidRDefault="00DC1F96" w:rsidP="00441572">
      <w:pPr>
        <w:pStyle w:val="SingleTxtG"/>
        <w:ind w:firstLine="567"/>
        <w:rPr>
          <w:lang w:val="fr-FR"/>
        </w:rPr>
      </w:pPr>
      <w:r>
        <w:rPr>
          <w:lang w:val="fr-FR"/>
        </w:rPr>
        <w:t>d)</w:t>
      </w:r>
      <w:r>
        <w:rPr>
          <w:lang w:val="fr-FR"/>
        </w:rPr>
        <w:tab/>
        <w:t>Les mesures prises pour protéger les membres de groupes vulnérables contre les actes discriminatoires et pour combattre les discours de haine et la stigmatisation en lien avec la pandémie de COVID-19 ;</w:t>
      </w:r>
    </w:p>
    <w:p w14:paraId="219AFB26" w14:textId="13838160" w:rsidR="00DC1F96" w:rsidRPr="002543F5" w:rsidRDefault="00DC1F96" w:rsidP="00441572">
      <w:pPr>
        <w:pStyle w:val="SingleTxtG"/>
        <w:ind w:firstLine="567"/>
        <w:rPr>
          <w:lang w:val="fr-FR"/>
        </w:rPr>
      </w:pPr>
      <w:r>
        <w:rPr>
          <w:lang w:val="fr-FR"/>
        </w:rPr>
        <w:t>e)</w:t>
      </w:r>
      <w:r>
        <w:rPr>
          <w:lang w:val="fr-FR"/>
        </w:rPr>
        <w:tab/>
        <w:t>Les mesures prises pour atténuer les conséquences socioéconomiques de la pandémie de COVID-19 pour les membres de groupes marginalisés et vulnérables, conformément à leur obligation de respecter, protéger et réaliser les droits économiques, sociaux et culturels.</w:t>
      </w:r>
    </w:p>
    <w:p w14:paraId="51A1B732" w14:textId="6C7FD0F1" w:rsidR="00DC1F96" w:rsidRPr="002543F5" w:rsidRDefault="00DC1F96" w:rsidP="00441572">
      <w:pPr>
        <w:pStyle w:val="SingleTxtG"/>
        <w:ind w:firstLine="567"/>
        <w:rPr>
          <w:lang w:val="fr-FR"/>
        </w:rPr>
      </w:pPr>
      <w:r>
        <w:rPr>
          <w:lang w:val="fr-FR"/>
        </w:rPr>
        <w:t>Le Comité s’engage à coopérer avec tous les autres organismes des Nations</w:t>
      </w:r>
      <w:r w:rsidR="00441572">
        <w:rPr>
          <w:lang w:val="fr-FR"/>
        </w:rPr>
        <w:t> </w:t>
      </w:r>
      <w:r>
        <w:rPr>
          <w:lang w:val="fr-FR"/>
        </w:rPr>
        <w:t>Unies et leur demande de fournir, dans le cadre de leur mandat, une aide aux États Membres aux fins de l’application de ses recommandations et de toutes les autres recommandations des organismes des Nations</w:t>
      </w:r>
      <w:r w:rsidR="00441572">
        <w:rPr>
          <w:lang w:val="fr-FR"/>
        </w:rPr>
        <w:t> </w:t>
      </w:r>
      <w:r>
        <w:rPr>
          <w:lang w:val="fr-FR"/>
        </w:rPr>
        <w:t>Unies concernant la pandémie de COVID-19.</w:t>
      </w:r>
    </w:p>
    <w:p w14:paraId="43FDE390" w14:textId="77777777" w:rsidR="00DC1F96" w:rsidRPr="002543F5" w:rsidRDefault="00DC1F96" w:rsidP="00441572">
      <w:pPr>
        <w:pStyle w:val="SingleTxtG"/>
        <w:ind w:firstLine="567"/>
        <w:rPr>
          <w:lang w:val="fr-FR"/>
        </w:rPr>
      </w:pPr>
      <w:r>
        <w:rPr>
          <w:lang w:val="fr-FR"/>
        </w:rPr>
        <w:t>Le Comité prie les acteurs de la société civile de lui transmettre toutes les informations pertinentes au regard de son mandat concernant la discrimination raciale dans le contexte dans la pandémie de COVID-19. Il entend maintenir le dialogue avec la société civile et assurer la participation de celle-ci à ses travaux.</w:t>
      </w:r>
    </w:p>
    <w:p w14:paraId="7E0FE273" w14:textId="77777777" w:rsidR="00DC1F96" w:rsidRPr="002543F5" w:rsidRDefault="00DC1F96" w:rsidP="00441572">
      <w:pPr>
        <w:pStyle w:val="H23G"/>
        <w:rPr>
          <w:lang w:val="fr-FR"/>
        </w:rPr>
      </w:pPr>
      <w:r>
        <w:rPr>
          <w:lang w:val="fr-FR"/>
        </w:rPr>
        <w:tab/>
      </w:r>
      <w:r>
        <w:rPr>
          <w:lang w:val="fr-FR"/>
        </w:rPr>
        <w:tab/>
        <w:t>Déclaration 2 (2020) sur le Pérou</w:t>
      </w:r>
    </w:p>
    <w:p w14:paraId="426F5F7F" w14:textId="2E16B94F" w:rsidR="00DC1F96" w:rsidRPr="002543F5" w:rsidRDefault="00DC1F96" w:rsidP="00441572">
      <w:pPr>
        <w:pStyle w:val="SingleTxtG"/>
        <w:ind w:firstLine="567"/>
        <w:rPr>
          <w:lang w:val="fr-FR"/>
        </w:rPr>
      </w:pPr>
      <w:r>
        <w:rPr>
          <w:i/>
          <w:iCs/>
          <w:lang w:val="fr-FR"/>
        </w:rPr>
        <w:t>Le Comité pour l’élimination de la discrimination raciale</w:t>
      </w:r>
      <w:r>
        <w:rPr>
          <w:lang w:val="fr-FR"/>
        </w:rPr>
        <w:t>,</w:t>
      </w:r>
    </w:p>
    <w:p w14:paraId="45AF5F95" w14:textId="38CFDBCC" w:rsidR="00DC1F96" w:rsidRPr="002543F5" w:rsidRDefault="00DC1F96" w:rsidP="00441572">
      <w:pPr>
        <w:pStyle w:val="SingleTxtG"/>
        <w:ind w:firstLine="567"/>
        <w:rPr>
          <w:lang w:val="fr-FR"/>
        </w:rPr>
      </w:pPr>
      <w:r>
        <w:rPr>
          <w:i/>
          <w:iCs/>
          <w:lang w:val="fr-FR"/>
        </w:rPr>
        <w:t xml:space="preserve">Agissant </w:t>
      </w:r>
      <w:r>
        <w:rPr>
          <w:lang w:val="fr-FR"/>
        </w:rPr>
        <w:t>au titre de ses procédures d’alerte rapide et d’intervention d’urgence,</w:t>
      </w:r>
    </w:p>
    <w:p w14:paraId="598DCCEF" w14:textId="77777777" w:rsidR="00441572" w:rsidRDefault="00DC1F96" w:rsidP="00441572">
      <w:pPr>
        <w:pStyle w:val="SingleTxtG"/>
        <w:ind w:firstLine="567"/>
        <w:rPr>
          <w:lang w:val="fr-FR"/>
        </w:rPr>
      </w:pPr>
      <w:r>
        <w:rPr>
          <w:i/>
          <w:iCs/>
          <w:lang w:val="fr-FR"/>
        </w:rPr>
        <w:t xml:space="preserve">Alarmé </w:t>
      </w:r>
      <w:r>
        <w:rPr>
          <w:lang w:val="fr-FR"/>
        </w:rPr>
        <w:t>par la propagation de la maladie à coronavirus (COVID-19) parmi les peuples autochtones vivant dans la région amazonienne de l’État partie, où le nombre de contaminations est estimé à plusieurs milliers, les femmes étant plus touchées que les hommes, et le nombre de décès à plusieurs centaines,</w:t>
      </w:r>
    </w:p>
    <w:p w14:paraId="3ECF9F09" w14:textId="2FFBDC65" w:rsidR="00DC1F96" w:rsidRPr="002543F5" w:rsidRDefault="00DC1F96" w:rsidP="00441572">
      <w:pPr>
        <w:pStyle w:val="SingleTxtG"/>
        <w:ind w:firstLine="567"/>
        <w:rPr>
          <w:lang w:val="fr-FR"/>
        </w:rPr>
      </w:pPr>
      <w:r>
        <w:rPr>
          <w:i/>
          <w:iCs/>
          <w:lang w:val="fr-FR"/>
        </w:rPr>
        <w:t>Profondément alarmé</w:t>
      </w:r>
      <w:r>
        <w:rPr>
          <w:lang w:val="fr-FR"/>
        </w:rPr>
        <w:t xml:space="preserve"> par la menace que la pandémie de COVID-19 fait peser sur la survie physique et culturelle des peuples autochtones vivant dans la région amazonienne, plus particulièrement les peuples en situation d’isolement volontaire ou de premier contact, en raison notamment de leur grande vulnérabilité face aux maladies extérieures,</w:t>
      </w:r>
    </w:p>
    <w:p w14:paraId="3E14F5F6" w14:textId="6BDDC7CC" w:rsidR="00DC1F96" w:rsidRPr="002543F5" w:rsidRDefault="00DC1F96" w:rsidP="00441572">
      <w:pPr>
        <w:pStyle w:val="SingleTxtG"/>
        <w:ind w:firstLine="567"/>
        <w:rPr>
          <w:lang w:val="fr-FR"/>
        </w:rPr>
      </w:pPr>
      <w:r>
        <w:rPr>
          <w:i/>
          <w:iCs/>
          <w:lang w:val="fr-FR"/>
        </w:rPr>
        <w:lastRenderedPageBreak/>
        <w:t xml:space="preserve">Préoccupé </w:t>
      </w:r>
      <w:r>
        <w:rPr>
          <w:lang w:val="fr-FR"/>
        </w:rPr>
        <w:t>par les effets socioéconomiques dommageables de la pandémie de COVID-19, qui retentissent de manière disproportionnée sur les peuples autochtones, en particulier dans la région amazonienne, du fait de la discrimination raciale structurelle qui continue d’entraver l’accès de ces peuples à des services de santé de qualité et à l’aide économique liée à la pandémie,</w:t>
      </w:r>
    </w:p>
    <w:p w14:paraId="452CA21A" w14:textId="3646BE5E" w:rsidR="00DC1F96" w:rsidRPr="002543F5" w:rsidRDefault="00DC1F96" w:rsidP="00441572">
      <w:pPr>
        <w:pStyle w:val="SingleTxtG"/>
        <w:ind w:firstLine="567"/>
        <w:rPr>
          <w:lang w:val="fr-FR"/>
        </w:rPr>
      </w:pPr>
      <w:r>
        <w:rPr>
          <w:i/>
          <w:iCs/>
          <w:lang w:val="fr-FR"/>
        </w:rPr>
        <w:t>Préoccupé également</w:t>
      </w:r>
      <w:r>
        <w:rPr>
          <w:lang w:val="fr-FR"/>
        </w:rPr>
        <w:t xml:space="preserve"> par l’absence de mécanisme efficace de protection des droits des peuples autochtones à la terre, aux territoires et aux ressources, qui met elle aussi en péril la survie culturelle et physique de ces peuples dans la région amazonienne,</w:t>
      </w:r>
    </w:p>
    <w:p w14:paraId="5C53A113" w14:textId="5301ED4C" w:rsidR="00DC1F96" w:rsidRPr="002543F5" w:rsidRDefault="00DC1F96" w:rsidP="00441572">
      <w:pPr>
        <w:pStyle w:val="SingleTxtG"/>
        <w:ind w:firstLine="567"/>
        <w:rPr>
          <w:lang w:val="fr-FR"/>
        </w:rPr>
      </w:pPr>
      <w:r>
        <w:rPr>
          <w:i/>
          <w:iCs/>
          <w:lang w:val="fr-FR"/>
        </w:rPr>
        <w:t>Vivement préoccupé</w:t>
      </w:r>
      <w:r>
        <w:rPr>
          <w:lang w:val="fr-FR"/>
        </w:rPr>
        <w:t xml:space="preserve"> par la poursuite des activités extractives dans la région amazonienne, qui contribue directement à la propagation de la COVID-19, notamment dans les zones les plus reculées,</w:t>
      </w:r>
    </w:p>
    <w:p w14:paraId="0F5749BF" w14:textId="1A575A06" w:rsidR="00DC1F96" w:rsidRPr="002543F5" w:rsidRDefault="00DC1F96" w:rsidP="00441572">
      <w:pPr>
        <w:pStyle w:val="SingleTxtG"/>
        <w:ind w:firstLine="567"/>
        <w:rPr>
          <w:lang w:val="fr-FR"/>
        </w:rPr>
      </w:pPr>
      <w:r>
        <w:rPr>
          <w:i/>
          <w:iCs/>
          <w:lang w:val="fr-FR"/>
        </w:rPr>
        <w:t>Troublé de constater</w:t>
      </w:r>
      <w:r>
        <w:rPr>
          <w:lang w:val="fr-FR"/>
        </w:rPr>
        <w:t xml:space="preserve"> qu’aucune mesure particulière en faveur des peuples autochtones n’a été prise au début de la lutte contre la pandémie de COVID-19, en mars 2020, et que de telles mesures n’ont été adoptées que fort tardivement,</w:t>
      </w:r>
    </w:p>
    <w:p w14:paraId="22B4D0D2" w14:textId="6E567A30" w:rsidR="00DC1F96" w:rsidRPr="002543F5" w:rsidRDefault="00DC1F96" w:rsidP="00441572">
      <w:pPr>
        <w:pStyle w:val="SingleTxtG"/>
        <w:ind w:firstLine="567"/>
        <w:rPr>
          <w:lang w:val="fr-FR"/>
        </w:rPr>
      </w:pPr>
      <w:r>
        <w:rPr>
          <w:i/>
          <w:iCs/>
          <w:lang w:val="fr-FR"/>
        </w:rPr>
        <w:t xml:space="preserve">Notant </w:t>
      </w:r>
      <w:r>
        <w:rPr>
          <w:lang w:val="fr-FR"/>
        </w:rPr>
        <w:t>que le décret législatif n</w:t>
      </w:r>
      <w:r>
        <w:rPr>
          <w:vertAlign w:val="superscript"/>
          <w:lang w:val="fr-FR"/>
        </w:rPr>
        <w:t>o</w:t>
      </w:r>
      <w:r>
        <w:rPr>
          <w:lang w:val="fr-FR"/>
        </w:rPr>
        <w:t> 1489 visant à remédier au cas particulier des peuples autochtones dans le contexte de la pandémie de COVID-19 n’a été adopté que le 10</w:t>
      </w:r>
      <w:r w:rsidR="00441572">
        <w:rPr>
          <w:lang w:val="fr-FR"/>
        </w:rPr>
        <w:t> </w:t>
      </w:r>
      <w:r>
        <w:rPr>
          <w:lang w:val="fr-FR"/>
        </w:rPr>
        <w:t>mai 2020 et que son exécution a laissé à désirer en raison d’un financement insuffisant et des moyens techniques limités des administrations régionales,</w:t>
      </w:r>
    </w:p>
    <w:p w14:paraId="0DBBD71E" w14:textId="67B0CFFD" w:rsidR="00DC1F96" w:rsidRPr="002543F5" w:rsidRDefault="00DC1F96" w:rsidP="00441572">
      <w:pPr>
        <w:pStyle w:val="SingleTxtG"/>
        <w:ind w:firstLine="567"/>
        <w:rPr>
          <w:lang w:val="fr-FR"/>
        </w:rPr>
      </w:pPr>
      <w:r>
        <w:rPr>
          <w:i/>
          <w:iCs/>
          <w:lang w:val="fr-FR"/>
        </w:rPr>
        <w:t>Notant également</w:t>
      </w:r>
      <w:r>
        <w:rPr>
          <w:lang w:val="fr-FR"/>
        </w:rPr>
        <w:t xml:space="preserve"> le plan d’intervention en faveur des communautés autochtones et rurales de la région amazonienne, adopté le 30</w:t>
      </w:r>
      <w:r w:rsidR="00441572">
        <w:rPr>
          <w:lang w:val="fr-FR"/>
        </w:rPr>
        <w:t> </w:t>
      </w:r>
      <w:r>
        <w:rPr>
          <w:lang w:val="fr-FR"/>
        </w:rPr>
        <w:t>mai 2020 par le Ministère de la santé,</w:t>
      </w:r>
    </w:p>
    <w:p w14:paraId="7A3850AB" w14:textId="05A85245" w:rsidR="00DC1F96" w:rsidRPr="002543F5" w:rsidRDefault="00DC1F96" w:rsidP="00441572">
      <w:pPr>
        <w:pStyle w:val="SingleTxtG"/>
        <w:ind w:firstLine="567"/>
        <w:rPr>
          <w:lang w:val="fr-FR"/>
        </w:rPr>
      </w:pPr>
      <w:r>
        <w:rPr>
          <w:i/>
          <w:iCs/>
          <w:lang w:val="fr-FR"/>
        </w:rPr>
        <w:t>Notant en outre</w:t>
      </w:r>
      <w:r>
        <w:rPr>
          <w:lang w:val="fr-FR"/>
        </w:rPr>
        <w:t xml:space="preserve"> les mesures que l’État partie </w:t>
      </w:r>
      <w:r w:rsidR="00A51B6D">
        <w:rPr>
          <w:lang w:val="fr-FR"/>
        </w:rPr>
        <w:t>a</w:t>
      </w:r>
      <w:r>
        <w:rPr>
          <w:lang w:val="fr-FR"/>
        </w:rPr>
        <w:t xml:space="preserve"> prises pour atténuer les effets néfastes des activités d’entreprises privées sur les territoires et les terres autochtones, notamment l’adoption du décret législatif n</w:t>
      </w:r>
      <w:r>
        <w:rPr>
          <w:vertAlign w:val="superscript"/>
          <w:lang w:val="fr-FR"/>
        </w:rPr>
        <w:t>o</w:t>
      </w:r>
      <w:r>
        <w:rPr>
          <w:lang w:val="fr-FR"/>
        </w:rPr>
        <w:t> 1500,</w:t>
      </w:r>
    </w:p>
    <w:p w14:paraId="5D7BA7DB" w14:textId="42F8616C" w:rsidR="00DC1F96" w:rsidRPr="002543F5" w:rsidRDefault="00DC1F96" w:rsidP="00441572">
      <w:pPr>
        <w:pStyle w:val="SingleTxtG"/>
        <w:ind w:firstLine="567"/>
        <w:rPr>
          <w:lang w:val="fr-FR"/>
        </w:rPr>
      </w:pPr>
      <w:r>
        <w:rPr>
          <w:i/>
          <w:iCs/>
          <w:lang w:val="fr-FR"/>
        </w:rPr>
        <w:t xml:space="preserve">Rappelant </w:t>
      </w:r>
      <w:r>
        <w:rPr>
          <w:lang w:val="fr-FR"/>
        </w:rPr>
        <w:t>ses précédentes observations finales du 23</w:t>
      </w:r>
      <w:r w:rsidR="00441572">
        <w:rPr>
          <w:lang w:val="fr-FR"/>
        </w:rPr>
        <w:t> </w:t>
      </w:r>
      <w:r>
        <w:rPr>
          <w:lang w:val="fr-FR"/>
        </w:rPr>
        <w:t>mai 2018 (CERD/C/PER/CO/22-23) et du 25</w:t>
      </w:r>
      <w:r w:rsidR="00441572">
        <w:rPr>
          <w:lang w:val="fr-FR"/>
        </w:rPr>
        <w:t> </w:t>
      </w:r>
      <w:r>
        <w:rPr>
          <w:lang w:val="fr-FR"/>
        </w:rPr>
        <w:t>septembre 2014 (CERD/C/PER/CO/18-21) concernant le Pérou et ses recommandations générales n</w:t>
      </w:r>
      <w:r>
        <w:rPr>
          <w:vertAlign w:val="superscript"/>
          <w:lang w:val="fr-FR"/>
        </w:rPr>
        <w:t>o</w:t>
      </w:r>
      <w:r>
        <w:rPr>
          <w:lang w:val="fr-FR"/>
        </w:rPr>
        <w:t> 23 (1997) sur les droits des populations autochtones et n</w:t>
      </w:r>
      <w:r>
        <w:rPr>
          <w:vertAlign w:val="superscript"/>
          <w:lang w:val="fr-FR"/>
        </w:rPr>
        <w:t>o</w:t>
      </w:r>
      <w:r>
        <w:rPr>
          <w:lang w:val="fr-FR"/>
        </w:rPr>
        <w:t> 32 (2009) sur la signification et la portée des mesures spéciales dans la</w:t>
      </w:r>
      <w:r w:rsidR="00441572">
        <w:rPr>
          <w:lang w:val="fr-FR"/>
        </w:rPr>
        <w:t> </w:t>
      </w:r>
      <w:r>
        <w:rPr>
          <w:lang w:val="fr-FR"/>
        </w:rPr>
        <w:t>Convention,</w:t>
      </w:r>
    </w:p>
    <w:p w14:paraId="6BE36096" w14:textId="18E64951" w:rsidR="00DC1F96" w:rsidRPr="002543F5" w:rsidRDefault="00DC1F96" w:rsidP="00441572">
      <w:pPr>
        <w:pStyle w:val="SingleTxtG"/>
        <w:ind w:firstLine="567"/>
        <w:rPr>
          <w:lang w:val="fr-FR"/>
        </w:rPr>
      </w:pPr>
      <w:r>
        <w:rPr>
          <w:lang w:val="fr-FR"/>
        </w:rPr>
        <w:t>1.</w:t>
      </w:r>
      <w:r>
        <w:rPr>
          <w:lang w:val="fr-FR"/>
        </w:rPr>
        <w:tab/>
      </w:r>
      <w:r>
        <w:rPr>
          <w:i/>
          <w:iCs/>
          <w:lang w:val="fr-FR"/>
        </w:rPr>
        <w:t xml:space="preserve">Demande </w:t>
      </w:r>
      <w:r>
        <w:rPr>
          <w:lang w:val="fr-FR"/>
        </w:rPr>
        <w:t>à l’État partie d’assurer la participation</w:t>
      </w:r>
      <w:r w:rsidRPr="00E847B7">
        <w:rPr>
          <w:lang w:val="fr-FR"/>
        </w:rPr>
        <w:t xml:space="preserve"> </w:t>
      </w:r>
      <w:r>
        <w:rPr>
          <w:lang w:val="fr-FR"/>
        </w:rPr>
        <w:t>des peuples autochtones, en tant que partenaires essentiels, à la lutte contre la pandémie de COVID-19 et à la prise de décisions, s’agissant notamment d’élaborer et d’appliquer des mesures visant à prévenir et à endiguer la maladie, et en ce qui concerne les plans de redressement ;</w:t>
      </w:r>
    </w:p>
    <w:p w14:paraId="0CFD4724" w14:textId="559767E4" w:rsidR="00DC1F96" w:rsidRPr="002543F5" w:rsidRDefault="00DC1F96" w:rsidP="00441572">
      <w:pPr>
        <w:pStyle w:val="SingleTxtG"/>
        <w:ind w:firstLine="567"/>
        <w:rPr>
          <w:lang w:val="fr-FR"/>
        </w:rPr>
      </w:pPr>
      <w:r>
        <w:rPr>
          <w:lang w:val="fr-FR"/>
        </w:rPr>
        <w:t>2.</w:t>
      </w:r>
      <w:r>
        <w:rPr>
          <w:lang w:val="fr-FR"/>
        </w:rPr>
        <w:tab/>
      </w:r>
      <w:r>
        <w:rPr>
          <w:i/>
          <w:iCs/>
          <w:lang w:val="fr-FR"/>
        </w:rPr>
        <w:t>Exhorte</w:t>
      </w:r>
      <w:r>
        <w:rPr>
          <w:lang w:val="fr-FR"/>
        </w:rPr>
        <w:t xml:space="preserve"> l’État partie à adopter sans délai des mesures de protection des peuples autochtones en situation d’isolement volontaire ou de premier contact et d’empêcher l’entrée sur leurs territoires de personnes extérieures indésirables, notamment en instaurant strictement des zones sanitaires et en adoptant rapidement une législation garantissant la protection et l’intangibilité des zones où vivent les peuples autochtones ;</w:t>
      </w:r>
    </w:p>
    <w:p w14:paraId="6B9EF23D" w14:textId="48E06EC0" w:rsidR="00DC1F96" w:rsidRPr="002543F5" w:rsidRDefault="00DC1F96" w:rsidP="00441572">
      <w:pPr>
        <w:pStyle w:val="SingleTxtG"/>
        <w:ind w:firstLine="567"/>
        <w:rPr>
          <w:lang w:val="fr-FR"/>
        </w:rPr>
      </w:pPr>
      <w:r>
        <w:rPr>
          <w:lang w:val="fr-FR"/>
        </w:rPr>
        <w:t>3.</w:t>
      </w:r>
      <w:r>
        <w:rPr>
          <w:lang w:val="fr-FR"/>
        </w:rPr>
        <w:tab/>
      </w:r>
      <w:r>
        <w:rPr>
          <w:i/>
          <w:iCs/>
          <w:lang w:val="fr-FR"/>
        </w:rPr>
        <w:t xml:space="preserve">Exhorte également </w:t>
      </w:r>
      <w:r>
        <w:rPr>
          <w:lang w:val="fr-FR"/>
        </w:rPr>
        <w:t>l’État partie à donner la priorité et à consacrer les ressources nécessaires, notamment financières, à la bonne application du décret législatif n</w:t>
      </w:r>
      <w:r>
        <w:rPr>
          <w:vertAlign w:val="superscript"/>
          <w:lang w:val="fr-FR"/>
        </w:rPr>
        <w:t>o</w:t>
      </w:r>
      <w:r>
        <w:rPr>
          <w:lang w:val="fr-FR"/>
        </w:rPr>
        <w:t> 1489, ainsi que des décrets suprêmes 004-2020-MC, 008-2020-MC et 010-2020-MC, adoptés par le Ministère de la culture, à faire en sorte que les peuples autochtones disposent de biens et de services de santé culturellement adaptés et que les pouvoirs publics fournissent une aide humanitaire, et à envisager l’adoption et la mise en œuvre effective d’autres mesures visant à remédier aux effets préjudiciables de la pandémie sur les peuples autochtones ;</w:t>
      </w:r>
    </w:p>
    <w:p w14:paraId="4BBFF6E9" w14:textId="7103140D" w:rsidR="00DC1F96" w:rsidRPr="002543F5" w:rsidRDefault="00DC1F96" w:rsidP="00441572">
      <w:pPr>
        <w:pStyle w:val="SingleTxtG"/>
        <w:ind w:firstLine="567"/>
        <w:rPr>
          <w:lang w:val="fr-FR"/>
        </w:rPr>
      </w:pPr>
      <w:r>
        <w:rPr>
          <w:lang w:val="fr-FR"/>
        </w:rPr>
        <w:t>4.</w:t>
      </w:r>
      <w:r>
        <w:rPr>
          <w:lang w:val="fr-FR"/>
        </w:rPr>
        <w:tab/>
      </w:r>
      <w:r>
        <w:rPr>
          <w:i/>
          <w:iCs/>
          <w:lang w:val="fr-FR"/>
        </w:rPr>
        <w:t>Exhorte en outre</w:t>
      </w:r>
      <w:r>
        <w:rPr>
          <w:lang w:val="fr-FR"/>
        </w:rPr>
        <w:t xml:space="preserve"> l’État partie, notamment les autorités locales, à garantir d’urgence le plein respect des territoires autochtones en contrôlant strictement l’entrée de toute personne indésirable dans ces territoires, en accord et en étroite collaboration avec les peuples autochtones, y</w:t>
      </w:r>
      <w:r w:rsidR="00441572">
        <w:rPr>
          <w:lang w:val="fr-FR"/>
        </w:rPr>
        <w:t> </w:t>
      </w:r>
      <w:r>
        <w:rPr>
          <w:lang w:val="fr-FR"/>
        </w:rPr>
        <w:t>compris en soumettant obligatoirement les personnes souhaitant se rendre dans ces territoires à un test de dépistage de la COVID-19 et à une évaluation médicale ;</w:t>
      </w:r>
    </w:p>
    <w:p w14:paraId="1E702017" w14:textId="1E25185B" w:rsidR="00DC1F96" w:rsidRPr="002543F5" w:rsidRDefault="00DC1F96" w:rsidP="00441572">
      <w:pPr>
        <w:pStyle w:val="SingleTxtG"/>
        <w:ind w:firstLine="567"/>
        <w:rPr>
          <w:lang w:val="fr-FR"/>
        </w:rPr>
      </w:pPr>
      <w:r>
        <w:rPr>
          <w:lang w:val="fr-FR"/>
        </w:rPr>
        <w:t>5.</w:t>
      </w:r>
      <w:r>
        <w:rPr>
          <w:lang w:val="fr-FR"/>
        </w:rPr>
        <w:tab/>
      </w:r>
      <w:r>
        <w:rPr>
          <w:i/>
          <w:iCs/>
          <w:lang w:val="fr-FR"/>
        </w:rPr>
        <w:t xml:space="preserve">Engage vivement </w:t>
      </w:r>
      <w:r>
        <w:rPr>
          <w:lang w:val="fr-FR"/>
        </w:rPr>
        <w:t>l’État partie à adopter des mesures spéciales visant à atténuer les effets socioéconomiques et culturels de la pandémie de COVID-19 sur les peuples autochtones et à garantir leur accès à l’aide économique sans discrimination ;</w:t>
      </w:r>
    </w:p>
    <w:p w14:paraId="4E8BC4DB" w14:textId="5636C26F" w:rsidR="00DC1F96" w:rsidRPr="002543F5" w:rsidRDefault="00DC1F96" w:rsidP="00441572">
      <w:pPr>
        <w:pStyle w:val="SingleTxtG"/>
        <w:ind w:firstLine="567"/>
        <w:rPr>
          <w:lang w:val="fr-FR"/>
        </w:rPr>
      </w:pPr>
      <w:r>
        <w:rPr>
          <w:lang w:val="fr-FR"/>
        </w:rPr>
        <w:lastRenderedPageBreak/>
        <w:t>6.</w:t>
      </w:r>
      <w:r>
        <w:rPr>
          <w:lang w:val="fr-FR"/>
        </w:rPr>
        <w:tab/>
      </w:r>
      <w:r>
        <w:rPr>
          <w:i/>
          <w:iCs/>
          <w:lang w:val="fr-FR"/>
        </w:rPr>
        <w:t xml:space="preserve">Engage également vivement </w:t>
      </w:r>
      <w:r>
        <w:rPr>
          <w:lang w:val="fr-FR"/>
        </w:rPr>
        <w:t>l’État partie à garantir le droit des peuples autochtones à donner leur consentement libre et éclairé préalablement au lancement, sur leurs territoires, d’activités extractives et d’autres projets de développement risquant de contribuer à la propagation de la COVID-19 ;</w:t>
      </w:r>
    </w:p>
    <w:p w14:paraId="630BEFBB" w14:textId="0DCE0D65" w:rsidR="00DC1F96" w:rsidRPr="002543F5" w:rsidRDefault="00DC1F96" w:rsidP="00441572">
      <w:pPr>
        <w:pStyle w:val="SingleTxtG"/>
        <w:ind w:firstLine="567"/>
        <w:rPr>
          <w:lang w:val="fr-FR"/>
        </w:rPr>
      </w:pPr>
      <w:r>
        <w:rPr>
          <w:lang w:val="fr-FR"/>
        </w:rPr>
        <w:t>7.</w:t>
      </w:r>
      <w:r>
        <w:rPr>
          <w:lang w:val="fr-FR"/>
        </w:rPr>
        <w:tab/>
      </w:r>
      <w:r>
        <w:rPr>
          <w:i/>
          <w:iCs/>
          <w:lang w:val="fr-FR"/>
        </w:rPr>
        <w:t xml:space="preserve">Demande à </w:t>
      </w:r>
      <w:r>
        <w:rPr>
          <w:lang w:val="fr-FR"/>
        </w:rPr>
        <w:t>l’État partie de coopérer au niveau international pour obtenir un appui dans l’action qu’il mène face à la pandémie de COVID-19 en faveur des peuples autochtones, en particulier ceux qui vivent dans la région amazonienne, et dans l’élaboration de mesures de lutte contre la pandémie en faveur des communautés vivant à la frontière avec le Brésil et la Colombie.</w:t>
      </w:r>
    </w:p>
    <w:p w14:paraId="5BF8C188" w14:textId="00142D0C" w:rsidR="00DC1F96" w:rsidRPr="002543F5" w:rsidRDefault="00441572" w:rsidP="00DC1F96">
      <w:pPr>
        <w:pStyle w:val="SingleTxtG"/>
        <w:rPr>
          <w:lang w:val="fr-FR"/>
        </w:rPr>
      </w:pPr>
      <w:r>
        <w:rPr>
          <w:lang w:val="fr-FR"/>
        </w:rPr>
        <w:t>19.</w:t>
      </w:r>
      <w:r>
        <w:rPr>
          <w:lang w:val="fr-FR"/>
        </w:rPr>
        <w:tab/>
      </w:r>
      <w:r w:rsidR="00DC1F96">
        <w:rPr>
          <w:lang w:val="fr-FR"/>
        </w:rPr>
        <w:t>Le Comité a adopté la déclaration ci-après à sa 103</w:t>
      </w:r>
      <w:r w:rsidR="00DC1F96">
        <w:rPr>
          <w:vertAlign w:val="superscript"/>
          <w:lang w:val="fr-FR"/>
        </w:rPr>
        <w:t>e</w:t>
      </w:r>
      <w:r>
        <w:rPr>
          <w:lang w:val="fr-FR"/>
        </w:rPr>
        <w:t> </w:t>
      </w:r>
      <w:r w:rsidR="00DC1F96">
        <w:rPr>
          <w:lang w:val="fr-FR"/>
        </w:rPr>
        <w:t>session</w:t>
      </w:r>
      <w:r>
        <w:rPr>
          <w:lang w:val="fr-FR"/>
        </w:rPr>
        <w:t> :</w:t>
      </w:r>
    </w:p>
    <w:p w14:paraId="71256E1F" w14:textId="588E7A79" w:rsidR="00DC1F96" w:rsidRPr="002543F5" w:rsidRDefault="00DC1F96" w:rsidP="00441572">
      <w:pPr>
        <w:pStyle w:val="H23G"/>
        <w:rPr>
          <w:lang w:val="fr-FR"/>
        </w:rPr>
      </w:pPr>
      <w:r w:rsidRPr="00441572">
        <w:rPr>
          <w:spacing w:val="2"/>
          <w:lang w:val="fr-FR"/>
        </w:rPr>
        <w:tab/>
      </w:r>
      <w:r w:rsidRPr="00232A62">
        <w:rPr>
          <w:spacing w:val="2"/>
          <w:lang w:val="fr-FR"/>
        </w:rPr>
        <w:tab/>
        <w:t>Déclaration</w:t>
      </w:r>
      <w:r w:rsidR="00441572" w:rsidRPr="00232A62">
        <w:rPr>
          <w:spacing w:val="2"/>
          <w:lang w:val="fr-FR"/>
        </w:rPr>
        <w:t> </w:t>
      </w:r>
      <w:r w:rsidRPr="00232A62">
        <w:rPr>
          <w:spacing w:val="2"/>
          <w:lang w:val="fr-FR"/>
        </w:rPr>
        <w:t>1 (2021) sur l’augmentation de la discrimination raciale à l’égard</w:t>
      </w:r>
      <w:r w:rsidRPr="00232A62">
        <w:rPr>
          <w:lang w:val="fr-FR"/>
        </w:rPr>
        <w:t xml:space="preserve"> </w:t>
      </w:r>
      <w:r w:rsidRPr="00232A62">
        <w:rPr>
          <w:spacing w:val="-2"/>
          <w:lang w:val="fr-FR"/>
        </w:rPr>
        <w:t>des</w:t>
      </w:r>
      <w:r w:rsidR="00441572" w:rsidRPr="00232A62">
        <w:rPr>
          <w:spacing w:val="-2"/>
          <w:lang w:val="fr-FR"/>
        </w:rPr>
        <w:t> </w:t>
      </w:r>
      <w:r w:rsidRPr="00232A62">
        <w:rPr>
          <w:spacing w:val="-2"/>
          <w:lang w:val="fr-FR"/>
        </w:rPr>
        <w:t>Asiatiques et des personnes d’ascendance asiatique, en particulier les crimes</w:t>
      </w:r>
      <w:r w:rsidRPr="00232A62">
        <w:rPr>
          <w:lang w:val="fr-FR"/>
        </w:rPr>
        <w:t xml:space="preserve"> et</w:t>
      </w:r>
      <w:r w:rsidR="00441572" w:rsidRPr="00232A62">
        <w:rPr>
          <w:lang w:val="fr-FR"/>
        </w:rPr>
        <w:t> </w:t>
      </w:r>
      <w:r w:rsidRPr="00232A62">
        <w:rPr>
          <w:lang w:val="fr-FR"/>
        </w:rPr>
        <w:t xml:space="preserve">discours de haine </w:t>
      </w:r>
      <w:r>
        <w:rPr>
          <w:lang w:val="fr-FR"/>
        </w:rPr>
        <w:t>à caractère raciste</w:t>
      </w:r>
    </w:p>
    <w:p w14:paraId="43FE94CC" w14:textId="7397904B" w:rsidR="00DC1F96" w:rsidRPr="002543F5" w:rsidRDefault="00DC1F96" w:rsidP="00441572">
      <w:pPr>
        <w:pStyle w:val="SingleTxtG"/>
        <w:ind w:firstLine="567"/>
        <w:rPr>
          <w:lang w:val="fr-FR"/>
        </w:rPr>
      </w:pPr>
      <w:r>
        <w:rPr>
          <w:i/>
          <w:iCs/>
          <w:lang w:val="fr-FR"/>
        </w:rPr>
        <w:t>Le Comité pour l’élimination de la discrimination raciale</w:t>
      </w:r>
      <w:r>
        <w:rPr>
          <w:lang w:val="fr-FR"/>
        </w:rPr>
        <w:t>,</w:t>
      </w:r>
    </w:p>
    <w:p w14:paraId="189F2191" w14:textId="1F28761E" w:rsidR="00DC1F96" w:rsidRPr="002543F5" w:rsidRDefault="00DC1F96" w:rsidP="00441572">
      <w:pPr>
        <w:pStyle w:val="SingleTxtG"/>
        <w:ind w:firstLine="567"/>
        <w:rPr>
          <w:lang w:val="fr-FR"/>
        </w:rPr>
      </w:pPr>
      <w:r>
        <w:rPr>
          <w:i/>
          <w:iCs/>
          <w:lang w:val="fr-FR"/>
        </w:rPr>
        <w:t xml:space="preserve">Agissant </w:t>
      </w:r>
      <w:r>
        <w:rPr>
          <w:lang w:val="fr-FR"/>
        </w:rPr>
        <w:t>au titre de ses procédures d’alerte rapide et d’intervention d’urgence,</w:t>
      </w:r>
    </w:p>
    <w:p w14:paraId="2BD767C8" w14:textId="61B0F61E" w:rsidR="00DC1F96" w:rsidRPr="002543F5" w:rsidRDefault="00DC1F96" w:rsidP="00441572">
      <w:pPr>
        <w:pStyle w:val="SingleTxtG"/>
        <w:ind w:firstLine="567"/>
        <w:rPr>
          <w:lang w:val="fr-FR"/>
        </w:rPr>
      </w:pPr>
      <w:r>
        <w:rPr>
          <w:i/>
          <w:iCs/>
          <w:lang w:val="fr-FR"/>
        </w:rPr>
        <w:t xml:space="preserve">Préoccupé </w:t>
      </w:r>
      <w:r>
        <w:rPr>
          <w:lang w:val="fr-FR"/>
        </w:rPr>
        <w:t>par les informations selon lesquelles les actes de discrimination raciale, en particulier les discours et crimes de haine visant les Asiatiques et les personnes d’ascendance asiatique, se multiplient dans de nombreuses régions du monde,</w:t>
      </w:r>
    </w:p>
    <w:p w14:paraId="01B52EAA" w14:textId="5CDEC712" w:rsidR="00DC1F96" w:rsidRPr="002543F5" w:rsidRDefault="00DC1F96" w:rsidP="00441572">
      <w:pPr>
        <w:pStyle w:val="SingleTxtG"/>
        <w:ind w:firstLine="567"/>
        <w:rPr>
          <w:lang w:val="fr-FR"/>
        </w:rPr>
      </w:pPr>
      <w:r>
        <w:rPr>
          <w:i/>
          <w:iCs/>
          <w:lang w:val="fr-FR"/>
        </w:rPr>
        <w:t xml:space="preserve">Alarmé </w:t>
      </w:r>
      <w:r>
        <w:rPr>
          <w:lang w:val="fr-FR"/>
        </w:rPr>
        <w:t>en particulier par le fait que, dans le contexte de la pandémie de maladie à coronavirus (COVID-19), des Asiatiques et des personnes d’ascendance asiatique ont été stigmatisés, catalogués, pris comme boucs émissaires et accusés d’être responsables de la propagation du virus à l’origine de la COVID-19, et ont récemment fait l’objet d’une vague d’actes de violence raciste, de menaces de violence, d’actes de harcèlement physique et de brimades dans les écoles,</w:t>
      </w:r>
    </w:p>
    <w:p w14:paraId="1ECBDC6B" w14:textId="240891EE" w:rsidR="00DC1F96" w:rsidRPr="002543F5" w:rsidRDefault="00DC1F96" w:rsidP="00441572">
      <w:pPr>
        <w:pStyle w:val="SingleTxtG"/>
        <w:ind w:firstLine="567"/>
        <w:rPr>
          <w:lang w:val="fr-FR"/>
        </w:rPr>
      </w:pPr>
      <w:r>
        <w:rPr>
          <w:i/>
          <w:iCs/>
          <w:lang w:val="fr-FR"/>
        </w:rPr>
        <w:t xml:space="preserve">Alarmé également </w:t>
      </w:r>
      <w:r>
        <w:rPr>
          <w:lang w:val="fr-FR"/>
        </w:rPr>
        <w:t>par l’apparition, sur les réseaux sociaux et d’autres médias, de discours de haine raciale tenus, dans certains cas, par des personnalités politiques ou publiques et incitant à la violence, au racisme et à la xénophobie à l’égard des Asiatiques et des personnes d’ascendance asiatique,</w:t>
      </w:r>
    </w:p>
    <w:p w14:paraId="0DD3B23E" w14:textId="77D32FB9" w:rsidR="00DC1F96" w:rsidRPr="002543F5" w:rsidRDefault="00DC1F96" w:rsidP="00441572">
      <w:pPr>
        <w:pStyle w:val="SingleTxtG"/>
        <w:ind w:firstLine="567"/>
        <w:rPr>
          <w:lang w:val="fr-FR"/>
        </w:rPr>
      </w:pPr>
      <w:r>
        <w:rPr>
          <w:i/>
          <w:iCs/>
          <w:lang w:val="fr-FR"/>
        </w:rPr>
        <w:t>Profondément préoccupé</w:t>
      </w:r>
      <w:r>
        <w:rPr>
          <w:lang w:val="fr-FR"/>
        </w:rPr>
        <w:t xml:space="preserve"> de ce que des femmes et des filles asiatiques et d’ascendance asiatique ont subi des violences ciblées et d’autres actes de discrimination raciale, sur leur lieu de travail</w:t>
      </w:r>
      <w:r w:rsidRPr="001C1D6B">
        <w:rPr>
          <w:lang w:val="fr-FR"/>
        </w:rPr>
        <w:t xml:space="preserve"> </w:t>
      </w:r>
      <w:r>
        <w:rPr>
          <w:lang w:val="fr-FR"/>
        </w:rPr>
        <w:t>dans certains cas, en rapport avec la pandémie de COVID-19,</w:t>
      </w:r>
    </w:p>
    <w:p w14:paraId="0D69B5F0" w14:textId="6E0DC17E" w:rsidR="00DC1F96" w:rsidRPr="002543F5" w:rsidRDefault="00DC1F96" w:rsidP="00441572">
      <w:pPr>
        <w:pStyle w:val="SingleTxtG"/>
        <w:ind w:firstLine="567"/>
        <w:rPr>
          <w:lang w:val="fr-FR"/>
        </w:rPr>
      </w:pPr>
      <w:r>
        <w:rPr>
          <w:i/>
          <w:iCs/>
          <w:lang w:val="fr-FR"/>
        </w:rPr>
        <w:t>Réaffirmant</w:t>
      </w:r>
      <w:r>
        <w:rPr>
          <w:lang w:val="fr-FR"/>
        </w:rPr>
        <w:t xml:space="preserve"> que les États doivent non seulement s’abstenir de toute mesure propre à renforcer les stéréotypes racistes associant le virus à une région, une nationalité ou un groupe particulier, mais également condamner et combattre de telles mesures, notamment lorsqu’elles risquent d’inciter à des actes de discrimination raciale et même si elles sont le fait de personnalités politiques et publiques,</w:t>
      </w:r>
    </w:p>
    <w:p w14:paraId="2B75819E" w14:textId="20C4F071" w:rsidR="00DC1F96" w:rsidRPr="002543F5" w:rsidRDefault="00DC1F96" w:rsidP="00441572">
      <w:pPr>
        <w:pStyle w:val="SingleTxtG"/>
        <w:ind w:firstLine="567"/>
        <w:rPr>
          <w:lang w:val="fr-FR"/>
        </w:rPr>
      </w:pPr>
      <w:r>
        <w:rPr>
          <w:i/>
          <w:iCs/>
          <w:lang w:val="fr-FR"/>
        </w:rPr>
        <w:t xml:space="preserve">Réaffirmant également </w:t>
      </w:r>
      <w:r>
        <w:rPr>
          <w:lang w:val="fr-FR"/>
        </w:rPr>
        <w:t xml:space="preserve">que, outre l’obligation de s’abstenir eux-mêmes de tout acte ou pratique discriminatoire, les États doivent protéger les membres des groupes vulnérables contre la discrimination exercée par des acteurs privés, en particulier contre les injures racistes et les discours de haine, le harcèlement, les actes de violence et l’exclusion ou le refus de biens et de services au mépris de l’interdiction de la discrimination raciale, </w:t>
      </w:r>
    </w:p>
    <w:p w14:paraId="55FA6489" w14:textId="3E48E7A8" w:rsidR="00DC1F96" w:rsidRPr="002543F5" w:rsidRDefault="00DC1F96" w:rsidP="00441572">
      <w:pPr>
        <w:pStyle w:val="SingleTxtG"/>
        <w:ind w:firstLine="567"/>
        <w:rPr>
          <w:lang w:val="fr-FR"/>
        </w:rPr>
      </w:pPr>
      <w:r>
        <w:rPr>
          <w:i/>
          <w:iCs/>
          <w:lang w:val="fr-FR"/>
        </w:rPr>
        <w:t xml:space="preserve">Rappelant </w:t>
      </w:r>
      <w:r>
        <w:rPr>
          <w:lang w:val="fr-FR"/>
        </w:rPr>
        <w:t>sa recommandation générale n</w:t>
      </w:r>
      <w:r>
        <w:rPr>
          <w:vertAlign w:val="superscript"/>
          <w:lang w:val="fr-FR"/>
        </w:rPr>
        <w:t>o</w:t>
      </w:r>
      <w:r>
        <w:rPr>
          <w:lang w:val="fr-FR"/>
        </w:rPr>
        <w:t> 35 (2013) sur la lutte contre les discours de haine raciale,</w:t>
      </w:r>
    </w:p>
    <w:p w14:paraId="01EFC952" w14:textId="6D68296A" w:rsidR="00DC1F96" w:rsidRPr="002543F5" w:rsidRDefault="00DC1F96" w:rsidP="00441572">
      <w:pPr>
        <w:pStyle w:val="SingleTxtG"/>
        <w:ind w:firstLine="567"/>
        <w:rPr>
          <w:lang w:val="fr-FR"/>
        </w:rPr>
      </w:pPr>
      <w:r>
        <w:rPr>
          <w:i/>
          <w:iCs/>
          <w:lang w:val="fr-FR"/>
        </w:rPr>
        <w:t xml:space="preserve">Rappelant également </w:t>
      </w:r>
      <w:r>
        <w:rPr>
          <w:lang w:val="fr-FR"/>
        </w:rPr>
        <w:t>sa déclaration du 7</w:t>
      </w:r>
      <w:r w:rsidR="00441572">
        <w:rPr>
          <w:lang w:val="fr-FR"/>
        </w:rPr>
        <w:t> </w:t>
      </w:r>
      <w:r>
        <w:rPr>
          <w:lang w:val="fr-FR"/>
        </w:rPr>
        <w:t>août 2020 sur la pandémie de COVID-19 et ses effets sous l’angle de la Convention internationale sur l’élimination de toutes les formes de discrimination raciale,</w:t>
      </w:r>
    </w:p>
    <w:p w14:paraId="670AF154" w14:textId="5009BDF8" w:rsidR="00DC1F96" w:rsidRPr="002543F5" w:rsidRDefault="00DC1F96" w:rsidP="00441572">
      <w:pPr>
        <w:pStyle w:val="SingleTxtG"/>
        <w:ind w:firstLine="567"/>
        <w:rPr>
          <w:lang w:val="fr-FR"/>
        </w:rPr>
      </w:pPr>
      <w:r>
        <w:rPr>
          <w:lang w:val="fr-FR"/>
        </w:rPr>
        <w:t>1.</w:t>
      </w:r>
      <w:r>
        <w:rPr>
          <w:lang w:val="fr-FR"/>
        </w:rPr>
        <w:tab/>
      </w:r>
      <w:r>
        <w:rPr>
          <w:i/>
          <w:iCs/>
          <w:lang w:val="fr-FR"/>
        </w:rPr>
        <w:t xml:space="preserve">Demande </w:t>
      </w:r>
      <w:r>
        <w:rPr>
          <w:lang w:val="fr-FR"/>
        </w:rPr>
        <w:t>aux États parties de rejeter et de condamner publiquement, sans équivoque et sans réserve, toutes les formes de violence raciste que subissent les Asiatiques et les personnes d’ascendance asiatique dans le contexte de la pandémie de maladie à coronavirus (COVID-19), de prendre toutes les mesures nécessaires pour enquêter sur les actes liés à cette violence, de condamner leurs auteurs à des peines appropriées et d’accorder des réparations effectives et suffisantes aux victimes ;</w:t>
      </w:r>
    </w:p>
    <w:p w14:paraId="29D9199B" w14:textId="20C9B3AE" w:rsidR="00DC1F96" w:rsidRPr="002543F5" w:rsidRDefault="00DC1F96" w:rsidP="00441572">
      <w:pPr>
        <w:pStyle w:val="SingleTxtG"/>
        <w:ind w:firstLine="567"/>
        <w:rPr>
          <w:lang w:val="fr-FR"/>
        </w:rPr>
      </w:pPr>
      <w:r>
        <w:rPr>
          <w:lang w:val="fr-FR"/>
        </w:rPr>
        <w:lastRenderedPageBreak/>
        <w:t>2.</w:t>
      </w:r>
      <w:r>
        <w:rPr>
          <w:lang w:val="fr-FR"/>
        </w:rPr>
        <w:tab/>
      </w:r>
      <w:r>
        <w:rPr>
          <w:i/>
          <w:iCs/>
          <w:lang w:val="fr-FR"/>
        </w:rPr>
        <w:t>Demande également</w:t>
      </w:r>
      <w:r>
        <w:rPr>
          <w:lang w:val="fr-FR"/>
        </w:rPr>
        <w:t xml:space="preserve"> aux États parties de condamner tous les discours de haine raciste et les propos discriminatoires, en particulier lorsqu’ils émanent de représentants de l’État et d’autres personnalités publiques, et de prendre toutes les mesures législatives et administratives nécessaires pour protéger les Asiatiques et les personnes d’ascendance asiatique des discours de haine raciste, de l’incitation à la haine et d’autres actes de discrimination raciale et de stigmatisation liés à la pandémie de COVID-19 ;</w:t>
      </w:r>
    </w:p>
    <w:p w14:paraId="08B823FB" w14:textId="57CD2893" w:rsidR="00DC1F96" w:rsidRPr="002543F5" w:rsidRDefault="00DC1F96" w:rsidP="00441572">
      <w:pPr>
        <w:pStyle w:val="SingleTxtG"/>
        <w:ind w:firstLine="567"/>
        <w:rPr>
          <w:lang w:val="fr-FR"/>
        </w:rPr>
      </w:pPr>
      <w:r>
        <w:rPr>
          <w:lang w:val="fr-FR"/>
        </w:rPr>
        <w:t>3.</w:t>
      </w:r>
      <w:r>
        <w:rPr>
          <w:lang w:val="fr-FR"/>
        </w:rPr>
        <w:tab/>
      </w:r>
      <w:r>
        <w:rPr>
          <w:i/>
          <w:iCs/>
          <w:lang w:val="fr-FR"/>
        </w:rPr>
        <w:t>Demande en outre</w:t>
      </w:r>
      <w:r>
        <w:rPr>
          <w:lang w:val="fr-FR"/>
        </w:rPr>
        <w:t xml:space="preserve"> aux États parties de veiller à ce que les Asiatiques et les personnes d’ascendance asiatique, y</w:t>
      </w:r>
      <w:r w:rsidR="006714C7">
        <w:rPr>
          <w:lang w:val="fr-FR"/>
        </w:rPr>
        <w:t> </w:t>
      </w:r>
      <w:r>
        <w:rPr>
          <w:lang w:val="fr-FR"/>
        </w:rPr>
        <w:t>compris les femmes et les filles, ne fassent l’objet de discrimination dans aucun domaine de la vie, notamment sur leur lieu de travail, ni en matière de santé et d’éducation, dans le contexte de la pandémie de COVID-19 et après la pandémie ;</w:t>
      </w:r>
    </w:p>
    <w:p w14:paraId="1B491167" w14:textId="618E17D5" w:rsidR="00DC1F96" w:rsidRPr="002543F5" w:rsidRDefault="00DC1F96" w:rsidP="00441572">
      <w:pPr>
        <w:pStyle w:val="SingleTxtG"/>
        <w:ind w:firstLine="567"/>
        <w:rPr>
          <w:lang w:val="fr-FR"/>
        </w:rPr>
      </w:pPr>
      <w:r>
        <w:rPr>
          <w:lang w:val="fr-FR"/>
        </w:rPr>
        <w:t>4.</w:t>
      </w:r>
      <w:r>
        <w:rPr>
          <w:lang w:val="fr-FR"/>
        </w:rPr>
        <w:tab/>
      </w:r>
      <w:r>
        <w:rPr>
          <w:i/>
          <w:iCs/>
          <w:lang w:val="fr-FR"/>
        </w:rPr>
        <w:t xml:space="preserve">Exhorte </w:t>
      </w:r>
      <w:r>
        <w:rPr>
          <w:lang w:val="fr-FR"/>
        </w:rPr>
        <w:t>les États parties à adopter des mesures destinées à prévenir la discrimination raciale à l’égard des Asiatiques et des personnes d’ascendance asiatique en promouvant la tolérance et la compréhension mutuelle entre les différents groupes vivant sur leur territoire, au moyen notamment de programmes éducatifs et de campagnes de</w:t>
      </w:r>
      <w:r w:rsidR="00441572">
        <w:rPr>
          <w:lang w:val="fr-FR"/>
        </w:rPr>
        <w:t> </w:t>
      </w:r>
      <w:r>
        <w:rPr>
          <w:lang w:val="fr-FR"/>
        </w:rPr>
        <w:t>sensibilisation.</w:t>
      </w:r>
    </w:p>
    <w:p w14:paraId="5D2D5F41" w14:textId="49A8C46D" w:rsidR="00DC1F96" w:rsidRPr="002543F5" w:rsidRDefault="00DC1F96" w:rsidP="00441572">
      <w:pPr>
        <w:pStyle w:val="H1G"/>
        <w:rPr>
          <w:lang w:val="fr-FR"/>
        </w:rPr>
      </w:pPr>
      <w:r>
        <w:rPr>
          <w:lang w:val="fr-FR"/>
        </w:rPr>
        <w:tab/>
        <w:t>B.</w:t>
      </w:r>
      <w:r>
        <w:rPr>
          <w:lang w:val="fr-FR"/>
        </w:rPr>
        <w:tab/>
        <w:t>Examen de situations au titre des procédures d’alerte rapide et</w:t>
      </w:r>
      <w:r w:rsidR="00441572">
        <w:rPr>
          <w:lang w:val="fr-FR"/>
        </w:rPr>
        <w:t> </w:t>
      </w:r>
      <w:r>
        <w:rPr>
          <w:lang w:val="fr-FR"/>
        </w:rPr>
        <w:t>d’intervention d’urgence</w:t>
      </w:r>
      <w:bookmarkStart w:id="53" w:name="_Toc48752323"/>
      <w:bookmarkStart w:id="54" w:name="_Toc48816876"/>
      <w:bookmarkStart w:id="55" w:name="_Toc81563228"/>
      <w:bookmarkEnd w:id="53"/>
      <w:bookmarkEnd w:id="54"/>
      <w:bookmarkEnd w:id="55"/>
    </w:p>
    <w:p w14:paraId="30AC1B5A" w14:textId="3D4316C0" w:rsidR="00DC1F96" w:rsidRPr="002543F5" w:rsidRDefault="00441572" w:rsidP="00DC1F96">
      <w:pPr>
        <w:pStyle w:val="SingleTxtG"/>
        <w:rPr>
          <w:lang w:val="fr-FR"/>
        </w:rPr>
      </w:pPr>
      <w:r>
        <w:rPr>
          <w:lang w:val="fr-FR"/>
        </w:rPr>
        <w:t>20.</w:t>
      </w:r>
      <w:r>
        <w:rPr>
          <w:lang w:val="fr-FR"/>
        </w:rPr>
        <w:tab/>
      </w:r>
      <w:r w:rsidR="00DC1F96">
        <w:rPr>
          <w:lang w:val="fr-FR"/>
        </w:rPr>
        <w:t>Au cours de la période considérée, le Comité a examiné, au titre de ses procédures d’alerte rapide et d’intervention d’urgence, plusieurs situations dont on trouvera ci-après le</w:t>
      </w:r>
      <w:r>
        <w:rPr>
          <w:lang w:val="fr-FR"/>
        </w:rPr>
        <w:t> </w:t>
      </w:r>
      <w:r w:rsidR="00DC1F96">
        <w:rPr>
          <w:lang w:val="fr-FR"/>
        </w:rPr>
        <w:t>détail.</w:t>
      </w:r>
    </w:p>
    <w:p w14:paraId="55A22442" w14:textId="043B9A4D" w:rsidR="00DC1F96" w:rsidRPr="002543F5" w:rsidRDefault="00441572" w:rsidP="00DC1F96">
      <w:pPr>
        <w:pStyle w:val="SingleTxtG"/>
        <w:rPr>
          <w:lang w:val="fr-FR"/>
        </w:rPr>
      </w:pPr>
      <w:r>
        <w:rPr>
          <w:lang w:val="fr-FR"/>
        </w:rPr>
        <w:t>21.</w:t>
      </w:r>
      <w:r>
        <w:rPr>
          <w:lang w:val="fr-FR"/>
        </w:rPr>
        <w:tab/>
      </w:r>
      <w:r w:rsidR="00DC1F96">
        <w:rPr>
          <w:lang w:val="fr-FR"/>
        </w:rPr>
        <w:t>Le 30</w:t>
      </w:r>
      <w:r>
        <w:rPr>
          <w:lang w:val="fr-FR"/>
        </w:rPr>
        <w:t> </w:t>
      </w:r>
      <w:r w:rsidR="00DC1F96">
        <w:rPr>
          <w:lang w:val="fr-FR"/>
        </w:rPr>
        <w:t>décembre 2019, le Comité a reçu une lettre du Gouvernement bélarussien, en réponse à sa lettre du 13</w:t>
      </w:r>
      <w:r>
        <w:rPr>
          <w:lang w:val="fr-FR"/>
        </w:rPr>
        <w:t> </w:t>
      </w:r>
      <w:r w:rsidR="00DC1F96">
        <w:rPr>
          <w:lang w:val="fr-FR"/>
        </w:rPr>
        <w:t>décembre 2019 dans laquelle il s’inquiétait d’allégations selon lesquelles des agents du Ministère de l’intérieur avaient commis des irrégularités et des abus dans le cadre de l’enquête sur le meurtre d’un policier dans la province de Moguilev. Tout</w:t>
      </w:r>
      <w:r w:rsidR="006714C7">
        <w:rPr>
          <w:lang w:val="fr-FR"/>
        </w:rPr>
        <w:t xml:space="preserve"> en </w:t>
      </w:r>
      <w:r w:rsidR="00DC1F96">
        <w:rPr>
          <w:lang w:val="fr-FR"/>
        </w:rPr>
        <w:t>notant les informations communiquées par l’État partie, le Comité, dans sa lettre du 7</w:t>
      </w:r>
      <w:r>
        <w:rPr>
          <w:lang w:val="fr-FR"/>
        </w:rPr>
        <w:t> </w:t>
      </w:r>
      <w:r w:rsidR="00DC1F96">
        <w:rPr>
          <w:lang w:val="fr-FR"/>
        </w:rPr>
        <w:t>août 2020, a de nouveau fait part de ses préoccupations et demandé des informations supplémentaires sur les mesures prises pour y répondre.</w:t>
      </w:r>
    </w:p>
    <w:p w14:paraId="4855ECA4" w14:textId="47F9239C" w:rsidR="00DC1F96" w:rsidRPr="002543F5" w:rsidRDefault="00441572" w:rsidP="00DC1F96">
      <w:pPr>
        <w:pStyle w:val="SingleTxtG"/>
        <w:rPr>
          <w:lang w:val="fr-FR"/>
        </w:rPr>
      </w:pPr>
      <w:r>
        <w:rPr>
          <w:lang w:val="fr-FR"/>
        </w:rPr>
        <w:t>22.</w:t>
      </w:r>
      <w:r>
        <w:rPr>
          <w:lang w:val="fr-FR"/>
        </w:rPr>
        <w:tab/>
      </w:r>
      <w:r w:rsidR="00DC1F96">
        <w:rPr>
          <w:lang w:val="fr-FR"/>
        </w:rPr>
        <w:t>Le 7</w:t>
      </w:r>
      <w:r>
        <w:rPr>
          <w:lang w:val="fr-FR"/>
        </w:rPr>
        <w:t> </w:t>
      </w:r>
      <w:r w:rsidR="00DC1F96">
        <w:rPr>
          <w:lang w:val="fr-FR"/>
        </w:rPr>
        <w:t>août 2020, le Comité a adressé au Gouvernement brésilien une lettre dans laquelle il exprimait son inquiétude concernant en particulier la situation des peuples autochtones, des Afro-Brésiliens et des quilombolas dans le contexte de la pandémie de COVID-19 au Brésil, ainsi que les effets préjudiciables de la discrimination structurelle qui aggrave la discrimination que subissent déjà ces personnes, notamment les femmes. Il a demandé des informations sur ces problèmes et les mesures concrètes adoptées pour y</w:t>
      </w:r>
      <w:r w:rsidR="006714C7">
        <w:rPr>
          <w:lang w:val="fr-FR"/>
        </w:rPr>
        <w:t> </w:t>
      </w:r>
      <w:r w:rsidR="00DC1F96">
        <w:rPr>
          <w:lang w:val="fr-FR"/>
        </w:rPr>
        <w:t>remédier.</w:t>
      </w:r>
    </w:p>
    <w:p w14:paraId="2364224D" w14:textId="1068A60D" w:rsidR="00DC1F96" w:rsidRPr="002543F5" w:rsidRDefault="00441572" w:rsidP="00DC1F96">
      <w:pPr>
        <w:pStyle w:val="SingleTxtG"/>
        <w:rPr>
          <w:lang w:val="fr-FR"/>
        </w:rPr>
      </w:pPr>
      <w:r>
        <w:rPr>
          <w:lang w:val="fr-FR"/>
        </w:rPr>
        <w:t>23.</w:t>
      </w:r>
      <w:r>
        <w:rPr>
          <w:lang w:val="fr-FR"/>
        </w:rPr>
        <w:tab/>
      </w:r>
      <w:r w:rsidR="00DC1F96">
        <w:rPr>
          <w:lang w:val="fr-FR"/>
        </w:rPr>
        <w:t>Le 7</w:t>
      </w:r>
      <w:r>
        <w:rPr>
          <w:lang w:val="fr-FR"/>
        </w:rPr>
        <w:t> </w:t>
      </w:r>
      <w:r w:rsidR="00DC1F96">
        <w:rPr>
          <w:lang w:val="fr-FR"/>
        </w:rPr>
        <w:t>août 2020, le Comité a adressé au Gouvernement kazakh une lettre dans laquelle il lui faisait part de sa préoccupation au sujet, notamment, des violences à caractère ethnique perpétrées au Kazakhstan contre la minorité doungane par des non-Dounganes dans les villages de Masanchi, de Sortobe, de Bular-Batyr et d’Aukhatty, dans le district de Kordaï (province de Djamboul), les 7 et 8</w:t>
      </w:r>
      <w:r w:rsidR="00781E5C">
        <w:rPr>
          <w:lang w:val="fr-FR"/>
        </w:rPr>
        <w:t> </w:t>
      </w:r>
      <w:r w:rsidR="00DC1F96">
        <w:rPr>
          <w:lang w:val="fr-FR"/>
        </w:rPr>
        <w:t>février 2020. Il a prié l’État partie de lui communiquer des informations sur les problèmes susmentionnés et les mesures prises pour y remédier.</w:t>
      </w:r>
    </w:p>
    <w:p w14:paraId="5384ABD4" w14:textId="713576EE" w:rsidR="00DC1F96" w:rsidRPr="002543F5" w:rsidRDefault="00781E5C" w:rsidP="00DC1F96">
      <w:pPr>
        <w:pStyle w:val="SingleTxtG"/>
        <w:rPr>
          <w:lang w:val="fr-FR"/>
        </w:rPr>
      </w:pPr>
      <w:r>
        <w:rPr>
          <w:lang w:val="fr-FR"/>
        </w:rPr>
        <w:t>24.</w:t>
      </w:r>
      <w:r>
        <w:rPr>
          <w:lang w:val="fr-FR"/>
        </w:rPr>
        <w:tab/>
      </w:r>
      <w:r w:rsidR="00DC1F96">
        <w:rPr>
          <w:lang w:val="fr-FR"/>
        </w:rPr>
        <w:t>Le 7</w:t>
      </w:r>
      <w:r>
        <w:rPr>
          <w:lang w:val="fr-FR"/>
        </w:rPr>
        <w:t> </w:t>
      </w:r>
      <w:r w:rsidR="00DC1F96">
        <w:rPr>
          <w:lang w:val="fr-FR"/>
        </w:rPr>
        <w:t>août 2020, le Comité a adressé au Gouvernement russe une lettre sur la situation des Roms évoquée dans sa lettre du 13</w:t>
      </w:r>
      <w:r>
        <w:rPr>
          <w:lang w:val="fr-FR"/>
        </w:rPr>
        <w:t> </w:t>
      </w:r>
      <w:r w:rsidR="00DC1F96">
        <w:rPr>
          <w:lang w:val="fr-FR"/>
        </w:rPr>
        <w:t>décembre 2019, dans laquelle il avait noté avec préoccupation qu’à la suite d’un affrontement interethnique survenu en juin 2019 entre Roms et non-Roms dans le village de Chemodanovka, dans la province de Penza, 900</w:t>
      </w:r>
      <w:r>
        <w:rPr>
          <w:lang w:val="fr-FR"/>
        </w:rPr>
        <w:t> </w:t>
      </w:r>
      <w:r w:rsidR="00DC1F96">
        <w:rPr>
          <w:lang w:val="fr-FR"/>
        </w:rPr>
        <w:t>Roms avaient pris la fuite et fait l’objet d’arrestations arbitraires et de traitements inhumains de la part des forces de l’ordre. Dans sa lettre du 7</w:t>
      </w:r>
      <w:r>
        <w:rPr>
          <w:lang w:val="fr-FR"/>
        </w:rPr>
        <w:t> </w:t>
      </w:r>
      <w:r w:rsidR="00DC1F96">
        <w:rPr>
          <w:lang w:val="fr-FR"/>
        </w:rPr>
        <w:t>août 2020, le Comité a réitéré sa demande de réponse à sa précédente lettre.</w:t>
      </w:r>
    </w:p>
    <w:p w14:paraId="23C0C546" w14:textId="579D60FB" w:rsidR="00DC1F96" w:rsidRPr="002543F5" w:rsidRDefault="00781E5C" w:rsidP="00DC1F96">
      <w:pPr>
        <w:pStyle w:val="SingleTxtG"/>
        <w:rPr>
          <w:lang w:val="fr-FR"/>
        </w:rPr>
      </w:pPr>
      <w:r>
        <w:rPr>
          <w:lang w:val="fr-FR"/>
        </w:rPr>
        <w:t>25.</w:t>
      </w:r>
      <w:r>
        <w:rPr>
          <w:lang w:val="fr-FR"/>
        </w:rPr>
        <w:tab/>
      </w:r>
      <w:r w:rsidR="00DC1F96">
        <w:rPr>
          <w:lang w:val="fr-FR"/>
        </w:rPr>
        <w:t>Le 7</w:t>
      </w:r>
      <w:r>
        <w:rPr>
          <w:lang w:val="fr-FR"/>
        </w:rPr>
        <w:t> </w:t>
      </w:r>
      <w:r w:rsidR="00DC1F96">
        <w:rPr>
          <w:lang w:val="fr-FR"/>
        </w:rPr>
        <w:t xml:space="preserve">août 2020, le Comité a adressé au Gouvernement des États-Unis d’Amérique une lettre pour lui faire part de sa préoccupation au sujet, notamment, des effets néfastes que le projet d’exploitation pétrolière et gazière dans la plaine côtière du refuge faunique national de l’Arctique, en Alaska, pourrait avoir sur les peuples autochtones Gwich’in, et des allégations selon lesquelles ce projet aurait été mis au point sans dûment consulter ces peuples ni obtenir leur consentement préalable, libre et éclairé. Le Comité a demandé à l’État partie </w:t>
      </w:r>
      <w:r w:rsidR="00DC1F96">
        <w:rPr>
          <w:lang w:val="fr-FR"/>
        </w:rPr>
        <w:lastRenderedPageBreak/>
        <w:t>de lui transmettre des informations sur l’état d’avancement du projet d’exploitation des ressources pétrolières et gazières de la plaine côtière et sur les mesures prises pour remédier aux problèmes susmentionnés.</w:t>
      </w:r>
    </w:p>
    <w:p w14:paraId="355CDF6E" w14:textId="62BD8BD3" w:rsidR="00DC1F96" w:rsidRPr="002543F5" w:rsidRDefault="00781E5C" w:rsidP="00DC1F96">
      <w:pPr>
        <w:pStyle w:val="SingleTxtG"/>
        <w:rPr>
          <w:lang w:val="fr-FR"/>
        </w:rPr>
      </w:pPr>
      <w:r>
        <w:rPr>
          <w:lang w:val="fr-FR"/>
        </w:rPr>
        <w:t>26.</w:t>
      </w:r>
      <w:r>
        <w:rPr>
          <w:lang w:val="fr-FR"/>
        </w:rPr>
        <w:tab/>
      </w:r>
      <w:r w:rsidR="00DC1F96">
        <w:rPr>
          <w:lang w:val="fr-FR"/>
        </w:rPr>
        <w:t>Le 7</w:t>
      </w:r>
      <w:r>
        <w:rPr>
          <w:lang w:val="fr-FR"/>
        </w:rPr>
        <w:t> </w:t>
      </w:r>
      <w:r w:rsidR="00DC1F96">
        <w:rPr>
          <w:lang w:val="fr-FR"/>
        </w:rPr>
        <w:t>juillet 2020, le Comité a reçu une lettre du Gouvernement canadien en réponse à sa décision du 13</w:t>
      </w:r>
      <w:r>
        <w:rPr>
          <w:lang w:val="fr-FR"/>
        </w:rPr>
        <w:t> </w:t>
      </w:r>
      <w:r w:rsidR="00DC1F96">
        <w:rPr>
          <w:lang w:val="fr-FR"/>
        </w:rPr>
        <w:t>décembre 2019, dans laquelle il se disait particulièrement préoccupé de l’absence de consentement préalable, libre et éclairé des communautés Secwepemc et Wet’suwet’en concernant la mise en place du projet de barrage du site C, l’autorisation du projet d’extension de l’oléoduc Trans Mountain en Colombie-Britannique et le gazoduc Coastal GasLink. Dans sa lettre du 24</w:t>
      </w:r>
      <w:r>
        <w:rPr>
          <w:lang w:val="fr-FR"/>
        </w:rPr>
        <w:t> </w:t>
      </w:r>
      <w:r w:rsidR="00DC1F96">
        <w:rPr>
          <w:lang w:val="fr-FR"/>
        </w:rPr>
        <w:t>novembre 2020, il a pris note des informations fournies par l’État partie à cet égard et sollicité des informations à jour sur les problèmes évoqués dans sa décision du 13</w:t>
      </w:r>
      <w:r>
        <w:rPr>
          <w:lang w:val="fr-FR"/>
        </w:rPr>
        <w:t> </w:t>
      </w:r>
      <w:r w:rsidR="00DC1F96">
        <w:rPr>
          <w:lang w:val="fr-FR"/>
        </w:rPr>
        <w:t>décembre 2019.</w:t>
      </w:r>
    </w:p>
    <w:p w14:paraId="46F44000" w14:textId="0FE7DBD7" w:rsidR="00DC1F96" w:rsidRPr="002543F5" w:rsidRDefault="00781E5C" w:rsidP="00DC1F96">
      <w:pPr>
        <w:pStyle w:val="SingleTxtG"/>
        <w:rPr>
          <w:lang w:val="fr-FR"/>
        </w:rPr>
      </w:pPr>
      <w:r>
        <w:rPr>
          <w:lang w:val="fr-FR"/>
        </w:rPr>
        <w:t>27.</w:t>
      </w:r>
      <w:r>
        <w:rPr>
          <w:lang w:val="fr-FR"/>
        </w:rPr>
        <w:tab/>
      </w:r>
      <w:r w:rsidR="00DC1F96">
        <w:rPr>
          <w:lang w:val="fr-FR"/>
        </w:rPr>
        <w:t>Le 24</w:t>
      </w:r>
      <w:r>
        <w:rPr>
          <w:lang w:val="fr-FR"/>
        </w:rPr>
        <w:t> </w:t>
      </w:r>
      <w:r w:rsidR="00DC1F96">
        <w:rPr>
          <w:lang w:val="fr-FR"/>
        </w:rPr>
        <w:t>novembre 2020, le Comité a adressé au Gouvernement panaméen une lettre concernant la situation du peuple autochtone Ngäbe touché par les activités de la centrale hydroélectrique de Changuinola (Panama). Dans sa lettre, il a pris note des informations communiquées par l’État partie et demandé un complément d’information sur la situation et les mesures prises pour s’en occuper.</w:t>
      </w:r>
    </w:p>
    <w:p w14:paraId="23480CF4" w14:textId="5C61253F" w:rsidR="00DC1F96" w:rsidRPr="002543F5" w:rsidRDefault="00781E5C" w:rsidP="00DC1F96">
      <w:pPr>
        <w:pStyle w:val="SingleTxtG"/>
        <w:rPr>
          <w:lang w:val="fr-FR"/>
        </w:rPr>
      </w:pPr>
      <w:r>
        <w:rPr>
          <w:lang w:val="fr-FR"/>
        </w:rPr>
        <w:t>28.</w:t>
      </w:r>
      <w:r>
        <w:rPr>
          <w:lang w:val="fr-FR"/>
        </w:rPr>
        <w:tab/>
      </w:r>
      <w:r w:rsidR="00DC1F96">
        <w:rPr>
          <w:lang w:val="fr-FR"/>
        </w:rPr>
        <w:t>Le 22</w:t>
      </w:r>
      <w:r>
        <w:rPr>
          <w:lang w:val="fr-FR"/>
        </w:rPr>
        <w:t> </w:t>
      </w:r>
      <w:r w:rsidR="00DC1F96">
        <w:rPr>
          <w:lang w:val="fr-FR"/>
        </w:rPr>
        <w:t>novembre 2019, le Comité a reçu une lettre du Gouvernement thaïlandais en réponse à sa lettre précédente, dans laquelle il s’était dit préoccupé, notamment, par les allégations selon lesquelles le peuple autochtone karen subissait des attaques et un harcèlement continu dans le parc national de Kaeng Krachan, le fait que les auteurs de ces violations n’étaient nullement inquiétés et la réactivation de la proposition d’inscription du parc national au patrimoine mondial de l’Organisation des Nations</w:t>
      </w:r>
      <w:r>
        <w:rPr>
          <w:lang w:val="fr-FR"/>
        </w:rPr>
        <w:t> </w:t>
      </w:r>
      <w:r w:rsidR="00DC1F96">
        <w:rPr>
          <w:lang w:val="fr-FR"/>
        </w:rPr>
        <w:t>Unies pour l’éducation, la science et la culture en 2019 sans consultation des peuples autochtones concernés ni aucune mesure en vue d’obtenir leur consentement préalable, libre et éclairé. Dans sa lettre du 24</w:t>
      </w:r>
      <w:r w:rsidR="004B7E9E">
        <w:rPr>
          <w:lang w:val="fr-FR"/>
        </w:rPr>
        <w:t> </w:t>
      </w:r>
      <w:r w:rsidR="00DC1F96">
        <w:rPr>
          <w:lang w:val="fr-FR"/>
        </w:rPr>
        <w:t>novembre 2020, il a demandé des informations détaillées sur les points mentionnés dans la lettre de l’État partie.</w:t>
      </w:r>
    </w:p>
    <w:p w14:paraId="1E25B506" w14:textId="3CF99420" w:rsidR="00DC1F96" w:rsidRPr="002543F5" w:rsidRDefault="00781E5C" w:rsidP="00DC1F96">
      <w:pPr>
        <w:pStyle w:val="SingleTxtG"/>
        <w:rPr>
          <w:lang w:val="fr-FR"/>
        </w:rPr>
      </w:pPr>
      <w:r>
        <w:rPr>
          <w:lang w:val="fr-FR"/>
        </w:rPr>
        <w:t>29.</w:t>
      </w:r>
      <w:r>
        <w:rPr>
          <w:lang w:val="fr-FR"/>
        </w:rPr>
        <w:tab/>
      </w:r>
      <w:r w:rsidR="00DC1F96">
        <w:rPr>
          <w:lang w:val="fr-FR"/>
        </w:rPr>
        <w:t>Le 24</w:t>
      </w:r>
      <w:r>
        <w:rPr>
          <w:lang w:val="fr-FR"/>
        </w:rPr>
        <w:t> </w:t>
      </w:r>
      <w:r w:rsidR="00DC1F96">
        <w:rPr>
          <w:lang w:val="fr-FR"/>
        </w:rPr>
        <w:t>novembre 2020, le Comité a adressé au Gouvernement russe une lettre concernant des allégations de harcèlement judiciaire visant une organisation non gouvernementale œuvrant à la promotion et à la protection des droits des peuples autochtones. Il s’est notamment dit préoccupé par les informations sur la requête introduite par le Ministre de la justice de la Fédération de Russie qui, accusant cette organisation d’enfreindre la « loi sur les agents de l’étranger », avait obtenu la cessation de ses activités, que la première cour d’appel avait confirmée par sa décision du 3</w:t>
      </w:r>
      <w:r>
        <w:rPr>
          <w:lang w:val="fr-FR"/>
        </w:rPr>
        <w:t> </w:t>
      </w:r>
      <w:r w:rsidR="00DC1F96">
        <w:rPr>
          <w:lang w:val="fr-FR"/>
        </w:rPr>
        <w:t>mars 2020. Le Comité a demandé à l’État partie de lui fournir des informations sur les questions susmentionnées.</w:t>
      </w:r>
    </w:p>
    <w:p w14:paraId="279E6C7D" w14:textId="12AE7B29" w:rsidR="00DC1F96" w:rsidRPr="002543F5" w:rsidRDefault="00781E5C" w:rsidP="00DC1F96">
      <w:pPr>
        <w:pStyle w:val="SingleTxtG"/>
        <w:rPr>
          <w:lang w:val="fr-FR"/>
        </w:rPr>
      </w:pPr>
      <w:r>
        <w:rPr>
          <w:lang w:val="fr-FR"/>
        </w:rPr>
        <w:t>30.</w:t>
      </w:r>
      <w:r>
        <w:rPr>
          <w:lang w:val="fr-FR"/>
        </w:rPr>
        <w:tab/>
      </w:r>
      <w:r w:rsidR="00DC1F96">
        <w:rPr>
          <w:lang w:val="fr-FR"/>
        </w:rPr>
        <w:t>Le 24</w:t>
      </w:r>
      <w:r>
        <w:rPr>
          <w:lang w:val="fr-FR"/>
        </w:rPr>
        <w:t> </w:t>
      </w:r>
      <w:r w:rsidR="00DC1F96">
        <w:rPr>
          <w:lang w:val="fr-FR"/>
        </w:rPr>
        <w:t>novembre 2020, le Comité a adressé au Gouvernement des États-Unis d’Amérique une lettre dans laquelle il s’est dit préoccupé, en particulier, de ce que la décision de l’État partie du 17</w:t>
      </w:r>
      <w:r>
        <w:rPr>
          <w:lang w:val="fr-FR"/>
        </w:rPr>
        <w:t> </w:t>
      </w:r>
      <w:r w:rsidR="00DC1F96">
        <w:rPr>
          <w:lang w:val="fr-FR"/>
        </w:rPr>
        <w:t>août 2020 relative à la publication du rapport sur le projet de concessions pétrolières et gazières dans la plaine côtière constituerait la dernière étape administrative nécessaire pour procéder à la vente des concessions aux compagnies pétrolières et gazières qui, une fois lancée, serait presque impossible à annuler. D’aucuns craignaient que les modalités de forage retenues aient des effets destructeurs sur la plaine côtière et causent des dommages irréparables aux peuples Gwich’in. Le Comité a demandé une réponse de l’État partie sur les points mentionnés dans ses lettres du 7</w:t>
      </w:r>
      <w:r>
        <w:rPr>
          <w:lang w:val="fr-FR"/>
        </w:rPr>
        <w:t> </w:t>
      </w:r>
      <w:r w:rsidR="00DC1F96">
        <w:rPr>
          <w:lang w:val="fr-FR"/>
        </w:rPr>
        <w:t>août et du 24</w:t>
      </w:r>
      <w:r>
        <w:rPr>
          <w:lang w:val="fr-FR"/>
        </w:rPr>
        <w:t> </w:t>
      </w:r>
      <w:r w:rsidR="00DC1F96">
        <w:rPr>
          <w:lang w:val="fr-FR"/>
        </w:rPr>
        <w:t>novembre 2020.</w:t>
      </w:r>
    </w:p>
    <w:p w14:paraId="03B4D1ED" w14:textId="4738AE62" w:rsidR="00DC1F96" w:rsidRPr="003E7C09" w:rsidRDefault="00781E5C" w:rsidP="00DC1F96">
      <w:pPr>
        <w:pStyle w:val="SingleTxtG"/>
        <w:rPr>
          <w:spacing w:val="-1"/>
          <w:lang w:val="fr-FR"/>
        </w:rPr>
      </w:pPr>
      <w:r w:rsidRPr="003E7C09">
        <w:rPr>
          <w:spacing w:val="-1"/>
          <w:lang w:val="fr-FR"/>
        </w:rPr>
        <w:t>31.</w:t>
      </w:r>
      <w:r w:rsidRPr="003E7C09">
        <w:rPr>
          <w:spacing w:val="-1"/>
          <w:lang w:val="fr-FR"/>
        </w:rPr>
        <w:tab/>
      </w:r>
      <w:r w:rsidR="00DC1F96" w:rsidRPr="003E7C09">
        <w:rPr>
          <w:spacing w:val="-1"/>
          <w:lang w:val="fr-FR"/>
        </w:rPr>
        <w:t>Le 30</w:t>
      </w:r>
      <w:r w:rsidRPr="003E7C09">
        <w:rPr>
          <w:spacing w:val="-1"/>
          <w:lang w:val="fr-FR"/>
        </w:rPr>
        <w:t> </w:t>
      </w:r>
      <w:r w:rsidR="00DC1F96" w:rsidRPr="003E7C09">
        <w:rPr>
          <w:spacing w:val="-1"/>
          <w:lang w:val="fr-FR"/>
        </w:rPr>
        <w:t xml:space="preserve">avril 2021, le Comité a adressé au Gouvernement brésilien une lettre concernant la construction d’autoroutes et de voies ferrées dans l’État du Mato Grosso et ses conséquences pour les droits des Xavante et d’autres peuples autochtones. Il a pris note des informations fournies par l’État partie mais s’est dit préoccupé par les incidences négatives présumées de ces projets sur les Xavante, sachant notamment que tous les autochtones n’avaient pas été consultés dans le cadre des projets en question et que nul n’avait apparemment sollicité le </w:t>
      </w:r>
      <w:r w:rsidR="00DC1F96" w:rsidRPr="003E7C09">
        <w:rPr>
          <w:lang w:val="fr-FR"/>
        </w:rPr>
        <w:t>consentement préalable, libre et éclairé de l’ensemble des personnes touchées. Le Comité a demandé à l’État partie de lui communiquer des informations sur ces questions.</w:t>
      </w:r>
    </w:p>
    <w:p w14:paraId="4AE634C2" w14:textId="40046C36" w:rsidR="00DC1F96" w:rsidRPr="002543F5" w:rsidRDefault="00781E5C" w:rsidP="00DC1F96">
      <w:pPr>
        <w:pStyle w:val="SingleTxtG"/>
        <w:rPr>
          <w:lang w:val="fr-FR"/>
        </w:rPr>
      </w:pPr>
      <w:r>
        <w:rPr>
          <w:lang w:val="fr-FR"/>
        </w:rPr>
        <w:t>32.</w:t>
      </w:r>
      <w:r>
        <w:rPr>
          <w:lang w:val="fr-FR"/>
        </w:rPr>
        <w:tab/>
      </w:r>
      <w:r w:rsidR="00DC1F96">
        <w:rPr>
          <w:lang w:val="fr-FR"/>
        </w:rPr>
        <w:t>Le 30</w:t>
      </w:r>
      <w:r>
        <w:rPr>
          <w:lang w:val="fr-FR"/>
        </w:rPr>
        <w:t> </w:t>
      </w:r>
      <w:r w:rsidR="00DC1F96">
        <w:rPr>
          <w:lang w:val="fr-FR"/>
        </w:rPr>
        <w:t xml:space="preserve">avril 2021, le Comité a adressé au Gouvernement canadien une lettre concernant des allégations d’actes de violence raciste contre les peuples autochtones Mi’kmaw, en Nouvelle-Écosse. Il a noté avec inquiétude, entre autres, que ces peuples étaient de plus en plus la cible de discours haineux, de violences et d’intimidations, et que des pêcheurs non </w:t>
      </w:r>
      <w:r w:rsidR="00DC1F96">
        <w:rPr>
          <w:lang w:val="fr-FR"/>
        </w:rPr>
        <w:lastRenderedPageBreak/>
        <w:t>autochtones avaient incendié et détruit des biens leur appartenant. Le Comité a prié l’État partie de lui fournir des informations sur les problèmes susmentionnés et les mesures prises pour y remédier.</w:t>
      </w:r>
    </w:p>
    <w:p w14:paraId="7C82D123" w14:textId="1B0E3C8B" w:rsidR="00DC1F96" w:rsidRPr="002543F5" w:rsidRDefault="00781E5C" w:rsidP="00DC1F96">
      <w:pPr>
        <w:pStyle w:val="SingleTxtG"/>
        <w:rPr>
          <w:lang w:val="fr-FR"/>
        </w:rPr>
      </w:pPr>
      <w:r>
        <w:rPr>
          <w:lang w:val="fr-FR"/>
        </w:rPr>
        <w:t>33.</w:t>
      </w:r>
      <w:r>
        <w:rPr>
          <w:lang w:val="fr-FR"/>
        </w:rPr>
        <w:tab/>
      </w:r>
      <w:r w:rsidR="00DC1F96">
        <w:rPr>
          <w:lang w:val="fr-FR"/>
        </w:rPr>
        <w:t>Le 30</w:t>
      </w:r>
      <w:r>
        <w:rPr>
          <w:lang w:val="fr-FR"/>
        </w:rPr>
        <w:t> </w:t>
      </w:r>
      <w:r w:rsidR="00DC1F96">
        <w:rPr>
          <w:lang w:val="fr-FR"/>
        </w:rPr>
        <w:t>avril 2021, le Comité a adressé au Gouvernement indonésien une lettre en réponse à la communication que celui-ci lui avait fait parvenir comme suite à une réunion en ligne entre les représentants du Gouvernement et le Comité. Tout en prenant note des informations fournies, il a fait part d’autres préoccupations, à savoir l’absence présumée de reconnaissance officielle des peuples autochtones et les effets préjudiciables de la loi d’ensemble sur leurs moyens de subsistance et leurs droits, s’agissant notamment de leurs terres et territoires et du droit d’être consultés. Le Comité a demandé à l’État partie de lui transmettre des informations sur les problèmes exposés dans sa lettre.</w:t>
      </w:r>
    </w:p>
    <w:p w14:paraId="419E23AD" w14:textId="1DB1F649" w:rsidR="00DC1F96" w:rsidRPr="002543F5" w:rsidRDefault="00781E5C" w:rsidP="00DC1F96">
      <w:pPr>
        <w:pStyle w:val="SingleTxtG"/>
        <w:rPr>
          <w:lang w:val="fr-FR"/>
        </w:rPr>
      </w:pPr>
      <w:r>
        <w:rPr>
          <w:lang w:val="fr-FR"/>
        </w:rPr>
        <w:t>34.</w:t>
      </w:r>
      <w:r>
        <w:rPr>
          <w:lang w:val="fr-FR"/>
        </w:rPr>
        <w:tab/>
      </w:r>
      <w:r w:rsidR="00DC1F96">
        <w:rPr>
          <w:lang w:val="fr-FR"/>
        </w:rPr>
        <w:t>Le 30</w:t>
      </w:r>
      <w:r>
        <w:rPr>
          <w:lang w:val="fr-FR"/>
        </w:rPr>
        <w:t> </w:t>
      </w:r>
      <w:r w:rsidR="00DC1F96">
        <w:rPr>
          <w:lang w:val="fr-FR"/>
        </w:rPr>
        <w:t>avril 2021, le Comité a adressé au Gouvernement kazakh une lettre concernant la situation de la minorité doungane. Il s’est notamment inquiété de ce que le procès intenté par des non-Dounganes contre des membres de cette minorité dans le district de Kordaï à la suite des événements violents des 7 et 8</w:t>
      </w:r>
      <w:r>
        <w:rPr>
          <w:lang w:val="fr-FR"/>
        </w:rPr>
        <w:t> </w:t>
      </w:r>
      <w:r w:rsidR="00DC1F96">
        <w:rPr>
          <w:lang w:val="fr-FR"/>
        </w:rPr>
        <w:t>février 2020 se tenait dans la ville de Taraz, située à 300</w:t>
      </w:r>
      <w:r w:rsidR="004B7E9E">
        <w:rPr>
          <w:lang w:val="fr-FR"/>
        </w:rPr>
        <w:t> </w:t>
      </w:r>
      <w:r w:rsidR="00DC1F96">
        <w:rPr>
          <w:lang w:val="fr-FR"/>
        </w:rPr>
        <w:t>kilomètres du théâtre de ces événements, si bien qu’il était difficile aux victimes et aux autres parties intéressées d’y assister. Le Comité a demandé à l’État partie de lui fournir des informations supplémentaires sur les problèmes susmentionnés.</w:t>
      </w:r>
    </w:p>
    <w:p w14:paraId="6ACB7657" w14:textId="76704CE5" w:rsidR="00DC1F96" w:rsidRPr="002543F5" w:rsidRDefault="00781E5C" w:rsidP="00DC1F96">
      <w:pPr>
        <w:pStyle w:val="SingleTxtG"/>
        <w:rPr>
          <w:lang w:val="fr-FR"/>
        </w:rPr>
      </w:pPr>
      <w:r>
        <w:rPr>
          <w:lang w:val="fr-FR"/>
        </w:rPr>
        <w:t>35.</w:t>
      </w:r>
      <w:r>
        <w:rPr>
          <w:lang w:val="fr-FR"/>
        </w:rPr>
        <w:tab/>
      </w:r>
      <w:r w:rsidR="00DC1F96">
        <w:rPr>
          <w:lang w:val="fr-FR"/>
        </w:rPr>
        <w:t>Le 30</w:t>
      </w:r>
      <w:r>
        <w:rPr>
          <w:lang w:val="fr-FR"/>
        </w:rPr>
        <w:t> </w:t>
      </w:r>
      <w:r w:rsidR="00DC1F96">
        <w:rPr>
          <w:lang w:val="fr-FR"/>
        </w:rPr>
        <w:t>avril 2021, le Comité a adressé au Gouvernement péruvien une lettre concernant la situation de la communauté autochtone de Santa Clara de Uchunya, en référence aux réponses de l’État partie à sa lettre du 29</w:t>
      </w:r>
      <w:r>
        <w:rPr>
          <w:lang w:val="fr-FR"/>
        </w:rPr>
        <w:t> </w:t>
      </w:r>
      <w:r w:rsidR="00DC1F96">
        <w:rPr>
          <w:lang w:val="fr-FR"/>
        </w:rPr>
        <w:t>août 2019. Il a pris note des informations reçues de l’État partie mais a de nouveau fait part des préoccupations exprimées dans sa lettre du 29</w:t>
      </w:r>
      <w:r>
        <w:rPr>
          <w:lang w:val="fr-FR"/>
        </w:rPr>
        <w:t> </w:t>
      </w:r>
      <w:r w:rsidR="00DC1F96">
        <w:rPr>
          <w:lang w:val="fr-FR"/>
        </w:rPr>
        <w:t>août 2019 et demandé à l’État partie un complément d’information sur les problèmes qui y étaient exposés.</w:t>
      </w:r>
    </w:p>
    <w:p w14:paraId="1A87E749" w14:textId="77777777" w:rsidR="00DC1F96" w:rsidRPr="002543F5" w:rsidRDefault="00DC1F96" w:rsidP="00DC1F96">
      <w:pPr>
        <w:pStyle w:val="SingleTxtG"/>
        <w:rPr>
          <w:lang w:val="fr-FR"/>
        </w:rPr>
      </w:pPr>
      <w:r w:rsidRPr="002543F5">
        <w:rPr>
          <w:lang w:val="fr-FR"/>
        </w:rPr>
        <w:br w:type="page"/>
      </w:r>
    </w:p>
    <w:p w14:paraId="6AC0A2C6" w14:textId="6DFE9394" w:rsidR="00DC1F96" w:rsidRPr="002543F5" w:rsidRDefault="00DC1F96" w:rsidP="00781E5C">
      <w:pPr>
        <w:pStyle w:val="HChG"/>
        <w:rPr>
          <w:lang w:val="fr-FR"/>
        </w:rPr>
      </w:pPr>
      <w:r w:rsidRPr="00781E5C">
        <w:rPr>
          <w:spacing w:val="2"/>
          <w:lang w:val="fr-FR"/>
        </w:rPr>
        <w:lastRenderedPageBreak/>
        <w:tab/>
        <w:t>III.</w:t>
      </w:r>
      <w:r w:rsidRPr="00781E5C">
        <w:rPr>
          <w:spacing w:val="2"/>
          <w:lang w:val="fr-FR"/>
        </w:rPr>
        <w:tab/>
        <w:t xml:space="preserve">Examen des rapports, observations et renseignements </w:t>
      </w:r>
      <w:r w:rsidRPr="00781E5C">
        <w:rPr>
          <w:spacing w:val="-3"/>
          <w:lang w:val="fr-FR"/>
        </w:rPr>
        <w:t>soumis</w:t>
      </w:r>
      <w:r w:rsidR="00781E5C" w:rsidRPr="00781E5C">
        <w:rPr>
          <w:spacing w:val="-3"/>
          <w:lang w:val="fr-FR"/>
        </w:rPr>
        <w:t> </w:t>
      </w:r>
      <w:r w:rsidRPr="00781E5C">
        <w:rPr>
          <w:spacing w:val="-3"/>
          <w:lang w:val="fr-FR"/>
        </w:rPr>
        <w:t>par les États parties en application de l’article</w:t>
      </w:r>
      <w:r w:rsidR="00781E5C" w:rsidRPr="00781E5C">
        <w:rPr>
          <w:spacing w:val="-3"/>
          <w:lang w:val="fr-FR"/>
        </w:rPr>
        <w:t> </w:t>
      </w:r>
      <w:r w:rsidRPr="00781E5C">
        <w:rPr>
          <w:spacing w:val="-3"/>
          <w:lang w:val="fr-FR"/>
        </w:rPr>
        <w:t>9</w:t>
      </w:r>
      <w:r>
        <w:rPr>
          <w:lang w:val="fr-FR"/>
        </w:rPr>
        <w:t xml:space="preserve"> </w:t>
      </w:r>
      <w:r w:rsidR="00781E5C">
        <w:rPr>
          <w:lang w:val="fr-FR"/>
        </w:rPr>
        <w:br/>
      </w:r>
      <w:r>
        <w:rPr>
          <w:lang w:val="fr-FR"/>
        </w:rPr>
        <w:t>de la Convention</w:t>
      </w:r>
      <w:bookmarkStart w:id="56" w:name="_Toc428794287"/>
      <w:bookmarkStart w:id="57" w:name="_Toc17361299"/>
      <w:bookmarkStart w:id="58" w:name="_Toc48752324"/>
      <w:bookmarkStart w:id="59" w:name="_Toc48816877"/>
      <w:bookmarkStart w:id="60" w:name="_Toc81563229"/>
      <w:bookmarkEnd w:id="56"/>
      <w:bookmarkEnd w:id="57"/>
      <w:bookmarkEnd w:id="58"/>
      <w:bookmarkEnd w:id="59"/>
      <w:bookmarkEnd w:id="60"/>
    </w:p>
    <w:p w14:paraId="7B317C2A" w14:textId="5731C065" w:rsidR="00DC1F96" w:rsidRPr="002543F5" w:rsidRDefault="00781E5C" w:rsidP="00DC1F96">
      <w:pPr>
        <w:pStyle w:val="SingleTxtG"/>
        <w:rPr>
          <w:lang w:val="fr-FR"/>
        </w:rPr>
      </w:pPr>
      <w:r>
        <w:rPr>
          <w:lang w:val="fr-FR"/>
        </w:rPr>
        <w:t>36.</w:t>
      </w:r>
      <w:r>
        <w:rPr>
          <w:lang w:val="fr-FR"/>
        </w:rPr>
        <w:tab/>
      </w:r>
      <w:r w:rsidR="00DC1F96">
        <w:rPr>
          <w:lang w:val="fr-FR"/>
        </w:rPr>
        <w:t>À ses 101</w:t>
      </w:r>
      <w:r w:rsidR="00DC1F96">
        <w:rPr>
          <w:vertAlign w:val="superscript"/>
          <w:lang w:val="fr-FR"/>
        </w:rPr>
        <w:t>e</w:t>
      </w:r>
      <w:r w:rsidR="00DC1F96">
        <w:rPr>
          <w:lang w:val="fr-FR"/>
        </w:rPr>
        <w:t xml:space="preserve"> et 102</w:t>
      </w:r>
      <w:r w:rsidR="00DC1F96">
        <w:rPr>
          <w:vertAlign w:val="superscript"/>
          <w:lang w:val="fr-FR"/>
        </w:rPr>
        <w:t>e</w:t>
      </w:r>
      <w:r>
        <w:rPr>
          <w:lang w:val="fr-FR"/>
        </w:rPr>
        <w:t> </w:t>
      </w:r>
      <w:r w:rsidR="00DC1F96">
        <w:rPr>
          <w:lang w:val="fr-FR"/>
        </w:rPr>
        <w:t>sessions, le Comité n’a examiné aucun rapport de pays.</w:t>
      </w:r>
    </w:p>
    <w:p w14:paraId="3475493A" w14:textId="234B3DB8" w:rsidR="00DC1F96" w:rsidRPr="002543F5" w:rsidRDefault="00781E5C" w:rsidP="00DC1F96">
      <w:pPr>
        <w:pStyle w:val="SingleTxtG"/>
        <w:rPr>
          <w:lang w:val="fr-FR"/>
        </w:rPr>
      </w:pPr>
      <w:r>
        <w:rPr>
          <w:lang w:val="fr-FR"/>
        </w:rPr>
        <w:t>37.</w:t>
      </w:r>
      <w:r>
        <w:rPr>
          <w:lang w:val="fr-FR"/>
        </w:rPr>
        <w:tab/>
      </w:r>
      <w:r w:rsidR="00DC1F96">
        <w:rPr>
          <w:lang w:val="fr-FR"/>
        </w:rPr>
        <w:t>À sa 103</w:t>
      </w:r>
      <w:r w:rsidR="00DC1F96">
        <w:rPr>
          <w:vertAlign w:val="superscript"/>
          <w:lang w:val="fr-FR"/>
        </w:rPr>
        <w:t>e</w:t>
      </w:r>
      <w:r>
        <w:rPr>
          <w:lang w:val="fr-FR"/>
        </w:rPr>
        <w:t> </w:t>
      </w:r>
      <w:r w:rsidR="00DC1F96">
        <w:rPr>
          <w:lang w:val="fr-FR"/>
        </w:rPr>
        <w:t>session, tenue en ligne, le Comité a adopté des observations finales concernant la Belgique (</w:t>
      </w:r>
      <w:hyperlink r:id="rId23" w:history="1">
        <w:r w:rsidR="00DC1F96" w:rsidRPr="00781E5C">
          <w:rPr>
            <w:rStyle w:val="Lienhypertexte"/>
            <w:lang w:val="fr-FR"/>
          </w:rPr>
          <w:t>CERD/C/BEL/CO/20-22</w:t>
        </w:r>
      </w:hyperlink>
      <w:r w:rsidR="00DC1F96">
        <w:rPr>
          <w:lang w:val="fr-FR"/>
        </w:rPr>
        <w:t>).</w:t>
      </w:r>
    </w:p>
    <w:p w14:paraId="1286F430" w14:textId="70ED49DE" w:rsidR="00DC1F96" w:rsidRPr="002543F5" w:rsidRDefault="00781E5C" w:rsidP="00DC1F96">
      <w:pPr>
        <w:pStyle w:val="SingleTxtG"/>
        <w:rPr>
          <w:lang w:val="fr-FR"/>
        </w:rPr>
      </w:pPr>
      <w:r>
        <w:rPr>
          <w:lang w:val="fr-FR"/>
        </w:rPr>
        <w:t>38.</w:t>
      </w:r>
      <w:r>
        <w:rPr>
          <w:lang w:val="fr-FR"/>
        </w:rPr>
        <w:tab/>
      </w:r>
      <w:r w:rsidR="00DC1F96">
        <w:rPr>
          <w:lang w:val="fr-FR"/>
        </w:rPr>
        <w:t>Le rapporteur pour la Belgique était M.</w:t>
      </w:r>
      <w:r>
        <w:rPr>
          <w:lang w:val="fr-FR"/>
        </w:rPr>
        <w:t> </w:t>
      </w:r>
      <w:r w:rsidR="00DC1F96">
        <w:rPr>
          <w:lang w:val="fr-FR"/>
        </w:rPr>
        <w:t>Diaby.</w:t>
      </w:r>
    </w:p>
    <w:p w14:paraId="5E529F2A" w14:textId="488AA595" w:rsidR="00DC1F96" w:rsidRPr="002543F5" w:rsidRDefault="00781E5C" w:rsidP="00DC1F96">
      <w:pPr>
        <w:pStyle w:val="SingleTxtG"/>
        <w:rPr>
          <w:lang w:val="fr-FR"/>
        </w:rPr>
      </w:pPr>
      <w:r>
        <w:rPr>
          <w:lang w:val="fr-FR"/>
        </w:rPr>
        <w:t>39.</w:t>
      </w:r>
      <w:r>
        <w:rPr>
          <w:lang w:val="fr-FR"/>
        </w:rPr>
        <w:tab/>
      </w:r>
      <w:r w:rsidR="00DC1F96">
        <w:rPr>
          <w:lang w:val="fr-FR"/>
        </w:rPr>
        <w:t>Les observations finales adoptées par le Comité à sa 103</w:t>
      </w:r>
      <w:r w:rsidR="00DC1F96">
        <w:rPr>
          <w:vertAlign w:val="superscript"/>
          <w:lang w:val="fr-FR"/>
        </w:rPr>
        <w:t>e</w:t>
      </w:r>
      <w:r>
        <w:rPr>
          <w:lang w:val="fr-FR"/>
        </w:rPr>
        <w:t> </w:t>
      </w:r>
      <w:r w:rsidR="00DC1F96">
        <w:rPr>
          <w:lang w:val="fr-FR"/>
        </w:rPr>
        <w:t>session peuvent être consultées sur le site du Haut-Commissariat des Nations</w:t>
      </w:r>
      <w:r>
        <w:rPr>
          <w:lang w:val="fr-FR"/>
        </w:rPr>
        <w:t> </w:t>
      </w:r>
      <w:r w:rsidR="00DC1F96">
        <w:rPr>
          <w:lang w:val="fr-FR"/>
        </w:rPr>
        <w:t>Unies aux droits de l’homme (HCDH) (</w:t>
      </w:r>
      <w:hyperlink r:id="rId24" w:history="1">
        <w:r w:rsidR="00DC1F96" w:rsidRPr="00781E5C">
          <w:rPr>
            <w:rStyle w:val="Lienhypertexte"/>
            <w:lang w:val="fr-FR"/>
          </w:rPr>
          <w:t>www.ohchr.org</w:t>
        </w:r>
      </w:hyperlink>
      <w:r w:rsidR="00DC1F96">
        <w:rPr>
          <w:lang w:val="fr-FR"/>
        </w:rPr>
        <w:t>) et sur le Système de diffusion électronique des documents de l’ONU (</w:t>
      </w:r>
      <w:hyperlink r:id="rId25" w:history="1">
        <w:r w:rsidR="00DC1F96" w:rsidRPr="00781E5C">
          <w:rPr>
            <w:rStyle w:val="Lienhypertexte"/>
            <w:lang w:val="fr-FR"/>
          </w:rPr>
          <w:t>http://documents.un.org</w:t>
        </w:r>
      </w:hyperlink>
      <w:r w:rsidR="00DC1F96">
        <w:rPr>
          <w:lang w:val="fr-FR"/>
        </w:rPr>
        <w:t>), au moyen de la cote indiquée ci-dessus.</w:t>
      </w:r>
    </w:p>
    <w:p w14:paraId="22B10446" w14:textId="77777777" w:rsidR="00DC1F96" w:rsidRPr="002543F5" w:rsidRDefault="00DC1F96" w:rsidP="00DC1F96">
      <w:pPr>
        <w:pStyle w:val="SingleTxtG"/>
        <w:rPr>
          <w:lang w:val="fr-FR"/>
        </w:rPr>
      </w:pPr>
      <w:r w:rsidRPr="002543F5">
        <w:rPr>
          <w:lang w:val="fr-FR"/>
        </w:rPr>
        <w:br w:type="page"/>
      </w:r>
    </w:p>
    <w:p w14:paraId="7BFDA820" w14:textId="242F2A04" w:rsidR="00DC1F96" w:rsidRPr="002543F5" w:rsidRDefault="00DC1F96" w:rsidP="00781E5C">
      <w:pPr>
        <w:pStyle w:val="HChG"/>
        <w:rPr>
          <w:lang w:val="fr-FR"/>
        </w:rPr>
      </w:pPr>
      <w:r>
        <w:rPr>
          <w:lang w:val="fr-FR"/>
        </w:rPr>
        <w:lastRenderedPageBreak/>
        <w:tab/>
        <w:t>IV.</w:t>
      </w:r>
      <w:r>
        <w:rPr>
          <w:lang w:val="fr-FR"/>
        </w:rPr>
        <w:tab/>
        <w:t>Suivi de l’examen des rapports soumis par les États parties en application de l’article</w:t>
      </w:r>
      <w:r w:rsidR="00781E5C">
        <w:rPr>
          <w:lang w:val="fr-FR"/>
        </w:rPr>
        <w:t> </w:t>
      </w:r>
      <w:r>
        <w:rPr>
          <w:lang w:val="fr-FR"/>
        </w:rPr>
        <w:t>9 de la Convention</w:t>
      </w:r>
      <w:bookmarkStart w:id="61" w:name="_Toc428794288"/>
      <w:bookmarkStart w:id="62" w:name="_Toc17361300"/>
      <w:bookmarkStart w:id="63" w:name="_Toc48752325"/>
      <w:bookmarkStart w:id="64" w:name="_Toc48816878"/>
      <w:bookmarkStart w:id="65" w:name="_Toc81563230"/>
      <w:bookmarkEnd w:id="61"/>
      <w:bookmarkEnd w:id="62"/>
      <w:bookmarkEnd w:id="63"/>
      <w:bookmarkEnd w:id="64"/>
      <w:bookmarkEnd w:id="65"/>
    </w:p>
    <w:p w14:paraId="4D27C464" w14:textId="46332955" w:rsidR="00DC1F96" w:rsidRPr="002543F5" w:rsidRDefault="00781E5C" w:rsidP="00DC1F96">
      <w:pPr>
        <w:pStyle w:val="SingleTxtG"/>
        <w:rPr>
          <w:lang w:val="fr-FR"/>
        </w:rPr>
      </w:pPr>
      <w:r>
        <w:rPr>
          <w:lang w:val="fr-FR"/>
        </w:rPr>
        <w:t>40.</w:t>
      </w:r>
      <w:r>
        <w:rPr>
          <w:lang w:val="fr-FR"/>
        </w:rPr>
        <w:tab/>
      </w:r>
      <w:r w:rsidR="00DC1F96">
        <w:rPr>
          <w:lang w:val="fr-FR"/>
        </w:rPr>
        <w:t>Au cours de la période considérée, M.</w:t>
      </w:r>
      <w:r>
        <w:rPr>
          <w:lang w:val="fr-FR"/>
        </w:rPr>
        <w:t> </w:t>
      </w:r>
      <w:r w:rsidR="00DC1F96">
        <w:rPr>
          <w:lang w:val="fr-FR"/>
        </w:rPr>
        <w:t>Kut a exercé la fonction de rapporteur chargé du suivi de l’examen des rapports soumis par les États parties.</w:t>
      </w:r>
    </w:p>
    <w:p w14:paraId="09A61868" w14:textId="33C58071" w:rsidR="00DC1F96" w:rsidRPr="002543F5" w:rsidRDefault="00781E5C" w:rsidP="00DC1F96">
      <w:pPr>
        <w:pStyle w:val="SingleTxtG"/>
        <w:rPr>
          <w:lang w:val="fr-FR"/>
        </w:rPr>
      </w:pPr>
      <w:r>
        <w:rPr>
          <w:lang w:val="fr-FR"/>
        </w:rPr>
        <w:t>41.</w:t>
      </w:r>
      <w:r>
        <w:rPr>
          <w:lang w:val="fr-FR"/>
        </w:rPr>
        <w:tab/>
      </w:r>
      <w:r w:rsidR="00DC1F96">
        <w:rPr>
          <w:lang w:val="fr-FR"/>
        </w:rPr>
        <w:t>Le mandat du rapporteur chargé du suivi</w:t>
      </w:r>
      <w:r w:rsidR="00DC1F96" w:rsidRPr="002B45EB">
        <w:rPr>
          <w:rStyle w:val="Appelnotedebasdep"/>
        </w:rPr>
        <w:footnoteReference w:id="3"/>
      </w:r>
      <w:r w:rsidR="00DC1F96">
        <w:rPr>
          <w:lang w:val="fr-FR"/>
        </w:rPr>
        <w:t xml:space="preserve"> et les principes directeurs concernant le suivi</w:t>
      </w:r>
      <w:r w:rsidR="00DC1F96" w:rsidRPr="002B45EB">
        <w:rPr>
          <w:rStyle w:val="Appelnotedebasdep"/>
        </w:rPr>
        <w:footnoteReference w:id="4"/>
      </w:r>
      <w:r w:rsidR="00DC1F96">
        <w:rPr>
          <w:lang w:val="fr-FR"/>
        </w:rPr>
        <w:t>, qui sont adressés à chaque État partie avec les observations finales du Comité, ont été respectivement adoptés par le Comité à ses soixante-sixième et soixante-huitième sessions.</w:t>
      </w:r>
    </w:p>
    <w:p w14:paraId="44030CB9" w14:textId="398A523F" w:rsidR="00DC1F96" w:rsidRPr="002543F5" w:rsidRDefault="00781E5C" w:rsidP="00DC1F96">
      <w:pPr>
        <w:pStyle w:val="SingleTxtG"/>
        <w:rPr>
          <w:lang w:val="fr-FR"/>
        </w:rPr>
      </w:pPr>
      <w:r>
        <w:rPr>
          <w:lang w:val="fr-FR"/>
        </w:rPr>
        <w:t>42.</w:t>
      </w:r>
      <w:r>
        <w:rPr>
          <w:lang w:val="fr-FR"/>
        </w:rPr>
        <w:tab/>
      </w:r>
      <w:r w:rsidR="00DC1F96">
        <w:rPr>
          <w:lang w:val="fr-FR"/>
        </w:rPr>
        <w:t>À la 2805</w:t>
      </w:r>
      <w:r w:rsidR="00DC1F96">
        <w:rPr>
          <w:vertAlign w:val="superscript"/>
          <w:lang w:val="fr-FR"/>
        </w:rPr>
        <w:t>e</w:t>
      </w:r>
      <w:r>
        <w:rPr>
          <w:lang w:val="fr-FR"/>
        </w:rPr>
        <w:t> </w:t>
      </w:r>
      <w:r w:rsidR="00DC1F96">
        <w:rPr>
          <w:lang w:val="fr-FR"/>
        </w:rPr>
        <w:t>séance (101</w:t>
      </w:r>
      <w:r w:rsidR="00DC1F96">
        <w:rPr>
          <w:vertAlign w:val="superscript"/>
          <w:lang w:val="fr-FR"/>
        </w:rPr>
        <w:t>e</w:t>
      </w:r>
      <w:r>
        <w:rPr>
          <w:lang w:val="fr-FR"/>
        </w:rPr>
        <w:t> </w:t>
      </w:r>
      <w:r w:rsidR="00DC1F96">
        <w:rPr>
          <w:lang w:val="fr-FR"/>
        </w:rPr>
        <w:t>session), la 2812</w:t>
      </w:r>
      <w:r w:rsidR="00DC1F96">
        <w:rPr>
          <w:vertAlign w:val="superscript"/>
          <w:lang w:val="fr-FR"/>
        </w:rPr>
        <w:t>e</w:t>
      </w:r>
      <w:r>
        <w:rPr>
          <w:lang w:val="fr-FR"/>
        </w:rPr>
        <w:t> </w:t>
      </w:r>
      <w:r w:rsidR="00DC1F96">
        <w:rPr>
          <w:lang w:val="fr-FR"/>
        </w:rPr>
        <w:t>séance (102</w:t>
      </w:r>
      <w:r w:rsidR="00DC1F96">
        <w:rPr>
          <w:vertAlign w:val="superscript"/>
          <w:lang w:val="fr-FR"/>
        </w:rPr>
        <w:t>e</w:t>
      </w:r>
      <w:r>
        <w:rPr>
          <w:lang w:val="fr-FR"/>
        </w:rPr>
        <w:t> </w:t>
      </w:r>
      <w:r w:rsidR="00DC1F96">
        <w:rPr>
          <w:lang w:val="fr-FR"/>
        </w:rPr>
        <w:t>session) et la 2820</w:t>
      </w:r>
      <w:r w:rsidR="00DC1F96">
        <w:rPr>
          <w:vertAlign w:val="superscript"/>
          <w:lang w:val="fr-FR"/>
        </w:rPr>
        <w:t>e</w:t>
      </w:r>
      <w:r>
        <w:rPr>
          <w:lang w:val="fr-FR"/>
        </w:rPr>
        <w:t> </w:t>
      </w:r>
      <w:r w:rsidR="00DC1F96">
        <w:rPr>
          <w:lang w:val="fr-FR"/>
        </w:rPr>
        <w:t>séance (103</w:t>
      </w:r>
      <w:r w:rsidR="00DC1F96">
        <w:rPr>
          <w:vertAlign w:val="superscript"/>
          <w:lang w:val="fr-FR"/>
        </w:rPr>
        <w:t>e</w:t>
      </w:r>
      <w:r>
        <w:rPr>
          <w:lang w:val="fr-FR"/>
        </w:rPr>
        <w:t> </w:t>
      </w:r>
      <w:r w:rsidR="00DC1F96">
        <w:rPr>
          <w:lang w:val="fr-FR"/>
        </w:rPr>
        <w:t>session), M.</w:t>
      </w:r>
      <w:r>
        <w:rPr>
          <w:lang w:val="fr-FR"/>
        </w:rPr>
        <w:t> </w:t>
      </w:r>
      <w:r w:rsidR="00DC1F96">
        <w:rPr>
          <w:lang w:val="fr-FR"/>
        </w:rPr>
        <w:t>Kut a présenté au Comité un rapport sur les activités qu’il avait menées en tant que rapporteur.</w:t>
      </w:r>
    </w:p>
    <w:p w14:paraId="440BDEDD" w14:textId="2A590DA8" w:rsidR="00DC1F96" w:rsidRPr="002543F5" w:rsidRDefault="00781E5C" w:rsidP="00DC1F96">
      <w:pPr>
        <w:pStyle w:val="SingleTxtG"/>
        <w:rPr>
          <w:lang w:val="fr-FR"/>
        </w:rPr>
      </w:pPr>
      <w:r>
        <w:rPr>
          <w:lang w:val="fr-FR"/>
        </w:rPr>
        <w:t>43.</w:t>
      </w:r>
      <w:r>
        <w:rPr>
          <w:lang w:val="fr-FR"/>
        </w:rPr>
        <w:tab/>
      </w:r>
      <w:r w:rsidR="00DC1F96">
        <w:rPr>
          <w:lang w:val="fr-FR"/>
        </w:rPr>
        <w:t>À ses 101</w:t>
      </w:r>
      <w:r w:rsidR="00DC1F96">
        <w:rPr>
          <w:vertAlign w:val="superscript"/>
          <w:lang w:val="fr-FR"/>
        </w:rPr>
        <w:t>e</w:t>
      </w:r>
      <w:r w:rsidR="00DC1F96">
        <w:rPr>
          <w:lang w:val="fr-FR"/>
        </w:rPr>
        <w:t>, 102</w:t>
      </w:r>
      <w:r w:rsidR="00DC1F96">
        <w:rPr>
          <w:vertAlign w:val="superscript"/>
          <w:lang w:val="fr-FR"/>
        </w:rPr>
        <w:t>e</w:t>
      </w:r>
      <w:r w:rsidR="00DC1F96">
        <w:rPr>
          <w:lang w:val="fr-FR"/>
        </w:rPr>
        <w:t xml:space="preserve"> et 103</w:t>
      </w:r>
      <w:r w:rsidR="00DC1F96">
        <w:rPr>
          <w:vertAlign w:val="superscript"/>
          <w:lang w:val="fr-FR"/>
        </w:rPr>
        <w:t>e</w:t>
      </w:r>
      <w:r>
        <w:rPr>
          <w:lang w:val="fr-FR"/>
        </w:rPr>
        <w:t> </w:t>
      </w:r>
      <w:r w:rsidR="00DC1F96">
        <w:rPr>
          <w:lang w:val="fr-FR"/>
        </w:rPr>
        <w:t xml:space="preserve">sessions, le Comité a examiné les rapports de suivi des pays </w:t>
      </w:r>
      <w:r w:rsidR="00DC1F96" w:rsidRPr="00232A62">
        <w:rPr>
          <w:lang w:val="fr-FR"/>
        </w:rPr>
        <w:t>suivants : Arabie saoudite (CERD/C/SAU/FCO/4-9), Bosnie-Herzégovine (</w:t>
      </w:r>
      <w:hyperlink r:id="rId26" w:history="1">
        <w:r w:rsidR="00DC1F96" w:rsidRPr="00232A62">
          <w:rPr>
            <w:rStyle w:val="Lienhypertexte"/>
            <w:lang w:val="fr-FR"/>
          </w:rPr>
          <w:t>CERD/C/BIH/FCO/12-13</w:t>
        </w:r>
      </w:hyperlink>
      <w:r w:rsidR="00DC1F96" w:rsidRPr="00232A62">
        <w:rPr>
          <w:lang w:val="fr-FR"/>
        </w:rPr>
        <w:t>), Chine (</w:t>
      </w:r>
      <w:hyperlink r:id="rId27" w:history="1">
        <w:r w:rsidR="00DC1F96" w:rsidRPr="00232A62">
          <w:rPr>
            <w:rStyle w:val="Lienhypertexte"/>
            <w:lang w:val="fr-FR"/>
          </w:rPr>
          <w:t>CERD/C/CHN/FCO/14-17</w:t>
        </w:r>
      </w:hyperlink>
      <w:r w:rsidR="00DC1F96" w:rsidRPr="00232A62">
        <w:rPr>
          <w:lang w:val="fr-FR"/>
        </w:rPr>
        <w:t>), Cuba (</w:t>
      </w:r>
      <w:hyperlink r:id="rId28" w:history="1">
        <w:r w:rsidR="00DC1F96" w:rsidRPr="00232A62">
          <w:rPr>
            <w:rStyle w:val="Lienhypertexte"/>
            <w:lang w:val="fr-FR"/>
          </w:rPr>
          <w:t>CERD/C/CUB/FCO/19-21</w:t>
        </w:r>
      </w:hyperlink>
      <w:r w:rsidR="00DC1F96" w:rsidRPr="00232A62">
        <w:rPr>
          <w:lang w:val="fr-FR"/>
        </w:rPr>
        <w:t>), Guatemala (</w:t>
      </w:r>
      <w:hyperlink r:id="rId29" w:history="1">
        <w:r w:rsidR="00DC1F96" w:rsidRPr="00232A62">
          <w:rPr>
            <w:rStyle w:val="Lienhypertexte"/>
            <w:lang w:val="fr-FR"/>
          </w:rPr>
          <w:t>CERD/C/GTM/FCO/16-17</w:t>
        </w:r>
      </w:hyperlink>
      <w:r w:rsidR="00DC1F96" w:rsidRPr="00232A62">
        <w:rPr>
          <w:lang w:val="fr-FR"/>
        </w:rPr>
        <w:t>), Honduras (</w:t>
      </w:r>
      <w:hyperlink r:id="rId30" w:history="1">
        <w:r w:rsidR="00DC1F96" w:rsidRPr="00232A62">
          <w:rPr>
            <w:rStyle w:val="Lienhypertexte"/>
            <w:lang w:val="fr-FR"/>
          </w:rPr>
          <w:t>CERD/C/HND/FCO/6-8</w:t>
        </w:r>
      </w:hyperlink>
      <w:r w:rsidR="00DC1F96" w:rsidRPr="00232A62">
        <w:rPr>
          <w:lang w:val="fr-FR"/>
        </w:rPr>
        <w:t>), Islande (</w:t>
      </w:r>
      <w:hyperlink r:id="rId31" w:history="1">
        <w:r w:rsidR="00DC1F96" w:rsidRPr="00232A62">
          <w:rPr>
            <w:rStyle w:val="Lienhypertexte"/>
            <w:lang w:val="fr-FR"/>
          </w:rPr>
          <w:t>CERD/C/ISL/FCO/21-23</w:t>
        </w:r>
      </w:hyperlink>
      <w:r w:rsidR="00DC1F96" w:rsidRPr="00232A62">
        <w:rPr>
          <w:lang w:val="fr-FR"/>
        </w:rPr>
        <w:t>), Japon (</w:t>
      </w:r>
      <w:hyperlink r:id="rId32" w:history="1">
        <w:r w:rsidR="00DC1F96" w:rsidRPr="00232A62">
          <w:rPr>
            <w:rStyle w:val="Lienhypertexte"/>
            <w:lang w:val="fr-FR"/>
          </w:rPr>
          <w:t>CERD/C/JPN/CO/10-11/Add.1</w:t>
        </w:r>
      </w:hyperlink>
      <w:r w:rsidR="00DC1F96" w:rsidRPr="00232A62">
        <w:rPr>
          <w:lang w:val="fr-FR"/>
        </w:rPr>
        <w:t>), Jordanie (</w:t>
      </w:r>
      <w:hyperlink r:id="rId33" w:history="1">
        <w:r w:rsidR="00DC1F96" w:rsidRPr="00232A62">
          <w:rPr>
            <w:rStyle w:val="Lienhypertexte"/>
            <w:lang w:val="fr-FR"/>
          </w:rPr>
          <w:t>CERD/C/JOR/FCO/18-20</w:t>
        </w:r>
      </w:hyperlink>
      <w:r w:rsidR="00DC1F96" w:rsidRPr="00232A62">
        <w:rPr>
          <w:lang w:val="fr-FR"/>
        </w:rPr>
        <w:t>), Kirghizistan (</w:t>
      </w:r>
      <w:hyperlink r:id="rId34" w:history="1">
        <w:r w:rsidR="00DC1F96" w:rsidRPr="00232A62">
          <w:rPr>
            <w:rStyle w:val="Lienhypertexte"/>
            <w:lang w:val="fr-FR"/>
          </w:rPr>
          <w:t>CERD/C/KGZ/FCO/8-10</w:t>
        </w:r>
      </w:hyperlink>
      <w:r w:rsidR="00DC1F96" w:rsidRPr="00232A62">
        <w:rPr>
          <w:lang w:val="fr-FR"/>
        </w:rPr>
        <w:t>), Lettonie (</w:t>
      </w:r>
      <w:hyperlink r:id="rId35" w:history="1">
        <w:r w:rsidR="00DC1F96" w:rsidRPr="00232A62">
          <w:rPr>
            <w:rStyle w:val="Lienhypertexte"/>
            <w:lang w:val="fr-FR"/>
          </w:rPr>
          <w:t>CERD/C/LVA/CO/6-12/Add.1</w:t>
        </w:r>
      </w:hyperlink>
      <w:r w:rsidR="00DC1F96" w:rsidRPr="00232A62">
        <w:rPr>
          <w:lang w:val="fr-FR"/>
        </w:rPr>
        <w:t>), Maurice (</w:t>
      </w:r>
      <w:hyperlink r:id="rId36" w:history="1">
        <w:r w:rsidR="00DC1F96" w:rsidRPr="00232A62">
          <w:rPr>
            <w:rStyle w:val="Lienhypertexte"/>
            <w:lang w:val="fr-FR"/>
          </w:rPr>
          <w:t>CERD/C/MUS/FCO/20-23</w:t>
        </w:r>
      </w:hyperlink>
      <w:r w:rsidR="00DC1F96" w:rsidRPr="00232A62">
        <w:rPr>
          <w:lang w:val="fr-FR"/>
        </w:rPr>
        <w:t>), Mauritanie (</w:t>
      </w:r>
      <w:hyperlink r:id="rId37" w:history="1">
        <w:r w:rsidR="00DC1F96" w:rsidRPr="00232A62">
          <w:rPr>
            <w:rStyle w:val="Lienhypertexte"/>
            <w:lang w:val="fr-FR"/>
          </w:rPr>
          <w:t>CERD/C/MRT/CO/8-14/Add.1</w:t>
        </w:r>
      </w:hyperlink>
      <w:r w:rsidR="00DC1F96" w:rsidRPr="00232A62">
        <w:rPr>
          <w:lang w:val="fr-FR"/>
        </w:rPr>
        <w:t>), Mexique (</w:t>
      </w:r>
      <w:hyperlink r:id="rId38" w:history="1">
        <w:r w:rsidR="00DC1F96" w:rsidRPr="00232A62">
          <w:rPr>
            <w:rStyle w:val="Lienhypertexte"/>
            <w:lang w:val="fr-FR"/>
          </w:rPr>
          <w:t>CERD/C/MEX/FCO/18-21</w:t>
        </w:r>
      </w:hyperlink>
      <w:r w:rsidR="00DC1F96" w:rsidRPr="00232A62">
        <w:rPr>
          <w:lang w:val="fr-FR"/>
        </w:rPr>
        <w:t>), Monténégro (</w:t>
      </w:r>
      <w:hyperlink r:id="rId39" w:history="1">
        <w:r w:rsidR="00DC1F96" w:rsidRPr="00232A62">
          <w:rPr>
            <w:rStyle w:val="Lienhypertexte"/>
            <w:lang w:val="fr-FR"/>
          </w:rPr>
          <w:t>CERD/C/MNE/FCO/4-6</w:t>
        </w:r>
      </w:hyperlink>
      <w:r w:rsidR="00DC1F96" w:rsidRPr="00232A62">
        <w:rPr>
          <w:lang w:val="fr-FR"/>
        </w:rPr>
        <w:t>), Norvège (</w:t>
      </w:r>
      <w:hyperlink r:id="rId40" w:history="1">
        <w:r w:rsidR="00DC1F96" w:rsidRPr="00232A62">
          <w:rPr>
            <w:rStyle w:val="Lienhypertexte"/>
            <w:lang w:val="fr-FR"/>
          </w:rPr>
          <w:t>CERD/C/NOR/FCO/23-24</w:t>
        </w:r>
      </w:hyperlink>
      <w:r w:rsidR="00DC1F96" w:rsidRPr="00232A62">
        <w:rPr>
          <w:lang w:val="fr-FR"/>
        </w:rPr>
        <w:t>), Pologne (</w:t>
      </w:r>
      <w:hyperlink r:id="rId41" w:history="1">
        <w:r w:rsidR="00DC1F96" w:rsidRPr="00232A62">
          <w:rPr>
            <w:rStyle w:val="Lienhypertexte"/>
            <w:lang w:val="fr-FR"/>
          </w:rPr>
          <w:t>CERD/C/POL/FCO/22-24</w:t>
        </w:r>
      </w:hyperlink>
      <w:r w:rsidR="00DC1F96" w:rsidRPr="00232A62">
        <w:rPr>
          <w:lang w:val="fr-FR"/>
        </w:rPr>
        <w:t>), Qatar (</w:t>
      </w:r>
      <w:hyperlink r:id="rId42" w:history="1">
        <w:r w:rsidR="00DC1F96" w:rsidRPr="00232A62">
          <w:rPr>
            <w:rStyle w:val="Lienhypertexte"/>
            <w:lang w:val="fr-FR"/>
          </w:rPr>
          <w:t>CERD/C/QAT/FCO/17-21</w:t>
        </w:r>
      </w:hyperlink>
      <w:r w:rsidR="00DC1F96" w:rsidRPr="00232A62">
        <w:rPr>
          <w:lang w:val="fr-FR"/>
        </w:rPr>
        <w:t>), République de Corée (</w:t>
      </w:r>
      <w:hyperlink r:id="rId43" w:history="1">
        <w:r w:rsidR="00DC1F96" w:rsidRPr="00232A62">
          <w:rPr>
            <w:rStyle w:val="Lienhypertexte"/>
            <w:lang w:val="fr-FR"/>
          </w:rPr>
          <w:t>CERD/C/KOR/FCO/17-19</w:t>
        </w:r>
      </w:hyperlink>
      <w:r w:rsidR="00DC1F96" w:rsidRPr="00232A62">
        <w:rPr>
          <w:lang w:val="fr-FR"/>
        </w:rPr>
        <w:t>) et État de Palestine (</w:t>
      </w:r>
      <w:hyperlink r:id="rId44" w:history="1">
        <w:r w:rsidR="00DC1F96" w:rsidRPr="00232A62">
          <w:rPr>
            <w:rStyle w:val="Lienhypertexte"/>
            <w:lang w:val="fr-FR"/>
          </w:rPr>
          <w:t>CERD/C/PSE/FCO/1-2</w:t>
        </w:r>
      </w:hyperlink>
      <w:r w:rsidR="00DC1F96" w:rsidRPr="00232A62">
        <w:rPr>
          <w:lang w:val="fr-FR"/>
        </w:rPr>
        <w:t>).</w:t>
      </w:r>
    </w:p>
    <w:p w14:paraId="16718CF8" w14:textId="315F05FF" w:rsidR="00DC1F96" w:rsidRPr="002543F5" w:rsidRDefault="00337D8E" w:rsidP="00DC1F96">
      <w:pPr>
        <w:pStyle w:val="SingleTxtG"/>
        <w:rPr>
          <w:lang w:val="fr-FR"/>
        </w:rPr>
      </w:pPr>
      <w:r>
        <w:rPr>
          <w:lang w:val="fr-FR"/>
        </w:rPr>
        <w:t>44.</w:t>
      </w:r>
      <w:r>
        <w:rPr>
          <w:lang w:val="fr-FR"/>
        </w:rPr>
        <w:tab/>
      </w:r>
      <w:r w:rsidR="00DC1F96">
        <w:rPr>
          <w:lang w:val="fr-FR"/>
        </w:rPr>
        <w:t>Le Comité a poursuivi le dialogue constructif engagé avec ces États parties en leur adressant des observations et des demandes de renseignements complémentaires. Il a aussi adressé des lettres de rappel aux États parties dont les rapports de suivi étaient en retard.</w:t>
      </w:r>
    </w:p>
    <w:p w14:paraId="1D39C0EA" w14:textId="77777777" w:rsidR="00DC1F96" w:rsidRPr="002543F5" w:rsidRDefault="00DC1F96" w:rsidP="00DC1F96">
      <w:pPr>
        <w:pStyle w:val="SingleTxtG"/>
        <w:rPr>
          <w:lang w:val="fr-FR"/>
        </w:rPr>
      </w:pPr>
      <w:r w:rsidRPr="002543F5">
        <w:rPr>
          <w:lang w:val="fr-FR"/>
        </w:rPr>
        <w:br w:type="page"/>
      </w:r>
    </w:p>
    <w:p w14:paraId="4BAA9B09" w14:textId="487D4CCE" w:rsidR="00DC1F96" w:rsidRPr="002543F5" w:rsidRDefault="00DC1F96" w:rsidP="00337D8E">
      <w:pPr>
        <w:pStyle w:val="HChG"/>
        <w:rPr>
          <w:lang w:val="fr-FR"/>
        </w:rPr>
      </w:pPr>
      <w:r>
        <w:rPr>
          <w:lang w:val="fr-FR"/>
        </w:rPr>
        <w:lastRenderedPageBreak/>
        <w:tab/>
        <w:t>V.</w:t>
      </w:r>
      <w:r>
        <w:rPr>
          <w:lang w:val="fr-FR"/>
        </w:rPr>
        <w:tab/>
        <w:t>Examen des communications soumises au titre de l’article</w:t>
      </w:r>
      <w:r w:rsidR="00337D8E">
        <w:rPr>
          <w:lang w:val="fr-FR"/>
        </w:rPr>
        <w:t> </w:t>
      </w:r>
      <w:r>
        <w:rPr>
          <w:lang w:val="fr-FR"/>
        </w:rPr>
        <w:t>11 de la Convention</w:t>
      </w:r>
      <w:bookmarkStart w:id="66" w:name="_Toc17361301"/>
      <w:bookmarkStart w:id="67" w:name="_Toc48752326"/>
      <w:bookmarkStart w:id="68" w:name="_Toc48816879"/>
      <w:bookmarkStart w:id="69" w:name="_Toc81563231"/>
      <w:bookmarkEnd w:id="66"/>
      <w:bookmarkEnd w:id="67"/>
      <w:bookmarkEnd w:id="68"/>
      <w:bookmarkEnd w:id="69"/>
    </w:p>
    <w:p w14:paraId="6B0A93CA" w14:textId="19422696" w:rsidR="00DC1F96" w:rsidRPr="002543F5" w:rsidRDefault="00DC1F96" w:rsidP="00DC1F96">
      <w:pPr>
        <w:pStyle w:val="SingleTxtG"/>
        <w:rPr>
          <w:lang w:val="fr-FR"/>
        </w:rPr>
      </w:pPr>
      <w:r>
        <w:rPr>
          <w:lang w:val="fr-FR"/>
        </w:rPr>
        <w:t>45.</w:t>
      </w:r>
      <w:r>
        <w:rPr>
          <w:lang w:val="fr-FR"/>
        </w:rPr>
        <w:tab/>
        <w:t>Selon l’article</w:t>
      </w:r>
      <w:r w:rsidR="00337D8E">
        <w:rPr>
          <w:lang w:val="fr-FR"/>
        </w:rPr>
        <w:t> </w:t>
      </w:r>
      <w:r>
        <w:rPr>
          <w:lang w:val="fr-FR"/>
        </w:rPr>
        <w:t>11 de la Convention, si un État partie estime qu’un autre État partie n’applique pas les dispositions de la Convention, il peut appeler l’attention du Comité sur la question en lui soumettant une communication. En 2018, le Comité a reçu trois premières communications interétatiques. Il a été décidé que le Groupe de travail des communications s’occuperait aussi de ces communications</w:t>
      </w:r>
      <w:r w:rsidRPr="002B45EB">
        <w:rPr>
          <w:rStyle w:val="Appelnotedebasdep"/>
        </w:rPr>
        <w:footnoteReference w:id="5"/>
      </w:r>
      <w:r>
        <w:rPr>
          <w:lang w:val="fr-FR"/>
        </w:rPr>
        <w:t>.</w:t>
      </w:r>
    </w:p>
    <w:p w14:paraId="0FD49F53" w14:textId="2C30E18F" w:rsidR="00DC1F96" w:rsidRPr="002543F5" w:rsidRDefault="00337D8E" w:rsidP="00DC1F96">
      <w:pPr>
        <w:pStyle w:val="SingleTxtG"/>
        <w:rPr>
          <w:lang w:val="fr-FR"/>
        </w:rPr>
      </w:pPr>
      <w:r>
        <w:rPr>
          <w:lang w:val="fr-FR"/>
        </w:rPr>
        <w:t>46.</w:t>
      </w:r>
      <w:r>
        <w:rPr>
          <w:lang w:val="fr-FR"/>
        </w:rPr>
        <w:tab/>
      </w:r>
      <w:r w:rsidR="00DC1F96">
        <w:rPr>
          <w:lang w:val="fr-FR"/>
        </w:rPr>
        <w:t>Aux 101</w:t>
      </w:r>
      <w:r w:rsidR="00DC1F96">
        <w:rPr>
          <w:vertAlign w:val="superscript"/>
          <w:lang w:val="fr-FR"/>
        </w:rPr>
        <w:t>e</w:t>
      </w:r>
      <w:r w:rsidR="00DC1F96">
        <w:rPr>
          <w:lang w:val="fr-FR"/>
        </w:rPr>
        <w:t>, 102</w:t>
      </w:r>
      <w:r w:rsidR="00DC1F96">
        <w:rPr>
          <w:vertAlign w:val="superscript"/>
          <w:lang w:val="fr-FR"/>
        </w:rPr>
        <w:t>e</w:t>
      </w:r>
      <w:r w:rsidR="00DC1F96">
        <w:rPr>
          <w:lang w:val="fr-FR"/>
        </w:rPr>
        <w:t xml:space="preserve"> et 103</w:t>
      </w:r>
      <w:r w:rsidR="00DC1F96">
        <w:rPr>
          <w:vertAlign w:val="superscript"/>
          <w:lang w:val="fr-FR"/>
        </w:rPr>
        <w:t>e</w:t>
      </w:r>
      <w:r>
        <w:rPr>
          <w:lang w:val="fr-FR"/>
        </w:rPr>
        <w:t> </w:t>
      </w:r>
      <w:r w:rsidR="00DC1F96">
        <w:rPr>
          <w:lang w:val="fr-FR"/>
        </w:rPr>
        <w:t>sessions du Comité, ce Groupe de travail des communications était composé comme suit :</w:t>
      </w:r>
    </w:p>
    <w:p w14:paraId="6AF0FF34" w14:textId="77777777" w:rsidR="00DC1F96" w:rsidRPr="00A30D88" w:rsidRDefault="00DC1F96" w:rsidP="00D909D0">
      <w:pPr>
        <w:pStyle w:val="SingleTxtG"/>
        <w:rPr>
          <w:lang w:val="en-US"/>
        </w:rPr>
      </w:pPr>
      <w:proofErr w:type="spellStart"/>
      <w:r w:rsidRPr="00A30D88">
        <w:rPr>
          <w:i/>
          <w:iCs/>
          <w:lang w:val="en-US"/>
        </w:rPr>
        <w:t>Coordonnateur</w:t>
      </w:r>
      <w:proofErr w:type="spellEnd"/>
      <w:r w:rsidRPr="00A30D88">
        <w:rPr>
          <w:lang w:val="en-US"/>
        </w:rPr>
        <w:t> :</w:t>
      </w:r>
      <w:r w:rsidRPr="00A30D88">
        <w:rPr>
          <w:lang w:val="en-US"/>
        </w:rPr>
        <w:tab/>
        <w:t xml:space="preserve">Yeung Kam John Yeung </w:t>
      </w:r>
      <w:proofErr w:type="spellStart"/>
      <w:r w:rsidRPr="00A30D88">
        <w:rPr>
          <w:lang w:val="en-US"/>
        </w:rPr>
        <w:t>Sik</w:t>
      </w:r>
      <w:proofErr w:type="spellEnd"/>
      <w:r w:rsidRPr="00A30D88">
        <w:rPr>
          <w:lang w:val="en-US"/>
        </w:rPr>
        <w:t xml:space="preserve"> Yuen</w:t>
      </w:r>
    </w:p>
    <w:p w14:paraId="730C23F3" w14:textId="4C3116BA" w:rsidR="00DC1F96" w:rsidRPr="00A30D88" w:rsidRDefault="00DC1F96" w:rsidP="00D909D0">
      <w:pPr>
        <w:pStyle w:val="SingleTxtG"/>
        <w:tabs>
          <w:tab w:val="clear" w:pos="1701"/>
          <w:tab w:val="clear" w:pos="2268"/>
        </w:tabs>
        <w:jc w:val="left"/>
        <w:rPr>
          <w:lang w:val="en-US"/>
        </w:rPr>
      </w:pPr>
      <w:proofErr w:type="spellStart"/>
      <w:r w:rsidRPr="00A30D88">
        <w:rPr>
          <w:i/>
          <w:iCs/>
          <w:lang w:val="en-US"/>
        </w:rPr>
        <w:t>Membres</w:t>
      </w:r>
      <w:proofErr w:type="spellEnd"/>
      <w:r w:rsidRPr="00A30D88">
        <w:rPr>
          <w:i/>
          <w:iCs/>
          <w:lang w:val="en-US"/>
        </w:rPr>
        <w:t> </w:t>
      </w:r>
      <w:r w:rsidRPr="00A30D88">
        <w:rPr>
          <w:lang w:val="en-US"/>
        </w:rPr>
        <w:t>:</w:t>
      </w:r>
      <w:r w:rsidR="00D909D0" w:rsidRPr="00A30D88">
        <w:rPr>
          <w:lang w:val="en-US"/>
        </w:rPr>
        <w:tab/>
      </w:r>
      <w:r w:rsidRPr="00A30D88">
        <w:rPr>
          <w:lang w:val="en-US"/>
        </w:rPr>
        <w:t>Silvio José Albuquerque e Silva</w:t>
      </w:r>
      <w:r w:rsidR="00D909D0" w:rsidRPr="00A30D88">
        <w:rPr>
          <w:lang w:val="en-US"/>
        </w:rPr>
        <w:t xml:space="preserve"> </w:t>
      </w:r>
      <w:r w:rsidR="00D909D0" w:rsidRPr="00A30D88">
        <w:rPr>
          <w:lang w:val="en-US"/>
        </w:rPr>
        <w:br/>
      </w:r>
      <w:r w:rsidR="00D909D0" w:rsidRPr="00A30D88">
        <w:rPr>
          <w:lang w:val="en-US"/>
        </w:rPr>
        <w:tab/>
      </w:r>
      <w:r w:rsidRPr="00A30D88">
        <w:rPr>
          <w:lang w:val="en-US"/>
        </w:rPr>
        <w:t xml:space="preserve">Rita </w:t>
      </w:r>
      <w:proofErr w:type="spellStart"/>
      <w:r w:rsidRPr="00A30D88">
        <w:rPr>
          <w:lang w:val="en-US"/>
        </w:rPr>
        <w:t>Izsák</w:t>
      </w:r>
      <w:proofErr w:type="spellEnd"/>
      <w:r w:rsidRPr="00A30D88">
        <w:rPr>
          <w:lang w:val="en-US"/>
        </w:rPr>
        <w:t>-Ndiaye</w:t>
      </w:r>
      <w:r w:rsidR="00D909D0" w:rsidRPr="00A30D88">
        <w:rPr>
          <w:lang w:val="en-US"/>
        </w:rPr>
        <w:t xml:space="preserve"> </w:t>
      </w:r>
      <w:r w:rsidR="00D909D0" w:rsidRPr="00A30D88">
        <w:rPr>
          <w:lang w:val="en-US"/>
        </w:rPr>
        <w:br/>
      </w:r>
      <w:r w:rsidR="00D909D0" w:rsidRPr="00A30D88">
        <w:rPr>
          <w:lang w:val="en-US"/>
        </w:rPr>
        <w:tab/>
      </w:r>
      <w:r w:rsidRPr="00A30D88">
        <w:rPr>
          <w:lang w:val="en-US"/>
        </w:rPr>
        <w:t>Keiko Ko</w:t>
      </w:r>
      <w:r w:rsidR="00D909D0" w:rsidRPr="00A30D88">
        <w:rPr>
          <w:lang w:val="en-US"/>
        </w:rPr>
        <w:t xml:space="preserve"> </w:t>
      </w:r>
      <w:r w:rsidR="00D909D0" w:rsidRPr="00A30D88">
        <w:rPr>
          <w:lang w:val="en-US"/>
        </w:rPr>
        <w:br/>
      </w:r>
      <w:r w:rsidR="00D909D0" w:rsidRPr="00A30D88">
        <w:rPr>
          <w:lang w:val="en-US"/>
        </w:rPr>
        <w:tab/>
      </w:r>
      <w:proofErr w:type="spellStart"/>
      <w:r w:rsidRPr="00A30D88">
        <w:rPr>
          <w:lang w:val="en-US"/>
        </w:rPr>
        <w:t>Stamatia</w:t>
      </w:r>
      <w:proofErr w:type="spellEnd"/>
      <w:r w:rsidRPr="00A30D88">
        <w:rPr>
          <w:lang w:val="en-US"/>
        </w:rPr>
        <w:t xml:space="preserve"> </w:t>
      </w:r>
      <w:proofErr w:type="spellStart"/>
      <w:r w:rsidRPr="00A30D88">
        <w:rPr>
          <w:lang w:val="en-US"/>
        </w:rPr>
        <w:t>Stavrinaki</w:t>
      </w:r>
      <w:proofErr w:type="spellEnd"/>
    </w:p>
    <w:p w14:paraId="33CC0DD9" w14:textId="479A77FF" w:rsidR="00DC1F96" w:rsidRPr="002543F5" w:rsidRDefault="00D909D0" w:rsidP="00DC1F96">
      <w:pPr>
        <w:pStyle w:val="SingleTxtG"/>
        <w:rPr>
          <w:lang w:val="fr-FR"/>
        </w:rPr>
      </w:pPr>
      <w:r>
        <w:rPr>
          <w:lang w:val="fr-FR"/>
        </w:rPr>
        <w:t>47.</w:t>
      </w:r>
      <w:r>
        <w:rPr>
          <w:lang w:val="fr-FR"/>
        </w:rPr>
        <w:tab/>
      </w:r>
      <w:r w:rsidR="00DC1F96">
        <w:rPr>
          <w:lang w:val="fr-FR"/>
        </w:rPr>
        <w:t>Pendant la période comprise entre les 101</w:t>
      </w:r>
      <w:r w:rsidR="00DC1F96">
        <w:rPr>
          <w:vertAlign w:val="superscript"/>
          <w:lang w:val="fr-FR"/>
        </w:rPr>
        <w:t>e</w:t>
      </w:r>
      <w:r w:rsidR="00DC1F96">
        <w:rPr>
          <w:lang w:val="fr-FR"/>
        </w:rPr>
        <w:t xml:space="preserve"> et 102</w:t>
      </w:r>
      <w:r w:rsidR="00DC1F96">
        <w:rPr>
          <w:vertAlign w:val="superscript"/>
          <w:lang w:val="fr-FR"/>
        </w:rPr>
        <w:t>e</w:t>
      </w:r>
      <w:r>
        <w:rPr>
          <w:lang w:val="fr-FR"/>
        </w:rPr>
        <w:t> </w:t>
      </w:r>
      <w:r w:rsidR="00DC1F96">
        <w:rPr>
          <w:lang w:val="fr-FR"/>
        </w:rPr>
        <w:t xml:space="preserve">sessions du Comité, les activités des commissions de </w:t>
      </w:r>
      <w:r w:rsidR="00DC1F96" w:rsidRPr="00BD7BC4">
        <w:rPr>
          <w:lang w:val="fr-FR"/>
        </w:rPr>
        <w:t>conciliation ad</w:t>
      </w:r>
      <w:r w:rsidRPr="00BD7BC4">
        <w:rPr>
          <w:lang w:val="fr-FR"/>
        </w:rPr>
        <w:t> </w:t>
      </w:r>
      <w:r w:rsidR="00DC1F96" w:rsidRPr="00BD7BC4">
        <w:rPr>
          <w:lang w:val="fr-FR"/>
        </w:rPr>
        <w:t>hoc</w:t>
      </w:r>
      <w:r w:rsidR="00DC1F96" w:rsidRPr="00BD7BC4">
        <w:rPr>
          <w:rStyle w:val="Appelnotedebasdep"/>
        </w:rPr>
        <w:footnoteReference w:id="6"/>
      </w:r>
      <w:r w:rsidR="00DC1F96">
        <w:rPr>
          <w:lang w:val="fr-FR"/>
        </w:rPr>
        <w:t xml:space="preserve"> créées en application de l’article</w:t>
      </w:r>
      <w:r>
        <w:rPr>
          <w:lang w:val="fr-FR"/>
        </w:rPr>
        <w:t> </w:t>
      </w:r>
      <w:r w:rsidR="00DC1F96">
        <w:rPr>
          <w:lang w:val="fr-FR"/>
        </w:rPr>
        <w:t>11 de la Convention et chargées d’examiner les communications interétatiques soumises par le Qatar contre l’Arabie saoudite et les Émirats arabes unis ont été retardées en raison de la pandémie de COVID-19, qui a entraîné la suspension de toutes les réunions des organes de l’ONU. En</w:t>
      </w:r>
      <w:r>
        <w:rPr>
          <w:lang w:val="fr-FR"/>
        </w:rPr>
        <w:t> </w:t>
      </w:r>
      <w:r w:rsidR="00DC1F96">
        <w:rPr>
          <w:lang w:val="fr-FR"/>
        </w:rPr>
        <w:t>outre, l’achèvement des travaux de la commission de conciliation ad</w:t>
      </w:r>
      <w:r w:rsidR="004B7E9E">
        <w:rPr>
          <w:lang w:val="fr-FR"/>
        </w:rPr>
        <w:t> </w:t>
      </w:r>
      <w:r w:rsidR="00DC1F96">
        <w:rPr>
          <w:lang w:val="fr-FR"/>
        </w:rPr>
        <w:t>hoc chargée d’examiner la communication présentée par le Qatar contre l’Arabie saoudite a été retardé par la démission de Fatsah Ouguergouz</w:t>
      </w:r>
      <w:r w:rsidR="00DC1F96" w:rsidRPr="000D42D0">
        <w:rPr>
          <w:lang w:val="fr-FR"/>
        </w:rPr>
        <w:t xml:space="preserve"> </w:t>
      </w:r>
      <w:r w:rsidR="00DC1F96">
        <w:rPr>
          <w:lang w:val="fr-FR"/>
        </w:rPr>
        <w:t>pour raisons personnelles, le 3</w:t>
      </w:r>
      <w:r>
        <w:rPr>
          <w:lang w:val="fr-FR"/>
        </w:rPr>
        <w:t> </w:t>
      </w:r>
      <w:r w:rsidR="00DC1F96">
        <w:rPr>
          <w:lang w:val="fr-FR"/>
        </w:rPr>
        <w:t>mars 2020. Conformément à l’article</w:t>
      </w:r>
      <w:r>
        <w:rPr>
          <w:lang w:val="fr-FR"/>
        </w:rPr>
        <w:t> </w:t>
      </w:r>
      <w:r w:rsidR="00DC1F96">
        <w:rPr>
          <w:lang w:val="fr-FR"/>
        </w:rPr>
        <w:t>76 du Règlement intérieur du Comité, le Président a pourvu le poste vacant après de nouvelles consultations avec les États parties concernés, selon les procédures prévues aux articles</w:t>
      </w:r>
      <w:r>
        <w:rPr>
          <w:lang w:val="fr-FR"/>
        </w:rPr>
        <w:t> </w:t>
      </w:r>
      <w:r w:rsidR="00DC1F96">
        <w:rPr>
          <w:lang w:val="fr-FR"/>
        </w:rPr>
        <w:t>72 à 74. Par ailleurs, la composition de la commission de conciliation ad</w:t>
      </w:r>
      <w:r w:rsidR="004B7E9E">
        <w:rPr>
          <w:lang w:val="fr-FR"/>
        </w:rPr>
        <w:t> </w:t>
      </w:r>
      <w:r w:rsidR="00DC1F96">
        <w:rPr>
          <w:lang w:val="fr-FR"/>
        </w:rPr>
        <w:t>hoc chargée d’examiner la communication transmise par le Qatar contre l’Arabie saoudite n’a été achevée que le 16</w:t>
      </w:r>
      <w:r>
        <w:rPr>
          <w:lang w:val="fr-FR"/>
        </w:rPr>
        <w:t> </w:t>
      </w:r>
      <w:r w:rsidR="00DC1F96">
        <w:rPr>
          <w:lang w:val="fr-FR"/>
        </w:rPr>
        <w:t>juin 2020.</w:t>
      </w:r>
    </w:p>
    <w:p w14:paraId="363C1F51" w14:textId="04A05F08" w:rsidR="00DC1F96" w:rsidRPr="002543F5" w:rsidRDefault="00D909D0" w:rsidP="00DC1F96">
      <w:pPr>
        <w:pStyle w:val="SingleTxtG"/>
        <w:rPr>
          <w:lang w:val="fr-FR"/>
        </w:rPr>
      </w:pPr>
      <w:r>
        <w:rPr>
          <w:lang w:val="fr-FR"/>
        </w:rPr>
        <w:t>48.</w:t>
      </w:r>
      <w:r>
        <w:rPr>
          <w:lang w:val="fr-FR"/>
        </w:rPr>
        <w:tab/>
      </w:r>
      <w:r w:rsidR="00DC1F96">
        <w:rPr>
          <w:lang w:val="fr-FR"/>
        </w:rPr>
        <w:t>Le 11</w:t>
      </w:r>
      <w:r>
        <w:rPr>
          <w:lang w:val="fr-FR"/>
        </w:rPr>
        <w:t> </w:t>
      </w:r>
      <w:r w:rsidR="00DC1F96">
        <w:rPr>
          <w:lang w:val="fr-FR"/>
        </w:rPr>
        <w:t xml:space="preserve">janvier 2021, à la suite de l’adoption de la Déclaration d’Al-Ula entre le Qatar et d’autres États arabes, dont l’Arabie saoudite et les Émirats arabes unis, le Qatar a présenté deux demandes de suspension concernant les communications interétatiques qu’il avait </w:t>
      </w:r>
      <w:r w:rsidR="00DC1F96" w:rsidRPr="00A30D88">
        <w:rPr>
          <w:lang w:val="fr-FR"/>
        </w:rPr>
        <w:t>soumises le 8</w:t>
      </w:r>
      <w:r w:rsidRPr="00A30D88">
        <w:rPr>
          <w:lang w:val="fr-FR"/>
        </w:rPr>
        <w:t> </w:t>
      </w:r>
      <w:r w:rsidR="00DC1F96" w:rsidRPr="00A30D88">
        <w:rPr>
          <w:lang w:val="fr-FR"/>
        </w:rPr>
        <w:t>mars 20</w:t>
      </w:r>
      <w:r w:rsidR="00A30D88" w:rsidRPr="00A30D88">
        <w:rPr>
          <w:lang w:val="fr-FR"/>
        </w:rPr>
        <w:t>21</w:t>
      </w:r>
      <w:r w:rsidR="00DC1F96" w:rsidRPr="00A30D88">
        <w:rPr>
          <w:rStyle w:val="Appelnotedebasdep"/>
        </w:rPr>
        <w:footnoteReference w:id="7"/>
      </w:r>
      <w:r w:rsidR="00DC1F96" w:rsidRPr="00A30D88">
        <w:rPr>
          <w:lang w:val="fr-FR"/>
        </w:rPr>
        <w:t>. Le</w:t>
      </w:r>
      <w:r w:rsidR="00DC1F96">
        <w:rPr>
          <w:lang w:val="fr-FR"/>
        </w:rPr>
        <w:t xml:space="preserve"> 21</w:t>
      </w:r>
      <w:r>
        <w:rPr>
          <w:lang w:val="fr-FR"/>
        </w:rPr>
        <w:t> </w:t>
      </w:r>
      <w:r w:rsidR="00DC1F96">
        <w:rPr>
          <w:lang w:val="fr-FR"/>
        </w:rPr>
        <w:t>janvier 2021, conformément à la décision du Bureau, le secrétariat a transmis les demandes de suspension du Qatar aux deux États défendeurs afin qu’ils formulent leurs observations. Le 27</w:t>
      </w:r>
      <w:r>
        <w:rPr>
          <w:lang w:val="fr-FR"/>
        </w:rPr>
        <w:t> </w:t>
      </w:r>
      <w:r w:rsidR="00DC1F96">
        <w:rPr>
          <w:lang w:val="fr-FR"/>
        </w:rPr>
        <w:t>janvier et le 2</w:t>
      </w:r>
      <w:r>
        <w:rPr>
          <w:lang w:val="fr-FR"/>
        </w:rPr>
        <w:t> </w:t>
      </w:r>
      <w:r w:rsidR="00DC1F96">
        <w:rPr>
          <w:lang w:val="fr-FR"/>
        </w:rPr>
        <w:t>février 2021 respectivement, les Émirats arabes unis et l’Arabie saoudite ont fait part de leur accord avec le Qatar concernant la suspension des deux procédures, conformément à l’article</w:t>
      </w:r>
      <w:r>
        <w:rPr>
          <w:lang w:val="fr-FR"/>
        </w:rPr>
        <w:t> </w:t>
      </w:r>
      <w:r w:rsidR="00DC1F96">
        <w:rPr>
          <w:lang w:val="fr-FR"/>
        </w:rPr>
        <w:t>2 de la Déclaration d’Al-Ula. À</w:t>
      </w:r>
      <w:r>
        <w:rPr>
          <w:lang w:val="fr-FR"/>
        </w:rPr>
        <w:t> </w:t>
      </w:r>
      <w:r w:rsidR="00DC1F96">
        <w:rPr>
          <w:lang w:val="fr-FR"/>
        </w:rPr>
        <w:t>l’invitation du Président, les membres des deux commissions ad</w:t>
      </w:r>
      <w:r>
        <w:rPr>
          <w:lang w:val="fr-FR"/>
        </w:rPr>
        <w:t> </w:t>
      </w:r>
      <w:r w:rsidR="00DC1F96">
        <w:rPr>
          <w:lang w:val="fr-FR"/>
        </w:rPr>
        <w:t>hoc ont tenu, le 26</w:t>
      </w:r>
      <w:r>
        <w:rPr>
          <w:lang w:val="fr-FR"/>
        </w:rPr>
        <w:t> </w:t>
      </w:r>
      <w:r w:rsidR="00DC1F96">
        <w:rPr>
          <w:lang w:val="fr-FR"/>
        </w:rPr>
        <w:t>février 2021, une réunion en ligne au cours de laquelle ils ont prononcé la déclaration solennelle prévue à l’article</w:t>
      </w:r>
      <w:r>
        <w:rPr>
          <w:lang w:val="fr-FR"/>
        </w:rPr>
        <w:t> </w:t>
      </w:r>
      <w:r w:rsidR="00DC1F96">
        <w:rPr>
          <w:lang w:val="fr-FR"/>
        </w:rPr>
        <w:t>75 du Règlement intérieur du Comité. Lors d’une autre réunion conjointe tenue en ligne le</w:t>
      </w:r>
      <w:r>
        <w:rPr>
          <w:lang w:val="fr-FR"/>
        </w:rPr>
        <w:t> </w:t>
      </w:r>
      <w:r w:rsidR="00DC1F96">
        <w:rPr>
          <w:lang w:val="fr-FR"/>
        </w:rPr>
        <w:t>5 mars 2021, chaque commission de conciliation ad</w:t>
      </w:r>
      <w:r w:rsidR="001E2AF0">
        <w:rPr>
          <w:lang w:val="fr-FR"/>
        </w:rPr>
        <w:t> </w:t>
      </w:r>
      <w:r w:rsidR="00DC1F96">
        <w:rPr>
          <w:lang w:val="fr-FR"/>
        </w:rPr>
        <w:t>hoc a élu son président. M.</w:t>
      </w:r>
      <w:r>
        <w:rPr>
          <w:lang w:val="fr-FR"/>
        </w:rPr>
        <w:t> </w:t>
      </w:r>
      <w:r w:rsidR="00DC1F96">
        <w:rPr>
          <w:lang w:val="fr-FR"/>
        </w:rPr>
        <w:t xml:space="preserve">Bossuyt a été élu par consensus président de la commission chargée de l’affaire </w:t>
      </w:r>
      <w:r w:rsidR="00DC1F96">
        <w:rPr>
          <w:i/>
          <w:iCs/>
          <w:lang w:val="fr-FR"/>
        </w:rPr>
        <w:t>Qatar c.</w:t>
      </w:r>
      <w:r>
        <w:rPr>
          <w:i/>
          <w:iCs/>
          <w:lang w:val="fr-FR"/>
        </w:rPr>
        <w:t> </w:t>
      </w:r>
      <w:r w:rsidR="00DC1F96">
        <w:rPr>
          <w:i/>
          <w:iCs/>
          <w:lang w:val="fr-FR"/>
        </w:rPr>
        <w:t>Arabie saoudite</w:t>
      </w:r>
      <w:r w:rsidR="00DC1F96">
        <w:rPr>
          <w:lang w:val="fr-FR"/>
        </w:rPr>
        <w:t>, et M.</w:t>
      </w:r>
      <w:r>
        <w:rPr>
          <w:lang w:val="fr-FR"/>
        </w:rPr>
        <w:t> </w:t>
      </w:r>
      <w:r w:rsidR="00DC1F96">
        <w:rPr>
          <w:lang w:val="fr-FR"/>
        </w:rPr>
        <w:t xml:space="preserve">Yeung Sik Yuen a été élu par consensus président de la commission chargée de l’affaire </w:t>
      </w:r>
      <w:r w:rsidR="00DC1F96">
        <w:rPr>
          <w:i/>
          <w:iCs/>
          <w:lang w:val="fr-FR"/>
        </w:rPr>
        <w:t>Qatar c.</w:t>
      </w:r>
      <w:r>
        <w:rPr>
          <w:i/>
          <w:iCs/>
          <w:lang w:val="fr-FR"/>
        </w:rPr>
        <w:t> </w:t>
      </w:r>
      <w:r w:rsidR="00DC1F96">
        <w:rPr>
          <w:i/>
          <w:iCs/>
          <w:lang w:val="fr-FR"/>
        </w:rPr>
        <w:t>Émirats arabes unis</w:t>
      </w:r>
      <w:r w:rsidR="00DC1F96">
        <w:rPr>
          <w:lang w:val="fr-FR"/>
        </w:rPr>
        <w:t>. À la même réunion, les deux commissions ad</w:t>
      </w:r>
      <w:r w:rsidR="001E2AF0">
        <w:rPr>
          <w:lang w:val="fr-FR"/>
        </w:rPr>
        <w:t> </w:t>
      </w:r>
      <w:r w:rsidR="00DC1F96">
        <w:rPr>
          <w:lang w:val="fr-FR"/>
        </w:rPr>
        <w:t xml:space="preserve">hoc ont décidé de prendre note des demandes de suspension du Qatar et de l’assentiment des défendeurs à la suspension des procédures, et ont suspendu les communications interétatiques soumises par le Qatar. Les commissions ont en outre invité chacun des États </w:t>
      </w:r>
      <w:r w:rsidR="00DC1F96">
        <w:rPr>
          <w:lang w:val="fr-FR"/>
        </w:rPr>
        <w:lastRenderedPageBreak/>
        <w:t>parties concernés à leur faire savoir, dans un délai d’un an à compter de l’adoption de la Déclaration d’Al-Ula, s’il souhaitait reprendre l’examen de la question, dont elles ont décidé de rester saisies.</w:t>
      </w:r>
    </w:p>
    <w:p w14:paraId="3B8A25F7" w14:textId="36D13FCC" w:rsidR="00DC1F96" w:rsidRPr="002543F5" w:rsidRDefault="00D909D0" w:rsidP="00DC1F96">
      <w:pPr>
        <w:pStyle w:val="SingleTxtG"/>
        <w:rPr>
          <w:lang w:val="fr-FR"/>
        </w:rPr>
      </w:pPr>
      <w:r>
        <w:rPr>
          <w:lang w:val="fr-FR"/>
        </w:rPr>
        <w:t>49.</w:t>
      </w:r>
      <w:r>
        <w:rPr>
          <w:lang w:val="fr-FR"/>
        </w:rPr>
        <w:tab/>
      </w:r>
      <w:r w:rsidR="00DC1F96">
        <w:rPr>
          <w:lang w:val="fr-FR"/>
        </w:rPr>
        <w:t>À sa 100</w:t>
      </w:r>
      <w:r w:rsidR="00DC1F96">
        <w:rPr>
          <w:vertAlign w:val="superscript"/>
          <w:lang w:val="fr-FR"/>
        </w:rPr>
        <w:t>e</w:t>
      </w:r>
      <w:r>
        <w:rPr>
          <w:lang w:val="fr-FR"/>
        </w:rPr>
        <w:t> </w:t>
      </w:r>
      <w:r w:rsidR="00DC1F96">
        <w:rPr>
          <w:lang w:val="fr-FR"/>
        </w:rPr>
        <w:t>session, le Comité a décidé qu’il était compétent pour examiner la communication soumise par l’État de Palestine contre Israël. La décision sur la recevabilité de cette communication devait être prise à un stade ultérieur. Toutefois, en raison de la pandémie de COVID-19 et des effets qu’elle a eus sur les sessions de 2020, la question a été portée devant le Comité réuni en plénière à sa 103</w:t>
      </w:r>
      <w:r w:rsidR="00DC1F96">
        <w:rPr>
          <w:vertAlign w:val="superscript"/>
          <w:lang w:val="fr-FR"/>
        </w:rPr>
        <w:t>e</w:t>
      </w:r>
      <w:r>
        <w:rPr>
          <w:lang w:val="fr-FR"/>
        </w:rPr>
        <w:t> </w:t>
      </w:r>
      <w:r w:rsidR="00DC1F96">
        <w:rPr>
          <w:lang w:val="fr-FR"/>
        </w:rPr>
        <w:t>session.</w:t>
      </w:r>
    </w:p>
    <w:p w14:paraId="3DDF4FC5" w14:textId="58C8FEF8" w:rsidR="00DC1F96" w:rsidRPr="002543F5" w:rsidRDefault="00D909D0" w:rsidP="00DC1F96">
      <w:pPr>
        <w:pStyle w:val="SingleTxtG"/>
        <w:rPr>
          <w:lang w:val="fr-FR"/>
        </w:rPr>
      </w:pPr>
      <w:r>
        <w:rPr>
          <w:lang w:val="fr-FR"/>
        </w:rPr>
        <w:t>50.</w:t>
      </w:r>
      <w:r>
        <w:rPr>
          <w:lang w:val="fr-FR"/>
        </w:rPr>
        <w:tab/>
      </w:r>
      <w:r w:rsidR="00DC1F96">
        <w:rPr>
          <w:lang w:val="fr-FR"/>
        </w:rPr>
        <w:t>À sa 103</w:t>
      </w:r>
      <w:r w:rsidR="00DC1F96">
        <w:rPr>
          <w:vertAlign w:val="superscript"/>
          <w:lang w:val="fr-FR"/>
        </w:rPr>
        <w:t>e</w:t>
      </w:r>
      <w:r>
        <w:rPr>
          <w:lang w:val="fr-FR"/>
        </w:rPr>
        <w:t> </w:t>
      </w:r>
      <w:r w:rsidR="00DC1F96">
        <w:rPr>
          <w:lang w:val="fr-FR"/>
        </w:rPr>
        <w:t>session, le Comité a décidé par consensus que la communication était recevable après avoir pris connaissance des observations écrites</w:t>
      </w:r>
      <w:r w:rsidR="00DC1F96" w:rsidRPr="002B45EB">
        <w:rPr>
          <w:rStyle w:val="Appelnotedebasdep"/>
        </w:rPr>
        <w:footnoteReference w:id="8"/>
      </w:r>
      <w:r w:rsidR="00DC1F96">
        <w:rPr>
          <w:lang w:val="fr-FR"/>
        </w:rPr>
        <w:t xml:space="preserve"> et de la déclaration orale du représentant de l’État de Palestine, conformément au paragraphe</w:t>
      </w:r>
      <w:r>
        <w:rPr>
          <w:lang w:val="fr-FR"/>
        </w:rPr>
        <w:t> </w:t>
      </w:r>
      <w:r w:rsidR="00DC1F96">
        <w:rPr>
          <w:lang w:val="fr-FR"/>
        </w:rPr>
        <w:t>5 de l’article</w:t>
      </w:r>
      <w:r>
        <w:rPr>
          <w:lang w:val="fr-FR"/>
        </w:rPr>
        <w:t> </w:t>
      </w:r>
      <w:r w:rsidR="00DC1F96">
        <w:rPr>
          <w:lang w:val="fr-FR"/>
        </w:rPr>
        <w:t>11 de la Convention. Israël a refusé de faire une déclaration orale. M.</w:t>
      </w:r>
      <w:r>
        <w:rPr>
          <w:lang w:val="fr-FR"/>
        </w:rPr>
        <w:t> </w:t>
      </w:r>
      <w:r w:rsidR="00DC1F96">
        <w:rPr>
          <w:lang w:val="fr-FR"/>
        </w:rPr>
        <w:t>Bossuyt, M</w:t>
      </w:r>
      <w:r w:rsidR="00DC1F96">
        <w:rPr>
          <w:vertAlign w:val="superscript"/>
          <w:lang w:val="fr-FR"/>
        </w:rPr>
        <w:t>me</w:t>
      </w:r>
      <w:r>
        <w:rPr>
          <w:lang w:val="fr-FR"/>
        </w:rPr>
        <w:t> </w:t>
      </w:r>
      <w:r w:rsidR="00DC1F96">
        <w:rPr>
          <w:lang w:val="fr-FR"/>
        </w:rPr>
        <w:t>Izsák-Ndiaye, M</w:t>
      </w:r>
      <w:r w:rsidR="00DC1F96">
        <w:rPr>
          <w:vertAlign w:val="superscript"/>
          <w:lang w:val="fr-FR"/>
        </w:rPr>
        <w:t>me</w:t>
      </w:r>
      <w:r>
        <w:rPr>
          <w:lang w:val="fr-FR"/>
        </w:rPr>
        <w:t> </w:t>
      </w:r>
      <w:r w:rsidR="00DC1F96">
        <w:rPr>
          <w:lang w:val="fr-FR"/>
        </w:rPr>
        <w:t>Ko et M</w:t>
      </w:r>
      <w:r w:rsidR="00DC1F96">
        <w:rPr>
          <w:vertAlign w:val="superscript"/>
          <w:lang w:val="fr-FR"/>
        </w:rPr>
        <w:t>me</w:t>
      </w:r>
      <w:r>
        <w:rPr>
          <w:lang w:val="fr-FR"/>
        </w:rPr>
        <w:t> </w:t>
      </w:r>
      <w:r w:rsidR="00DC1F96">
        <w:rPr>
          <w:lang w:val="fr-FR"/>
        </w:rPr>
        <w:t>Li, qui ont exprimé une opinion dissidente concernant la décision sur la compétence adoptée le 12</w:t>
      </w:r>
      <w:r>
        <w:rPr>
          <w:lang w:val="fr-FR"/>
        </w:rPr>
        <w:t> </w:t>
      </w:r>
      <w:r w:rsidR="00DC1F96">
        <w:rPr>
          <w:lang w:val="fr-FR"/>
        </w:rPr>
        <w:t>décembre 2019 à la 100</w:t>
      </w:r>
      <w:r w:rsidR="00DC1F96">
        <w:rPr>
          <w:vertAlign w:val="superscript"/>
          <w:lang w:val="fr-FR"/>
        </w:rPr>
        <w:t>e</w:t>
      </w:r>
      <w:r>
        <w:rPr>
          <w:lang w:val="fr-FR"/>
        </w:rPr>
        <w:t> </w:t>
      </w:r>
      <w:r w:rsidR="00DC1F96">
        <w:rPr>
          <w:lang w:val="fr-FR"/>
        </w:rPr>
        <w:t>session, n’ont pas participé à la rédaction ni à l’adoption de la décision sur la recevabilité. Quatre membres étaient absents. Par cette décision, le Comité a également demandé à son président de désigner, conformément au paragraphe</w:t>
      </w:r>
      <w:r>
        <w:rPr>
          <w:lang w:val="fr-FR"/>
        </w:rPr>
        <w:t> </w:t>
      </w:r>
      <w:r w:rsidR="00DC1F96">
        <w:rPr>
          <w:lang w:val="fr-FR"/>
        </w:rPr>
        <w:t>1 de l’article</w:t>
      </w:r>
      <w:r>
        <w:rPr>
          <w:lang w:val="fr-FR"/>
        </w:rPr>
        <w:t> </w:t>
      </w:r>
      <w:r w:rsidR="00DC1F96">
        <w:rPr>
          <w:lang w:val="fr-FR"/>
        </w:rPr>
        <w:t>12 de la Convention, les membres d’une commission de conciliation ad</w:t>
      </w:r>
      <w:r>
        <w:rPr>
          <w:lang w:val="fr-FR"/>
        </w:rPr>
        <w:t> </w:t>
      </w:r>
      <w:r w:rsidR="00DC1F96">
        <w:rPr>
          <w:lang w:val="fr-FR"/>
        </w:rPr>
        <w:t>hoc, qui mettrait ses bons offices à la disposition des États intéressés afin de parvenir à une solution amiable de la question</w:t>
      </w:r>
      <w:r w:rsidR="00DC1F96" w:rsidRPr="002B45EB">
        <w:rPr>
          <w:rStyle w:val="Appelnotedebasdep"/>
        </w:rPr>
        <w:footnoteReference w:id="9"/>
      </w:r>
      <w:r w:rsidR="00DC1F96">
        <w:rPr>
          <w:lang w:val="fr-FR"/>
        </w:rPr>
        <w:t>. Dans une note verbale datée du 20</w:t>
      </w:r>
      <w:r>
        <w:rPr>
          <w:lang w:val="fr-FR"/>
        </w:rPr>
        <w:t> </w:t>
      </w:r>
      <w:r w:rsidR="00DC1F96">
        <w:rPr>
          <w:lang w:val="fr-FR"/>
        </w:rPr>
        <w:t>mai 2021, le secrétariat a fait connaître aux deux parties la décision adoptée par le Comité sur la recevabilité de la communication. Il a également informé les États parties qu’il leur transmettrait une liste d’experts en vue de la constitution de la commission de conciliation ad</w:t>
      </w:r>
      <w:r>
        <w:rPr>
          <w:lang w:val="fr-FR"/>
        </w:rPr>
        <w:t> </w:t>
      </w:r>
      <w:r w:rsidR="00DC1F96">
        <w:rPr>
          <w:lang w:val="fr-FR"/>
        </w:rPr>
        <w:t>hoc, conformément au paragraphe</w:t>
      </w:r>
      <w:r>
        <w:rPr>
          <w:lang w:val="fr-FR"/>
        </w:rPr>
        <w:t> </w:t>
      </w:r>
      <w:r w:rsidR="00DC1F96">
        <w:rPr>
          <w:lang w:val="fr-FR"/>
        </w:rPr>
        <w:t>1</w:t>
      </w:r>
      <w:r>
        <w:rPr>
          <w:lang w:val="fr-FR"/>
        </w:rPr>
        <w:t> </w:t>
      </w:r>
      <w:r w:rsidR="00DC1F96">
        <w:rPr>
          <w:lang w:val="fr-FR"/>
        </w:rPr>
        <w:t>a) de l’article</w:t>
      </w:r>
      <w:r>
        <w:rPr>
          <w:lang w:val="fr-FR"/>
        </w:rPr>
        <w:t> </w:t>
      </w:r>
      <w:r w:rsidR="00DC1F96">
        <w:rPr>
          <w:lang w:val="fr-FR"/>
        </w:rPr>
        <w:t>12 de la Convention. Les consultations sur la sélection des membres de la commission sont en cours. La liste des experts proposés doit être communiquée aux États parties intéressés en vue de consultations qui se tiendront dans un délai de trois mois à compter de la transmission aux États parties des informations rassemblées par le Comité, conformément à l’article</w:t>
      </w:r>
      <w:r>
        <w:rPr>
          <w:lang w:val="fr-FR"/>
        </w:rPr>
        <w:t> </w:t>
      </w:r>
      <w:r w:rsidR="00DC1F96">
        <w:rPr>
          <w:lang w:val="fr-FR"/>
        </w:rPr>
        <w:t>72 du Règlement intérieur et au paragraphe</w:t>
      </w:r>
      <w:r>
        <w:rPr>
          <w:lang w:val="fr-FR"/>
        </w:rPr>
        <w:t> </w:t>
      </w:r>
      <w:r w:rsidR="00DC1F96">
        <w:rPr>
          <w:lang w:val="fr-FR"/>
        </w:rPr>
        <w:t>1</w:t>
      </w:r>
      <w:r>
        <w:rPr>
          <w:lang w:val="fr-FR"/>
        </w:rPr>
        <w:t> </w:t>
      </w:r>
      <w:r w:rsidR="00DC1F96">
        <w:rPr>
          <w:lang w:val="fr-FR"/>
        </w:rPr>
        <w:t>a) de l’article</w:t>
      </w:r>
      <w:r>
        <w:rPr>
          <w:lang w:val="fr-FR"/>
        </w:rPr>
        <w:t> </w:t>
      </w:r>
      <w:r w:rsidR="00DC1F96">
        <w:rPr>
          <w:lang w:val="fr-FR"/>
        </w:rPr>
        <w:t>12 de la Convention.</w:t>
      </w:r>
    </w:p>
    <w:p w14:paraId="3B0406A4" w14:textId="77777777" w:rsidR="00DC1F96" w:rsidRDefault="00DC1F96" w:rsidP="00DC1F96">
      <w:pPr>
        <w:pStyle w:val="SingleTxtG"/>
        <w:rPr>
          <w:lang w:val="fr-FR"/>
        </w:rPr>
      </w:pPr>
      <w:r w:rsidRPr="002543F5">
        <w:rPr>
          <w:lang w:val="fr-FR"/>
        </w:rPr>
        <w:t xml:space="preserve"> </w:t>
      </w:r>
      <w:r w:rsidRPr="002543F5">
        <w:rPr>
          <w:lang w:val="fr-FR"/>
        </w:rPr>
        <w:br w:type="page"/>
      </w:r>
    </w:p>
    <w:p w14:paraId="247FA5C2" w14:textId="08BB7DD4" w:rsidR="00DC1F96" w:rsidRPr="003E3EA0" w:rsidRDefault="00D909D0" w:rsidP="00D909D0">
      <w:pPr>
        <w:pStyle w:val="HChG"/>
        <w:rPr>
          <w:lang w:val="fr-FR"/>
        </w:rPr>
      </w:pPr>
      <w:r>
        <w:rPr>
          <w:lang w:val="fr-FR"/>
        </w:rPr>
        <w:lastRenderedPageBreak/>
        <w:tab/>
      </w:r>
      <w:r w:rsidR="00DC1F96" w:rsidRPr="003E3EA0">
        <w:rPr>
          <w:lang w:val="fr-FR"/>
        </w:rPr>
        <w:t>VI.</w:t>
      </w:r>
      <w:r w:rsidR="00DC1F96" w:rsidRPr="003E3EA0">
        <w:rPr>
          <w:lang w:val="fr-FR"/>
        </w:rPr>
        <w:tab/>
        <w:t>Méthodes de travail</w:t>
      </w:r>
      <w:bookmarkStart w:id="70" w:name="_Toc81563232"/>
      <w:bookmarkEnd w:id="70"/>
    </w:p>
    <w:p w14:paraId="5006D7B2" w14:textId="0816E036" w:rsidR="00DC1F96" w:rsidRPr="002543F5" w:rsidRDefault="00D909D0" w:rsidP="00DC1F96">
      <w:pPr>
        <w:pStyle w:val="SingleTxtG"/>
        <w:rPr>
          <w:lang w:val="fr-FR"/>
        </w:rPr>
      </w:pPr>
      <w:r>
        <w:rPr>
          <w:lang w:val="fr-FR"/>
        </w:rPr>
        <w:t>51.</w:t>
      </w:r>
      <w:r>
        <w:rPr>
          <w:lang w:val="fr-FR"/>
        </w:rPr>
        <w:tab/>
      </w:r>
      <w:r w:rsidR="00DC1F96">
        <w:rPr>
          <w:lang w:val="fr-FR"/>
        </w:rPr>
        <w:t>À sa 101</w:t>
      </w:r>
      <w:r w:rsidR="00DC1F96">
        <w:rPr>
          <w:vertAlign w:val="superscript"/>
          <w:lang w:val="fr-FR"/>
        </w:rPr>
        <w:t>e</w:t>
      </w:r>
      <w:r>
        <w:rPr>
          <w:lang w:val="fr-FR"/>
        </w:rPr>
        <w:t> </w:t>
      </w:r>
      <w:r w:rsidR="00DC1F96">
        <w:rPr>
          <w:lang w:val="fr-FR"/>
        </w:rPr>
        <w:t>session, le Comité a modifié les articles</w:t>
      </w:r>
      <w:r>
        <w:rPr>
          <w:lang w:val="fr-FR"/>
        </w:rPr>
        <w:t> </w:t>
      </w:r>
      <w:r w:rsidR="00DC1F96">
        <w:rPr>
          <w:lang w:val="fr-FR"/>
        </w:rPr>
        <w:t>5 et 50 de son règlement intérieur, afin de pouvoir tenir des sessions à distance dans des circonstances exceptionnelles et de permettre à ses membres de voter aux sessions à distance comme ils le font en présentiel.</w:t>
      </w:r>
    </w:p>
    <w:p w14:paraId="318DA7CC" w14:textId="548F7CB8" w:rsidR="00DC1F96" w:rsidRPr="002543F5" w:rsidRDefault="00D909D0" w:rsidP="00DC1F96">
      <w:pPr>
        <w:pStyle w:val="SingleTxtG"/>
        <w:rPr>
          <w:lang w:val="fr-FR"/>
        </w:rPr>
      </w:pPr>
      <w:r>
        <w:rPr>
          <w:lang w:val="fr-FR"/>
        </w:rPr>
        <w:t>52.</w:t>
      </w:r>
      <w:r>
        <w:rPr>
          <w:lang w:val="fr-FR"/>
        </w:rPr>
        <w:tab/>
      </w:r>
      <w:r w:rsidR="00DC1F96">
        <w:rPr>
          <w:lang w:val="fr-FR"/>
        </w:rPr>
        <w:t>À sa 103</w:t>
      </w:r>
      <w:r w:rsidR="00DC1F96">
        <w:rPr>
          <w:vertAlign w:val="superscript"/>
          <w:lang w:val="fr-FR"/>
        </w:rPr>
        <w:t>e</w:t>
      </w:r>
      <w:r>
        <w:rPr>
          <w:lang w:val="fr-FR"/>
        </w:rPr>
        <w:t> </w:t>
      </w:r>
      <w:r w:rsidR="00DC1F96">
        <w:rPr>
          <w:lang w:val="fr-FR"/>
        </w:rPr>
        <w:t>session, le Comité a décidé, à la suite d’une présentation donnée par M</w:t>
      </w:r>
      <w:r w:rsidR="00DC1F96">
        <w:rPr>
          <w:vertAlign w:val="superscript"/>
          <w:lang w:val="fr-FR"/>
        </w:rPr>
        <w:t>me</w:t>
      </w:r>
      <w:r>
        <w:rPr>
          <w:lang w:val="fr-FR"/>
        </w:rPr>
        <w:t> </w:t>
      </w:r>
      <w:r w:rsidR="00DC1F96">
        <w:rPr>
          <w:lang w:val="fr-FR"/>
        </w:rPr>
        <w:t>Stavrinaki, de s’atteler à l’élaboration d’une recommandation générale sur la discrimination raciale et le droit à la santé à ses prochaines sessions. À la même session, il a également décidé d’élaborer : a)</w:t>
      </w:r>
      <w:r>
        <w:rPr>
          <w:lang w:val="fr-FR"/>
        </w:rPr>
        <w:t> </w:t>
      </w:r>
      <w:r w:rsidR="00DC1F96">
        <w:rPr>
          <w:lang w:val="fr-FR"/>
        </w:rPr>
        <w:t>des directives sur la coopération avec les institutions nationales des droits de l’homme ; b)</w:t>
      </w:r>
      <w:r>
        <w:rPr>
          <w:lang w:val="fr-FR"/>
        </w:rPr>
        <w:t> </w:t>
      </w:r>
      <w:r w:rsidR="00DC1F96">
        <w:rPr>
          <w:lang w:val="fr-FR"/>
        </w:rPr>
        <w:t>des directives relatives à la coopération avec les organisations non gouvernementales ; c)</w:t>
      </w:r>
      <w:r>
        <w:rPr>
          <w:lang w:val="fr-FR"/>
        </w:rPr>
        <w:t> </w:t>
      </w:r>
      <w:r w:rsidR="00DC1F96">
        <w:rPr>
          <w:lang w:val="fr-FR"/>
        </w:rPr>
        <w:t>des directives internes sur l’élaboration de ses recommandations générales. Il a chargé M</w:t>
      </w:r>
      <w:r w:rsidR="00DC1F96">
        <w:rPr>
          <w:vertAlign w:val="superscript"/>
          <w:lang w:val="fr-FR"/>
        </w:rPr>
        <w:t>me</w:t>
      </w:r>
      <w:r>
        <w:rPr>
          <w:lang w:val="fr-FR"/>
        </w:rPr>
        <w:t> </w:t>
      </w:r>
      <w:r w:rsidR="00DC1F96">
        <w:rPr>
          <w:lang w:val="fr-FR"/>
        </w:rPr>
        <w:t>Tlakula, M.</w:t>
      </w:r>
      <w:r>
        <w:rPr>
          <w:lang w:val="fr-FR"/>
        </w:rPr>
        <w:t> </w:t>
      </w:r>
      <w:r w:rsidR="00DC1F96">
        <w:rPr>
          <w:lang w:val="fr-FR"/>
        </w:rPr>
        <w:t>Guisse et M</w:t>
      </w:r>
      <w:r w:rsidR="00DC1F96">
        <w:rPr>
          <w:vertAlign w:val="superscript"/>
          <w:lang w:val="fr-FR"/>
        </w:rPr>
        <w:t>me</w:t>
      </w:r>
      <w:r>
        <w:rPr>
          <w:lang w:val="fr-FR"/>
        </w:rPr>
        <w:t> </w:t>
      </w:r>
      <w:r w:rsidR="00DC1F96">
        <w:rPr>
          <w:lang w:val="fr-FR"/>
        </w:rPr>
        <w:t>Stavrinaki, respectivement, d’élaborer des projets de texte pour adoption par le Comité à ses prochaines sessions.</w:t>
      </w:r>
    </w:p>
    <w:p w14:paraId="226B18AD" w14:textId="77777777" w:rsidR="00DC1F96" w:rsidRPr="002543F5" w:rsidRDefault="00DC1F96" w:rsidP="00DC1F96">
      <w:pPr>
        <w:pStyle w:val="SingleTxtG"/>
        <w:rPr>
          <w:lang w:val="fr-FR"/>
        </w:rPr>
      </w:pPr>
      <w:r w:rsidRPr="002543F5">
        <w:rPr>
          <w:lang w:val="fr-FR"/>
        </w:rPr>
        <w:br w:type="page"/>
      </w:r>
    </w:p>
    <w:p w14:paraId="019E56FB" w14:textId="77777777" w:rsidR="00DC1F96" w:rsidRPr="002543F5" w:rsidRDefault="00DC1F96" w:rsidP="00D909D0">
      <w:pPr>
        <w:pStyle w:val="HChG"/>
        <w:rPr>
          <w:lang w:val="fr-FR"/>
        </w:rPr>
      </w:pPr>
      <w:bookmarkStart w:id="71" w:name="_Toc17361303"/>
      <w:r>
        <w:rPr>
          <w:lang w:val="fr-FR"/>
        </w:rPr>
        <w:lastRenderedPageBreak/>
        <w:tab/>
        <w:t>VII.</w:t>
      </w:r>
      <w:r>
        <w:rPr>
          <w:lang w:val="fr-FR"/>
        </w:rPr>
        <w:tab/>
        <w:t>États parties dont les rapports sont très en retard</w:t>
      </w:r>
      <w:bookmarkStart w:id="72" w:name="_Toc48752328"/>
      <w:bookmarkStart w:id="73" w:name="_Toc48816881"/>
      <w:bookmarkStart w:id="74" w:name="_Toc81563233"/>
      <w:bookmarkEnd w:id="71"/>
      <w:bookmarkEnd w:id="72"/>
      <w:bookmarkEnd w:id="73"/>
      <w:bookmarkEnd w:id="74"/>
    </w:p>
    <w:p w14:paraId="327B7C27" w14:textId="77777777" w:rsidR="00DC1F96" w:rsidRPr="002543F5" w:rsidRDefault="00DC1F96" w:rsidP="00D909D0">
      <w:pPr>
        <w:pStyle w:val="H1G"/>
        <w:rPr>
          <w:lang w:val="fr-FR"/>
        </w:rPr>
      </w:pPr>
      <w:r>
        <w:rPr>
          <w:lang w:val="fr-FR"/>
        </w:rPr>
        <w:tab/>
        <w:t>A.</w:t>
      </w:r>
      <w:r>
        <w:rPr>
          <w:lang w:val="fr-FR"/>
        </w:rPr>
        <w:tab/>
        <w:t>Rapports en retard d’au moins dix ans</w:t>
      </w:r>
      <w:bookmarkStart w:id="75" w:name="_Toc17361304"/>
      <w:bookmarkStart w:id="76" w:name="_Toc48752329"/>
      <w:bookmarkStart w:id="77" w:name="_Toc48816882"/>
      <w:bookmarkStart w:id="78" w:name="_Toc81563234"/>
      <w:bookmarkEnd w:id="75"/>
      <w:bookmarkEnd w:id="76"/>
      <w:bookmarkEnd w:id="77"/>
      <w:bookmarkEnd w:id="78"/>
    </w:p>
    <w:p w14:paraId="4656BB03" w14:textId="7F31A19C" w:rsidR="00DC1F96" w:rsidRPr="002543F5" w:rsidRDefault="00D909D0" w:rsidP="00DC1F96">
      <w:pPr>
        <w:pStyle w:val="SingleTxtG"/>
        <w:rPr>
          <w:lang w:val="fr-FR"/>
        </w:rPr>
      </w:pPr>
      <w:r>
        <w:rPr>
          <w:lang w:val="fr-FR"/>
        </w:rPr>
        <w:t>53.</w:t>
      </w:r>
      <w:r>
        <w:rPr>
          <w:lang w:val="fr-FR"/>
        </w:rPr>
        <w:tab/>
      </w:r>
      <w:r w:rsidR="00DC1F96">
        <w:rPr>
          <w:lang w:val="fr-FR"/>
        </w:rPr>
        <w:t>Au 30</w:t>
      </w:r>
      <w:r>
        <w:rPr>
          <w:lang w:val="fr-FR"/>
        </w:rPr>
        <w:t> </w:t>
      </w:r>
      <w:r w:rsidR="00DC1F96">
        <w:rPr>
          <w:lang w:val="fr-FR"/>
        </w:rPr>
        <w:t>avril 2021, les rapports des États parties ci-après étaient en retard d’au moins dix ans :</w:t>
      </w:r>
    </w:p>
    <w:p w14:paraId="08513514" w14:textId="4256AC88" w:rsidR="00DC1F96" w:rsidRPr="002543F5" w:rsidRDefault="00DC1F96" w:rsidP="00095418">
      <w:pPr>
        <w:pStyle w:val="SingleTxtG"/>
        <w:tabs>
          <w:tab w:val="clear" w:pos="1701"/>
          <w:tab w:val="clear" w:pos="2268"/>
          <w:tab w:val="clear" w:pos="2835"/>
          <w:tab w:val="left" w:pos="4253"/>
        </w:tabs>
        <w:rPr>
          <w:lang w:val="fr-FR"/>
        </w:rPr>
      </w:pPr>
      <w:r>
        <w:rPr>
          <w:lang w:val="fr-FR"/>
        </w:rPr>
        <w:t>Sierra Leone</w:t>
      </w:r>
      <w:r w:rsidR="00095418">
        <w:rPr>
          <w:lang w:val="fr-FR"/>
        </w:rPr>
        <w:tab/>
      </w:r>
      <w:r>
        <w:rPr>
          <w:lang w:val="fr-FR"/>
        </w:rPr>
        <w:t>Quatr</w:t>
      </w:r>
      <w:r w:rsidR="00D909D0">
        <w:rPr>
          <w:lang w:val="fr-FR"/>
        </w:rPr>
        <w:t>i</w:t>
      </w:r>
      <w:r>
        <w:rPr>
          <w:lang w:val="fr-FR"/>
        </w:rPr>
        <w:t>ème rapport périodique attendu depuis 1976</w:t>
      </w:r>
    </w:p>
    <w:p w14:paraId="2E6DE6EE" w14:textId="57D10F0A" w:rsidR="00DC1F96" w:rsidRPr="002543F5" w:rsidRDefault="00DC1F96" w:rsidP="00095418">
      <w:pPr>
        <w:pStyle w:val="SingleTxtG"/>
        <w:tabs>
          <w:tab w:val="clear" w:pos="1701"/>
          <w:tab w:val="clear" w:pos="2268"/>
          <w:tab w:val="clear" w:pos="2835"/>
          <w:tab w:val="left" w:pos="4253"/>
        </w:tabs>
        <w:rPr>
          <w:lang w:val="fr-FR"/>
        </w:rPr>
      </w:pPr>
      <w:r>
        <w:rPr>
          <w:lang w:val="fr-FR"/>
        </w:rPr>
        <w:t>Libéria</w:t>
      </w:r>
      <w:r>
        <w:rPr>
          <w:lang w:val="fr-FR"/>
        </w:rPr>
        <w:tab/>
        <w:t>Rapport initial attendu depuis 1977</w:t>
      </w:r>
    </w:p>
    <w:p w14:paraId="494107CF" w14:textId="0A3ACEE0" w:rsidR="00DC1F96" w:rsidRPr="002543F5" w:rsidRDefault="00DC1F96" w:rsidP="00095418">
      <w:pPr>
        <w:pStyle w:val="SingleTxtG"/>
        <w:tabs>
          <w:tab w:val="clear" w:pos="1701"/>
          <w:tab w:val="clear" w:pos="2268"/>
          <w:tab w:val="clear" w:pos="2835"/>
          <w:tab w:val="left" w:pos="4253"/>
        </w:tabs>
        <w:rPr>
          <w:lang w:val="fr-FR"/>
        </w:rPr>
      </w:pPr>
      <w:r>
        <w:rPr>
          <w:lang w:val="fr-FR"/>
        </w:rPr>
        <w:t>Gambie</w:t>
      </w:r>
      <w:r>
        <w:rPr>
          <w:lang w:val="fr-FR"/>
        </w:rPr>
        <w:tab/>
        <w:t>Deuxième rapport attendu depuis 1982</w:t>
      </w:r>
    </w:p>
    <w:p w14:paraId="5ED577C0" w14:textId="0D1F0B7E"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Somalie</w:t>
      </w:r>
      <w:r>
        <w:rPr>
          <w:lang w:val="fr-FR"/>
        </w:rPr>
        <w:tab/>
        <w:t>Cinquième rapport périodique attendu depuis 1984</w:t>
      </w:r>
    </w:p>
    <w:p w14:paraId="3E5FDBA3" w14:textId="7B08A960" w:rsidR="00DC1F96" w:rsidRPr="002543F5" w:rsidRDefault="00DC1F96" w:rsidP="00095418">
      <w:pPr>
        <w:pStyle w:val="SingleTxtG"/>
        <w:tabs>
          <w:tab w:val="clear" w:pos="1701"/>
          <w:tab w:val="clear" w:pos="2268"/>
          <w:tab w:val="clear" w:pos="2835"/>
          <w:tab w:val="left" w:pos="4253"/>
        </w:tabs>
        <w:rPr>
          <w:lang w:val="fr-FR"/>
        </w:rPr>
      </w:pPr>
      <w:r>
        <w:rPr>
          <w:lang w:val="fr-FR"/>
        </w:rPr>
        <w:t>Papouasie-Nouvelle-Guinée</w:t>
      </w:r>
      <w:r>
        <w:rPr>
          <w:lang w:val="fr-FR"/>
        </w:rPr>
        <w:tab/>
        <w:t>Deuxième rapport périodique attendu depuis 1985</w:t>
      </w:r>
    </w:p>
    <w:p w14:paraId="7E79E2B7" w14:textId="1656C874" w:rsidR="00DC1F96" w:rsidRPr="002543F5" w:rsidRDefault="00DC1F96" w:rsidP="00095418">
      <w:pPr>
        <w:pStyle w:val="SingleTxtG"/>
        <w:tabs>
          <w:tab w:val="clear" w:pos="1701"/>
          <w:tab w:val="clear" w:pos="2268"/>
          <w:tab w:val="clear" w:pos="2835"/>
          <w:tab w:val="left" w:pos="4253"/>
        </w:tabs>
        <w:rPr>
          <w:lang w:val="fr-FR"/>
        </w:rPr>
      </w:pPr>
      <w:r>
        <w:rPr>
          <w:lang w:val="fr-FR"/>
        </w:rPr>
        <w:t>Îles Salomon</w:t>
      </w:r>
      <w:r>
        <w:rPr>
          <w:lang w:val="fr-FR"/>
        </w:rPr>
        <w:tab/>
        <w:t>Deuxième rapport périodique attendu depuis 1985</w:t>
      </w:r>
    </w:p>
    <w:p w14:paraId="24FB72E7"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République centrafricaine</w:t>
      </w:r>
      <w:r>
        <w:rPr>
          <w:lang w:val="fr-FR"/>
        </w:rPr>
        <w:tab/>
        <w:t>Huitième rapport périodique attendu depuis 1986</w:t>
      </w:r>
    </w:p>
    <w:p w14:paraId="5D73DB76" w14:textId="1A54D84B" w:rsidR="00DC1F96" w:rsidRPr="002543F5" w:rsidRDefault="00DC1F96" w:rsidP="00095418">
      <w:pPr>
        <w:pStyle w:val="SingleTxtG"/>
        <w:tabs>
          <w:tab w:val="clear" w:pos="1701"/>
          <w:tab w:val="clear" w:pos="2268"/>
          <w:tab w:val="clear" w:pos="2835"/>
          <w:tab w:val="left" w:pos="4253"/>
        </w:tabs>
        <w:rPr>
          <w:lang w:val="fr-FR"/>
        </w:rPr>
      </w:pPr>
      <w:r>
        <w:rPr>
          <w:lang w:val="fr-FR"/>
        </w:rPr>
        <w:t>Seychelles</w:t>
      </w:r>
      <w:r>
        <w:rPr>
          <w:lang w:val="fr-FR"/>
        </w:rPr>
        <w:tab/>
        <w:t>Sixième rapport périodique attendu depuis 1989</w:t>
      </w:r>
    </w:p>
    <w:p w14:paraId="40B72C03"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Sainte-Lucie</w:t>
      </w:r>
      <w:r>
        <w:rPr>
          <w:lang w:val="fr-FR"/>
        </w:rPr>
        <w:tab/>
        <w:t>Rapport initial attendu depuis 1991</w:t>
      </w:r>
    </w:p>
    <w:p w14:paraId="4E204961"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Malawi</w:t>
      </w:r>
      <w:r>
        <w:rPr>
          <w:lang w:val="fr-FR"/>
        </w:rPr>
        <w:tab/>
        <w:t>Rapport initial attendu depuis 1997</w:t>
      </w:r>
    </w:p>
    <w:p w14:paraId="47ABE35B"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Burundi</w:t>
      </w:r>
      <w:r>
        <w:rPr>
          <w:lang w:val="fr-FR"/>
        </w:rPr>
        <w:tab/>
        <w:t>Onzième rapport périodique attendu depuis 1998</w:t>
      </w:r>
    </w:p>
    <w:p w14:paraId="283E0116"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Eswatini</w:t>
      </w:r>
      <w:r>
        <w:rPr>
          <w:lang w:val="fr-FR"/>
        </w:rPr>
        <w:tab/>
        <w:t>Quinzième rapport périodique attendu depuis 1998</w:t>
      </w:r>
    </w:p>
    <w:p w14:paraId="6DBC7976"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Gabon</w:t>
      </w:r>
      <w:r>
        <w:rPr>
          <w:lang w:val="fr-FR"/>
        </w:rPr>
        <w:tab/>
        <w:t>Dixième rapport périodique attendu depuis 1999</w:t>
      </w:r>
    </w:p>
    <w:p w14:paraId="728CA737"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Guinée</w:t>
      </w:r>
      <w:r>
        <w:rPr>
          <w:lang w:val="fr-FR"/>
        </w:rPr>
        <w:tab/>
        <w:t>Douzième rapport périodique attendu depuis 2000</w:t>
      </w:r>
    </w:p>
    <w:p w14:paraId="18F7D2DB"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Haïti</w:t>
      </w:r>
      <w:r>
        <w:rPr>
          <w:lang w:val="fr-FR"/>
        </w:rPr>
        <w:tab/>
        <w:t>Quatorzième rapport périodique attendu depuis 2000</w:t>
      </w:r>
    </w:p>
    <w:p w14:paraId="7660E85B"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Lesotho</w:t>
      </w:r>
      <w:r>
        <w:rPr>
          <w:lang w:val="fr-FR"/>
        </w:rPr>
        <w:tab/>
        <w:t>Quinzième rapport périodique attendu depuis 2000</w:t>
      </w:r>
    </w:p>
    <w:p w14:paraId="7EBEF23A"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République arabe syrienne</w:t>
      </w:r>
      <w:r>
        <w:rPr>
          <w:lang w:val="fr-FR"/>
        </w:rPr>
        <w:tab/>
        <w:t>Seizième rapport périodique attendu depuis 2000</w:t>
      </w:r>
    </w:p>
    <w:p w14:paraId="7E5F8EFB"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Tonga</w:t>
      </w:r>
      <w:r>
        <w:rPr>
          <w:lang w:val="fr-FR"/>
        </w:rPr>
        <w:tab/>
        <w:t>Quinzième rapport périodique attendu depuis 2001</w:t>
      </w:r>
    </w:p>
    <w:p w14:paraId="32FD3363"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Bangladesh</w:t>
      </w:r>
      <w:r>
        <w:rPr>
          <w:lang w:val="fr-FR"/>
        </w:rPr>
        <w:tab/>
        <w:t>Douzième rapport périodique attendu depuis 2002</w:t>
      </w:r>
    </w:p>
    <w:p w14:paraId="36A92EB6"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Belize</w:t>
      </w:r>
      <w:r>
        <w:rPr>
          <w:lang w:val="fr-FR"/>
        </w:rPr>
        <w:tab/>
        <w:t>Rapport initial attendu depuis 2002</w:t>
      </w:r>
    </w:p>
    <w:p w14:paraId="1371DC7A"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Bénin</w:t>
      </w:r>
      <w:r>
        <w:rPr>
          <w:lang w:val="fr-FR"/>
        </w:rPr>
        <w:tab/>
        <w:t>Rapport initial attendu depuis 2002</w:t>
      </w:r>
    </w:p>
    <w:p w14:paraId="1223FE6D"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Érythrée</w:t>
      </w:r>
      <w:r>
        <w:rPr>
          <w:lang w:val="fr-FR"/>
        </w:rPr>
        <w:tab/>
        <w:t>Rapport initial attendu depuis 2002</w:t>
      </w:r>
    </w:p>
    <w:p w14:paraId="09E467BA"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Guinée équatoriale</w:t>
      </w:r>
      <w:r>
        <w:rPr>
          <w:lang w:val="fr-FR"/>
        </w:rPr>
        <w:tab/>
        <w:t>Rapport initial attendu depuis 2003</w:t>
      </w:r>
    </w:p>
    <w:p w14:paraId="1A6C1307"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Saint-Marin</w:t>
      </w:r>
      <w:r>
        <w:rPr>
          <w:lang w:val="fr-FR"/>
        </w:rPr>
        <w:tab/>
        <w:t>Rapport initial attendu depuis 2003</w:t>
      </w:r>
    </w:p>
    <w:p w14:paraId="3F22BFD2"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Timor-Leste</w:t>
      </w:r>
      <w:r>
        <w:rPr>
          <w:lang w:val="fr-FR"/>
        </w:rPr>
        <w:tab/>
        <w:t>Rapport initial attendu depuis 2004</w:t>
      </w:r>
    </w:p>
    <w:p w14:paraId="3325B1AF" w14:textId="77777777"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Trinité-et-Tobago</w:t>
      </w:r>
      <w:r>
        <w:rPr>
          <w:lang w:val="fr-FR"/>
        </w:rPr>
        <w:tab/>
        <w:t>Rapport valant quinzième et seizième rapports périodiques attendu depuis 2004</w:t>
      </w:r>
    </w:p>
    <w:p w14:paraId="481E4A9C" w14:textId="77777777" w:rsidR="00DC1F96" w:rsidRPr="002543F5" w:rsidRDefault="00DC1F96" w:rsidP="00095418">
      <w:pPr>
        <w:pStyle w:val="SingleTxtG"/>
        <w:tabs>
          <w:tab w:val="clear" w:pos="1701"/>
          <w:tab w:val="clear" w:pos="2268"/>
          <w:tab w:val="clear" w:pos="2835"/>
          <w:tab w:val="left" w:pos="4253"/>
        </w:tabs>
        <w:rPr>
          <w:lang w:val="fr-FR"/>
        </w:rPr>
      </w:pPr>
      <w:r>
        <w:rPr>
          <w:lang w:val="fr-FR"/>
        </w:rPr>
        <w:t>Comores</w:t>
      </w:r>
      <w:r>
        <w:rPr>
          <w:lang w:val="fr-FR"/>
        </w:rPr>
        <w:tab/>
        <w:t>Rapport initial attendu depuis 2005</w:t>
      </w:r>
    </w:p>
    <w:p w14:paraId="4D2119D0" w14:textId="77777777"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Mali</w:t>
      </w:r>
      <w:r>
        <w:rPr>
          <w:lang w:val="fr-FR"/>
        </w:rPr>
        <w:tab/>
        <w:t>Rapport valant quinzième et seizième rapports périodiques attendu depuis 2005</w:t>
      </w:r>
    </w:p>
    <w:p w14:paraId="09E823EC" w14:textId="77777777"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Ouganda</w:t>
      </w:r>
      <w:r>
        <w:rPr>
          <w:lang w:val="fr-FR"/>
        </w:rPr>
        <w:tab/>
        <w:t>Rapport valant onzième à treizième rapports périodiques attendu depuis 2005</w:t>
      </w:r>
    </w:p>
    <w:p w14:paraId="29B6C2AB" w14:textId="77777777"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Bahamas</w:t>
      </w:r>
      <w:r>
        <w:rPr>
          <w:lang w:val="fr-FR"/>
        </w:rPr>
        <w:tab/>
        <w:t>Rapport valant quinzième et seizième rapports périodiques attendu depuis 2006</w:t>
      </w:r>
    </w:p>
    <w:p w14:paraId="6356DADB" w14:textId="31EA4271"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Cabo Verde</w:t>
      </w:r>
      <w:r>
        <w:rPr>
          <w:lang w:val="fr-FR"/>
        </w:rPr>
        <w:tab/>
        <w:t>Rapport valant treizième et quatorzième rapports périodiques attendu depuis 2006</w:t>
      </w:r>
    </w:p>
    <w:p w14:paraId="1617015E" w14:textId="77777777"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lastRenderedPageBreak/>
        <w:t>Côte d’Ivoire</w:t>
      </w:r>
      <w:r>
        <w:rPr>
          <w:lang w:val="fr-FR"/>
        </w:rPr>
        <w:tab/>
        <w:t>Rapport valant quinzième à dix-septième rapports périodiques attendu depuis 2006</w:t>
      </w:r>
    </w:p>
    <w:p w14:paraId="0B9C25A7" w14:textId="77777777"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Ghana</w:t>
      </w:r>
      <w:r>
        <w:rPr>
          <w:lang w:val="fr-FR"/>
        </w:rPr>
        <w:tab/>
        <w:t>Rapport valant dix-huitième et dix-neuvième rapports périodiques attendu depuis 2006</w:t>
      </w:r>
    </w:p>
    <w:p w14:paraId="005D3B7B" w14:textId="77777777"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Libye</w:t>
      </w:r>
      <w:r>
        <w:rPr>
          <w:lang w:val="fr-FR"/>
        </w:rPr>
        <w:tab/>
        <w:t>Rapport valant dix-huitième et dix-neuvième rapports périodiques attendu depuis 2006</w:t>
      </w:r>
    </w:p>
    <w:p w14:paraId="13BF9FEC" w14:textId="24BD08DD"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Saint-Vincent-et-les Grenadines</w:t>
      </w:r>
      <w:r>
        <w:rPr>
          <w:lang w:val="fr-FR"/>
        </w:rPr>
        <w:tab/>
        <w:t>Rapport valant onzième à treizième rapports périodiques attendu depuis 2006</w:t>
      </w:r>
    </w:p>
    <w:p w14:paraId="3966EA17" w14:textId="55D6991E"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Barbade</w:t>
      </w:r>
      <w:r>
        <w:rPr>
          <w:lang w:val="fr-FR"/>
        </w:rPr>
        <w:tab/>
        <w:t>Rapport valant dix-septième et dix-huitième rapports périodiques attendu depuis 2007</w:t>
      </w:r>
    </w:p>
    <w:p w14:paraId="3C2F55E5" w14:textId="77777777"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Saint-Kitts-et-Nevis</w:t>
      </w:r>
      <w:r>
        <w:rPr>
          <w:lang w:val="fr-FR"/>
        </w:rPr>
        <w:tab/>
        <w:t>Rapport initial attendu depuis 2007</w:t>
      </w:r>
    </w:p>
    <w:p w14:paraId="7EFF0090" w14:textId="0303B46F"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 xml:space="preserve">République-Unie de Tanzanie </w:t>
      </w:r>
      <w:r>
        <w:rPr>
          <w:lang w:val="fr-FR"/>
        </w:rPr>
        <w:tab/>
        <w:t>Rapport valant dix-septième et dix-huitième rapports</w:t>
      </w:r>
      <w:r w:rsidR="001E2AF0">
        <w:rPr>
          <w:lang w:val="fr-FR"/>
        </w:rPr>
        <w:t xml:space="preserve"> </w:t>
      </w:r>
      <w:r>
        <w:rPr>
          <w:lang w:val="fr-FR"/>
        </w:rPr>
        <w:t>périodiques attendu depuis 2007</w:t>
      </w:r>
    </w:p>
    <w:p w14:paraId="17C5945E" w14:textId="77777777"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Brésil</w:t>
      </w:r>
      <w:r>
        <w:rPr>
          <w:lang w:val="fr-FR"/>
        </w:rPr>
        <w:tab/>
        <w:t>Rapport valant dix-huitième à vingtième rapports périodiques attendu depuis 2008</w:t>
      </w:r>
    </w:p>
    <w:p w14:paraId="11D99DF6" w14:textId="77777777"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Guyana</w:t>
      </w:r>
      <w:r>
        <w:rPr>
          <w:lang w:val="fr-FR"/>
        </w:rPr>
        <w:tab/>
        <w:t>Rapport valant quinzième et seizième rapports périodiques attendu depuis 2008</w:t>
      </w:r>
    </w:p>
    <w:p w14:paraId="648DA89A" w14:textId="77777777"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Madagascar</w:t>
      </w:r>
      <w:r>
        <w:rPr>
          <w:lang w:val="fr-FR"/>
        </w:rPr>
        <w:tab/>
        <w:t>Rapport valant dix-neuvième et vingtième rapports périodiques attendu depuis 2008</w:t>
      </w:r>
    </w:p>
    <w:p w14:paraId="298A0BAA" w14:textId="1599A117"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Nigéria</w:t>
      </w:r>
      <w:r>
        <w:rPr>
          <w:lang w:val="fr-FR"/>
        </w:rPr>
        <w:tab/>
        <w:t>Rapport valant dix-neuvième et vingtième rapports périodiques attendu depuis 2008</w:t>
      </w:r>
    </w:p>
    <w:p w14:paraId="2FEE4BEE" w14:textId="3CAED0BD"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Antigua-et-Barbuda</w:t>
      </w:r>
      <w:r>
        <w:rPr>
          <w:lang w:val="fr-FR"/>
        </w:rPr>
        <w:tab/>
        <w:t>Rapport valant dixième et onzième rapports périodiques attendu depuis 2009</w:t>
      </w:r>
    </w:p>
    <w:p w14:paraId="63E3B4C3" w14:textId="77777777"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Inde</w:t>
      </w:r>
      <w:r>
        <w:rPr>
          <w:lang w:val="fr-FR"/>
        </w:rPr>
        <w:tab/>
        <w:t>Rapport valant vingtième et vingt et unième rapports périodiques attendu depuis 2010</w:t>
      </w:r>
    </w:p>
    <w:p w14:paraId="319A8BBC" w14:textId="2A447BB1"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Indonésie</w:t>
      </w:r>
      <w:r>
        <w:rPr>
          <w:lang w:val="fr-FR"/>
        </w:rPr>
        <w:tab/>
        <w:t>Rapport valant quatrième à sixième rapports périodiques attendu depuis 2010</w:t>
      </w:r>
    </w:p>
    <w:p w14:paraId="10EF7E8C" w14:textId="0309CE85"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Mozambique</w:t>
      </w:r>
      <w:r>
        <w:rPr>
          <w:lang w:val="fr-FR"/>
        </w:rPr>
        <w:tab/>
        <w:t>Rapport valant treizième à dix-septième rapports périodiques attendu depuis 2010</w:t>
      </w:r>
    </w:p>
    <w:p w14:paraId="4ED66CC4" w14:textId="7C265CFF" w:rsidR="00DC1F96" w:rsidRPr="002543F5" w:rsidRDefault="00DC1F96" w:rsidP="00095418">
      <w:pPr>
        <w:pStyle w:val="SingleTxtG"/>
        <w:tabs>
          <w:tab w:val="clear" w:pos="1701"/>
          <w:tab w:val="clear" w:pos="2268"/>
          <w:tab w:val="clear" w:pos="2835"/>
          <w:tab w:val="left" w:pos="4253"/>
        </w:tabs>
        <w:ind w:left="4253" w:hanging="3119"/>
        <w:rPr>
          <w:lang w:val="fr-FR"/>
        </w:rPr>
      </w:pPr>
      <w:r w:rsidRPr="006B0784">
        <w:rPr>
          <w:spacing w:val="-2"/>
          <w:lang w:val="fr-FR"/>
        </w:rPr>
        <w:t>République démocratique du Congo</w:t>
      </w:r>
      <w:r>
        <w:rPr>
          <w:lang w:val="fr-FR"/>
        </w:rPr>
        <w:tab/>
        <w:t>Rapport valant seizième à dix-huitième rapports</w:t>
      </w:r>
      <w:r w:rsidR="00095418">
        <w:rPr>
          <w:lang w:val="fr-FR"/>
        </w:rPr>
        <w:t xml:space="preserve"> </w:t>
      </w:r>
      <w:r>
        <w:rPr>
          <w:lang w:val="fr-FR"/>
        </w:rPr>
        <w:t>périodiques attendu depuis 2011</w:t>
      </w:r>
    </w:p>
    <w:p w14:paraId="131785FB" w14:textId="17EAE3E0" w:rsidR="00DC1F96" w:rsidRPr="002543F5" w:rsidRDefault="00DC1F96" w:rsidP="00095418">
      <w:pPr>
        <w:pStyle w:val="SingleTxtG"/>
        <w:tabs>
          <w:tab w:val="clear" w:pos="1701"/>
          <w:tab w:val="clear" w:pos="2268"/>
          <w:tab w:val="clear" w:pos="2835"/>
          <w:tab w:val="left" w:pos="4253"/>
        </w:tabs>
        <w:ind w:left="4253" w:hanging="3119"/>
        <w:rPr>
          <w:lang w:val="fr-FR"/>
        </w:rPr>
      </w:pPr>
      <w:r>
        <w:rPr>
          <w:lang w:val="fr-FR"/>
        </w:rPr>
        <w:t>Guinée-Bissau</w:t>
      </w:r>
      <w:r>
        <w:rPr>
          <w:lang w:val="fr-FR"/>
        </w:rPr>
        <w:tab/>
        <w:t>Rapport initial attendu depuis 2011</w:t>
      </w:r>
    </w:p>
    <w:p w14:paraId="087B9B72" w14:textId="77777777" w:rsidR="00DC1F96" w:rsidRPr="00F807AD" w:rsidRDefault="00DC1F96" w:rsidP="00095418">
      <w:pPr>
        <w:pStyle w:val="H1G"/>
        <w:rPr>
          <w:lang w:val="fr-FR"/>
        </w:rPr>
      </w:pPr>
      <w:r>
        <w:rPr>
          <w:lang w:val="fr-FR"/>
        </w:rPr>
        <w:tab/>
        <w:t>B.</w:t>
      </w:r>
      <w:r>
        <w:rPr>
          <w:lang w:val="fr-FR"/>
        </w:rPr>
        <w:tab/>
      </w:r>
      <w:r w:rsidRPr="00F807AD">
        <w:rPr>
          <w:lang w:val="fr-FR"/>
        </w:rPr>
        <w:t>Rapports en retard d’au moins cinq ans</w:t>
      </w:r>
      <w:bookmarkStart w:id="79" w:name="_Toc17361305"/>
      <w:bookmarkStart w:id="80" w:name="_Toc48752330"/>
      <w:bookmarkStart w:id="81" w:name="_Toc48816883"/>
      <w:bookmarkStart w:id="82" w:name="_Toc81563235"/>
      <w:bookmarkEnd w:id="79"/>
      <w:bookmarkEnd w:id="80"/>
      <w:bookmarkEnd w:id="81"/>
      <w:bookmarkEnd w:id="82"/>
    </w:p>
    <w:p w14:paraId="09070CCE" w14:textId="76B9F261" w:rsidR="00DC1F96" w:rsidRPr="00F807AD" w:rsidRDefault="00095418" w:rsidP="00DC1F96">
      <w:pPr>
        <w:pStyle w:val="SingleTxtG"/>
        <w:rPr>
          <w:lang w:val="fr-FR"/>
        </w:rPr>
      </w:pPr>
      <w:r w:rsidRPr="00F807AD">
        <w:rPr>
          <w:lang w:val="fr-FR"/>
        </w:rPr>
        <w:t>54.</w:t>
      </w:r>
      <w:r w:rsidRPr="00F807AD">
        <w:rPr>
          <w:lang w:val="fr-FR"/>
        </w:rPr>
        <w:tab/>
      </w:r>
      <w:r w:rsidR="00DC1F96" w:rsidRPr="00F807AD">
        <w:rPr>
          <w:lang w:val="fr-FR"/>
        </w:rPr>
        <w:t>Au 30</w:t>
      </w:r>
      <w:r w:rsidRPr="00F807AD">
        <w:rPr>
          <w:lang w:val="fr-FR"/>
        </w:rPr>
        <w:t> </w:t>
      </w:r>
      <w:r w:rsidR="00DC1F96" w:rsidRPr="00F807AD">
        <w:rPr>
          <w:lang w:val="fr-FR"/>
        </w:rPr>
        <w:t>avril 2021, les rapports des États parties ci-après étaient en retard d’au moins cinq ans :</w:t>
      </w:r>
    </w:p>
    <w:p w14:paraId="6E82EAA3" w14:textId="62CFCD14" w:rsidR="00DC1F96" w:rsidRPr="002543F5" w:rsidRDefault="00DC1F96" w:rsidP="00095418">
      <w:pPr>
        <w:pStyle w:val="SingleTxtG"/>
        <w:tabs>
          <w:tab w:val="clear" w:pos="1701"/>
          <w:tab w:val="clear" w:pos="2268"/>
          <w:tab w:val="clear" w:pos="2835"/>
          <w:tab w:val="left" w:pos="4820"/>
        </w:tabs>
        <w:ind w:left="4820" w:hanging="3686"/>
        <w:rPr>
          <w:lang w:val="fr-FR"/>
        </w:rPr>
      </w:pPr>
      <w:r w:rsidRPr="00F807AD">
        <w:rPr>
          <w:lang w:val="fr-FR"/>
        </w:rPr>
        <w:t>Congo</w:t>
      </w:r>
      <w:r w:rsidR="00095418" w:rsidRPr="00F807AD">
        <w:rPr>
          <w:lang w:val="fr-FR"/>
        </w:rPr>
        <w:tab/>
      </w:r>
      <w:r w:rsidRPr="00F807AD">
        <w:rPr>
          <w:lang w:val="fr-FR"/>
        </w:rPr>
        <w:t>Rapport valant dixième et onzième rapports</w:t>
      </w:r>
      <w:r>
        <w:rPr>
          <w:lang w:val="fr-FR"/>
        </w:rPr>
        <w:t xml:space="preserve"> périodiques attendu depuis 2012</w:t>
      </w:r>
    </w:p>
    <w:p w14:paraId="2F706B13" w14:textId="3E1C1560"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t>Monac</w:t>
      </w:r>
      <w:r w:rsidR="00095418">
        <w:rPr>
          <w:lang w:val="fr-FR"/>
        </w:rPr>
        <w:t>o</w:t>
      </w:r>
      <w:r w:rsidR="00095418">
        <w:rPr>
          <w:lang w:val="fr-FR"/>
        </w:rPr>
        <w:tab/>
      </w:r>
      <w:r>
        <w:rPr>
          <w:lang w:val="fr-FR"/>
        </w:rPr>
        <w:t>Rapport valant septième à neuvième rapports périodiques attendu depuis 2012</w:t>
      </w:r>
    </w:p>
    <w:p w14:paraId="06C8751F" w14:textId="33B110FF"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t>Philippines</w:t>
      </w:r>
      <w:r>
        <w:rPr>
          <w:lang w:val="fr-FR"/>
        </w:rPr>
        <w:tab/>
      </w:r>
      <w:r w:rsidRPr="00095418">
        <w:rPr>
          <w:spacing w:val="-2"/>
          <w:lang w:val="fr-FR"/>
        </w:rPr>
        <w:t>Rapport valant vingt et unième et vingt</w:t>
      </w:r>
      <w:r w:rsidR="001E2AF0">
        <w:rPr>
          <w:spacing w:val="-2"/>
          <w:lang w:val="fr-FR"/>
        </w:rPr>
        <w:noBreakHyphen/>
      </w:r>
      <w:r w:rsidRPr="00095418">
        <w:rPr>
          <w:spacing w:val="-2"/>
          <w:lang w:val="fr-FR"/>
        </w:rPr>
        <w:t>deuxième rapports périodiques attendu depuis 2012</w:t>
      </w:r>
    </w:p>
    <w:p w14:paraId="5341E919" w14:textId="77777777"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t>Tunisie</w:t>
      </w:r>
      <w:r>
        <w:rPr>
          <w:lang w:val="fr-FR"/>
        </w:rPr>
        <w:tab/>
        <w:t>Rapport valant vingtième à vingt-deuxième rapports périodiques attendu depuis 2012</w:t>
      </w:r>
    </w:p>
    <w:p w14:paraId="22983ED3" w14:textId="58FB5C98"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t>Éthiopie</w:t>
      </w:r>
      <w:r>
        <w:rPr>
          <w:lang w:val="fr-FR"/>
        </w:rPr>
        <w:tab/>
        <w:t>Rapport valant dix-septième et dix-huitième rapports périodiques attendu depuis 2013</w:t>
      </w:r>
    </w:p>
    <w:p w14:paraId="45AED6DB" w14:textId="77777777"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lastRenderedPageBreak/>
        <w:t>Iran (République islamique d’)</w:t>
      </w:r>
      <w:r>
        <w:rPr>
          <w:lang w:val="fr-FR"/>
        </w:rPr>
        <w:tab/>
        <w:t>Rapport valant vingtième à vingt-deuxième rapports périodiques attendu depuis 2013</w:t>
      </w:r>
    </w:p>
    <w:p w14:paraId="5F755DDB" w14:textId="4C8040EB"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t>Panama</w:t>
      </w:r>
      <w:r>
        <w:rPr>
          <w:lang w:val="fr-FR"/>
        </w:rPr>
        <w:tab/>
        <w:t>Rapport valant vingt et unième à vingt</w:t>
      </w:r>
      <w:r w:rsidR="001E2AF0">
        <w:rPr>
          <w:lang w:val="fr-FR"/>
        </w:rPr>
        <w:noBreakHyphen/>
      </w:r>
      <w:r>
        <w:rPr>
          <w:lang w:val="fr-FR"/>
        </w:rPr>
        <w:t>troisième rapports périodiques attendu depuis 2013</w:t>
      </w:r>
    </w:p>
    <w:p w14:paraId="349E93A5" w14:textId="1C55D27C"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t>Yémen</w:t>
      </w:r>
      <w:r>
        <w:rPr>
          <w:lang w:val="fr-FR"/>
        </w:rPr>
        <w:tab/>
        <w:t>Rapport valant dix-neuvième et vingtième rapports périodiques attendu depuis 2013</w:t>
      </w:r>
    </w:p>
    <w:p w14:paraId="4292E8CC" w14:textId="77777777"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t>Grenade</w:t>
      </w:r>
      <w:r>
        <w:rPr>
          <w:lang w:val="fr-FR"/>
        </w:rPr>
        <w:tab/>
        <w:t>Rapport initial attendu depuis 2014</w:t>
      </w:r>
    </w:p>
    <w:p w14:paraId="18F9BB5E" w14:textId="1FDDA0F4"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t>Malte</w:t>
      </w:r>
      <w:r>
        <w:rPr>
          <w:lang w:val="fr-FR"/>
        </w:rPr>
        <w:tab/>
        <w:t>Rapport valant vingt et unième et vingt</w:t>
      </w:r>
      <w:r w:rsidR="001E2AF0">
        <w:rPr>
          <w:lang w:val="fr-FR"/>
        </w:rPr>
        <w:noBreakHyphen/>
      </w:r>
      <w:r>
        <w:rPr>
          <w:lang w:val="fr-FR"/>
        </w:rPr>
        <w:t>deuxième rapports périodiques attendu depuis 2014</w:t>
      </w:r>
    </w:p>
    <w:p w14:paraId="3F95D625" w14:textId="51B892FB"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t>Autriche</w:t>
      </w:r>
      <w:r>
        <w:rPr>
          <w:lang w:val="fr-FR"/>
        </w:rPr>
        <w:tab/>
        <w:t>Rapport valant vingt et unième et vingt</w:t>
      </w:r>
      <w:r w:rsidR="001E2AF0">
        <w:rPr>
          <w:lang w:val="fr-FR"/>
        </w:rPr>
        <w:noBreakHyphen/>
      </w:r>
      <w:r>
        <w:rPr>
          <w:lang w:val="fr-FR"/>
        </w:rPr>
        <w:t>deuxième rapports périodiques attendu depuis 2015</w:t>
      </w:r>
    </w:p>
    <w:p w14:paraId="724530D7" w14:textId="4828819B"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t>République démocratique populaire lao</w:t>
      </w:r>
      <w:r w:rsidR="00095418">
        <w:rPr>
          <w:lang w:val="fr-FR"/>
        </w:rPr>
        <w:tab/>
      </w:r>
      <w:r>
        <w:rPr>
          <w:lang w:val="fr-FR"/>
        </w:rPr>
        <w:t>Rapport valant dix-neuvième à vingt et unième</w:t>
      </w:r>
      <w:r w:rsidR="00095418">
        <w:rPr>
          <w:lang w:val="fr-FR"/>
        </w:rPr>
        <w:t xml:space="preserve"> </w:t>
      </w:r>
      <w:r>
        <w:rPr>
          <w:lang w:val="fr-FR"/>
        </w:rPr>
        <w:t>rapports périodiques attendu depuis 2015</w:t>
      </w:r>
    </w:p>
    <w:p w14:paraId="636F9B6B" w14:textId="77777777"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t>Maldives</w:t>
      </w:r>
      <w:r>
        <w:rPr>
          <w:lang w:val="fr-FR"/>
        </w:rPr>
        <w:tab/>
        <w:t>Rapport valant treizième à quinzième rapports périodiques attendu depuis 2015</w:t>
      </w:r>
    </w:p>
    <w:p w14:paraId="4BAA46B1" w14:textId="2CC9C0D7"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t>Fidji</w:t>
      </w:r>
      <w:r>
        <w:rPr>
          <w:lang w:val="fr-FR"/>
        </w:rPr>
        <w:tab/>
        <w:t xml:space="preserve">Rapport valant vingt et unième et </w:t>
      </w:r>
      <w:r w:rsidR="008B6412">
        <w:rPr>
          <w:lang w:val="fr-FR"/>
        </w:rPr>
        <w:t>vingt-deuxième</w:t>
      </w:r>
      <w:r>
        <w:rPr>
          <w:lang w:val="fr-FR"/>
        </w:rPr>
        <w:t xml:space="preserve"> rapports périodiques attendu depuis 2016</w:t>
      </w:r>
    </w:p>
    <w:p w14:paraId="5E66C094" w14:textId="77777777"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t>Liechtenstein</w:t>
      </w:r>
      <w:r>
        <w:rPr>
          <w:lang w:val="fr-FR"/>
        </w:rPr>
        <w:tab/>
        <w:t>Rapport valant septième et huitième rapports périodiques attendu depuis 2016</w:t>
      </w:r>
    </w:p>
    <w:p w14:paraId="26F6C429" w14:textId="2FB58369" w:rsidR="00DC1F96" w:rsidRPr="002543F5" w:rsidRDefault="00DC1F96" w:rsidP="00095418">
      <w:pPr>
        <w:pStyle w:val="SingleTxtG"/>
        <w:tabs>
          <w:tab w:val="clear" w:pos="1701"/>
          <w:tab w:val="clear" w:pos="2268"/>
          <w:tab w:val="clear" w:pos="2835"/>
          <w:tab w:val="left" w:pos="4820"/>
        </w:tabs>
        <w:ind w:left="4820" w:hanging="3686"/>
        <w:rPr>
          <w:lang w:val="fr-FR"/>
        </w:rPr>
      </w:pPr>
      <w:r>
        <w:rPr>
          <w:lang w:val="fr-FR"/>
        </w:rPr>
        <w:t>Venezuela (République bolivarienne du)</w:t>
      </w:r>
      <w:r>
        <w:rPr>
          <w:lang w:val="fr-FR"/>
        </w:rPr>
        <w:tab/>
        <w:t>Rapport valant vingt et unième à vingt</w:t>
      </w:r>
      <w:r w:rsidR="001E2AF0">
        <w:rPr>
          <w:lang w:val="fr-FR"/>
        </w:rPr>
        <w:noBreakHyphen/>
      </w:r>
      <w:r>
        <w:rPr>
          <w:lang w:val="fr-FR"/>
        </w:rPr>
        <w:t>quatrième rapports périodiques attendu depuis 2016</w:t>
      </w:r>
      <w:bookmarkStart w:id="83" w:name="_Toc17361306"/>
      <w:bookmarkStart w:id="84" w:name="_Toc48752331"/>
      <w:bookmarkStart w:id="85" w:name="_Toc48816884"/>
    </w:p>
    <w:p w14:paraId="63D01CED" w14:textId="77777777" w:rsidR="00DC1F96" w:rsidRPr="002543F5" w:rsidRDefault="00DC1F96" w:rsidP="00095418">
      <w:pPr>
        <w:pStyle w:val="H1G"/>
        <w:rPr>
          <w:lang w:val="fr-FR"/>
        </w:rPr>
      </w:pPr>
      <w:r w:rsidRPr="001E2AF0">
        <w:rPr>
          <w:spacing w:val="-3"/>
          <w:lang w:val="fr-FR"/>
        </w:rPr>
        <w:tab/>
        <w:t>C.</w:t>
      </w:r>
      <w:r w:rsidRPr="001E2AF0">
        <w:rPr>
          <w:spacing w:val="-3"/>
          <w:lang w:val="fr-FR"/>
        </w:rPr>
        <w:tab/>
        <w:t>Mesures que le Comité a prises pour amener les États parties à soumettre</w:t>
      </w:r>
      <w:r>
        <w:rPr>
          <w:lang w:val="fr-FR"/>
        </w:rPr>
        <w:t xml:space="preserve"> leurs rapports</w:t>
      </w:r>
      <w:bookmarkStart w:id="86" w:name="_Toc81563236"/>
      <w:bookmarkEnd w:id="83"/>
      <w:bookmarkEnd w:id="84"/>
      <w:bookmarkEnd w:id="85"/>
      <w:bookmarkEnd w:id="86"/>
    </w:p>
    <w:p w14:paraId="41F2AD9A" w14:textId="5B9C9C4B" w:rsidR="00DC1F96" w:rsidRPr="002543F5" w:rsidRDefault="00095418" w:rsidP="00DC1F96">
      <w:pPr>
        <w:pStyle w:val="SingleTxtG"/>
        <w:rPr>
          <w:lang w:val="fr-FR"/>
        </w:rPr>
      </w:pPr>
      <w:r>
        <w:rPr>
          <w:lang w:val="fr-FR"/>
        </w:rPr>
        <w:t>55.</w:t>
      </w:r>
      <w:r>
        <w:rPr>
          <w:lang w:val="fr-FR"/>
        </w:rPr>
        <w:tab/>
      </w:r>
      <w:r w:rsidR="00DC1F96">
        <w:rPr>
          <w:lang w:val="fr-FR"/>
        </w:rPr>
        <w:t>Ayant décidé d’adopter la procédure simplifiée de présentation des rapports à sa quatre-vingt-cinquième session, le Comité a, le 21</w:t>
      </w:r>
      <w:r>
        <w:rPr>
          <w:lang w:val="fr-FR"/>
        </w:rPr>
        <w:t> </w:t>
      </w:r>
      <w:r w:rsidR="00DC1F96">
        <w:rPr>
          <w:lang w:val="fr-FR"/>
        </w:rPr>
        <w:t>janvier 2015, adressé une note verbale aux États parties dont les rapports périodiques étaient attendus depuis plus de dix ans pour leur faire savoir qu’ils pouvaient établir leur rapport suivant la nouvelle procédure. Dans une note verbale datée du 30</w:t>
      </w:r>
      <w:r>
        <w:rPr>
          <w:lang w:val="fr-FR"/>
        </w:rPr>
        <w:t> </w:t>
      </w:r>
      <w:r w:rsidR="00DC1F96">
        <w:rPr>
          <w:lang w:val="fr-FR"/>
        </w:rPr>
        <w:t>juin 2017, il a étendu la procédure simplifiée de présentation des rapports à tous les États dont les rapports périodiques étaient attendus depuis plus de cinq ans. En tout, 58</w:t>
      </w:r>
      <w:r>
        <w:rPr>
          <w:lang w:val="fr-FR"/>
        </w:rPr>
        <w:t> </w:t>
      </w:r>
      <w:r w:rsidR="00DC1F96">
        <w:rPr>
          <w:lang w:val="fr-FR"/>
        </w:rPr>
        <w:t>États ont reçu le 9</w:t>
      </w:r>
      <w:r>
        <w:rPr>
          <w:lang w:val="fr-FR"/>
        </w:rPr>
        <w:t> </w:t>
      </w:r>
      <w:r w:rsidR="00DC1F96">
        <w:rPr>
          <w:lang w:val="fr-FR"/>
        </w:rPr>
        <w:t>octobre 2020 une note verbale leur rappelant qu’ils pouvaient établir leur rapport selon la procédure simplifiée.</w:t>
      </w:r>
    </w:p>
    <w:p w14:paraId="15FAD04E" w14:textId="29F40509" w:rsidR="00DC1F96" w:rsidRPr="002543F5" w:rsidRDefault="00095418" w:rsidP="00DC1F96">
      <w:pPr>
        <w:pStyle w:val="SingleTxtG"/>
        <w:rPr>
          <w:lang w:val="fr-FR"/>
        </w:rPr>
      </w:pPr>
      <w:r>
        <w:rPr>
          <w:lang w:val="fr-FR"/>
        </w:rPr>
        <w:t>56.</w:t>
      </w:r>
      <w:r>
        <w:rPr>
          <w:lang w:val="fr-FR"/>
        </w:rPr>
        <w:tab/>
      </w:r>
      <w:r w:rsidR="00DC1F96">
        <w:rPr>
          <w:lang w:val="fr-FR"/>
        </w:rPr>
        <w:t>À ses 102</w:t>
      </w:r>
      <w:r w:rsidR="00DC1F96">
        <w:rPr>
          <w:vertAlign w:val="superscript"/>
          <w:lang w:val="fr-FR"/>
        </w:rPr>
        <w:t>e</w:t>
      </w:r>
      <w:r w:rsidR="00DC1F96">
        <w:rPr>
          <w:lang w:val="fr-FR"/>
        </w:rPr>
        <w:t xml:space="preserve"> et 103</w:t>
      </w:r>
      <w:r w:rsidR="00DC1F96">
        <w:rPr>
          <w:vertAlign w:val="superscript"/>
          <w:lang w:val="fr-FR"/>
        </w:rPr>
        <w:t>e</w:t>
      </w:r>
      <w:r>
        <w:rPr>
          <w:lang w:val="fr-FR"/>
        </w:rPr>
        <w:t> </w:t>
      </w:r>
      <w:r w:rsidR="00DC1F96">
        <w:rPr>
          <w:lang w:val="fr-FR"/>
        </w:rPr>
        <w:t>sessions, le Comité a adopté, au titre de la procédure simplifiée de présentation des rapports, des listes de points à traiter avant la soumission des rapports concernant le Gabon, le Guyana, le Lesotho, les Maldives, Monaco et la Tunisie et les a envoyées aux États parties intéressés.</w:t>
      </w:r>
    </w:p>
    <w:p w14:paraId="5215EE44" w14:textId="77777777" w:rsidR="00DC1F96" w:rsidRPr="002543F5" w:rsidRDefault="00DC1F96" w:rsidP="00DC1F96">
      <w:pPr>
        <w:pStyle w:val="SingleTxtG"/>
        <w:rPr>
          <w:lang w:val="fr-FR"/>
        </w:rPr>
      </w:pPr>
      <w:r w:rsidRPr="002543F5">
        <w:rPr>
          <w:lang w:val="fr-FR"/>
        </w:rPr>
        <w:br w:type="page"/>
      </w:r>
    </w:p>
    <w:p w14:paraId="2E628DCE" w14:textId="2DD6E049" w:rsidR="00DC1F96" w:rsidRPr="002543F5" w:rsidRDefault="00DC1F96" w:rsidP="00095418">
      <w:pPr>
        <w:pStyle w:val="HChG"/>
        <w:rPr>
          <w:lang w:val="fr-FR"/>
        </w:rPr>
      </w:pPr>
      <w:r>
        <w:rPr>
          <w:lang w:val="fr-FR"/>
        </w:rPr>
        <w:lastRenderedPageBreak/>
        <w:tab/>
        <w:t>VIII.</w:t>
      </w:r>
      <w:r>
        <w:rPr>
          <w:lang w:val="fr-FR"/>
        </w:rPr>
        <w:tab/>
        <w:t>Examen des communications soumises au titre de l’article</w:t>
      </w:r>
      <w:r w:rsidR="00095418">
        <w:rPr>
          <w:lang w:val="fr-FR"/>
        </w:rPr>
        <w:t> </w:t>
      </w:r>
      <w:r>
        <w:rPr>
          <w:lang w:val="fr-FR"/>
        </w:rPr>
        <w:t>14 de la Convention</w:t>
      </w:r>
      <w:bookmarkStart w:id="87" w:name="_Toc17361307"/>
      <w:bookmarkStart w:id="88" w:name="_Toc48752332"/>
      <w:bookmarkStart w:id="89" w:name="_Toc48816885"/>
      <w:bookmarkStart w:id="90" w:name="_Toc81563237"/>
      <w:bookmarkEnd w:id="87"/>
      <w:bookmarkEnd w:id="88"/>
      <w:bookmarkEnd w:id="89"/>
      <w:bookmarkEnd w:id="90"/>
    </w:p>
    <w:p w14:paraId="15E6EF48" w14:textId="7CC6BDE8" w:rsidR="00DC1F96" w:rsidRPr="002543F5" w:rsidRDefault="00095418" w:rsidP="00DC1F96">
      <w:pPr>
        <w:pStyle w:val="SingleTxtG"/>
        <w:rPr>
          <w:lang w:val="fr-FR"/>
        </w:rPr>
      </w:pPr>
      <w:r>
        <w:rPr>
          <w:lang w:val="fr-FR"/>
        </w:rPr>
        <w:t>57.</w:t>
      </w:r>
      <w:r>
        <w:rPr>
          <w:lang w:val="fr-FR"/>
        </w:rPr>
        <w:tab/>
      </w:r>
      <w:r w:rsidR="00DC1F96">
        <w:rPr>
          <w:lang w:val="fr-FR"/>
        </w:rPr>
        <w:t>En vertu de l’article</w:t>
      </w:r>
      <w:r>
        <w:rPr>
          <w:lang w:val="fr-FR"/>
        </w:rPr>
        <w:t> </w:t>
      </w:r>
      <w:r w:rsidR="00DC1F96">
        <w:rPr>
          <w:lang w:val="fr-FR"/>
        </w:rPr>
        <w:t>14 de la Convention, les personnes ou groupes de personnes qui estiment que l’un quelconque de leurs droits énoncés dans la Convention a été violé par un État partie et qui ont épuisé tous les recours internes disponibles peuvent adresser des communications écrites au Comité pour examen. En tout, 59</w:t>
      </w:r>
      <w:r>
        <w:rPr>
          <w:lang w:val="fr-FR"/>
        </w:rPr>
        <w:t> </w:t>
      </w:r>
      <w:r w:rsidR="00DC1F96">
        <w:rPr>
          <w:lang w:val="fr-FR"/>
        </w:rPr>
        <w:t>États parties ont reconnu la compétence du Comité pour l’examen de ces communications</w:t>
      </w:r>
      <w:r w:rsidR="00DC1F96" w:rsidRPr="002B45EB">
        <w:rPr>
          <w:rStyle w:val="Appelnotedebasdep"/>
        </w:rPr>
        <w:footnoteReference w:id="10"/>
      </w:r>
      <w:r w:rsidR="00DC1F96">
        <w:rPr>
          <w:lang w:val="fr-FR"/>
        </w:rPr>
        <w:t>.</w:t>
      </w:r>
    </w:p>
    <w:p w14:paraId="57764FA8" w14:textId="044D7CFC" w:rsidR="00DC1F96" w:rsidRPr="002543F5" w:rsidRDefault="00095418" w:rsidP="00DC1F96">
      <w:pPr>
        <w:pStyle w:val="SingleTxtG"/>
        <w:rPr>
          <w:lang w:val="fr-FR"/>
        </w:rPr>
      </w:pPr>
      <w:r>
        <w:rPr>
          <w:lang w:val="fr-FR"/>
        </w:rPr>
        <w:t>58.</w:t>
      </w:r>
      <w:r>
        <w:rPr>
          <w:lang w:val="fr-FR"/>
        </w:rPr>
        <w:tab/>
      </w:r>
      <w:r w:rsidR="00DC1F96">
        <w:rPr>
          <w:lang w:val="fr-FR"/>
        </w:rPr>
        <w:t>Les séances du Comité au cours desquelles sont examinées les communications soumises au titre de l’article</w:t>
      </w:r>
      <w:r>
        <w:rPr>
          <w:lang w:val="fr-FR"/>
        </w:rPr>
        <w:t> </w:t>
      </w:r>
      <w:r w:rsidR="00DC1F96">
        <w:rPr>
          <w:lang w:val="fr-FR"/>
        </w:rPr>
        <w:t>14 de la Convention se tiennent à huis clos (art.</w:t>
      </w:r>
      <w:r>
        <w:rPr>
          <w:lang w:val="fr-FR"/>
        </w:rPr>
        <w:t> </w:t>
      </w:r>
      <w:r w:rsidR="00DC1F96">
        <w:rPr>
          <w:lang w:val="fr-FR"/>
        </w:rPr>
        <w:t>88 du Règlement intérieur du Comité). Tous les documents relatifs aux travaux menés par le Comité au titre de l’article</w:t>
      </w:r>
      <w:r>
        <w:rPr>
          <w:lang w:val="fr-FR"/>
        </w:rPr>
        <w:t> </w:t>
      </w:r>
      <w:r w:rsidR="00DC1F96">
        <w:rPr>
          <w:lang w:val="fr-FR"/>
        </w:rPr>
        <w:t>14 sont confidentiels.</w:t>
      </w:r>
    </w:p>
    <w:p w14:paraId="70DACA34" w14:textId="5FAA0690" w:rsidR="00DC1F96" w:rsidRPr="00537EA7" w:rsidRDefault="00095418" w:rsidP="00DC1F96">
      <w:pPr>
        <w:pStyle w:val="SingleTxtG"/>
      </w:pPr>
      <w:r>
        <w:rPr>
          <w:lang w:val="fr-FR"/>
        </w:rPr>
        <w:t>59.</w:t>
      </w:r>
      <w:r>
        <w:rPr>
          <w:lang w:val="fr-FR"/>
        </w:rPr>
        <w:tab/>
      </w:r>
      <w:r w:rsidR="00DC1F96">
        <w:rPr>
          <w:lang w:val="fr-FR"/>
        </w:rPr>
        <w:t>Au moment de l’adoption du présent rapport, le Comité avait enregistré, depuis 1984, 71</w:t>
      </w:r>
      <w:r>
        <w:rPr>
          <w:lang w:val="fr-FR"/>
        </w:rPr>
        <w:t> </w:t>
      </w:r>
      <w:r w:rsidR="00DC1F96">
        <w:rPr>
          <w:lang w:val="fr-FR"/>
        </w:rPr>
        <w:t>communications concernant 17</w:t>
      </w:r>
      <w:r>
        <w:rPr>
          <w:lang w:val="fr-FR"/>
        </w:rPr>
        <w:t> </w:t>
      </w:r>
      <w:r w:rsidR="00DC1F96">
        <w:rPr>
          <w:lang w:val="fr-FR"/>
        </w:rPr>
        <w:t>États parties. Sur ce nombre, 3 avaient été déclarées recevables, 19 avaient été déclarées irrecevables et 2 avaient été classées. Le Comité avait adopté des décisions sur le fond pour 37</w:t>
      </w:r>
      <w:r>
        <w:rPr>
          <w:lang w:val="fr-FR"/>
        </w:rPr>
        <w:t> </w:t>
      </w:r>
      <w:r w:rsidR="00DC1F96">
        <w:rPr>
          <w:lang w:val="fr-FR"/>
        </w:rPr>
        <w:t>communications, dont 21 faisaient selon lui apparaître des violations de la Convention. Douze communications n’avaient pas encore été examinées.</w:t>
      </w:r>
    </w:p>
    <w:p w14:paraId="148C157E" w14:textId="01EC29FE" w:rsidR="00DC1F96" w:rsidRPr="002543F5" w:rsidRDefault="00095418" w:rsidP="00DC1F96">
      <w:pPr>
        <w:pStyle w:val="SingleTxtG"/>
        <w:rPr>
          <w:lang w:val="fr-FR"/>
        </w:rPr>
      </w:pPr>
      <w:r>
        <w:rPr>
          <w:lang w:val="fr-FR"/>
        </w:rPr>
        <w:t>60.</w:t>
      </w:r>
      <w:r>
        <w:rPr>
          <w:lang w:val="fr-FR"/>
        </w:rPr>
        <w:tab/>
      </w:r>
      <w:r w:rsidR="00DC1F96">
        <w:rPr>
          <w:lang w:val="fr-FR"/>
        </w:rPr>
        <w:t>À sa 102</w:t>
      </w:r>
      <w:r w:rsidR="00DC1F96">
        <w:rPr>
          <w:vertAlign w:val="superscript"/>
          <w:lang w:val="fr-FR"/>
        </w:rPr>
        <w:t>e</w:t>
      </w:r>
      <w:r>
        <w:rPr>
          <w:lang w:val="fr-FR"/>
        </w:rPr>
        <w:t> </w:t>
      </w:r>
      <w:r w:rsidR="00DC1F96">
        <w:rPr>
          <w:lang w:val="fr-FR"/>
        </w:rPr>
        <w:t>session, le Comité a examiné la communication n</w:t>
      </w:r>
      <w:r w:rsidR="00DC1F96">
        <w:rPr>
          <w:vertAlign w:val="superscript"/>
          <w:lang w:val="fr-FR"/>
        </w:rPr>
        <w:t>o</w:t>
      </w:r>
      <w:r w:rsidR="00DC1F96">
        <w:rPr>
          <w:lang w:val="fr-FR"/>
        </w:rPr>
        <w:t> 54/2013 (</w:t>
      </w:r>
      <w:r w:rsidR="00DC1F96">
        <w:rPr>
          <w:i/>
          <w:iCs/>
          <w:lang w:val="fr-FR"/>
        </w:rPr>
        <w:t>Lars-Anders Agren et consorts c.</w:t>
      </w:r>
      <w:r>
        <w:rPr>
          <w:i/>
          <w:iCs/>
          <w:lang w:val="fr-FR"/>
        </w:rPr>
        <w:t> </w:t>
      </w:r>
      <w:r w:rsidR="00DC1F96">
        <w:rPr>
          <w:i/>
          <w:iCs/>
          <w:lang w:val="fr-FR"/>
        </w:rPr>
        <w:t>Sweden</w:t>
      </w:r>
      <w:r w:rsidR="00DC1F96">
        <w:rPr>
          <w:lang w:val="fr-FR"/>
        </w:rPr>
        <w:t>), soumise par 15</w:t>
      </w:r>
      <w:r>
        <w:rPr>
          <w:lang w:val="fr-FR"/>
        </w:rPr>
        <w:t> </w:t>
      </w:r>
      <w:r w:rsidR="00DC1F96">
        <w:rPr>
          <w:lang w:val="fr-FR"/>
        </w:rPr>
        <w:t>membres du peuple autochtone sâme en 2013. Il a conclu à une violation des droits que les auteurs tenaient de l’alinéa</w:t>
      </w:r>
      <w:r>
        <w:rPr>
          <w:lang w:val="fr-FR"/>
        </w:rPr>
        <w:t> </w:t>
      </w:r>
      <w:r w:rsidR="00DC1F96">
        <w:rPr>
          <w:lang w:val="fr-FR"/>
        </w:rPr>
        <w:t>d)</w:t>
      </w:r>
      <w:r>
        <w:rPr>
          <w:lang w:val="fr-FR"/>
        </w:rPr>
        <w:t> </w:t>
      </w:r>
      <w:r w:rsidR="00DC1F96">
        <w:rPr>
          <w:lang w:val="fr-FR"/>
        </w:rPr>
        <w:t>v) de l’article</w:t>
      </w:r>
      <w:r>
        <w:rPr>
          <w:lang w:val="fr-FR"/>
        </w:rPr>
        <w:t> </w:t>
      </w:r>
      <w:r w:rsidR="00DC1F96">
        <w:rPr>
          <w:lang w:val="fr-FR"/>
        </w:rPr>
        <w:t>5 et de l’article</w:t>
      </w:r>
      <w:r>
        <w:rPr>
          <w:lang w:val="fr-FR"/>
        </w:rPr>
        <w:t> </w:t>
      </w:r>
      <w:r w:rsidR="00DC1F96">
        <w:rPr>
          <w:lang w:val="fr-FR"/>
        </w:rPr>
        <w:t>6 de la Convention. Le Comité a recommandé à l’État partie de fournir un recours utile à la communauté des éleveurs de rennes sâmes du village de Vapsten en réexaminant effectivement l’attribution de concessions minières, après une procédure appropriée concernant le consentement préalable, libre et éclairé. Il lui a également recommandé de modifier sa législation afin de rendre compte du statut des Sâmes en tant que peuple autochtone dans la législation nationale applicable aux terres et aux ressources, et de consacrer les normes internationales relatives au consentement préalable, libre et éclairé.</w:t>
      </w:r>
    </w:p>
    <w:p w14:paraId="5D214C20" w14:textId="70E9A1C5" w:rsidR="00DC1F96" w:rsidRPr="002543F5" w:rsidRDefault="00095418" w:rsidP="00DC1F96">
      <w:pPr>
        <w:pStyle w:val="SingleTxtG"/>
        <w:rPr>
          <w:lang w:val="fr-FR"/>
        </w:rPr>
      </w:pPr>
      <w:r>
        <w:rPr>
          <w:lang w:val="fr-FR"/>
        </w:rPr>
        <w:t>61.</w:t>
      </w:r>
      <w:r>
        <w:rPr>
          <w:lang w:val="fr-FR"/>
        </w:rPr>
        <w:tab/>
      </w:r>
      <w:r w:rsidR="00DC1F96">
        <w:rPr>
          <w:lang w:val="fr-FR"/>
        </w:rPr>
        <w:t>À sa 103</w:t>
      </w:r>
      <w:r w:rsidR="00DC1F96">
        <w:rPr>
          <w:vertAlign w:val="superscript"/>
          <w:lang w:val="fr-FR"/>
        </w:rPr>
        <w:t>e</w:t>
      </w:r>
      <w:r>
        <w:rPr>
          <w:lang w:val="fr-FR"/>
        </w:rPr>
        <w:t> </w:t>
      </w:r>
      <w:r w:rsidR="00DC1F96">
        <w:rPr>
          <w:lang w:val="fr-FR"/>
        </w:rPr>
        <w:t>session, le Comité a examiné la communication n</w:t>
      </w:r>
      <w:r w:rsidR="00DC1F96">
        <w:rPr>
          <w:vertAlign w:val="superscript"/>
          <w:lang w:val="fr-FR"/>
        </w:rPr>
        <w:t>o</w:t>
      </w:r>
      <w:r w:rsidR="00DC1F96">
        <w:rPr>
          <w:lang w:val="fr-FR"/>
        </w:rPr>
        <w:t> 60/2016 (</w:t>
      </w:r>
      <w:r w:rsidR="00DC1F96">
        <w:rPr>
          <w:i/>
          <w:iCs/>
          <w:lang w:val="fr-FR"/>
        </w:rPr>
        <w:t>Grigore Zapescu c.</w:t>
      </w:r>
      <w:r>
        <w:rPr>
          <w:i/>
          <w:iCs/>
          <w:lang w:val="fr-FR"/>
        </w:rPr>
        <w:t> </w:t>
      </w:r>
      <w:r w:rsidR="00DC1F96">
        <w:rPr>
          <w:i/>
          <w:iCs/>
          <w:lang w:val="fr-FR"/>
        </w:rPr>
        <w:t>République de Moldova</w:t>
      </w:r>
      <w:r w:rsidR="00DC1F96">
        <w:rPr>
          <w:lang w:val="fr-FR"/>
        </w:rPr>
        <w:t>). M.</w:t>
      </w:r>
      <w:r>
        <w:rPr>
          <w:lang w:val="fr-FR"/>
        </w:rPr>
        <w:t> </w:t>
      </w:r>
      <w:r w:rsidR="00DC1F96">
        <w:rPr>
          <w:lang w:val="fr-FR"/>
        </w:rPr>
        <w:t>Zapescu s’est dit victime d’une violation des droits qu’il tient des articles</w:t>
      </w:r>
      <w:r>
        <w:rPr>
          <w:lang w:val="fr-FR"/>
        </w:rPr>
        <w:t> </w:t>
      </w:r>
      <w:r w:rsidR="00DC1F96">
        <w:rPr>
          <w:lang w:val="fr-FR"/>
        </w:rPr>
        <w:t>1</w:t>
      </w:r>
      <w:r w:rsidR="00DC1F96" w:rsidRPr="006E580B">
        <w:rPr>
          <w:vertAlign w:val="superscript"/>
          <w:lang w:val="fr-FR"/>
        </w:rPr>
        <w:t>er</w:t>
      </w:r>
      <w:r w:rsidR="00DC1F96">
        <w:rPr>
          <w:lang w:val="fr-FR"/>
        </w:rPr>
        <w:t xml:space="preserve"> (par.</w:t>
      </w:r>
      <w:r>
        <w:rPr>
          <w:lang w:val="fr-FR"/>
        </w:rPr>
        <w:t> </w:t>
      </w:r>
      <w:r w:rsidR="00DC1F96">
        <w:rPr>
          <w:lang w:val="fr-FR"/>
        </w:rPr>
        <w:t>1), 5 (al.</w:t>
      </w:r>
      <w:r>
        <w:rPr>
          <w:lang w:val="fr-FR"/>
        </w:rPr>
        <w:t> </w:t>
      </w:r>
      <w:r w:rsidR="00DC1F96">
        <w:rPr>
          <w:lang w:val="fr-FR"/>
        </w:rPr>
        <w:t>e)</w:t>
      </w:r>
      <w:r>
        <w:rPr>
          <w:lang w:val="fr-FR"/>
        </w:rPr>
        <w:t> </w:t>
      </w:r>
      <w:r w:rsidR="00DC1F96">
        <w:rPr>
          <w:lang w:val="fr-FR"/>
        </w:rPr>
        <w:t>i)), 6 et 7 de la Convention, lus conjointement avec l’article</w:t>
      </w:r>
      <w:r>
        <w:rPr>
          <w:lang w:val="fr-FR"/>
        </w:rPr>
        <w:t> </w:t>
      </w:r>
      <w:r w:rsidR="00DC1F96">
        <w:rPr>
          <w:lang w:val="fr-FR"/>
        </w:rPr>
        <w:t>2 (par.</w:t>
      </w:r>
      <w:r>
        <w:rPr>
          <w:lang w:val="fr-FR"/>
        </w:rPr>
        <w:t> </w:t>
      </w:r>
      <w:r w:rsidR="00DC1F96">
        <w:rPr>
          <w:lang w:val="fr-FR"/>
        </w:rPr>
        <w:t>1</w:t>
      </w:r>
      <w:r>
        <w:rPr>
          <w:lang w:val="fr-FR"/>
        </w:rPr>
        <w:t> </w:t>
      </w:r>
      <w:r w:rsidR="00DC1F96">
        <w:rPr>
          <w:lang w:val="fr-FR"/>
        </w:rPr>
        <w:t>d))</w:t>
      </w:r>
      <w:r w:rsidR="00DC1F96" w:rsidRPr="002B45EB">
        <w:rPr>
          <w:rStyle w:val="Appelnotedebasdep"/>
        </w:rPr>
        <w:footnoteReference w:id="11"/>
      </w:r>
      <w:r w:rsidR="00DC1F96">
        <w:rPr>
          <w:lang w:val="fr-FR"/>
        </w:rPr>
        <w:t>. Il affirmait que les autorités avaient enfreint ces droits lorsque sa candidature à un emploi avait été rejetée après qu’il eut déclaré son origine rom. Les</w:t>
      </w:r>
      <w:r w:rsidR="001E2AF0">
        <w:rPr>
          <w:lang w:val="fr-FR"/>
        </w:rPr>
        <w:t> </w:t>
      </w:r>
      <w:r w:rsidR="00DC1F96">
        <w:rPr>
          <w:lang w:val="fr-FR"/>
        </w:rPr>
        <w:t>questions soulevées dans la communication étaient de savoir si la République de Moldova avait failli à son obligation de protéger l’auteur contre la discrimination fondée sur l’origine ethnique, conformément à l’alinéa</w:t>
      </w:r>
      <w:r>
        <w:rPr>
          <w:lang w:val="fr-FR"/>
        </w:rPr>
        <w:t> </w:t>
      </w:r>
      <w:r w:rsidR="00DC1F96">
        <w:rPr>
          <w:lang w:val="fr-FR"/>
        </w:rPr>
        <w:t>e)</w:t>
      </w:r>
      <w:r>
        <w:rPr>
          <w:lang w:val="fr-FR"/>
        </w:rPr>
        <w:t> </w:t>
      </w:r>
      <w:r w:rsidR="00DC1F96">
        <w:rPr>
          <w:lang w:val="fr-FR"/>
        </w:rPr>
        <w:t>i) de l’article</w:t>
      </w:r>
      <w:r>
        <w:rPr>
          <w:lang w:val="fr-FR"/>
        </w:rPr>
        <w:t> </w:t>
      </w:r>
      <w:r w:rsidR="00DC1F96">
        <w:rPr>
          <w:lang w:val="fr-FR"/>
        </w:rPr>
        <w:t>5 de la Convention, et si l’examen de l’affaire par les tribunaux avait porté atteinte à l’article</w:t>
      </w:r>
      <w:r>
        <w:rPr>
          <w:lang w:val="fr-FR"/>
        </w:rPr>
        <w:t> </w:t>
      </w:r>
      <w:r w:rsidR="00DC1F96">
        <w:rPr>
          <w:lang w:val="fr-FR"/>
        </w:rPr>
        <w:t>6 de la Convention.</w:t>
      </w:r>
    </w:p>
    <w:p w14:paraId="61726128" w14:textId="2A104717" w:rsidR="00DC1F96" w:rsidRPr="002543F5" w:rsidRDefault="00095418" w:rsidP="00DC1F96">
      <w:pPr>
        <w:pStyle w:val="SingleTxtG"/>
        <w:rPr>
          <w:lang w:val="fr-FR"/>
        </w:rPr>
      </w:pPr>
      <w:r>
        <w:rPr>
          <w:lang w:val="fr-FR"/>
        </w:rPr>
        <w:t>62.</w:t>
      </w:r>
      <w:r>
        <w:rPr>
          <w:lang w:val="fr-FR"/>
        </w:rPr>
        <w:tab/>
      </w:r>
      <w:r w:rsidR="00DC1F96">
        <w:rPr>
          <w:lang w:val="fr-FR"/>
        </w:rPr>
        <w:t>Après avoir déclaré la communication recevable, le Comité a conclu à une violation de l’article</w:t>
      </w:r>
      <w:r>
        <w:rPr>
          <w:lang w:val="fr-FR"/>
        </w:rPr>
        <w:t> </w:t>
      </w:r>
      <w:r w:rsidR="00DC1F96">
        <w:rPr>
          <w:lang w:val="fr-FR"/>
        </w:rPr>
        <w:t>6, étant donné que l’auteur avait présenté une plainte fondée aux tribunaux nationaux et avait néanmoins eu la charge, disproportionnée, de faire la preuve de l’intention discriminatoire de l’entreprise mise en cause. Bien que la législation nationale prévoie le renversement de la charge de la preuve, les mesures prises par l’État partie face aux allégations de discrimination raciale ont été à ce point inefficaces qu’elles n’ont pas permis d’offrir à l’auteur une protection appropriée et l’accès à un recours utile et à une réparation effective, notamment sous la forme de mesures de satisfaction, contrairement au droit interne et à l’article</w:t>
      </w:r>
      <w:r>
        <w:rPr>
          <w:lang w:val="fr-FR"/>
        </w:rPr>
        <w:t> </w:t>
      </w:r>
      <w:r w:rsidR="00DC1F96">
        <w:rPr>
          <w:lang w:val="fr-FR"/>
        </w:rPr>
        <w:t>6 de la Convention.</w:t>
      </w:r>
    </w:p>
    <w:p w14:paraId="7C062D32" w14:textId="142A368F" w:rsidR="00DC1F96" w:rsidRPr="002543F5" w:rsidRDefault="00095418" w:rsidP="00DC1F96">
      <w:pPr>
        <w:pStyle w:val="SingleTxtG"/>
        <w:rPr>
          <w:w w:val="103"/>
          <w:lang w:val="fr-FR"/>
        </w:rPr>
      </w:pPr>
      <w:r>
        <w:rPr>
          <w:lang w:val="fr-FR"/>
        </w:rPr>
        <w:t>63.</w:t>
      </w:r>
      <w:r>
        <w:rPr>
          <w:lang w:val="fr-FR"/>
        </w:rPr>
        <w:tab/>
      </w:r>
      <w:r w:rsidR="00DC1F96">
        <w:rPr>
          <w:lang w:val="fr-FR"/>
        </w:rPr>
        <w:t>Le Comité a recommandé que l’État partie présente des excuses à l’auteur et accorde à celui-ci une indemnisation adéquate pour le préjudice causé par la violation susmentionnée de la Convention. Il a également recommandé que l’État partie prenne des mesures pour faire appliquer pleinement sa législation antidiscrimination, notamment : a)</w:t>
      </w:r>
      <w:r>
        <w:rPr>
          <w:lang w:val="fr-FR"/>
        </w:rPr>
        <w:t> </w:t>
      </w:r>
      <w:r w:rsidR="00DC1F96">
        <w:rPr>
          <w:lang w:val="fr-FR"/>
        </w:rPr>
        <w:t xml:space="preserve">qu’il forme les juges à la législation antidiscrimination, en vue de garantir, entre autres choses, que le principe du </w:t>
      </w:r>
      <w:r w:rsidR="00DC1F96">
        <w:rPr>
          <w:lang w:val="fr-FR"/>
        </w:rPr>
        <w:lastRenderedPageBreak/>
        <w:t>renversement de la charge de la preuve soit dûment respecté ; b)</w:t>
      </w:r>
      <w:r>
        <w:rPr>
          <w:lang w:val="fr-FR"/>
        </w:rPr>
        <w:t> </w:t>
      </w:r>
      <w:r w:rsidR="00DC1F96">
        <w:rPr>
          <w:lang w:val="fr-FR"/>
        </w:rPr>
        <w:t>qu’il fournisse des informations claires sur les recours internes disponibles en cas de discrimination raciale ; c)</w:t>
      </w:r>
      <w:r w:rsidR="003C3479">
        <w:rPr>
          <w:lang w:val="fr-FR"/>
        </w:rPr>
        <w:t> </w:t>
      </w:r>
      <w:r w:rsidR="00DC1F96">
        <w:rPr>
          <w:lang w:val="fr-FR"/>
        </w:rPr>
        <w:t>qu’il renforce le contrôle des normes de travail antidiscrimination.</w:t>
      </w:r>
    </w:p>
    <w:p w14:paraId="1400C610" w14:textId="24DD53EA" w:rsidR="00DC1F96" w:rsidRPr="006E580B" w:rsidRDefault="00DC1F96" w:rsidP="00095418">
      <w:pPr>
        <w:pStyle w:val="HChG"/>
        <w:rPr>
          <w:lang w:val="fr-FR"/>
        </w:rPr>
      </w:pPr>
      <w:r>
        <w:rPr>
          <w:lang w:val="fr-FR"/>
        </w:rPr>
        <w:tab/>
        <w:t>IX.</w:t>
      </w:r>
      <w:r>
        <w:rPr>
          <w:lang w:val="fr-FR"/>
        </w:rPr>
        <w:tab/>
        <w:t xml:space="preserve">Suivi des communications </w:t>
      </w:r>
      <w:bookmarkStart w:id="91" w:name="_Toc17361308"/>
      <w:bookmarkStart w:id="92" w:name="_Toc48752333"/>
      <w:bookmarkStart w:id="93" w:name="_Toc48816886"/>
      <w:bookmarkStart w:id="94" w:name="_Toc81563238"/>
      <w:bookmarkEnd w:id="91"/>
      <w:bookmarkEnd w:id="92"/>
      <w:bookmarkEnd w:id="93"/>
      <w:bookmarkEnd w:id="94"/>
      <w:r>
        <w:rPr>
          <w:lang w:val="fr-FR"/>
        </w:rPr>
        <w:t>émanant de particuliers</w:t>
      </w:r>
    </w:p>
    <w:p w14:paraId="7CBB00B1" w14:textId="201E912B" w:rsidR="00DC1F96" w:rsidRPr="002543F5" w:rsidRDefault="003C3479" w:rsidP="00DC1F96">
      <w:pPr>
        <w:pStyle w:val="SingleTxtG"/>
        <w:rPr>
          <w:lang w:val="fr-FR"/>
        </w:rPr>
      </w:pPr>
      <w:r>
        <w:rPr>
          <w:lang w:val="fr-FR"/>
        </w:rPr>
        <w:t>64.</w:t>
      </w:r>
      <w:r>
        <w:rPr>
          <w:lang w:val="fr-FR"/>
        </w:rPr>
        <w:tab/>
      </w:r>
      <w:r w:rsidR="00DC1F96">
        <w:rPr>
          <w:lang w:val="fr-FR"/>
        </w:rPr>
        <w:t>À sa soixante-septième session, le Comité a décidé de mettre en place une procédure de suivi des avis et recommandations adoptés à l’issue de l’examen des communications soumises au titre de l’article</w:t>
      </w:r>
      <w:r>
        <w:rPr>
          <w:lang w:val="fr-FR"/>
        </w:rPr>
        <w:t> </w:t>
      </w:r>
      <w:r w:rsidR="00DC1F96">
        <w:rPr>
          <w:lang w:val="fr-FR"/>
        </w:rPr>
        <w:t>14 de la Convention</w:t>
      </w:r>
      <w:r w:rsidR="00DC1F96" w:rsidRPr="002B45EB">
        <w:rPr>
          <w:rStyle w:val="Appelnotedebasdep"/>
        </w:rPr>
        <w:footnoteReference w:id="12"/>
      </w:r>
      <w:r w:rsidR="00DC1F96">
        <w:rPr>
          <w:lang w:val="fr-FR"/>
        </w:rPr>
        <w:t>.</w:t>
      </w:r>
    </w:p>
    <w:p w14:paraId="2D167EF0" w14:textId="4FB3E0C8" w:rsidR="00DC1F96" w:rsidRPr="002543F5" w:rsidRDefault="003C3479" w:rsidP="00DC1F96">
      <w:pPr>
        <w:pStyle w:val="SingleTxtG"/>
        <w:rPr>
          <w:lang w:val="fr-FR"/>
        </w:rPr>
      </w:pPr>
      <w:r>
        <w:rPr>
          <w:lang w:val="fr-FR"/>
        </w:rPr>
        <w:t>65.</w:t>
      </w:r>
      <w:r>
        <w:rPr>
          <w:lang w:val="fr-FR"/>
        </w:rPr>
        <w:tab/>
      </w:r>
      <w:r w:rsidR="00DC1F96">
        <w:rPr>
          <w:lang w:val="fr-FR"/>
        </w:rPr>
        <w:t>À la même session, le Comité a décidé d’ajouter à son règlement intérieur deux paragraphes présentant cette procédure de façon détaillée</w:t>
      </w:r>
      <w:r w:rsidR="00DC1F96" w:rsidRPr="002B45EB">
        <w:rPr>
          <w:rStyle w:val="Appelnotedebasdep"/>
        </w:rPr>
        <w:footnoteReference w:id="13"/>
      </w:r>
      <w:r w:rsidR="00DC1F96">
        <w:rPr>
          <w:lang w:val="fr-FR"/>
        </w:rPr>
        <w:t>. Le rapporteur chargé du suivi des avis présente régulièrement au Comité un rapport assorti de recommandations sur les mesures supplémentaires à prendre.</w:t>
      </w:r>
    </w:p>
    <w:p w14:paraId="531081BF" w14:textId="268FA6A1" w:rsidR="00DC1F96" w:rsidRPr="002543F5" w:rsidRDefault="003C3479" w:rsidP="00DC1F96">
      <w:pPr>
        <w:pStyle w:val="SingleTxtG"/>
        <w:rPr>
          <w:lang w:val="fr-FR"/>
        </w:rPr>
      </w:pPr>
      <w:r>
        <w:rPr>
          <w:lang w:val="fr-FR"/>
        </w:rPr>
        <w:t>66.</w:t>
      </w:r>
      <w:r>
        <w:rPr>
          <w:lang w:val="fr-FR"/>
        </w:rPr>
        <w:tab/>
      </w:r>
      <w:r w:rsidR="00DC1F96">
        <w:rPr>
          <w:lang w:val="fr-FR"/>
        </w:rPr>
        <w:t>Le tableau ci-dessous donne une vue d’ensemble des réponses reçues des États parties. Dans la mesure du possible, il indique si les réponses sont ou ont été jugées satisfaisantes ou insatisfaisantes, ou si le dialogue entre l’État partie et le rapporteur chargé du suivi des avis se poursuit. En général, les réponses sont jugées satisfaisantes si elles montrent que l’État partie est désireux d’appliquer les recommandations du Comité ou d’offrir un recours approprié au plaignant. Les réponses qui ne tiennent pas compte des recommandations du Comité ou qui ne prennent en considération que certains aspects de celles-ci sont considérées comme insatisfaisantes.</w:t>
      </w:r>
    </w:p>
    <w:p w14:paraId="69D97AFE" w14:textId="57FD59E2" w:rsidR="00DC1F96" w:rsidRPr="00537EA7" w:rsidRDefault="003C3479" w:rsidP="00DC1F96">
      <w:pPr>
        <w:pStyle w:val="SingleTxtG"/>
      </w:pPr>
      <w:r>
        <w:rPr>
          <w:lang w:val="fr-FR"/>
        </w:rPr>
        <w:t>67.</w:t>
      </w:r>
      <w:r>
        <w:rPr>
          <w:lang w:val="fr-FR"/>
        </w:rPr>
        <w:tab/>
      </w:r>
      <w:r w:rsidR="00DC1F96">
        <w:rPr>
          <w:lang w:val="fr-FR"/>
        </w:rPr>
        <w:t>Au moment de l’adoption du présent rapport, le Comité s’était prononcé au fond sur 37</w:t>
      </w:r>
      <w:r>
        <w:rPr>
          <w:lang w:val="fr-FR"/>
        </w:rPr>
        <w:t> </w:t>
      </w:r>
      <w:r w:rsidR="00DC1F96">
        <w:rPr>
          <w:lang w:val="fr-FR"/>
        </w:rPr>
        <w:t>communications et avait constaté des violations pour 21 d’entre elles. Dans 10</w:t>
      </w:r>
      <w:r>
        <w:rPr>
          <w:lang w:val="fr-FR"/>
        </w:rPr>
        <w:t> </w:t>
      </w:r>
      <w:r w:rsidR="00DC1F96">
        <w:rPr>
          <w:lang w:val="fr-FR"/>
        </w:rPr>
        <w:t>affaires, il avait formulé des suggestions ou des recommandations sans toutefois constater de violation de la Convention.</w:t>
      </w:r>
    </w:p>
    <w:p w14:paraId="7C1B3582" w14:textId="402B5EE2" w:rsidR="00DC1F96" w:rsidRDefault="00DC1F96" w:rsidP="00DC1F96">
      <w:pPr>
        <w:pStyle w:val="SingleTxtG"/>
      </w:pPr>
      <w:r>
        <w:br w:type="page"/>
      </w:r>
    </w:p>
    <w:p w14:paraId="5AE3DC11" w14:textId="590C519B" w:rsidR="00DC1F96" w:rsidRPr="003C3479" w:rsidRDefault="00DC1F96" w:rsidP="003C3479">
      <w:pPr>
        <w:pStyle w:val="H23G"/>
        <w:ind w:left="0" w:right="0" w:firstLine="0"/>
        <w:rPr>
          <w:lang w:val="fr-FR"/>
        </w:rPr>
      </w:pPr>
      <w:r w:rsidRPr="003C3479">
        <w:rPr>
          <w:lang w:val="fr-FR"/>
        </w:rPr>
        <w:lastRenderedPageBreak/>
        <w:t>Renseignements reçus à ce jour sur la suite donnée à toutes les affaires où le Comité a conclu à des violations de</w:t>
      </w:r>
      <w:r w:rsidR="003C3479">
        <w:rPr>
          <w:lang w:val="fr-FR"/>
        </w:rPr>
        <w:t> </w:t>
      </w:r>
      <w:r w:rsidRPr="003C3479">
        <w:rPr>
          <w:lang w:val="fr-FR"/>
        </w:rPr>
        <w:t>la Convention et formulé des suggestions ou des recommandations</w:t>
      </w:r>
    </w:p>
    <w:tbl>
      <w:tblPr>
        <w:tblW w:w="9636" w:type="dxa"/>
        <w:tblLayout w:type="fixed"/>
        <w:tblCellMar>
          <w:left w:w="0" w:type="dxa"/>
          <w:right w:w="0" w:type="dxa"/>
        </w:tblCellMar>
        <w:tblLook w:val="01E0" w:firstRow="1" w:lastRow="1" w:firstColumn="1" w:lastColumn="1" w:noHBand="0" w:noVBand="0"/>
      </w:tblPr>
      <w:tblGrid>
        <w:gridCol w:w="1400"/>
        <w:gridCol w:w="2296"/>
        <w:gridCol w:w="1680"/>
        <w:gridCol w:w="1217"/>
        <w:gridCol w:w="1217"/>
        <w:gridCol w:w="1030"/>
        <w:gridCol w:w="796"/>
      </w:tblGrid>
      <w:tr w:rsidR="00395242" w:rsidRPr="005D1AAA" w14:paraId="0383558B" w14:textId="77777777" w:rsidTr="00395242">
        <w:trPr>
          <w:cantSplit/>
          <w:tblHeader/>
        </w:trPr>
        <w:tc>
          <w:tcPr>
            <w:tcW w:w="1400" w:type="dxa"/>
            <w:tcBorders>
              <w:top w:val="single" w:sz="4" w:space="0" w:color="auto"/>
              <w:bottom w:val="single" w:sz="12" w:space="0" w:color="auto"/>
            </w:tcBorders>
            <w:shd w:val="clear" w:color="auto" w:fill="auto"/>
            <w:tcMar>
              <w:right w:w="113" w:type="dxa"/>
            </w:tcMar>
            <w:vAlign w:val="bottom"/>
          </w:tcPr>
          <w:p w14:paraId="6344F979" w14:textId="77777777" w:rsidR="00DC1F96" w:rsidRPr="005D1AAA" w:rsidRDefault="00DC1F96" w:rsidP="003C3479">
            <w:pPr>
              <w:spacing w:before="80" w:after="80" w:line="200" w:lineRule="exact"/>
              <w:ind w:right="113"/>
              <w:rPr>
                <w:rFonts w:eastAsiaTheme="minorEastAsia"/>
                <w:i/>
                <w:sz w:val="16"/>
                <w:szCs w:val="16"/>
                <w:lang w:val="fr-FR"/>
              </w:rPr>
            </w:pPr>
            <w:r w:rsidRPr="005D1AAA">
              <w:rPr>
                <w:i/>
                <w:sz w:val="16"/>
                <w:szCs w:val="16"/>
                <w:lang w:val="fr-FR"/>
              </w:rPr>
              <w:t>État partie et nombre de violations</w:t>
            </w:r>
          </w:p>
        </w:tc>
        <w:tc>
          <w:tcPr>
            <w:tcW w:w="2296" w:type="dxa"/>
            <w:tcBorders>
              <w:top w:val="single" w:sz="4" w:space="0" w:color="auto"/>
              <w:bottom w:val="single" w:sz="12" w:space="0" w:color="auto"/>
            </w:tcBorders>
            <w:shd w:val="clear" w:color="auto" w:fill="auto"/>
            <w:tcMar>
              <w:right w:w="113" w:type="dxa"/>
            </w:tcMar>
            <w:vAlign w:val="bottom"/>
          </w:tcPr>
          <w:p w14:paraId="68238AB8" w14:textId="79305099" w:rsidR="00DC1F96" w:rsidRPr="005D1AAA" w:rsidRDefault="00DC1F96" w:rsidP="003C3479">
            <w:pPr>
              <w:spacing w:before="80" w:after="80" w:line="200" w:lineRule="exact"/>
              <w:ind w:right="113"/>
              <w:rPr>
                <w:rFonts w:eastAsiaTheme="minorEastAsia"/>
                <w:i/>
                <w:sz w:val="16"/>
                <w:szCs w:val="16"/>
                <w:lang w:val="fr-FR"/>
              </w:rPr>
            </w:pPr>
            <w:r w:rsidRPr="005D1AAA">
              <w:rPr>
                <w:i/>
                <w:sz w:val="16"/>
                <w:szCs w:val="16"/>
                <w:lang w:val="fr-FR"/>
              </w:rPr>
              <w:t>Numéro et auteur de la</w:t>
            </w:r>
            <w:r w:rsidR="00395242" w:rsidRPr="005D1AAA">
              <w:rPr>
                <w:i/>
                <w:sz w:val="16"/>
                <w:szCs w:val="16"/>
                <w:lang w:val="fr-FR"/>
              </w:rPr>
              <w:t> </w:t>
            </w:r>
            <w:r w:rsidRPr="005D1AAA">
              <w:rPr>
                <w:i/>
                <w:sz w:val="16"/>
                <w:szCs w:val="16"/>
                <w:lang w:val="fr-FR"/>
              </w:rPr>
              <w:t>communication</w:t>
            </w:r>
          </w:p>
        </w:tc>
        <w:tc>
          <w:tcPr>
            <w:tcW w:w="1680" w:type="dxa"/>
            <w:tcBorders>
              <w:top w:val="single" w:sz="4" w:space="0" w:color="auto"/>
              <w:bottom w:val="single" w:sz="12" w:space="0" w:color="auto"/>
            </w:tcBorders>
            <w:shd w:val="clear" w:color="auto" w:fill="auto"/>
            <w:tcMar>
              <w:right w:w="113" w:type="dxa"/>
            </w:tcMar>
            <w:vAlign w:val="bottom"/>
          </w:tcPr>
          <w:p w14:paraId="368DA709" w14:textId="3EEB1C8E" w:rsidR="00DC1F96" w:rsidRPr="005D1AAA" w:rsidRDefault="00DC1F96" w:rsidP="003C3479">
            <w:pPr>
              <w:spacing w:before="80" w:after="80" w:line="200" w:lineRule="exact"/>
              <w:ind w:right="113"/>
              <w:rPr>
                <w:rFonts w:eastAsiaTheme="minorEastAsia"/>
                <w:i/>
                <w:sz w:val="16"/>
                <w:szCs w:val="16"/>
                <w:lang w:val="fr-FR"/>
              </w:rPr>
            </w:pPr>
            <w:r w:rsidRPr="005D1AAA">
              <w:rPr>
                <w:i/>
                <w:sz w:val="16"/>
                <w:szCs w:val="16"/>
                <w:lang w:val="fr-FR"/>
              </w:rPr>
              <w:t>Réponse de l’État partie concernant la</w:t>
            </w:r>
            <w:r w:rsidR="003C3479" w:rsidRPr="005D1AAA">
              <w:rPr>
                <w:i/>
                <w:sz w:val="16"/>
                <w:szCs w:val="16"/>
                <w:lang w:val="fr-FR"/>
              </w:rPr>
              <w:t> </w:t>
            </w:r>
            <w:r w:rsidRPr="005D1AAA">
              <w:rPr>
                <w:i/>
                <w:sz w:val="16"/>
                <w:szCs w:val="16"/>
                <w:lang w:val="fr-FR"/>
              </w:rPr>
              <w:t>suite donnée</w:t>
            </w:r>
          </w:p>
        </w:tc>
        <w:tc>
          <w:tcPr>
            <w:tcW w:w="1217" w:type="dxa"/>
            <w:tcBorders>
              <w:top w:val="single" w:sz="4" w:space="0" w:color="auto"/>
              <w:bottom w:val="single" w:sz="12" w:space="0" w:color="auto"/>
            </w:tcBorders>
            <w:shd w:val="clear" w:color="auto" w:fill="auto"/>
            <w:tcMar>
              <w:right w:w="113" w:type="dxa"/>
            </w:tcMar>
            <w:vAlign w:val="bottom"/>
          </w:tcPr>
          <w:p w14:paraId="734DD736" w14:textId="77777777" w:rsidR="00DC1F96" w:rsidRPr="005D1AAA" w:rsidRDefault="00DC1F96" w:rsidP="003C3479">
            <w:pPr>
              <w:spacing w:before="80" w:after="80" w:line="200" w:lineRule="exact"/>
              <w:ind w:right="113"/>
              <w:rPr>
                <w:rFonts w:eastAsiaTheme="minorEastAsia"/>
                <w:i/>
                <w:sz w:val="16"/>
                <w:szCs w:val="16"/>
              </w:rPr>
            </w:pPr>
            <w:r w:rsidRPr="005D1AAA">
              <w:rPr>
                <w:i/>
                <w:sz w:val="16"/>
                <w:szCs w:val="16"/>
                <w:lang w:val="fr-FR"/>
              </w:rPr>
              <w:t>Réponse satisfaisante</w:t>
            </w:r>
          </w:p>
        </w:tc>
        <w:tc>
          <w:tcPr>
            <w:tcW w:w="1217" w:type="dxa"/>
            <w:tcBorders>
              <w:top w:val="single" w:sz="4" w:space="0" w:color="auto"/>
              <w:bottom w:val="single" w:sz="12" w:space="0" w:color="auto"/>
            </w:tcBorders>
            <w:shd w:val="clear" w:color="auto" w:fill="auto"/>
            <w:tcMar>
              <w:right w:w="113" w:type="dxa"/>
            </w:tcMar>
            <w:vAlign w:val="bottom"/>
          </w:tcPr>
          <w:p w14:paraId="0C4635BF" w14:textId="02F71ADB" w:rsidR="00DC1F96" w:rsidRPr="005D1AAA" w:rsidRDefault="00DC1F96" w:rsidP="003C3479">
            <w:pPr>
              <w:spacing w:before="80" w:after="80" w:line="200" w:lineRule="exact"/>
              <w:ind w:right="113"/>
              <w:rPr>
                <w:rFonts w:eastAsiaTheme="minorEastAsia"/>
                <w:i/>
                <w:sz w:val="16"/>
                <w:szCs w:val="16"/>
              </w:rPr>
            </w:pPr>
            <w:r w:rsidRPr="005D1AAA">
              <w:rPr>
                <w:i/>
                <w:sz w:val="16"/>
                <w:szCs w:val="16"/>
                <w:lang w:val="fr-FR"/>
              </w:rPr>
              <w:t>Réponse insatisfaisante ou</w:t>
            </w:r>
            <w:r w:rsidR="00395242" w:rsidRPr="005D1AAA">
              <w:rPr>
                <w:i/>
                <w:sz w:val="16"/>
                <w:szCs w:val="16"/>
                <w:lang w:val="fr-FR"/>
              </w:rPr>
              <w:t> </w:t>
            </w:r>
            <w:r w:rsidRPr="005D1AAA">
              <w:rPr>
                <w:i/>
                <w:sz w:val="16"/>
                <w:szCs w:val="16"/>
                <w:lang w:val="fr-FR"/>
              </w:rPr>
              <w:t>incomplète</w:t>
            </w:r>
          </w:p>
        </w:tc>
        <w:tc>
          <w:tcPr>
            <w:tcW w:w="1030" w:type="dxa"/>
            <w:tcBorders>
              <w:top w:val="single" w:sz="4" w:space="0" w:color="auto"/>
              <w:bottom w:val="single" w:sz="12" w:space="0" w:color="auto"/>
            </w:tcBorders>
            <w:shd w:val="clear" w:color="auto" w:fill="auto"/>
            <w:tcMar>
              <w:right w:w="113" w:type="dxa"/>
            </w:tcMar>
            <w:vAlign w:val="bottom"/>
          </w:tcPr>
          <w:p w14:paraId="7C888F10" w14:textId="77777777" w:rsidR="00DC1F96" w:rsidRPr="005D1AAA" w:rsidRDefault="00DC1F96" w:rsidP="003C3479">
            <w:pPr>
              <w:spacing w:before="80" w:after="80" w:line="200" w:lineRule="exact"/>
              <w:ind w:right="113"/>
              <w:rPr>
                <w:rFonts w:eastAsiaTheme="minorEastAsia"/>
                <w:i/>
                <w:sz w:val="16"/>
                <w:szCs w:val="16"/>
                <w:lang w:val="fr-FR"/>
              </w:rPr>
            </w:pPr>
            <w:r w:rsidRPr="005D1AAA">
              <w:rPr>
                <w:i/>
                <w:sz w:val="16"/>
                <w:szCs w:val="16"/>
                <w:lang w:val="fr-FR"/>
              </w:rPr>
              <w:t>Pas de réponse concernant la suite donnée</w:t>
            </w:r>
          </w:p>
        </w:tc>
        <w:tc>
          <w:tcPr>
            <w:tcW w:w="796" w:type="dxa"/>
            <w:tcBorders>
              <w:top w:val="single" w:sz="4" w:space="0" w:color="auto"/>
              <w:bottom w:val="single" w:sz="12" w:space="0" w:color="auto"/>
            </w:tcBorders>
            <w:shd w:val="clear" w:color="auto" w:fill="auto"/>
            <w:tcMar>
              <w:right w:w="113" w:type="dxa"/>
            </w:tcMar>
            <w:vAlign w:val="bottom"/>
          </w:tcPr>
          <w:p w14:paraId="1DE55F3C" w14:textId="77777777" w:rsidR="00DC1F96" w:rsidRPr="005D1AAA" w:rsidRDefault="00DC1F96" w:rsidP="005D1AAA">
            <w:pPr>
              <w:spacing w:before="80" w:after="80" w:line="200" w:lineRule="exact"/>
              <w:ind w:right="57"/>
              <w:rPr>
                <w:rFonts w:eastAsiaTheme="minorEastAsia"/>
                <w:i/>
                <w:sz w:val="16"/>
                <w:szCs w:val="16"/>
              </w:rPr>
            </w:pPr>
            <w:r w:rsidRPr="005D1AAA">
              <w:rPr>
                <w:i/>
                <w:sz w:val="16"/>
                <w:szCs w:val="16"/>
                <w:lang w:val="fr-FR"/>
              </w:rPr>
              <w:t>Dialogue en cours</w:t>
            </w:r>
          </w:p>
        </w:tc>
      </w:tr>
      <w:tr w:rsidR="00395242" w:rsidRPr="003C3479" w14:paraId="2B05F706" w14:textId="77777777" w:rsidTr="00395242">
        <w:trPr>
          <w:cantSplit/>
          <w:trHeight w:hRule="exact" w:val="113"/>
          <w:tblHeader/>
        </w:trPr>
        <w:tc>
          <w:tcPr>
            <w:tcW w:w="1400" w:type="dxa"/>
            <w:tcBorders>
              <w:top w:val="single" w:sz="12" w:space="0" w:color="auto"/>
            </w:tcBorders>
            <w:shd w:val="clear" w:color="auto" w:fill="auto"/>
            <w:tcMar>
              <w:right w:w="113" w:type="dxa"/>
            </w:tcMar>
          </w:tcPr>
          <w:p w14:paraId="073E6AAA" w14:textId="77777777" w:rsidR="003C3479" w:rsidRPr="003C3479" w:rsidRDefault="003C3479" w:rsidP="003C3479">
            <w:pPr>
              <w:spacing w:before="40" w:after="120"/>
              <w:ind w:right="113"/>
              <w:rPr>
                <w:lang w:val="fr-FR"/>
              </w:rPr>
            </w:pPr>
          </w:p>
        </w:tc>
        <w:tc>
          <w:tcPr>
            <w:tcW w:w="2296" w:type="dxa"/>
            <w:tcBorders>
              <w:top w:val="single" w:sz="12" w:space="0" w:color="auto"/>
            </w:tcBorders>
            <w:shd w:val="clear" w:color="auto" w:fill="auto"/>
            <w:tcMar>
              <w:right w:w="113" w:type="dxa"/>
            </w:tcMar>
          </w:tcPr>
          <w:p w14:paraId="008EB84E" w14:textId="77777777" w:rsidR="003C3479" w:rsidRPr="003C3479" w:rsidRDefault="003C3479" w:rsidP="003C3479">
            <w:pPr>
              <w:spacing w:before="40" w:after="120"/>
              <w:ind w:right="113"/>
              <w:rPr>
                <w:lang w:val="fr-FR"/>
              </w:rPr>
            </w:pPr>
          </w:p>
        </w:tc>
        <w:tc>
          <w:tcPr>
            <w:tcW w:w="1680" w:type="dxa"/>
            <w:tcBorders>
              <w:top w:val="single" w:sz="12" w:space="0" w:color="auto"/>
            </w:tcBorders>
            <w:shd w:val="clear" w:color="auto" w:fill="auto"/>
            <w:tcMar>
              <w:right w:w="113" w:type="dxa"/>
            </w:tcMar>
          </w:tcPr>
          <w:p w14:paraId="7E4132D1" w14:textId="77777777" w:rsidR="003C3479" w:rsidRPr="003C3479" w:rsidRDefault="003C3479" w:rsidP="003C3479">
            <w:pPr>
              <w:spacing w:before="40" w:after="120"/>
              <w:ind w:right="113"/>
              <w:rPr>
                <w:lang w:val="fr-FR"/>
              </w:rPr>
            </w:pPr>
          </w:p>
        </w:tc>
        <w:tc>
          <w:tcPr>
            <w:tcW w:w="1217" w:type="dxa"/>
            <w:tcBorders>
              <w:top w:val="single" w:sz="12" w:space="0" w:color="auto"/>
            </w:tcBorders>
            <w:shd w:val="clear" w:color="auto" w:fill="auto"/>
            <w:tcMar>
              <w:right w:w="113" w:type="dxa"/>
            </w:tcMar>
          </w:tcPr>
          <w:p w14:paraId="26477BC2" w14:textId="77777777" w:rsidR="003C3479" w:rsidRPr="003C3479" w:rsidRDefault="003C3479" w:rsidP="003C3479">
            <w:pPr>
              <w:spacing w:before="40" w:after="120"/>
              <w:ind w:right="113"/>
              <w:rPr>
                <w:lang w:val="fr-FR"/>
              </w:rPr>
            </w:pPr>
          </w:p>
        </w:tc>
        <w:tc>
          <w:tcPr>
            <w:tcW w:w="1217" w:type="dxa"/>
            <w:tcBorders>
              <w:top w:val="single" w:sz="12" w:space="0" w:color="auto"/>
            </w:tcBorders>
            <w:shd w:val="clear" w:color="auto" w:fill="auto"/>
            <w:tcMar>
              <w:right w:w="113" w:type="dxa"/>
            </w:tcMar>
          </w:tcPr>
          <w:p w14:paraId="1F637BD9" w14:textId="77777777" w:rsidR="003C3479" w:rsidRPr="003C3479" w:rsidRDefault="003C3479" w:rsidP="003C3479">
            <w:pPr>
              <w:spacing w:before="40" w:after="120"/>
              <w:ind w:right="113"/>
              <w:rPr>
                <w:lang w:val="fr-FR"/>
              </w:rPr>
            </w:pPr>
          </w:p>
        </w:tc>
        <w:tc>
          <w:tcPr>
            <w:tcW w:w="1030" w:type="dxa"/>
            <w:tcBorders>
              <w:top w:val="single" w:sz="12" w:space="0" w:color="auto"/>
            </w:tcBorders>
            <w:shd w:val="clear" w:color="auto" w:fill="auto"/>
            <w:tcMar>
              <w:right w:w="113" w:type="dxa"/>
            </w:tcMar>
          </w:tcPr>
          <w:p w14:paraId="4692FA6A" w14:textId="77777777" w:rsidR="003C3479" w:rsidRPr="003C3479" w:rsidRDefault="003C3479" w:rsidP="003C3479">
            <w:pPr>
              <w:spacing w:before="40" w:after="120"/>
              <w:ind w:right="113"/>
              <w:rPr>
                <w:lang w:val="fr-FR"/>
              </w:rPr>
            </w:pPr>
          </w:p>
        </w:tc>
        <w:tc>
          <w:tcPr>
            <w:tcW w:w="796" w:type="dxa"/>
            <w:tcBorders>
              <w:top w:val="single" w:sz="12" w:space="0" w:color="auto"/>
            </w:tcBorders>
            <w:shd w:val="clear" w:color="auto" w:fill="auto"/>
            <w:tcMar>
              <w:right w:w="113" w:type="dxa"/>
            </w:tcMar>
          </w:tcPr>
          <w:p w14:paraId="0F9D9265" w14:textId="77777777" w:rsidR="003C3479" w:rsidRPr="003C3479" w:rsidRDefault="003C3479" w:rsidP="003C3479">
            <w:pPr>
              <w:spacing w:before="40" w:after="120"/>
              <w:ind w:right="113"/>
              <w:rPr>
                <w:lang w:val="fr-FR"/>
              </w:rPr>
            </w:pPr>
          </w:p>
        </w:tc>
      </w:tr>
      <w:tr w:rsidR="00395242" w:rsidRPr="003C3479" w14:paraId="68BE5EC6" w14:textId="77777777" w:rsidTr="00395242">
        <w:trPr>
          <w:cantSplit/>
        </w:trPr>
        <w:tc>
          <w:tcPr>
            <w:tcW w:w="1400" w:type="dxa"/>
            <w:shd w:val="clear" w:color="auto" w:fill="auto"/>
            <w:tcMar>
              <w:right w:w="113" w:type="dxa"/>
            </w:tcMar>
          </w:tcPr>
          <w:p w14:paraId="4C02E1BD"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Danemark (7)</w:t>
            </w:r>
          </w:p>
        </w:tc>
        <w:tc>
          <w:tcPr>
            <w:tcW w:w="2296" w:type="dxa"/>
            <w:shd w:val="clear" w:color="auto" w:fill="auto"/>
            <w:tcMar>
              <w:right w:w="113" w:type="dxa"/>
            </w:tcMar>
          </w:tcPr>
          <w:p w14:paraId="259AFD6F" w14:textId="174F71FB" w:rsidR="00DC1F96" w:rsidRPr="003C3479" w:rsidRDefault="00DC1F96" w:rsidP="003C3479">
            <w:pPr>
              <w:spacing w:before="40" w:after="120"/>
              <w:ind w:right="113"/>
              <w:rPr>
                <w:rFonts w:eastAsiaTheme="minorEastAsia"/>
                <w:sz w:val="18"/>
                <w:szCs w:val="18"/>
              </w:rPr>
            </w:pPr>
            <w:r w:rsidRPr="003C3479">
              <w:rPr>
                <w:sz w:val="18"/>
                <w:szCs w:val="18"/>
                <w:lang w:val="fr-FR"/>
              </w:rPr>
              <w:t>10/1997, Ziad Ben Ahmed</w:t>
            </w:r>
            <w:r w:rsidR="00395242">
              <w:rPr>
                <w:sz w:val="18"/>
                <w:szCs w:val="18"/>
                <w:lang w:val="fr-FR"/>
              </w:rPr>
              <w:t> </w:t>
            </w:r>
            <w:r w:rsidRPr="003C3479">
              <w:rPr>
                <w:sz w:val="18"/>
                <w:szCs w:val="18"/>
                <w:lang w:val="fr-FR"/>
              </w:rPr>
              <w:t>Habassi</w:t>
            </w:r>
          </w:p>
        </w:tc>
        <w:tc>
          <w:tcPr>
            <w:tcW w:w="1680" w:type="dxa"/>
            <w:shd w:val="clear" w:color="auto" w:fill="auto"/>
            <w:tcMar>
              <w:right w:w="113" w:type="dxa"/>
            </w:tcMar>
          </w:tcPr>
          <w:p w14:paraId="45F942C5" w14:textId="61A1509E" w:rsidR="00DC1F96" w:rsidRPr="003C3479" w:rsidRDefault="00DC1F96" w:rsidP="003C3479">
            <w:pPr>
              <w:spacing w:before="40" w:after="120"/>
              <w:ind w:right="113"/>
              <w:rPr>
                <w:rFonts w:eastAsiaTheme="minorEastAsia"/>
                <w:sz w:val="18"/>
                <w:szCs w:val="18"/>
              </w:rPr>
            </w:pPr>
            <w:r w:rsidRPr="003C3479">
              <w:rPr>
                <w:sz w:val="18"/>
                <w:szCs w:val="18"/>
                <w:lang w:val="fr-FR"/>
              </w:rPr>
              <w:t>X (</w:t>
            </w:r>
            <w:hyperlink r:id="rId45" w:history="1">
              <w:r w:rsidRPr="003C3479">
                <w:rPr>
                  <w:rStyle w:val="Lienhypertexte"/>
                  <w:sz w:val="18"/>
                  <w:szCs w:val="18"/>
                  <w:lang w:val="fr-FR"/>
                </w:rPr>
                <w:t>A/61/18</w:t>
              </w:r>
            </w:hyperlink>
            <w:r w:rsidRPr="003C3479">
              <w:rPr>
                <w:sz w:val="18"/>
                <w:szCs w:val="18"/>
                <w:lang w:val="fr-FR"/>
              </w:rPr>
              <w:t>)</w:t>
            </w:r>
          </w:p>
        </w:tc>
        <w:tc>
          <w:tcPr>
            <w:tcW w:w="1217" w:type="dxa"/>
            <w:shd w:val="clear" w:color="auto" w:fill="auto"/>
            <w:tcMar>
              <w:right w:w="113" w:type="dxa"/>
            </w:tcMar>
          </w:tcPr>
          <w:p w14:paraId="0683694B"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tc>
        <w:tc>
          <w:tcPr>
            <w:tcW w:w="1217" w:type="dxa"/>
            <w:shd w:val="clear" w:color="auto" w:fill="auto"/>
            <w:tcMar>
              <w:right w:w="113" w:type="dxa"/>
            </w:tcMar>
          </w:tcPr>
          <w:p w14:paraId="7A6B2108" w14:textId="77777777" w:rsidR="00DC1F96" w:rsidRPr="003C3479" w:rsidRDefault="00DC1F96" w:rsidP="003C3479">
            <w:pPr>
              <w:spacing w:before="40" w:after="120"/>
              <w:ind w:right="113"/>
              <w:rPr>
                <w:rFonts w:eastAsiaTheme="minorEastAsia"/>
                <w:sz w:val="18"/>
                <w:szCs w:val="18"/>
              </w:rPr>
            </w:pPr>
          </w:p>
        </w:tc>
        <w:tc>
          <w:tcPr>
            <w:tcW w:w="1030" w:type="dxa"/>
            <w:shd w:val="clear" w:color="auto" w:fill="auto"/>
            <w:tcMar>
              <w:right w:w="113" w:type="dxa"/>
            </w:tcMar>
          </w:tcPr>
          <w:p w14:paraId="7ADF3859" w14:textId="77777777" w:rsidR="00DC1F96" w:rsidRPr="003C3479" w:rsidRDefault="00DC1F96" w:rsidP="003C3479">
            <w:pPr>
              <w:spacing w:before="40" w:after="120"/>
              <w:ind w:right="113"/>
              <w:rPr>
                <w:rFonts w:eastAsiaTheme="minorEastAsia"/>
                <w:sz w:val="18"/>
                <w:szCs w:val="18"/>
              </w:rPr>
            </w:pPr>
          </w:p>
        </w:tc>
        <w:tc>
          <w:tcPr>
            <w:tcW w:w="796" w:type="dxa"/>
            <w:shd w:val="clear" w:color="auto" w:fill="auto"/>
            <w:tcMar>
              <w:right w:w="113" w:type="dxa"/>
            </w:tcMar>
          </w:tcPr>
          <w:p w14:paraId="6081A5B1" w14:textId="77777777" w:rsidR="00DC1F96" w:rsidRPr="003C3479" w:rsidRDefault="00DC1F96" w:rsidP="003C3479">
            <w:pPr>
              <w:spacing w:before="40" w:after="120"/>
              <w:ind w:right="113"/>
              <w:rPr>
                <w:rFonts w:eastAsiaTheme="minorEastAsia"/>
                <w:sz w:val="18"/>
                <w:szCs w:val="18"/>
              </w:rPr>
            </w:pPr>
          </w:p>
        </w:tc>
      </w:tr>
      <w:tr w:rsidR="00395242" w:rsidRPr="003C3479" w14:paraId="4C8053C5" w14:textId="77777777" w:rsidTr="00395242">
        <w:trPr>
          <w:cantSplit/>
        </w:trPr>
        <w:tc>
          <w:tcPr>
            <w:tcW w:w="1400" w:type="dxa"/>
            <w:shd w:val="clear" w:color="auto" w:fill="auto"/>
            <w:tcMar>
              <w:right w:w="113" w:type="dxa"/>
            </w:tcMar>
          </w:tcPr>
          <w:p w14:paraId="6A46CC36" w14:textId="77777777" w:rsidR="00DC1F96" w:rsidRPr="003C3479" w:rsidRDefault="00DC1F96" w:rsidP="003C3479">
            <w:pPr>
              <w:spacing w:before="40" w:after="120"/>
              <w:ind w:right="113"/>
              <w:rPr>
                <w:rFonts w:eastAsiaTheme="minorEastAsia"/>
                <w:sz w:val="18"/>
                <w:szCs w:val="18"/>
              </w:rPr>
            </w:pPr>
          </w:p>
        </w:tc>
        <w:tc>
          <w:tcPr>
            <w:tcW w:w="2296" w:type="dxa"/>
            <w:shd w:val="clear" w:color="auto" w:fill="auto"/>
            <w:tcMar>
              <w:right w:w="113" w:type="dxa"/>
            </w:tcMar>
          </w:tcPr>
          <w:p w14:paraId="39151E3E"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16/1999, Kashif Ahmad</w:t>
            </w:r>
          </w:p>
        </w:tc>
        <w:tc>
          <w:tcPr>
            <w:tcW w:w="1680" w:type="dxa"/>
            <w:shd w:val="clear" w:color="auto" w:fill="auto"/>
            <w:tcMar>
              <w:right w:w="113" w:type="dxa"/>
            </w:tcMar>
          </w:tcPr>
          <w:p w14:paraId="7A35F634" w14:textId="6E3AD6DF" w:rsidR="00DC1F96" w:rsidRPr="003C3479" w:rsidRDefault="00DC1F96" w:rsidP="003C3479">
            <w:pPr>
              <w:spacing w:before="40" w:after="120"/>
              <w:ind w:right="113"/>
              <w:rPr>
                <w:rFonts w:eastAsiaTheme="minorEastAsia"/>
                <w:sz w:val="18"/>
                <w:szCs w:val="18"/>
              </w:rPr>
            </w:pPr>
            <w:r w:rsidRPr="003C3479">
              <w:rPr>
                <w:sz w:val="18"/>
                <w:szCs w:val="18"/>
                <w:lang w:val="fr-FR"/>
              </w:rPr>
              <w:t>X (</w:t>
            </w:r>
            <w:hyperlink r:id="rId46" w:history="1">
              <w:r w:rsidR="003C3479" w:rsidRPr="003C3479">
                <w:rPr>
                  <w:rStyle w:val="Lienhypertexte"/>
                  <w:sz w:val="18"/>
                  <w:szCs w:val="18"/>
                  <w:lang w:val="fr-FR"/>
                </w:rPr>
                <w:t>A/61/18</w:t>
              </w:r>
            </w:hyperlink>
            <w:r w:rsidRPr="003C3479">
              <w:rPr>
                <w:sz w:val="18"/>
                <w:szCs w:val="18"/>
                <w:lang w:val="fr-FR"/>
              </w:rPr>
              <w:t>)</w:t>
            </w:r>
          </w:p>
        </w:tc>
        <w:tc>
          <w:tcPr>
            <w:tcW w:w="1217" w:type="dxa"/>
            <w:shd w:val="clear" w:color="auto" w:fill="auto"/>
            <w:tcMar>
              <w:right w:w="113" w:type="dxa"/>
            </w:tcMar>
          </w:tcPr>
          <w:p w14:paraId="03332640"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tc>
        <w:tc>
          <w:tcPr>
            <w:tcW w:w="1217" w:type="dxa"/>
            <w:shd w:val="clear" w:color="auto" w:fill="auto"/>
            <w:tcMar>
              <w:right w:w="113" w:type="dxa"/>
            </w:tcMar>
          </w:tcPr>
          <w:p w14:paraId="5C4F1461" w14:textId="77777777" w:rsidR="00DC1F96" w:rsidRPr="003C3479" w:rsidRDefault="00DC1F96" w:rsidP="003C3479">
            <w:pPr>
              <w:spacing w:before="40" w:after="120"/>
              <w:ind w:right="113"/>
              <w:rPr>
                <w:rFonts w:eastAsiaTheme="minorEastAsia"/>
                <w:sz w:val="18"/>
                <w:szCs w:val="18"/>
              </w:rPr>
            </w:pPr>
          </w:p>
        </w:tc>
        <w:tc>
          <w:tcPr>
            <w:tcW w:w="1030" w:type="dxa"/>
            <w:shd w:val="clear" w:color="auto" w:fill="auto"/>
            <w:tcMar>
              <w:right w:w="113" w:type="dxa"/>
            </w:tcMar>
          </w:tcPr>
          <w:p w14:paraId="60CDB0BE" w14:textId="77777777" w:rsidR="00DC1F96" w:rsidRPr="003C3479" w:rsidRDefault="00DC1F96" w:rsidP="003C3479">
            <w:pPr>
              <w:spacing w:before="40" w:after="120"/>
              <w:ind w:right="113"/>
              <w:rPr>
                <w:rFonts w:eastAsiaTheme="minorEastAsia"/>
                <w:sz w:val="18"/>
                <w:szCs w:val="18"/>
              </w:rPr>
            </w:pPr>
          </w:p>
        </w:tc>
        <w:tc>
          <w:tcPr>
            <w:tcW w:w="796" w:type="dxa"/>
            <w:shd w:val="clear" w:color="auto" w:fill="auto"/>
            <w:tcMar>
              <w:right w:w="113" w:type="dxa"/>
            </w:tcMar>
          </w:tcPr>
          <w:p w14:paraId="4E026242" w14:textId="77777777" w:rsidR="00DC1F96" w:rsidRPr="003C3479" w:rsidRDefault="00DC1F96" w:rsidP="003C3479">
            <w:pPr>
              <w:spacing w:before="40" w:after="120"/>
              <w:ind w:right="113"/>
              <w:rPr>
                <w:rFonts w:eastAsiaTheme="minorEastAsia"/>
                <w:sz w:val="18"/>
                <w:szCs w:val="18"/>
              </w:rPr>
            </w:pPr>
          </w:p>
        </w:tc>
      </w:tr>
      <w:tr w:rsidR="00395242" w:rsidRPr="003C3479" w14:paraId="56F1F80F" w14:textId="77777777" w:rsidTr="00395242">
        <w:trPr>
          <w:cantSplit/>
        </w:trPr>
        <w:tc>
          <w:tcPr>
            <w:tcW w:w="1400" w:type="dxa"/>
            <w:shd w:val="clear" w:color="auto" w:fill="auto"/>
            <w:tcMar>
              <w:right w:w="113" w:type="dxa"/>
            </w:tcMar>
          </w:tcPr>
          <w:p w14:paraId="721A8594" w14:textId="77777777" w:rsidR="00DC1F96" w:rsidRPr="003C3479" w:rsidRDefault="00DC1F96" w:rsidP="003C3479">
            <w:pPr>
              <w:spacing w:before="40" w:after="120"/>
              <w:ind w:right="113"/>
              <w:rPr>
                <w:rFonts w:eastAsiaTheme="minorEastAsia"/>
                <w:sz w:val="18"/>
                <w:szCs w:val="18"/>
              </w:rPr>
            </w:pPr>
          </w:p>
        </w:tc>
        <w:tc>
          <w:tcPr>
            <w:tcW w:w="2296" w:type="dxa"/>
            <w:shd w:val="clear" w:color="auto" w:fill="auto"/>
            <w:tcMar>
              <w:right w:w="113" w:type="dxa"/>
            </w:tcMar>
          </w:tcPr>
          <w:p w14:paraId="7E8376DF"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34/2004, Hassan Gelle</w:t>
            </w:r>
          </w:p>
        </w:tc>
        <w:tc>
          <w:tcPr>
            <w:tcW w:w="1680" w:type="dxa"/>
            <w:shd w:val="clear" w:color="auto" w:fill="auto"/>
            <w:tcMar>
              <w:right w:w="113" w:type="dxa"/>
            </w:tcMar>
          </w:tcPr>
          <w:p w14:paraId="14744FD0" w14:textId="4976969B" w:rsidR="00DC1F96" w:rsidRPr="003C3479" w:rsidRDefault="00DC1F96" w:rsidP="003C3479">
            <w:pPr>
              <w:spacing w:before="40" w:after="120"/>
              <w:ind w:right="113"/>
              <w:rPr>
                <w:rFonts w:eastAsiaTheme="minorEastAsia"/>
                <w:sz w:val="18"/>
                <w:szCs w:val="18"/>
              </w:rPr>
            </w:pPr>
            <w:r w:rsidRPr="003C3479">
              <w:rPr>
                <w:sz w:val="18"/>
                <w:szCs w:val="18"/>
                <w:lang w:val="fr-FR"/>
              </w:rPr>
              <w:t>X (</w:t>
            </w:r>
            <w:hyperlink r:id="rId47" w:history="1">
              <w:r w:rsidRPr="003C3479">
                <w:rPr>
                  <w:rStyle w:val="Lienhypertexte"/>
                  <w:sz w:val="18"/>
                  <w:szCs w:val="18"/>
                  <w:lang w:val="fr-FR"/>
                </w:rPr>
                <w:t>A/62/18</w:t>
              </w:r>
            </w:hyperlink>
            <w:r w:rsidRPr="003C3479">
              <w:rPr>
                <w:sz w:val="18"/>
                <w:szCs w:val="18"/>
                <w:lang w:val="fr-FR"/>
              </w:rPr>
              <w:t>)</w:t>
            </w:r>
          </w:p>
        </w:tc>
        <w:tc>
          <w:tcPr>
            <w:tcW w:w="1217" w:type="dxa"/>
            <w:shd w:val="clear" w:color="auto" w:fill="auto"/>
            <w:tcMar>
              <w:right w:w="113" w:type="dxa"/>
            </w:tcMar>
          </w:tcPr>
          <w:p w14:paraId="4D268959"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tc>
        <w:tc>
          <w:tcPr>
            <w:tcW w:w="1217" w:type="dxa"/>
            <w:shd w:val="clear" w:color="auto" w:fill="auto"/>
            <w:tcMar>
              <w:right w:w="113" w:type="dxa"/>
            </w:tcMar>
          </w:tcPr>
          <w:p w14:paraId="5A6FEA4E" w14:textId="77777777" w:rsidR="00DC1F96" w:rsidRPr="003C3479" w:rsidRDefault="00DC1F96" w:rsidP="003C3479">
            <w:pPr>
              <w:spacing w:before="40" w:after="120"/>
              <w:ind w:right="113"/>
              <w:rPr>
                <w:rFonts w:eastAsiaTheme="minorEastAsia"/>
                <w:sz w:val="18"/>
                <w:szCs w:val="18"/>
              </w:rPr>
            </w:pPr>
          </w:p>
        </w:tc>
        <w:tc>
          <w:tcPr>
            <w:tcW w:w="1030" w:type="dxa"/>
            <w:shd w:val="clear" w:color="auto" w:fill="auto"/>
            <w:tcMar>
              <w:right w:w="113" w:type="dxa"/>
            </w:tcMar>
          </w:tcPr>
          <w:p w14:paraId="127C9D69" w14:textId="77777777" w:rsidR="00DC1F96" w:rsidRPr="003C3479" w:rsidRDefault="00DC1F96" w:rsidP="003C3479">
            <w:pPr>
              <w:spacing w:before="40" w:after="120"/>
              <w:ind w:right="113"/>
              <w:rPr>
                <w:rFonts w:eastAsiaTheme="minorEastAsia"/>
                <w:sz w:val="18"/>
                <w:szCs w:val="18"/>
              </w:rPr>
            </w:pPr>
          </w:p>
        </w:tc>
        <w:tc>
          <w:tcPr>
            <w:tcW w:w="796" w:type="dxa"/>
            <w:shd w:val="clear" w:color="auto" w:fill="auto"/>
            <w:tcMar>
              <w:right w:w="113" w:type="dxa"/>
            </w:tcMar>
          </w:tcPr>
          <w:p w14:paraId="51AF8E46" w14:textId="77777777" w:rsidR="00DC1F96" w:rsidRPr="003C3479" w:rsidRDefault="00DC1F96" w:rsidP="003C3479">
            <w:pPr>
              <w:spacing w:before="40" w:after="120"/>
              <w:ind w:right="113"/>
              <w:rPr>
                <w:rFonts w:eastAsiaTheme="minorEastAsia"/>
                <w:sz w:val="18"/>
                <w:szCs w:val="18"/>
              </w:rPr>
            </w:pPr>
          </w:p>
        </w:tc>
      </w:tr>
      <w:tr w:rsidR="00395242" w:rsidRPr="003C3479" w14:paraId="252E4B7D" w14:textId="77777777" w:rsidTr="00395242">
        <w:trPr>
          <w:cantSplit/>
        </w:trPr>
        <w:tc>
          <w:tcPr>
            <w:tcW w:w="1400" w:type="dxa"/>
            <w:shd w:val="clear" w:color="auto" w:fill="auto"/>
            <w:tcMar>
              <w:right w:w="113" w:type="dxa"/>
            </w:tcMar>
          </w:tcPr>
          <w:p w14:paraId="1BC62F1E" w14:textId="77777777" w:rsidR="00DC1F96" w:rsidRPr="003C3479" w:rsidRDefault="00DC1F96" w:rsidP="003C3479">
            <w:pPr>
              <w:spacing w:before="40" w:after="120"/>
              <w:ind w:right="113"/>
              <w:rPr>
                <w:rFonts w:eastAsiaTheme="minorEastAsia"/>
                <w:sz w:val="18"/>
                <w:szCs w:val="18"/>
              </w:rPr>
            </w:pPr>
          </w:p>
        </w:tc>
        <w:tc>
          <w:tcPr>
            <w:tcW w:w="2296" w:type="dxa"/>
            <w:shd w:val="clear" w:color="auto" w:fill="auto"/>
            <w:tcMar>
              <w:right w:w="113" w:type="dxa"/>
            </w:tcMar>
          </w:tcPr>
          <w:p w14:paraId="1D0A594F"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40/2007, Murat Er</w:t>
            </w:r>
          </w:p>
        </w:tc>
        <w:tc>
          <w:tcPr>
            <w:tcW w:w="1680" w:type="dxa"/>
            <w:shd w:val="clear" w:color="auto" w:fill="auto"/>
            <w:tcMar>
              <w:right w:w="113" w:type="dxa"/>
            </w:tcMar>
          </w:tcPr>
          <w:p w14:paraId="3110E326" w14:textId="6CE983D6" w:rsidR="00DC1F96" w:rsidRPr="003C3479" w:rsidRDefault="00DC1F96" w:rsidP="003C3479">
            <w:pPr>
              <w:spacing w:before="40" w:after="120"/>
              <w:ind w:right="113"/>
              <w:rPr>
                <w:rFonts w:eastAsiaTheme="minorEastAsia"/>
                <w:sz w:val="18"/>
                <w:szCs w:val="18"/>
              </w:rPr>
            </w:pPr>
            <w:r w:rsidRPr="003C3479">
              <w:rPr>
                <w:sz w:val="18"/>
                <w:szCs w:val="18"/>
                <w:lang w:val="fr-FR"/>
              </w:rPr>
              <w:t>X (</w:t>
            </w:r>
            <w:hyperlink r:id="rId48" w:history="1">
              <w:r w:rsidRPr="003C3479">
                <w:rPr>
                  <w:rStyle w:val="Lienhypertexte"/>
                  <w:sz w:val="18"/>
                  <w:szCs w:val="18"/>
                  <w:lang w:val="fr-FR"/>
                </w:rPr>
                <w:t>A/63/18</w:t>
              </w:r>
            </w:hyperlink>
            <w:r w:rsidRPr="003C3479">
              <w:rPr>
                <w:sz w:val="18"/>
                <w:szCs w:val="18"/>
                <w:lang w:val="fr-FR"/>
              </w:rPr>
              <w:t>)</w:t>
            </w:r>
          </w:p>
        </w:tc>
        <w:tc>
          <w:tcPr>
            <w:tcW w:w="1217" w:type="dxa"/>
            <w:shd w:val="clear" w:color="auto" w:fill="auto"/>
            <w:tcMar>
              <w:right w:w="113" w:type="dxa"/>
            </w:tcMar>
          </w:tcPr>
          <w:p w14:paraId="6FE6EC2A" w14:textId="77777777" w:rsidR="00DC1F96" w:rsidRPr="003C3479" w:rsidRDefault="00DC1F96" w:rsidP="003C3479">
            <w:pPr>
              <w:spacing w:before="40" w:after="120"/>
              <w:ind w:right="113"/>
              <w:rPr>
                <w:rFonts w:eastAsiaTheme="minorEastAsia"/>
                <w:sz w:val="18"/>
                <w:szCs w:val="18"/>
              </w:rPr>
            </w:pPr>
          </w:p>
        </w:tc>
        <w:tc>
          <w:tcPr>
            <w:tcW w:w="1217" w:type="dxa"/>
            <w:shd w:val="clear" w:color="auto" w:fill="auto"/>
            <w:tcMar>
              <w:right w:w="113" w:type="dxa"/>
            </w:tcMar>
          </w:tcPr>
          <w:p w14:paraId="08FEEC6A"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 incomplet</w:t>
            </w:r>
          </w:p>
        </w:tc>
        <w:tc>
          <w:tcPr>
            <w:tcW w:w="1030" w:type="dxa"/>
            <w:shd w:val="clear" w:color="auto" w:fill="auto"/>
            <w:tcMar>
              <w:right w:w="113" w:type="dxa"/>
            </w:tcMar>
          </w:tcPr>
          <w:p w14:paraId="36C05A60" w14:textId="77777777" w:rsidR="00DC1F96" w:rsidRPr="003C3479" w:rsidRDefault="00DC1F96" w:rsidP="003C3479">
            <w:pPr>
              <w:spacing w:before="40" w:after="120"/>
              <w:ind w:right="113"/>
              <w:rPr>
                <w:rFonts w:eastAsiaTheme="minorEastAsia"/>
                <w:sz w:val="18"/>
                <w:szCs w:val="18"/>
              </w:rPr>
            </w:pPr>
          </w:p>
        </w:tc>
        <w:tc>
          <w:tcPr>
            <w:tcW w:w="796" w:type="dxa"/>
            <w:shd w:val="clear" w:color="auto" w:fill="auto"/>
            <w:tcMar>
              <w:right w:w="113" w:type="dxa"/>
            </w:tcMar>
          </w:tcPr>
          <w:p w14:paraId="0C57F3BD" w14:textId="77777777" w:rsidR="00DC1F96" w:rsidRPr="003C3479" w:rsidRDefault="00DC1F96" w:rsidP="003C3479">
            <w:pPr>
              <w:spacing w:before="40" w:after="120"/>
              <w:ind w:right="113"/>
              <w:rPr>
                <w:rFonts w:eastAsiaTheme="minorEastAsia"/>
                <w:sz w:val="18"/>
                <w:szCs w:val="18"/>
              </w:rPr>
            </w:pPr>
          </w:p>
        </w:tc>
      </w:tr>
      <w:tr w:rsidR="00395242" w:rsidRPr="003C3479" w14:paraId="495ECE01" w14:textId="77777777" w:rsidTr="00395242">
        <w:trPr>
          <w:cantSplit/>
        </w:trPr>
        <w:tc>
          <w:tcPr>
            <w:tcW w:w="1400" w:type="dxa"/>
            <w:shd w:val="clear" w:color="auto" w:fill="auto"/>
            <w:tcMar>
              <w:right w:w="113" w:type="dxa"/>
            </w:tcMar>
          </w:tcPr>
          <w:p w14:paraId="7C12CC3A" w14:textId="77777777" w:rsidR="00DC1F96" w:rsidRPr="003C3479" w:rsidRDefault="00DC1F96" w:rsidP="003C3479">
            <w:pPr>
              <w:spacing w:before="40" w:after="120"/>
              <w:ind w:right="113"/>
              <w:rPr>
                <w:rFonts w:eastAsiaTheme="minorEastAsia"/>
                <w:sz w:val="18"/>
                <w:szCs w:val="18"/>
              </w:rPr>
            </w:pPr>
          </w:p>
        </w:tc>
        <w:tc>
          <w:tcPr>
            <w:tcW w:w="2296" w:type="dxa"/>
            <w:shd w:val="clear" w:color="auto" w:fill="auto"/>
            <w:tcMar>
              <w:right w:w="113" w:type="dxa"/>
            </w:tcMar>
          </w:tcPr>
          <w:p w14:paraId="7831DAC2" w14:textId="4C433241" w:rsidR="00DC1F96" w:rsidRPr="003C3479" w:rsidRDefault="00DC1F96" w:rsidP="003C3479">
            <w:pPr>
              <w:spacing w:before="40" w:after="120"/>
              <w:ind w:right="113"/>
              <w:rPr>
                <w:rFonts w:eastAsiaTheme="minorEastAsia"/>
                <w:sz w:val="18"/>
                <w:szCs w:val="18"/>
              </w:rPr>
            </w:pPr>
            <w:r w:rsidRPr="003C3479">
              <w:rPr>
                <w:sz w:val="18"/>
                <w:szCs w:val="18"/>
                <w:lang w:val="fr-FR"/>
              </w:rPr>
              <w:t>43/2008, Saada Mohamad</w:t>
            </w:r>
            <w:r w:rsidR="00395242">
              <w:rPr>
                <w:sz w:val="18"/>
                <w:szCs w:val="18"/>
                <w:lang w:val="fr-FR"/>
              </w:rPr>
              <w:t xml:space="preserve"> </w:t>
            </w:r>
            <w:r w:rsidRPr="003C3479">
              <w:rPr>
                <w:sz w:val="18"/>
                <w:szCs w:val="18"/>
                <w:lang w:val="fr-FR"/>
              </w:rPr>
              <w:t>Adan</w:t>
            </w:r>
          </w:p>
        </w:tc>
        <w:tc>
          <w:tcPr>
            <w:tcW w:w="1680" w:type="dxa"/>
            <w:shd w:val="clear" w:color="auto" w:fill="auto"/>
            <w:tcMar>
              <w:right w:w="113" w:type="dxa"/>
            </w:tcMar>
          </w:tcPr>
          <w:p w14:paraId="50289C3A" w14:textId="0E037AC1" w:rsidR="00DC1F96" w:rsidRPr="003C3479" w:rsidRDefault="00DC1F96" w:rsidP="003C3479">
            <w:pPr>
              <w:spacing w:before="40" w:after="120"/>
              <w:ind w:right="113"/>
              <w:rPr>
                <w:sz w:val="18"/>
                <w:szCs w:val="18"/>
                <w:lang w:val="fr-FR"/>
              </w:rPr>
            </w:pPr>
            <w:r w:rsidRPr="003C3479">
              <w:rPr>
                <w:sz w:val="18"/>
                <w:szCs w:val="18"/>
                <w:lang w:val="fr-FR"/>
              </w:rPr>
              <w:t>X (</w:t>
            </w:r>
            <w:hyperlink r:id="rId49" w:history="1">
              <w:r w:rsidRPr="003C3479">
                <w:rPr>
                  <w:rStyle w:val="Lienhypertexte"/>
                  <w:sz w:val="18"/>
                  <w:szCs w:val="18"/>
                  <w:lang w:val="fr-FR"/>
                </w:rPr>
                <w:t>A/66/18</w:t>
              </w:r>
            </w:hyperlink>
            <w:r w:rsidRPr="003C3479">
              <w:rPr>
                <w:sz w:val="18"/>
                <w:szCs w:val="18"/>
                <w:lang w:val="fr-FR"/>
              </w:rPr>
              <w:t xml:space="preserve">) </w:t>
            </w:r>
            <w:r w:rsidR="003C3479">
              <w:rPr>
                <w:sz w:val="18"/>
                <w:szCs w:val="18"/>
                <w:lang w:val="fr-FR"/>
              </w:rPr>
              <w:br/>
            </w:r>
            <w:r w:rsidRPr="003C3479">
              <w:rPr>
                <w:sz w:val="18"/>
                <w:szCs w:val="18"/>
                <w:lang w:val="fr-FR"/>
              </w:rPr>
              <w:t>6</w:t>
            </w:r>
            <w:r w:rsidR="003C3479">
              <w:rPr>
                <w:sz w:val="18"/>
                <w:szCs w:val="18"/>
                <w:lang w:val="fr-FR"/>
              </w:rPr>
              <w:t> </w:t>
            </w:r>
            <w:r w:rsidRPr="003C3479">
              <w:rPr>
                <w:sz w:val="18"/>
                <w:szCs w:val="18"/>
                <w:lang w:val="fr-FR"/>
              </w:rPr>
              <w:t>décembre 2010</w:t>
            </w:r>
            <w:r w:rsidR="003C3479">
              <w:rPr>
                <w:sz w:val="18"/>
                <w:szCs w:val="18"/>
                <w:lang w:val="fr-FR"/>
              </w:rPr>
              <w:t xml:space="preserve"> </w:t>
            </w:r>
            <w:r w:rsidR="003C3479">
              <w:rPr>
                <w:sz w:val="18"/>
                <w:szCs w:val="18"/>
                <w:lang w:val="fr-FR"/>
              </w:rPr>
              <w:br/>
            </w:r>
            <w:r w:rsidRPr="003C3479">
              <w:rPr>
                <w:sz w:val="18"/>
                <w:szCs w:val="18"/>
                <w:lang w:val="fr-FR"/>
              </w:rPr>
              <w:t>28</w:t>
            </w:r>
            <w:r w:rsidR="003C3479">
              <w:rPr>
                <w:sz w:val="18"/>
                <w:szCs w:val="18"/>
                <w:lang w:val="fr-FR"/>
              </w:rPr>
              <w:t> </w:t>
            </w:r>
            <w:r w:rsidRPr="003C3479">
              <w:rPr>
                <w:sz w:val="18"/>
                <w:szCs w:val="18"/>
                <w:lang w:val="fr-FR"/>
              </w:rPr>
              <w:t>juin 2011</w:t>
            </w:r>
          </w:p>
        </w:tc>
        <w:tc>
          <w:tcPr>
            <w:tcW w:w="1217" w:type="dxa"/>
            <w:shd w:val="clear" w:color="auto" w:fill="auto"/>
            <w:tcMar>
              <w:right w:w="113" w:type="dxa"/>
            </w:tcMar>
          </w:tcPr>
          <w:p w14:paraId="40FE375C"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 en partie satisfaisant</w:t>
            </w:r>
          </w:p>
        </w:tc>
        <w:tc>
          <w:tcPr>
            <w:tcW w:w="1217" w:type="dxa"/>
            <w:shd w:val="clear" w:color="auto" w:fill="auto"/>
            <w:tcMar>
              <w:right w:w="113" w:type="dxa"/>
            </w:tcMar>
          </w:tcPr>
          <w:p w14:paraId="739E998A" w14:textId="4DD2DE52" w:rsidR="00DC1F96" w:rsidRPr="003C3479" w:rsidRDefault="00DC1F96" w:rsidP="003C3479">
            <w:pPr>
              <w:spacing w:before="40" w:after="120"/>
              <w:ind w:right="113"/>
              <w:rPr>
                <w:rFonts w:eastAsiaTheme="minorEastAsia"/>
                <w:sz w:val="18"/>
                <w:szCs w:val="18"/>
              </w:rPr>
            </w:pPr>
            <w:r w:rsidRPr="003C3479">
              <w:rPr>
                <w:sz w:val="18"/>
                <w:szCs w:val="18"/>
                <w:lang w:val="fr-FR"/>
              </w:rPr>
              <w:t>X en partie insatisfaisant</w:t>
            </w:r>
          </w:p>
        </w:tc>
        <w:tc>
          <w:tcPr>
            <w:tcW w:w="1030" w:type="dxa"/>
            <w:shd w:val="clear" w:color="auto" w:fill="auto"/>
            <w:tcMar>
              <w:right w:w="113" w:type="dxa"/>
            </w:tcMar>
          </w:tcPr>
          <w:p w14:paraId="26752A29" w14:textId="77777777" w:rsidR="00DC1F96" w:rsidRPr="003C3479" w:rsidRDefault="00DC1F96" w:rsidP="003C3479">
            <w:pPr>
              <w:spacing w:before="40" w:after="120"/>
              <w:ind w:right="113"/>
              <w:rPr>
                <w:rFonts w:eastAsiaTheme="minorEastAsia"/>
                <w:sz w:val="18"/>
                <w:szCs w:val="18"/>
              </w:rPr>
            </w:pPr>
          </w:p>
        </w:tc>
        <w:tc>
          <w:tcPr>
            <w:tcW w:w="796" w:type="dxa"/>
            <w:shd w:val="clear" w:color="auto" w:fill="auto"/>
            <w:tcMar>
              <w:right w:w="113" w:type="dxa"/>
            </w:tcMar>
          </w:tcPr>
          <w:p w14:paraId="77DF3770" w14:textId="77777777" w:rsidR="00DC1F96" w:rsidRPr="003C3479" w:rsidRDefault="00DC1F96" w:rsidP="003C3479">
            <w:pPr>
              <w:spacing w:before="40" w:after="120"/>
              <w:ind w:right="113"/>
              <w:rPr>
                <w:rFonts w:eastAsiaTheme="minorEastAsia"/>
                <w:sz w:val="18"/>
                <w:szCs w:val="18"/>
              </w:rPr>
            </w:pPr>
          </w:p>
        </w:tc>
      </w:tr>
      <w:tr w:rsidR="00395242" w:rsidRPr="003C3479" w14:paraId="2E4BD7A8" w14:textId="77777777" w:rsidTr="00395242">
        <w:trPr>
          <w:cantSplit/>
        </w:trPr>
        <w:tc>
          <w:tcPr>
            <w:tcW w:w="1400" w:type="dxa"/>
            <w:shd w:val="clear" w:color="auto" w:fill="auto"/>
            <w:tcMar>
              <w:right w:w="113" w:type="dxa"/>
            </w:tcMar>
          </w:tcPr>
          <w:p w14:paraId="5511E231" w14:textId="77777777" w:rsidR="00DC1F96" w:rsidRPr="003C3479" w:rsidRDefault="00DC1F96" w:rsidP="003C3479">
            <w:pPr>
              <w:spacing w:before="40" w:after="120"/>
              <w:ind w:right="113"/>
              <w:rPr>
                <w:rFonts w:eastAsiaTheme="minorEastAsia"/>
                <w:sz w:val="18"/>
                <w:szCs w:val="18"/>
              </w:rPr>
            </w:pPr>
          </w:p>
        </w:tc>
        <w:tc>
          <w:tcPr>
            <w:tcW w:w="2296" w:type="dxa"/>
            <w:shd w:val="clear" w:color="auto" w:fill="auto"/>
            <w:tcMar>
              <w:right w:w="113" w:type="dxa"/>
            </w:tcMar>
          </w:tcPr>
          <w:p w14:paraId="2A1F45DF" w14:textId="4FBCA016" w:rsidR="00DC1F96" w:rsidRPr="003C3479" w:rsidRDefault="00DC1F96" w:rsidP="003C3479">
            <w:pPr>
              <w:spacing w:before="40" w:after="120"/>
              <w:ind w:right="113"/>
              <w:rPr>
                <w:rFonts w:eastAsiaTheme="minorEastAsia"/>
                <w:sz w:val="18"/>
                <w:szCs w:val="18"/>
                <w:lang w:val="en-US"/>
              </w:rPr>
            </w:pPr>
            <w:r w:rsidRPr="003C3479">
              <w:rPr>
                <w:sz w:val="18"/>
                <w:szCs w:val="18"/>
                <w:lang w:val="en-US"/>
              </w:rPr>
              <w:t>46/2009, Mahali Dawas et</w:t>
            </w:r>
            <w:r w:rsidR="00395242">
              <w:rPr>
                <w:sz w:val="18"/>
                <w:szCs w:val="18"/>
                <w:lang w:val="en-US"/>
              </w:rPr>
              <w:t> </w:t>
            </w:r>
            <w:r w:rsidRPr="003C3479">
              <w:rPr>
                <w:sz w:val="18"/>
                <w:szCs w:val="18"/>
                <w:lang w:val="en-US"/>
              </w:rPr>
              <w:t>Yousef Shava</w:t>
            </w:r>
          </w:p>
        </w:tc>
        <w:tc>
          <w:tcPr>
            <w:tcW w:w="1680" w:type="dxa"/>
            <w:shd w:val="clear" w:color="auto" w:fill="auto"/>
            <w:tcMar>
              <w:right w:w="113" w:type="dxa"/>
            </w:tcMar>
          </w:tcPr>
          <w:p w14:paraId="1E9A2BE9" w14:textId="07C4FF4C" w:rsidR="00DC1F96" w:rsidRPr="00395242" w:rsidRDefault="00DC1F96" w:rsidP="003C3479">
            <w:pPr>
              <w:spacing w:before="40" w:after="120"/>
              <w:ind w:right="113"/>
              <w:rPr>
                <w:sz w:val="18"/>
                <w:szCs w:val="18"/>
                <w:lang w:val="fr-FR"/>
              </w:rPr>
            </w:pPr>
            <w:r w:rsidRPr="003C3479">
              <w:rPr>
                <w:sz w:val="18"/>
                <w:szCs w:val="18"/>
                <w:lang w:val="fr-FR"/>
              </w:rPr>
              <w:t>X (</w:t>
            </w:r>
            <w:hyperlink r:id="rId50" w:history="1">
              <w:r w:rsidRPr="00395242">
                <w:rPr>
                  <w:rStyle w:val="Lienhypertexte"/>
                  <w:sz w:val="18"/>
                  <w:szCs w:val="18"/>
                  <w:lang w:val="fr-FR"/>
                </w:rPr>
                <w:t>A/69/18</w:t>
              </w:r>
            </w:hyperlink>
            <w:r w:rsidRPr="003C3479">
              <w:rPr>
                <w:sz w:val="18"/>
                <w:szCs w:val="18"/>
                <w:lang w:val="fr-FR"/>
              </w:rPr>
              <w:t>)</w:t>
            </w:r>
            <w:r w:rsidR="00395242">
              <w:rPr>
                <w:sz w:val="18"/>
                <w:szCs w:val="18"/>
                <w:lang w:val="fr-FR"/>
              </w:rPr>
              <w:t xml:space="preserve"> </w:t>
            </w:r>
            <w:r w:rsidR="00395242">
              <w:rPr>
                <w:sz w:val="18"/>
                <w:szCs w:val="18"/>
                <w:lang w:val="fr-FR"/>
              </w:rPr>
              <w:br/>
            </w:r>
            <w:r w:rsidRPr="003C3479">
              <w:rPr>
                <w:sz w:val="18"/>
                <w:szCs w:val="18"/>
                <w:lang w:val="fr-FR"/>
              </w:rPr>
              <w:t>18</w:t>
            </w:r>
            <w:r w:rsidR="00395242">
              <w:rPr>
                <w:sz w:val="18"/>
                <w:szCs w:val="18"/>
                <w:lang w:val="fr-FR"/>
              </w:rPr>
              <w:t> </w:t>
            </w:r>
            <w:r w:rsidRPr="003C3479">
              <w:rPr>
                <w:sz w:val="18"/>
                <w:szCs w:val="18"/>
                <w:lang w:val="fr-FR"/>
              </w:rPr>
              <w:t>juin 2012</w:t>
            </w:r>
            <w:r w:rsidR="00395242">
              <w:rPr>
                <w:sz w:val="18"/>
                <w:szCs w:val="18"/>
                <w:lang w:val="fr-FR"/>
              </w:rPr>
              <w:t xml:space="preserve"> </w:t>
            </w:r>
            <w:r w:rsidR="00395242">
              <w:rPr>
                <w:sz w:val="18"/>
                <w:szCs w:val="18"/>
                <w:lang w:val="fr-FR"/>
              </w:rPr>
              <w:br/>
            </w:r>
            <w:r w:rsidRPr="003C3479">
              <w:rPr>
                <w:sz w:val="18"/>
                <w:szCs w:val="18"/>
                <w:lang w:val="fr-FR"/>
              </w:rPr>
              <w:t>29</w:t>
            </w:r>
            <w:r w:rsidR="00395242">
              <w:rPr>
                <w:sz w:val="18"/>
                <w:szCs w:val="18"/>
                <w:lang w:val="fr-FR"/>
              </w:rPr>
              <w:t> </w:t>
            </w:r>
            <w:r w:rsidRPr="003C3479">
              <w:rPr>
                <w:sz w:val="18"/>
                <w:szCs w:val="18"/>
                <w:lang w:val="fr-FR"/>
              </w:rPr>
              <w:t>août 2012</w:t>
            </w:r>
            <w:r w:rsidR="00395242">
              <w:rPr>
                <w:sz w:val="18"/>
                <w:szCs w:val="18"/>
                <w:lang w:val="fr-FR"/>
              </w:rPr>
              <w:t xml:space="preserve"> </w:t>
            </w:r>
            <w:r w:rsidR="00395242">
              <w:rPr>
                <w:sz w:val="18"/>
                <w:szCs w:val="18"/>
                <w:lang w:val="fr-FR"/>
              </w:rPr>
              <w:br/>
            </w:r>
            <w:r w:rsidRPr="003C3479">
              <w:rPr>
                <w:sz w:val="18"/>
                <w:szCs w:val="18"/>
                <w:lang w:val="fr-FR"/>
              </w:rPr>
              <w:t>20</w:t>
            </w:r>
            <w:r w:rsidR="00395242">
              <w:rPr>
                <w:sz w:val="18"/>
                <w:szCs w:val="18"/>
                <w:lang w:val="fr-FR"/>
              </w:rPr>
              <w:t> </w:t>
            </w:r>
            <w:r w:rsidRPr="003C3479">
              <w:rPr>
                <w:sz w:val="18"/>
                <w:szCs w:val="18"/>
                <w:lang w:val="fr-FR"/>
              </w:rPr>
              <w:t>décembre 2013</w:t>
            </w:r>
            <w:r w:rsidR="00395242">
              <w:rPr>
                <w:sz w:val="18"/>
                <w:szCs w:val="18"/>
                <w:lang w:val="fr-FR"/>
              </w:rPr>
              <w:t xml:space="preserve"> </w:t>
            </w:r>
            <w:r w:rsidR="00395242">
              <w:rPr>
                <w:sz w:val="18"/>
                <w:szCs w:val="18"/>
                <w:lang w:val="fr-FR"/>
              </w:rPr>
              <w:br/>
            </w:r>
            <w:r w:rsidRPr="003C3479">
              <w:rPr>
                <w:sz w:val="18"/>
                <w:szCs w:val="18"/>
                <w:lang w:val="fr-FR"/>
              </w:rPr>
              <w:t>19</w:t>
            </w:r>
            <w:r w:rsidR="00395242">
              <w:rPr>
                <w:sz w:val="18"/>
                <w:szCs w:val="18"/>
                <w:lang w:val="fr-FR"/>
              </w:rPr>
              <w:t> </w:t>
            </w:r>
            <w:r w:rsidRPr="003C3479">
              <w:rPr>
                <w:sz w:val="18"/>
                <w:szCs w:val="18"/>
                <w:lang w:val="fr-FR"/>
              </w:rPr>
              <w:t>décembre 2014</w:t>
            </w:r>
          </w:p>
        </w:tc>
        <w:tc>
          <w:tcPr>
            <w:tcW w:w="1217" w:type="dxa"/>
            <w:shd w:val="clear" w:color="auto" w:fill="auto"/>
            <w:tcMar>
              <w:right w:w="113" w:type="dxa"/>
            </w:tcMar>
          </w:tcPr>
          <w:p w14:paraId="1B934943"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 en partie satisfaisant</w:t>
            </w:r>
          </w:p>
        </w:tc>
        <w:tc>
          <w:tcPr>
            <w:tcW w:w="1217" w:type="dxa"/>
            <w:shd w:val="clear" w:color="auto" w:fill="auto"/>
            <w:tcMar>
              <w:right w:w="113" w:type="dxa"/>
            </w:tcMar>
          </w:tcPr>
          <w:p w14:paraId="7C6E4AFB" w14:textId="77777777" w:rsidR="00DC1F96" w:rsidRPr="003C3479" w:rsidRDefault="00DC1F96" w:rsidP="003C3479">
            <w:pPr>
              <w:spacing w:before="40" w:after="120"/>
              <w:ind w:right="113"/>
              <w:rPr>
                <w:rFonts w:eastAsiaTheme="minorEastAsia"/>
                <w:sz w:val="18"/>
                <w:szCs w:val="18"/>
              </w:rPr>
            </w:pPr>
          </w:p>
        </w:tc>
        <w:tc>
          <w:tcPr>
            <w:tcW w:w="1030" w:type="dxa"/>
            <w:shd w:val="clear" w:color="auto" w:fill="auto"/>
            <w:tcMar>
              <w:right w:w="113" w:type="dxa"/>
            </w:tcMar>
          </w:tcPr>
          <w:p w14:paraId="2E3F6F81" w14:textId="77777777" w:rsidR="00DC1F96" w:rsidRPr="003C3479" w:rsidRDefault="00DC1F96" w:rsidP="003C3479">
            <w:pPr>
              <w:spacing w:before="40" w:after="120"/>
              <w:ind w:right="113"/>
              <w:rPr>
                <w:rFonts w:eastAsiaTheme="minorEastAsia"/>
                <w:sz w:val="18"/>
                <w:szCs w:val="18"/>
              </w:rPr>
            </w:pPr>
          </w:p>
        </w:tc>
        <w:tc>
          <w:tcPr>
            <w:tcW w:w="796" w:type="dxa"/>
            <w:shd w:val="clear" w:color="auto" w:fill="auto"/>
            <w:tcMar>
              <w:right w:w="113" w:type="dxa"/>
            </w:tcMar>
          </w:tcPr>
          <w:p w14:paraId="52A56621"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tc>
      </w:tr>
      <w:tr w:rsidR="00395242" w:rsidRPr="003C3479" w14:paraId="31B6475A" w14:textId="77777777" w:rsidTr="00395242">
        <w:trPr>
          <w:cantSplit/>
        </w:trPr>
        <w:tc>
          <w:tcPr>
            <w:tcW w:w="1400" w:type="dxa"/>
            <w:shd w:val="clear" w:color="auto" w:fill="auto"/>
            <w:tcMar>
              <w:right w:w="113" w:type="dxa"/>
            </w:tcMar>
          </w:tcPr>
          <w:p w14:paraId="2E9D0F70" w14:textId="77777777" w:rsidR="00DC1F96" w:rsidRPr="003C3479" w:rsidRDefault="00DC1F96" w:rsidP="003C3479">
            <w:pPr>
              <w:spacing w:before="40" w:after="120"/>
              <w:ind w:right="113"/>
              <w:rPr>
                <w:rFonts w:eastAsiaTheme="minorEastAsia"/>
                <w:sz w:val="18"/>
                <w:szCs w:val="18"/>
              </w:rPr>
            </w:pPr>
          </w:p>
        </w:tc>
        <w:tc>
          <w:tcPr>
            <w:tcW w:w="2296" w:type="dxa"/>
            <w:shd w:val="clear" w:color="auto" w:fill="auto"/>
            <w:tcMar>
              <w:right w:w="113" w:type="dxa"/>
            </w:tcMar>
          </w:tcPr>
          <w:p w14:paraId="5A66197F"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58/2016, S.A.</w:t>
            </w:r>
          </w:p>
        </w:tc>
        <w:tc>
          <w:tcPr>
            <w:tcW w:w="1680" w:type="dxa"/>
            <w:shd w:val="clear" w:color="auto" w:fill="auto"/>
            <w:tcMar>
              <w:right w:w="113" w:type="dxa"/>
            </w:tcMar>
          </w:tcPr>
          <w:p w14:paraId="352D0B13" w14:textId="793A153C" w:rsidR="00DC1F96" w:rsidRPr="00395242" w:rsidRDefault="00DC1F96" w:rsidP="003C3479">
            <w:pPr>
              <w:spacing w:before="40" w:after="120"/>
              <w:ind w:right="113"/>
              <w:rPr>
                <w:sz w:val="18"/>
                <w:szCs w:val="18"/>
                <w:lang w:val="fr-FR"/>
              </w:rPr>
            </w:pPr>
            <w:r w:rsidRPr="003C3479">
              <w:rPr>
                <w:sz w:val="18"/>
                <w:szCs w:val="18"/>
                <w:lang w:val="fr-FR"/>
              </w:rPr>
              <w:t>X (</w:t>
            </w:r>
            <w:hyperlink r:id="rId51" w:history="1">
              <w:r w:rsidRPr="00395242">
                <w:rPr>
                  <w:rStyle w:val="Lienhypertexte"/>
                  <w:sz w:val="18"/>
                  <w:szCs w:val="18"/>
                  <w:lang w:val="fr-FR"/>
                </w:rPr>
                <w:t>A/74/18</w:t>
              </w:r>
            </w:hyperlink>
            <w:r w:rsidRPr="003C3479">
              <w:rPr>
                <w:sz w:val="18"/>
                <w:szCs w:val="18"/>
                <w:lang w:val="fr-FR"/>
              </w:rPr>
              <w:t>)</w:t>
            </w:r>
            <w:r w:rsidR="00395242">
              <w:rPr>
                <w:sz w:val="18"/>
                <w:szCs w:val="18"/>
                <w:lang w:val="fr-FR"/>
              </w:rPr>
              <w:t xml:space="preserve"> </w:t>
            </w:r>
            <w:r w:rsidR="00395242">
              <w:rPr>
                <w:sz w:val="18"/>
                <w:szCs w:val="18"/>
                <w:lang w:val="fr-FR"/>
              </w:rPr>
              <w:br/>
            </w:r>
            <w:r w:rsidRPr="003C3479">
              <w:rPr>
                <w:sz w:val="18"/>
                <w:szCs w:val="18"/>
                <w:lang w:val="fr-FR"/>
              </w:rPr>
              <w:t>5</w:t>
            </w:r>
            <w:r w:rsidR="00395242">
              <w:rPr>
                <w:sz w:val="18"/>
                <w:szCs w:val="18"/>
                <w:lang w:val="fr-FR"/>
              </w:rPr>
              <w:t> </w:t>
            </w:r>
            <w:r w:rsidRPr="003C3479">
              <w:rPr>
                <w:sz w:val="18"/>
                <w:szCs w:val="18"/>
                <w:lang w:val="fr-FR"/>
              </w:rPr>
              <w:t>avril 2019</w:t>
            </w:r>
          </w:p>
        </w:tc>
        <w:tc>
          <w:tcPr>
            <w:tcW w:w="1217" w:type="dxa"/>
            <w:shd w:val="clear" w:color="auto" w:fill="auto"/>
            <w:tcMar>
              <w:right w:w="113" w:type="dxa"/>
            </w:tcMar>
          </w:tcPr>
          <w:p w14:paraId="1C0EB9FC"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 en partie satisfaisant</w:t>
            </w:r>
          </w:p>
        </w:tc>
        <w:tc>
          <w:tcPr>
            <w:tcW w:w="1217" w:type="dxa"/>
            <w:shd w:val="clear" w:color="auto" w:fill="auto"/>
            <w:tcMar>
              <w:right w:w="113" w:type="dxa"/>
            </w:tcMar>
          </w:tcPr>
          <w:p w14:paraId="7C01C977" w14:textId="77777777" w:rsidR="00DC1F96" w:rsidRPr="003C3479" w:rsidRDefault="00DC1F96" w:rsidP="003C3479">
            <w:pPr>
              <w:spacing w:before="40" w:after="120"/>
              <w:ind w:right="113"/>
              <w:rPr>
                <w:rFonts w:eastAsiaTheme="minorEastAsia"/>
                <w:sz w:val="18"/>
                <w:szCs w:val="18"/>
              </w:rPr>
            </w:pPr>
          </w:p>
        </w:tc>
        <w:tc>
          <w:tcPr>
            <w:tcW w:w="1030" w:type="dxa"/>
            <w:shd w:val="clear" w:color="auto" w:fill="auto"/>
            <w:tcMar>
              <w:right w:w="113" w:type="dxa"/>
            </w:tcMar>
          </w:tcPr>
          <w:p w14:paraId="6B9AE106" w14:textId="77777777" w:rsidR="00DC1F96" w:rsidRPr="003C3479" w:rsidRDefault="00DC1F96" w:rsidP="003C3479">
            <w:pPr>
              <w:spacing w:before="40" w:after="120"/>
              <w:ind w:right="113"/>
              <w:rPr>
                <w:rFonts w:eastAsiaTheme="minorEastAsia"/>
                <w:sz w:val="18"/>
                <w:szCs w:val="18"/>
              </w:rPr>
            </w:pPr>
          </w:p>
        </w:tc>
        <w:tc>
          <w:tcPr>
            <w:tcW w:w="796" w:type="dxa"/>
            <w:shd w:val="clear" w:color="auto" w:fill="auto"/>
            <w:tcMar>
              <w:right w:w="113" w:type="dxa"/>
            </w:tcMar>
          </w:tcPr>
          <w:p w14:paraId="2FB79AB1"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tc>
      </w:tr>
      <w:tr w:rsidR="00395242" w:rsidRPr="003C3479" w14:paraId="2FD2CBCC" w14:textId="77777777" w:rsidTr="00395242">
        <w:trPr>
          <w:cantSplit/>
        </w:trPr>
        <w:tc>
          <w:tcPr>
            <w:tcW w:w="1400" w:type="dxa"/>
            <w:shd w:val="clear" w:color="auto" w:fill="auto"/>
            <w:tcMar>
              <w:right w:w="113" w:type="dxa"/>
            </w:tcMar>
          </w:tcPr>
          <w:p w14:paraId="38DC1360"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France (1)</w:t>
            </w:r>
          </w:p>
        </w:tc>
        <w:tc>
          <w:tcPr>
            <w:tcW w:w="2296" w:type="dxa"/>
            <w:shd w:val="clear" w:color="auto" w:fill="auto"/>
            <w:tcMar>
              <w:right w:w="113" w:type="dxa"/>
            </w:tcMar>
          </w:tcPr>
          <w:p w14:paraId="6DE00EE2"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52/2012, Laurent Gabre Gabaroum</w:t>
            </w:r>
          </w:p>
        </w:tc>
        <w:tc>
          <w:tcPr>
            <w:tcW w:w="1680" w:type="dxa"/>
            <w:shd w:val="clear" w:color="auto" w:fill="auto"/>
            <w:tcMar>
              <w:right w:w="113" w:type="dxa"/>
            </w:tcMar>
          </w:tcPr>
          <w:p w14:paraId="0D40B4F5" w14:textId="6980D1F8" w:rsidR="00DC1F96" w:rsidRPr="00395242" w:rsidRDefault="00DC1F96" w:rsidP="003C3479">
            <w:pPr>
              <w:spacing w:before="40" w:after="120"/>
              <w:ind w:right="113"/>
              <w:rPr>
                <w:sz w:val="18"/>
                <w:szCs w:val="18"/>
                <w:lang w:val="fr-FR"/>
              </w:rPr>
            </w:pPr>
            <w:r w:rsidRPr="003C3479">
              <w:rPr>
                <w:sz w:val="18"/>
                <w:szCs w:val="18"/>
                <w:lang w:val="fr-FR"/>
              </w:rPr>
              <w:t>X (</w:t>
            </w:r>
            <w:hyperlink r:id="rId52" w:history="1">
              <w:r w:rsidRPr="00395242">
                <w:rPr>
                  <w:rStyle w:val="Lienhypertexte"/>
                  <w:sz w:val="18"/>
                  <w:szCs w:val="18"/>
                  <w:lang w:val="fr-FR"/>
                </w:rPr>
                <w:t>A/72/18</w:t>
              </w:r>
            </w:hyperlink>
            <w:r w:rsidRPr="003C3479">
              <w:rPr>
                <w:sz w:val="18"/>
                <w:szCs w:val="18"/>
                <w:lang w:val="fr-FR"/>
              </w:rPr>
              <w:t>)</w:t>
            </w:r>
            <w:r w:rsidR="00395242">
              <w:rPr>
                <w:sz w:val="18"/>
                <w:szCs w:val="18"/>
                <w:lang w:val="fr-FR"/>
              </w:rPr>
              <w:t xml:space="preserve"> </w:t>
            </w:r>
            <w:r w:rsidR="00395242">
              <w:rPr>
                <w:sz w:val="18"/>
                <w:szCs w:val="18"/>
                <w:lang w:val="fr-FR"/>
              </w:rPr>
              <w:br/>
            </w:r>
            <w:r w:rsidRPr="003C3479">
              <w:rPr>
                <w:sz w:val="18"/>
                <w:szCs w:val="18"/>
                <w:lang w:val="fr-FR"/>
              </w:rPr>
              <w:t>23</w:t>
            </w:r>
            <w:r w:rsidR="00395242">
              <w:rPr>
                <w:sz w:val="18"/>
                <w:szCs w:val="18"/>
                <w:lang w:val="fr-FR"/>
              </w:rPr>
              <w:t> </w:t>
            </w:r>
            <w:r w:rsidRPr="003C3479">
              <w:rPr>
                <w:sz w:val="18"/>
                <w:szCs w:val="18"/>
                <w:lang w:val="fr-FR"/>
              </w:rPr>
              <w:t>novembre 2016</w:t>
            </w:r>
          </w:p>
        </w:tc>
        <w:tc>
          <w:tcPr>
            <w:tcW w:w="1217" w:type="dxa"/>
            <w:shd w:val="clear" w:color="auto" w:fill="auto"/>
            <w:tcMar>
              <w:right w:w="113" w:type="dxa"/>
            </w:tcMar>
          </w:tcPr>
          <w:p w14:paraId="066ACDCF" w14:textId="77777777" w:rsidR="00DC1F96" w:rsidRPr="003C3479" w:rsidRDefault="00DC1F96" w:rsidP="003C3479">
            <w:pPr>
              <w:spacing w:before="40" w:after="120"/>
              <w:ind w:right="113"/>
              <w:rPr>
                <w:rFonts w:eastAsiaTheme="minorEastAsia"/>
                <w:sz w:val="18"/>
                <w:szCs w:val="18"/>
              </w:rPr>
            </w:pPr>
          </w:p>
        </w:tc>
        <w:tc>
          <w:tcPr>
            <w:tcW w:w="1217" w:type="dxa"/>
            <w:shd w:val="clear" w:color="auto" w:fill="auto"/>
            <w:tcMar>
              <w:right w:w="113" w:type="dxa"/>
            </w:tcMar>
          </w:tcPr>
          <w:p w14:paraId="4A663785"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 en partie satisfaisant</w:t>
            </w:r>
          </w:p>
        </w:tc>
        <w:tc>
          <w:tcPr>
            <w:tcW w:w="1030" w:type="dxa"/>
            <w:shd w:val="clear" w:color="auto" w:fill="auto"/>
            <w:tcMar>
              <w:right w:w="113" w:type="dxa"/>
            </w:tcMar>
          </w:tcPr>
          <w:p w14:paraId="4E6CC16E" w14:textId="77777777" w:rsidR="00DC1F96" w:rsidRPr="003C3479" w:rsidRDefault="00DC1F96" w:rsidP="003C3479">
            <w:pPr>
              <w:spacing w:before="40" w:after="120"/>
              <w:ind w:right="113"/>
              <w:rPr>
                <w:rFonts w:eastAsiaTheme="minorEastAsia"/>
                <w:sz w:val="18"/>
                <w:szCs w:val="18"/>
              </w:rPr>
            </w:pPr>
          </w:p>
        </w:tc>
        <w:tc>
          <w:tcPr>
            <w:tcW w:w="796" w:type="dxa"/>
            <w:shd w:val="clear" w:color="auto" w:fill="auto"/>
            <w:tcMar>
              <w:right w:w="113" w:type="dxa"/>
            </w:tcMar>
          </w:tcPr>
          <w:p w14:paraId="3D458A2E"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tc>
      </w:tr>
      <w:tr w:rsidR="00395242" w:rsidRPr="003C3479" w14:paraId="5B663E37" w14:textId="77777777" w:rsidTr="00395242">
        <w:trPr>
          <w:cantSplit/>
        </w:trPr>
        <w:tc>
          <w:tcPr>
            <w:tcW w:w="1400" w:type="dxa"/>
            <w:shd w:val="clear" w:color="auto" w:fill="auto"/>
            <w:tcMar>
              <w:right w:w="113" w:type="dxa"/>
            </w:tcMar>
          </w:tcPr>
          <w:p w14:paraId="44E116B8"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Allemagne (1)</w:t>
            </w:r>
          </w:p>
        </w:tc>
        <w:tc>
          <w:tcPr>
            <w:tcW w:w="2296" w:type="dxa"/>
            <w:shd w:val="clear" w:color="auto" w:fill="auto"/>
            <w:tcMar>
              <w:right w:w="113" w:type="dxa"/>
            </w:tcMar>
          </w:tcPr>
          <w:p w14:paraId="0A3160DF" w14:textId="77777777" w:rsidR="00DC1F96" w:rsidRPr="003C3479" w:rsidRDefault="00DC1F96" w:rsidP="003C3479">
            <w:pPr>
              <w:spacing w:before="40" w:after="120"/>
              <w:ind w:right="113"/>
              <w:rPr>
                <w:rFonts w:eastAsiaTheme="minorEastAsia"/>
                <w:sz w:val="18"/>
                <w:szCs w:val="18"/>
                <w:lang w:val="fr-FR"/>
              </w:rPr>
            </w:pPr>
            <w:r w:rsidRPr="003C3479">
              <w:rPr>
                <w:sz w:val="18"/>
                <w:szCs w:val="18"/>
                <w:lang w:val="fr-FR"/>
              </w:rPr>
              <w:t>48/2010, Union turque de Berlin-Brandebourg (TBB)</w:t>
            </w:r>
          </w:p>
        </w:tc>
        <w:tc>
          <w:tcPr>
            <w:tcW w:w="1680" w:type="dxa"/>
            <w:shd w:val="clear" w:color="auto" w:fill="auto"/>
            <w:tcMar>
              <w:right w:w="113" w:type="dxa"/>
            </w:tcMar>
          </w:tcPr>
          <w:p w14:paraId="7D120045" w14:textId="6DA95A6C" w:rsidR="00DC1F96" w:rsidRPr="00395242" w:rsidRDefault="00DC1F96" w:rsidP="003C3479">
            <w:pPr>
              <w:spacing w:before="40" w:after="120"/>
              <w:ind w:right="113"/>
              <w:rPr>
                <w:sz w:val="18"/>
                <w:szCs w:val="18"/>
                <w:lang w:val="fr-FR"/>
              </w:rPr>
            </w:pPr>
            <w:r w:rsidRPr="003C3479">
              <w:rPr>
                <w:sz w:val="18"/>
                <w:szCs w:val="18"/>
                <w:lang w:val="fr-FR"/>
              </w:rPr>
              <w:t>X (</w:t>
            </w:r>
            <w:hyperlink r:id="rId53" w:history="1">
              <w:r w:rsidRPr="00395242">
                <w:rPr>
                  <w:rStyle w:val="Lienhypertexte"/>
                  <w:sz w:val="18"/>
                  <w:szCs w:val="18"/>
                  <w:lang w:val="fr-FR"/>
                </w:rPr>
                <w:t>A/70/18</w:t>
              </w:r>
            </w:hyperlink>
            <w:r w:rsidRPr="003C3479">
              <w:rPr>
                <w:sz w:val="18"/>
                <w:szCs w:val="18"/>
                <w:lang w:val="fr-FR"/>
              </w:rPr>
              <w:t>)</w:t>
            </w:r>
            <w:r w:rsidR="00395242">
              <w:rPr>
                <w:sz w:val="18"/>
                <w:szCs w:val="18"/>
                <w:lang w:val="fr-FR"/>
              </w:rPr>
              <w:t xml:space="preserve"> </w:t>
            </w:r>
            <w:r w:rsidR="00395242">
              <w:rPr>
                <w:sz w:val="18"/>
                <w:szCs w:val="18"/>
                <w:lang w:val="fr-FR"/>
              </w:rPr>
              <w:br/>
            </w:r>
            <w:r w:rsidRPr="003C3479">
              <w:rPr>
                <w:sz w:val="18"/>
                <w:szCs w:val="18"/>
                <w:lang w:val="fr-FR"/>
              </w:rPr>
              <w:t>1</w:t>
            </w:r>
            <w:r w:rsidRPr="003C3479">
              <w:rPr>
                <w:sz w:val="18"/>
                <w:szCs w:val="18"/>
                <w:vertAlign w:val="superscript"/>
                <w:lang w:val="fr-FR"/>
              </w:rPr>
              <w:t>er</w:t>
            </w:r>
            <w:r w:rsidR="00395242">
              <w:rPr>
                <w:sz w:val="18"/>
                <w:szCs w:val="18"/>
                <w:lang w:val="fr-FR"/>
              </w:rPr>
              <w:t> </w:t>
            </w:r>
            <w:r w:rsidRPr="003C3479">
              <w:rPr>
                <w:sz w:val="18"/>
                <w:szCs w:val="18"/>
                <w:lang w:val="fr-FR"/>
              </w:rPr>
              <w:t>juillet 2013</w:t>
            </w:r>
            <w:r w:rsidR="00395242">
              <w:rPr>
                <w:sz w:val="18"/>
                <w:szCs w:val="18"/>
                <w:lang w:val="fr-FR"/>
              </w:rPr>
              <w:t xml:space="preserve"> </w:t>
            </w:r>
            <w:r w:rsidR="00395242">
              <w:rPr>
                <w:sz w:val="18"/>
                <w:szCs w:val="18"/>
                <w:lang w:val="fr-FR"/>
              </w:rPr>
              <w:br/>
            </w:r>
            <w:r w:rsidRPr="003C3479">
              <w:rPr>
                <w:sz w:val="18"/>
                <w:szCs w:val="18"/>
                <w:lang w:val="fr-FR"/>
              </w:rPr>
              <w:t>29</w:t>
            </w:r>
            <w:r w:rsidR="00395242">
              <w:rPr>
                <w:sz w:val="18"/>
                <w:szCs w:val="18"/>
                <w:lang w:val="fr-FR"/>
              </w:rPr>
              <w:t> </w:t>
            </w:r>
            <w:r w:rsidRPr="003C3479">
              <w:rPr>
                <w:sz w:val="18"/>
                <w:szCs w:val="18"/>
                <w:lang w:val="fr-FR"/>
              </w:rPr>
              <w:t>août 2013</w:t>
            </w:r>
            <w:r w:rsidR="00395242">
              <w:rPr>
                <w:sz w:val="18"/>
                <w:szCs w:val="18"/>
                <w:lang w:val="fr-FR"/>
              </w:rPr>
              <w:t xml:space="preserve"> </w:t>
            </w:r>
            <w:r w:rsidR="00395242">
              <w:rPr>
                <w:sz w:val="18"/>
                <w:szCs w:val="18"/>
                <w:lang w:val="fr-FR"/>
              </w:rPr>
              <w:br/>
            </w:r>
            <w:r w:rsidRPr="003C3479">
              <w:rPr>
                <w:sz w:val="18"/>
                <w:szCs w:val="18"/>
                <w:lang w:val="fr-FR"/>
              </w:rPr>
              <w:t>17</w:t>
            </w:r>
            <w:r w:rsidR="00395242">
              <w:rPr>
                <w:sz w:val="18"/>
                <w:szCs w:val="18"/>
                <w:lang w:val="fr-FR"/>
              </w:rPr>
              <w:t> </w:t>
            </w:r>
            <w:r w:rsidRPr="003C3479">
              <w:rPr>
                <w:sz w:val="18"/>
                <w:szCs w:val="18"/>
                <w:lang w:val="fr-FR"/>
              </w:rPr>
              <w:t>septembre 2014</w:t>
            </w:r>
            <w:r w:rsidR="00395242">
              <w:rPr>
                <w:sz w:val="18"/>
                <w:szCs w:val="18"/>
                <w:lang w:val="fr-FR"/>
              </w:rPr>
              <w:t xml:space="preserve"> </w:t>
            </w:r>
            <w:r w:rsidR="00395242">
              <w:rPr>
                <w:sz w:val="18"/>
                <w:szCs w:val="18"/>
                <w:lang w:val="fr-FR"/>
              </w:rPr>
              <w:br/>
            </w:r>
            <w:r w:rsidRPr="003C3479">
              <w:rPr>
                <w:sz w:val="18"/>
                <w:szCs w:val="18"/>
                <w:lang w:val="fr-FR"/>
              </w:rPr>
              <w:t>3</w:t>
            </w:r>
            <w:r w:rsidR="00395242">
              <w:rPr>
                <w:sz w:val="18"/>
                <w:szCs w:val="18"/>
                <w:lang w:val="fr-FR"/>
              </w:rPr>
              <w:t> </w:t>
            </w:r>
            <w:r w:rsidRPr="003C3479">
              <w:rPr>
                <w:sz w:val="18"/>
                <w:szCs w:val="18"/>
                <w:lang w:val="fr-FR"/>
              </w:rPr>
              <w:t>février 2015</w:t>
            </w:r>
          </w:p>
        </w:tc>
        <w:tc>
          <w:tcPr>
            <w:tcW w:w="1217" w:type="dxa"/>
            <w:shd w:val="clear" w:color="auto" w:fill="auto"/>
            <w:tcMar>
              <w:right w:w="113" w:type="dxa"/>
            </w:tcMar>
          </w:tcPr>
          <w:p w14:paraId="36A14F1A" w14:textId="77777777" w:rsidR="00DC1F96" w:rsidRPr="003C3479" w:rsidRDefault="00DC1F96" w:rsidP="003C3479">
            <w:pPr>
              <w:spacing w:before="40" w:after="120"/>
              <w:ind w:right="113"/>
              <w:rPr>
                <w:rFonts w:eastAsiaTheme="minorEastAsia"/>
                <w:sz w:val="18"/>
                <w:szCs w:val="18"/>
                <w:lang w:val="fr-FR"/>
              </w:rPr>
            </w:pPr>
          </w:p>
        </w:tc>
        <w:tc>
          <w:tcPr>
            <w:tcW w:w="1217" w:type="dxa"/>
            <w:shd w:val="clear" w:color="auto" w:fill="auto"/>
            <w:tcMar>
              <w:right w:w="113" w:type="dxa"/>
            </w:tcMar>
          </w:tcPr>
          <w:p w14:paraId="656471FC" w14:textId="77777777" w:rsidR="00DC1F96" w:rsidRPr="003C3479" w:rsidRDefault="00DC1F96" w:rsidP="003C3479">
            <w:pPr>
              <w:spacing w:before="40" w:after="120"/>
              <w:ind w:right="113"/>
              <w:rPr>
                <w:rFonts w:eastAsiaTheme="minorEastAsia"/>
                <w:sz w:val="18"/>
                <w:szCs w:val="18"/>
                <w:lang w:val="fr-FR"/>
              </w:rPr>
            </w:pPr>
          </w:p>
        </w:tc>
        <w:tc>
          <w:tcPr>
            <w:tcW w:w="1030" w:type="dxa"/>
            <w:shd w:val="clear" w:color="auto" w:fill="auto"/>
            <w:tcMar>
              <w:right w:w="113" w:type="dxa"/>
            </w:tcMar>
          </w:tcPr>
          <w:p w14:paraId="5975ACB5" w14:textId="77777777" w:rsidR="00DC1F96" w:rsidRPr="003C3479" w:rsidRDefault="00DC1F96" w:rsidP="003C3479">
            <w:pPr>
              <w:spacing w:before="40" w:after="120"/>
              <w:ind w:right="113"/>
              <w:rPr>
                <w:rFonts w:eastAsiaTheme="minorEastAsia"/>
                <w:sz w:val="18"/>
                <w:szCs w:val="18"/>
                <w:lang w:val="fr-FR"/>
              </w:rPr>
            </w:pPr>
          </w:p>
        </w:tc>
        <w:tc>
          <w:tcPr>
            <w:tcW w:w="796" w:type="dxa"/>
            <w:shd w:val="clear" w:color="auto" w:fill="auto"/>
            <w:tcMar>
              <w:right w:w="113" w:type="dxa"/>
            </w:tcMar>
          </w:tcPr>
          <w:p w14:paraId="126F85A1"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tc>
      </w:tr>
      <w:tr w:rsidR="00395242" w:rsidRPr="003C3479" w14:paraId="7E6E81D4" w14:textId="77777777" w:rsidTr="00395242">
        <w:trPr>
          <w:cantSplit/>
        </w:trPr>
        <w:tc>
          <w:tcPr>
            <w:tcW w:w="1400" w:type="dxa"/>
            <w:shd w:val="clear" w:color="auto" w:fill="auto"/>
            <w:tcMar>
              <w:right w:w="113" w:type="dxa"/>
            </w:tcMar>
          </w:tcPr>
          <w:p w14:paraId="7C6D9DD1"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Pays-Bas (2)</w:t>
            </w:r>
          </w:p>
        </w:tc>
        <w:tc>
          <w:tcPr>
            <w:tcW w:w="2296" w:type="dxa"/>
            <w:shd w:val="clear" w:color="auto" w:fill="auto"/>
            <w:tcMar>
              <w:right w:w="113" w:type="dxa"/>
            </w:tcMar>
          </w:tcPr>
          <w:p w14:paraId="144C52F7" w14:textId="0C8F2BE4" w:rsidR="00DC1F96" w:rsidRPr="003C3479" w:rsidRDefault="00DC1F96" w:rsidP="003C3479">
            <w:pPr>
              <w:spacing w:before="40" w:after="120"/>
              <w:ind w:right="113"/>
              <w:rPr>
                <w:rFonts w:eastAsiaTheme="minorEastAsia"/>
                <w:sz w:val="18"/>
                <w:szCs w:val="18"/>
              </w:rPr>
            </w:pPr>
            <w:r w:rsidRPr="003C3479">
              <w:rPr>
                <w:sz w:val="18"/>
                <w:szCs w:val="18"/>
                <w:lang w:val="fr-FR"/>
              </w:rPr>
              <w:t>1/1984, A.</w:t>
            </w:r>
            <w:r w:rsidR="00395242">
              <w:rPr>
                <w:sz w:val="18"/>
                <w:szCs w:val="18"/>
                <w:lang w:val="fr-FR"/>
              </w:rPr>
              <w:t> </w:t>
            </w:r>
            <w:r w:rsidRPr="003C3479">
              <w:rPr>
                <w:sz w:val="18"/>
                <w:szCs w:val="18"/>
                <w:lang w:val="fr-FR"/>
              </w:rPr>
              <w:t>Yilmaz-Dogan</w:t>
            </w:r>
          </w:p>
        </w:tc>
        <w:tc>
          <w:tcPr>
            <w:tcW w:w="1680" w:type="dxa"/>
            <w:shd w:val="clear" w:color="auto" w:fill="auto"/>
            <w:tcMar>
              <w:right w:w="113" w:type="dxa"/>
            </w:tcMar>
          </w:tcPr>
          <w:p w14:paraId="4F1780E8" w14:textId="77777777" w:rsidR="00DC1F96" w:rsidRPr="003C3479" w:rsidRDefault="00DC1F96" w:rsidP="003C3479">
            <w:pPr>
              <w:spacing w:before="40" w:after="120"/>
              <w:ind w:right="113"/>
              <w:rPr>
                <w:rFonts w:eastAsiaTheme="minorEastAsia"/>
                <w:sz w:val="18"/>
                <w:szCs w:val="18"/>
              </w:rPr>
            </w:pPr>
          </w:p>
        </w:tc>
        <w:tc>
          <w:tcPr>
            <w:tcW w:w="1217" w:type="dxa"/>
            <w:shd w:val="clear" w:color="auto" w:fill="auto"/>
            <w:tcMar>
              <w:right w:w="113" w:type="dxa"/>
            </w:tcMar>
          </w:tcPr>
          <w:p w14:paraId="53B92071" w14:textId="77777777" w:rsidR="00DC1F96" w:rsidRPr="003C3479" w:rsidRDefault="00DC1F96" w:rsidP="003C3479">
            <w:pPr>
              <w:spacing w:before="40" w:after="120"/>
              <w:ind w:right="113"/>
              <w:rPr>
                <w:rFonts w:eastAsiaTheme="minorEastAsia"/>
                <w:sz w:val="18"/>
                <w:szCs w:val="18"/>
              </w:rPr>
            </w:pPr>
          </w:p>
        </w:tc>
        <w:tc>
          <w:tcPr>
            <w:tcW w:w="1217" w:type="dxa"/>
            <w:shd w:val="clear" w:color="auto" w:fill="auto"/>
            <w:tcMar>
              <w:right w:w="113" w:type="dxa"/>
            </w:tcMar>
          </w:tcPr>
          <w:p w14:paraId="001E78EE" w14:textId="77777777" w:rsidR="00DC1F96" w:rsidRPr="003C3479" w:rsidRDefault="00DC1F96" w:rsidP="003C3479">
            <w:pPr>
              <w:spacing w:before="40" w:after="120"/>
              <w:ind w:right="113"/>
              <w:rPr>
                <w:rFonts w:eastAsiaTheme="minorEastAsia"/>
                <w:sz w:val="18"/>
                <w:szCs w:val="18"/>
              </w:rPr>
            </w:pPr>
          </w:p>
        </w:tc>
        <w:tc>
          <w:tcPr>
            <w:tcW w:w="1030" w:type="dxa"/>
            <w:shd w:val="clear" w:color="auto" w:fill="auto"/>
            <w:tcMar>
              <w:right w:w="113" w:type="dxa"/>
            </w:tcMar>
          </w:tcPr>
          <w:p w14:paraId="2C11E8D3"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tc>
        <w:tc>
          <w:tcPr>
            <w:tcW w:w="796" w:type="dxa"/>
            <w:shd w:val="clear" w:color="auto" w:fill="auto"/>
            <w:tcMar>
              <w:right w:w="113" w:type="dxa"/>
            </w:tcMar>
          </w:tcPr>
          <w:p w14:paraId="461DC07E" w14:textId="77777777" w:rsidR="00DC1F96" w:rsidRPr="003C3479" w:rsidRDefault="00DC1F96" w:rsidP="003C3479">
            <w:pPr>
              <w:spacing w:before="40" w:after="120"/>
              <w:ind w:right="113"/>
              <w:rPr>
                <w:rFonts w:eastAsiaTheme="minorEastAsia"/>
                <w:sz w:val="18"/>
                <w:szCs w:val="18"/>
              </w:rPr>
            </w:pPr>
          </w:p>
        </w:tc>
      </w:tr>
      <w:tr w:rsidR="00395242" w:rsidRPr="003C3479" w14:paraId="50017E71" w14:textId="77777777" w:rsidTr="00395242">
        <w:trPr>
          <w:cantSplit/>
        </w:trPr>
        <w:tc>
          <w:tcPr>
            <w:tcW w:w="1400" w:type="dxa"/>
            <w:shd w:val="clear" w:color="auto" w:fill="auto"/>
            <w:tcMar>
              <w:right w:w="113" w:type="dxa"/>
            </w:tcMar>
          </w:tcPr>
          <w:p w14:paraId="70779CF8" w14:textId="77777777" w:rsidR="00DC1F96" w:rsidRPr="003C3479" w:rsidRDefault="00DC1F96" w:rsidP="003C3479">
            <w:pPr>
              <w:spacing w:before="40" w:after="120"/>
              <w:ind w:right="113"/>
              <w:rPr>
                <w:rFonts w:eastAsiaTheme="minorEastAsia"/>
                <w:sz w:val="18"/>
                <w:szCs w:val="18"/>
              </w:rPr>
            </w:pPr>
          </w:p>
        </w:tc>
        <w:tc>
          <w:tcPr>
            <w:tcW w:w="2296" w:type="dxa"/>
            <w:shd w:val="clear" w:color="auto" w:fill="auto"/>
            <w:tcMar>
              <w:right w:w="113" w:type="dxa"/>
            </w:tcMar>
          </w:tcPr>
          <w:p w14:paraId="37CDD925" w14:textId="6B9377D5" w:rsidR="00DC1F96" w:rsidRPr="003C3479" w:rsidRDefault="00DC1F96" w:rsidP="003C3479">
            <w:pPr>
              <w:spacing w:before="40" w:after="120"/>
              <w:ind w:right="113"/>
              <w:rPr>
                <w:rFonts w:eastAsiaTheme="minorEastAsia"/>
                <w:sz w:val="18"/>
                <w:szCs w:val="18"/>
              </w:rPr>
            </w:pPr>
            <w:r w:rsidRPr="003C3479">
              <w:rPr>
                <w:sz w:val="18"/>
                <w:szCs w:val="18"/>
                <w:lang w:val="fr-FR"/>
              </w:rPr>
              <w:t>4/1991, L.</w:t>
            </w:r>
            <w:r w:rsidR="00395242">
              <w:rPr>
                <w:sz w:val="18"/>
                <w:szCs w:val="18"/>
                <w:lang w:val="fr-FR"/>
              </w:rPr>
              <w:t> </w:t>
            </w:r>
            <w:r w:rsidRPr="003C3479">
              <w:rPr>
                <w:sz w:val="18"/>
                <w:szCs w:val="18"/>
                <w:lang w:val="fr-FR"/>
              </w:rPr>
              <w:t>K.</w:t>
            </w:r>
          </w:p>
        </w:tc>
        <w:tc>
          <w:tcPr>
            <w:tcW w:w="1680" w:type="dxa"/>
            <w:shd w:val="clear" w:color="auto" w:fill="auto"/>
            <w:tcMar>
              <w:right w:w="113" w:type="dxa"/>
            </w:tcMar>
          </w:tcPr>
          <w:p w14:paraId="6F102E70" w14:textId="77777777" w:rsidR="00DC1F96" w:rsidRPr="003C3479" w:rsidRDefault="00DC1F96" w:rsidP="003C3479">
            <w:pPr>
              <w:spacing w:before="40" w:after="120"/>
              <w:ind w:right="113"/>
              <w:rPr>
                <w:rFonts w:eastAsiaTheme="minorEastAsia"/>
                <w:sz w:val="18"/>
                <w:szCs w:val="18"/>
              </w:rPr>
            </w:pPr>
          </w:p>
        </w:tc>
        <w:tc>
          <w:tcPr>
            <w:tcW w:w="1217" w:type="dxa"/>
            <w:shd w:val="clear" w:color="auto" w:fill="auto"/>
            <w:tcMar>
              <w:right w:w="113" w:type="dxa"/>
            </w:tcMar>
          </w:tcPr>
          <w:p w14:paraId="5AD28243" w14:textId="77777777" w:rsidR="00DC1F96" w:rsidRPr="003C3479" w:rsidRDefault="00DC1F96" w:rsidP="003C3479">
            <w:pPr>
              <w:spacing w:before="40" w:after="120"/>
              <w:ind w:right="113"/>
              <w:rPr>
                <w:rFonts w:eastAsiaTheme="minorEastAsia"/>
                <w:sz w:val="18"/>
                <w:szCs w:val="18"/>
              </w:rPr>
            </w:pPr>
          </w:p>
        </w:tc>
        <w:tc>
          <w:tcPr>
            <w:tcW w:w="1217" w:type="dxa"/>
            <w:shd w:val="clear" w:color="auto" w:fill="auto"/>
            <w:tcMar>
              <w:right w:w="113" w:type="dxa"/>
            </w:tcMar>
          </w:tcPr>
          <w:p w14:paraId="58DC1CAE" w14:textId="77777777" w:rsidR="00DC1F96" w:rsidRPr="003C3479" w:rsidRDefault="00DC1F96" w:rsidP="003C3479">
            <w:pPr>
              <w:spacing w:before="40" w:after="120"/>
              <w:ind w:right="113"/>
              <w:rPr>
                <w:rFonts w:eastAsiaTheme="minorEastAsia"/>
                <w:sz w:val="18"/>
                <w:szCs w:val="18"/>
              </w:rPr>
            </w:pPr>
          </w:p>
        </w:tc>
        <w:tc>
          <w:tcPr>
            <w:tcW w:w="1030" w:type="dxa"/>
            <w:shd w:val="clear" w:color="auto" w:fill="auto"/>
            <w:tcMar>
              <w:right w:w="113" w:type="dxa"/>
            </w:tcMar>
          </w:tcPr>
          <w:p w14:paraId="0F451EF9"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tc>
        <w:tc>
          <w:tcPr>
            <w:tcW w:w="796" w:type="dxa"/>
            <w:shd w:val="clear" w:color="auto" w:fill="auto"/>
            <w:tcMar>
              <w:right w:w="113" w:type="dxa"/>
            </w:tcMar>
          </w:tcPr>
          <w:p w14:paraId="69C1EF2D" w14:textId="77777777" w:rsidR="00DC1F96" w:rsidRPr="003C3479" w:rsidRDefault="00DC1F96" w:rsidP="003C3479">
            <w:pPr>
              <w:spacing w:before="40" w:after="120"/>
              <w:ind w:right="113"/>
              <w:rPr>
                <w:rFonts w:eastAsiaTheme="minorEastAsia"/>
                <w:sz w:val="18"/>
                <w:szCs w:val="18"/>
              </w:rPr>
            </w:pPr>
          </w:p>
        </w:tc>
      </w:tr>
      <w:tr w:rsidR="00395242" w:rsidRPr="003C3479" w14:paraId="7A525FA7" w14:textId="77777777" w:rsidTr="00395242">
        <w:trPr>
          <w:cantSplit/>
        </w:trPr>
        <w:tc>
          <w:tcPr>
            <w:tcW w:w="1400" w:type="dxa"/>
            <w:shd w:val="clear" w:color="auto" w:fill="auto"/>
            <w:tcMar>
              <w:right w:w="113" w:type="dxa"/>
            </w:tcMar>
          </w:tcPr>
          <w:p w14:paraId="645CA0DF"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Norvège (1)</w:t>
            </w:r>
          </w:p>
        </w:tc>
        <w:tc>
          <w:tcPr>
            <w:tcW w:w="2296" w:type="dxa"/>
            <w:shd w:val="clear" w:color="auto" w:fill="auto"/>
            <w:tcMar>
              <w:right w:w="113" w:type="dxa"/>
            </w:tcMar>
          </w:tcPr>
          <w:p w14:paraId="50947376"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30/2003, La communauté juive d’Oslo</w:t>
            </w:r>
          </w:p>
        </w:tc>
        <w:tc>
          <w:tcPr>
            <w:tcW w:w="1680" w:type="dxa"/>
            <w:shd w:val="clear" w:color="auto" w:fill="auto"/>
            <w:tcMar>
              <w:right w:w="113" w:type="dxa"/>
            </w:tcMar>
          </w:tcPr>
          <w:p w14:paraId="6A1E57A5" w14:textId="287D9F32" w:rsidR="00DC1F96" w:rsidRPr="003C3479" w:rsidRDefault="00DC1F96" w:rsidP="003C3479">
            <w:pPr>
              <w:spacing w:before="40" w:after="120"/>
              <w:ind w:right="113"/>
              <w:rPr>
                <w:rFonts w:eastAsiaTheme="minorEastAsia"/>
                <w:sz w:val="18"/>
                <w:szCs w:val="18"/>
              </w:rPr>
            </w:pPr>
            <w:r w:rsidRPr="003C3479">
              <w:rPr>
                <w:sz w:val="18"/>
                <w:szCs w:val="18"/>
                <w:lang w:val="fr-FR"/>
              </w:rPr>
              <w:t>X (</w:t>
            </w:r>
            <w:hyperlink r:id="rId54" w:history="1">
              <w:r w:rsidR="00395242" w:rsidRPr="003C3479">
                <w:rPr>
                  <w:rStyle w:val="Lienhypertexte"/>
                  <w:sz w:val="18"/>
                  <w:szCs w:val="18"/>
                  <w:lang w:val="fr-FR"/>
                </w:rPr>
                <w:t>A/62/18</w:t>
              </w:r>
            </w:hyperlink>
            <w:r w:rsidRPr="003C3479">
              <w:rPr>
                <w:sz w:val="18"/>
                <w:szCs w:val="18"/>
                <w:lang w:val="fr-FR"/>
              </w:rPr>
              <w:t>)</w:t>
            </w:r>
          </w:p>
        </w:tc>
        <w:tc>
          <w:tcPr>
            <w:tcW w:w="1217" w:type="dxa"/>
            <w:shd w:val="clear" w:color="auto" w:fill="auto"/>
            <w:tcMar>
              <w:right w:w="113" w:type="dxa"/>
            </w:tcMar>
          </w:tcPr>
          <w:p w14:paraId="291556B8" w14:textId="77777777" w:rsidR="00DC1F96" w:rsidRPr="003C3479" w:rsidRDefault="00DC1F96" w:rsidP="003C3479">
            <w:pPr>
              <w:spacing w:before="40" w:after="120"/>
              <w:ind w:right="113"/>
              <w:rPr>
                <w:rFonts w:eastAsiaTheme="minorEastAsia"/>
                <w:sz w:val="18"/>
                <w:szCs w:val="18"/>
              </w:rPr>
            </w:pPr>
          </w:p>
        </w:tc>
        <w:tc>
          <w:tcPr>
            <w:tcW w:w="1217" w:type="dxa"/>
            <w:shd w:val="clear" w:color="auto" w:fill="auto"/>
            <w:tcMar>
              <w:right w:w="113" w:type="dxa"/>
            </w:tcMar>
          </w:tcPr>
          <w:p w14:paraId="32AC9B66" w14:textId="77777777" w:rsidR="00DC1F96" w:rsidRPr="003C3479" w:rsidRDefault="00DC1F96" w:rsidP="003C3479">
            <w:pPr>
              <w:spacing w:before="40" w:after="120"/>
              <w:ind w:right="113"/>
              <w:rPr>
                <w:rFonts w:eastAsiaTheme="minorEastAsia"/>
                <w:sz w:val="18"/>
                <w:szCs w:val="18"/>
              </w:rPr>
            </w:pPr>
          </w:p>
        </w:tc>
        <w:tc>
          <w:tcPr>
            <w:tcW w:w="1030" w:type="dxa"/>
            <w:shd w:val="clear" w:color="auto" w:fill="auto"/>
            <w:tcMar>
              <w:right w:w="113" w:type="dxa"/>
            </w:tcMar>
          </w:tcPr>
          <w:p w14:paraId="22D267A1"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tc>
        <w:tc>
          <w:tcPr>
            <w:tcW w:w="796" w:type="dxa"/>
            <w:shd w:val="clear" w:color="auto" w:fill="auto"/>
            <w:tcMar>
              <w:right w:w="113" w:type="dxa"/>
            </w:tcMar>
          </w:tcPr>
          <w:p w14:paraId="7CDE6194" w14:textId="77777777" w:rsidR="00DC1F96" w:rsidRPr="003C3479" w:rsidRDefault="00DC1F96" w:rsidP="003C3479">
            <w:pPr>
              <w:spacing w:before="40" w:after="120"/>
              <w:ind w:right="113"/>
              <w:rPr>
                <w:rFonts w:eastAsiaTheme="minorEastAsia"/>
                <w:sz w:val="18"/>
                <w:szCs w:val="18"/>
              </w:rPr>
            </w:pPr>
          </w:p>
        </w:tc>
      </w:tr>
      <w:tr w:rsidR="00395242" w:rsidRPr="003C3479" w14:paraId="0D92B86E" w14:textId="77777777" w:rsidTr="00395242">
        <w:trPr>
          <w:cantSplit/>
        </w:trPr>
        <w:tc>
          <w:tcPr>
            <w:tcW w:w="1400" w:type="dxa"/>
            <w:shd w:val="clear" w:color="auto" w:fill="auto"/>
            <w:tcMar>
              <w:right w:w="113" w:type="dxa"/>
            </w:tcMar>
          </w:tcPr>
          <w:p w14:paraId="452C714B" w14:textId="425F9F69" w:rsidR="00DC1F96" w:rsidRPr="003C3479" w:rsidRDefault="00DC1F96" w:rsidP="003C3479">
            <w:pPr>
              <w:spacing w:before="40" w:after="120"/>
              <w:ind w:right="113"/>
              <w:rPr>
                <w:rFonts w:eastAsiaTheme="minorEastAsia"/>
                <w:sz w:val="18"/>
                <w:szCs w:val="18"/>
              </w:rPr>
            </w:pPr>
            <w:r w:rsidRPr="003C3479">
              <w:rPr>
                <w:sz w:val="18"/>
                <w:szCs w:val="18"/>
                <w:lang w:val="fr-FR"/>
              </w:rPr>
              <w:t>République de</w:t>
            </w:r>
            <w:r w:rsidR="003C3479" w:rsidRPr="003C3479">
              <w:rPr>
                <w:sz w:val="18"/>
                <w:szCs w:val="18"/>
                <w:lang w:val="fr-FR"/>
              </w:rPr>
              <w:t> </w:t>
            </w:r>
            <w:r w:rsidRPr="003C3479">
              <w:rPr>
                <w:sz w:val="18"/>
                <w:szCs w:val="18"/>
                <w:lang w:val="fr-FR"/>
              </w:rPr>
              <w:t>Corée (1)</w:t>
            </w:r>
          </w:p>
        </w:tc>
        <w:tc>
          <w:tcPr>
            <w:tcW w:w="2296" w:type="dxa"/>
            <w:shd w:val="clear" w:color="auto" w:fill="auto"/>
            <w:tcMar>
              <w:right w:w="113" w:type="dxa"/>
            </w:tcMar>
          </w:tcPr>
          <w:p w14:paraId="55032C2D"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51/2012, L.G.</w:t>
            </w:r>
          </w:p>
        </w:tc>
        <w:tc>
          <w:tcPr>
            <w:tcW w:w="1680" w:type="dxa"/>
            <w:shd w:val="clear" w:color="auto" w:fill="auto"/>
            <w:tcMar>
              <w:right w:w="113" w:type="dxa"/>
            </w:tcMar>
          </w:tcPr>
          <w:p w14:paraId="470ECC57" w14:textId="7B3155A5" w:rsidR="00DC1F96" w:rsidRPr="00395242" w:rsidRDefault="00DC1F96" w:rsidP="003C3479">
            <w:pPr>
              <w:spacing w:before="40" w:after="120"/>
              <w:ind w:right="113"/>
              <w:rPr>
                <w:sz w:val="18"/>
                <w:szCs w:val="18"/>
                <w:lang w:val="fr-FR"/>
              </w:rPr>
            </w:pPr>
            <w:r w:rsidRPr="003C3479">
              <w:rPr>
                <w:sz w:val="18"/>
                <w:szCs w:val="18"/>
                <w:lang w:val="fr-FR"/>
              </w:rPr>
              <w:t>X (</w:t>
            </w:r>
            <w:hyperlink r:id="rId55" w:history="1">
              <w:r w:rsidRPr="00395242">
                <w:rPr>
                  <w:rStyle w:val="Lienhypertexte"/>
                  <w:sz w:val="18"/>
                  <w:szCs w:val="18"/>
                  <w:lang w:val="fr-FR"/>
                </w:rPr>
                <w:t>A/71/18</w:t>
              </w:r>
            </w:hyperlink>
            <w:r w:rsidRPr="003C3479">
              <w:rPr>
                <w:sz w:val="18"/>
                <w:szCs w:val="18"/>
                <w:lang w:val="fr-FR"/>
              </w:rPr>
              <w:t>)</w:t>
            </w:r>
            <w:r w:rsidR="00395242">
              <w:rPr>
                <w:sz w:val="18"/>
                <w:szCs w:val="18"/>
                <w:lang w:val="fr-FR"/>
              </w:rPr>
              <w:t xml:space="preserve"> </w:t>
            </w:r>
            <w:r w:rsidR="00395242">
              <w:rPr>
                <w:sz w:val="18"/>
                <w:szCs w:val="18"/>
                <w:lang w:val="fr-FR"/>
              </w:rPr>
              <w:br/>
            </w:r>
            <w:r w:rsidRPr="003C3479">
              <w:rPr>
                <w:sz w:val="18"/>
                <w:szCs w:val="18"/>
                <w:lang w:val="fr-FR"/>
              </w:rPr>
              <w:t>9</w:t>
            </w:r>
            <w:r w:rsidR="00395242">
              <w:rPr>
                <w:sz w:val="18"/>
                <w:szCs w:val="18"/>
                <w:lang w:val="fr-FR"/>
              </w:rPr>
              <w:t> </w:t>
            </w:r>
            <w:r w:rsidRPr="003C3479">
              <w:rPr>
                <w:sz w:val="18"/>
                <w:szCs w:val="18"/>
                <w:lang w:val="fr-FR"/>
              </w:rPr>
              <w:t>décembre 2016</w:t>
            </w:r>
          </w:p>
        </w:tc>
        <w:tc>
          <w:tcPr>
            <w:tcW w:w="1217" w:type="dxa"/>
            <w:shd w:val="clear" w:color="auto" w:fill="auto"/>
            <w:tcMar>
              <w:right w:w="113" w:type="dxa"/>
            </w:tcMar>
          </w:tcPr>
          <w:p w14:paraId="1DC1F602" w14:textId="77777777" w:rsidR="00DC1F96" w:rsidRPr="003C3479" w:rsidRDefault="00DC1F96" w:rsidP="003C3479">
            <w:pPr>
              <w:spacing w:before="40" w:after="120"/>
              <w:ind w:right="113"/>
              <w:rPr>
                <w:rFonts w:eastAsiaTheme="minorEastAsia"/>
                <w:sz w:val="18"/>
                <w:szCs w:val="18"/>
              </w:rPr>
            </w:pPr>
          </w:p>
        </w:tc>
        <w:tc>
          <w:tcPr>
            <w:tcW w:w="1217" w:type="dxa"/>
            <w:shd w:val="clear" w:color="auto" w:fill="auto"/>
            <w:tcMar>
              <w:right w:w="113" w:type="dxa"/>
            </w:tcMar>
          </w:tcPr>
          <w:p w14:paraId="35075A62"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 en partie satisfaisant</w:t>
            </w:r>
          </w:p>
        </w:tc>
        <w:tc>
          <w:tcPr>
            <w:tcW w:w="1030" w:type="dxa"/>
            <w:shd w:val="clear" w:color="auto" w:fill="auto"/>
            <w:tcMar>
              <w:right w:w="113" w:type="dxa"/>
            </w:tcMar>
          </w:tcPr>
          <w:p w14:paraId="76232928" w14:textId="77777777" w:rsidR="00DC1F96" w:rsidRPr="003C3479" w:rsidRDefault="00DC1F96" w:rsidP="003C3479">
            <w:pPr>
              <w:spacing w:before="40" w:after="120"/>
              <w:ind w:right="113"/>
              <w:rPr>
                <w:rFonts w:eastAsiaTheme="minorEastAsia"/>
                <w:sz w:val="18"/>
                <w:szCs w:val="18"/>
              </w:rPr>
            </w:pPr>
          </w:p>
        </w:tc>
        <w:tc>
          <w:tcPr>
            <w:tcW w:w="796" w:type="dxa"/>
            <w:shd w:val="clear" w:color="auto" w:fill="auto"/>
            <w:tcMar>
              <w:right w:w="113" w:type="dxa"/>
            </w:tcMar>
          </w:tcPr>
          <w:p w14:paraId="3DEECF47" w14:textId="77777777" w:rsidR="00DC1F96" w:rsidRPr="003C3479" w:rsidRDefault="00DC1F96" w:rsidP="003C3479">
            <w:pPr>
              <w:spacing w:before="40" w:after="120"/>
              <w:ind w:right="113"/>
              <w:rPr>
                <w:rFonts w:eastAsiaTheme="minorEastAsia"/>
                <w:sz w:val="18"/>
                <w:szCs w:val="18"/>
              </w:rPr>
            </w:pPr>
          </w:p>
        </w:tc>
      </w:tr>
      <w:tr w:rsidR="00395242" w:rsidRPr="003C3479" w14:paraId="03751E7F" w14:textId="77777777" w:rsidTr="00395242">
        <w:trPr>
          <w:cantSplit/>
        </w:trPr>
        <w:tc>
          <w:tcPr>
            <w:tcW w:w="1400" w:type="dxa"/>
            <w:shd w:val="clear" w:color="auto" w:fill="auto"/>
            <w:tcMar>
              <w:right w:w="113" w:type="dxa"/>
            </w:tcMar>
          </w:tcPr>
          <w:p w14:paraId="50B9FB13" w14:textId="0247A586" w:rsidR="00DC1F96" w:rsidRPr="003C3479" w:rsidRDefault="00DC1F96" w:rsidP="003C3479">
            <w:pPr>
              <w:spacing w:before="40" w:after="120"/>
              <w:ind w:right="113"/>
              <w:rPr>
                <w:rFonts w:eastAsiaTheme="minorEastAsia"/>
                <w:sz w:val="18"/>
                <w:szCs w:val="18"/>
              </w:rPr>
            </w:pPr>
            <w:r w:rsidRPr="003C3479">
              <w:rPr>
                <w:sz w:val="18"/>
                <w:szCs w:val="18"/>
                <w:lang w:val="fr-FR"/>
              </w:rPr>
              <w:t>République de</w:t>
            </w:r>
            <w:r w:rsidR="003C3479" w:rsidRPr="003C3479">
              <w:rPr>
                <w:sz w:val="18"/>
                <w:szCs w:val="18"/>
                <w:lang w:val="fr-FR"/>
              </w:rPr>
              <w:t xml:space="preserve"> </w:t>
            </w:r>
            <w:r w:rsidRPr="003C3479">
              <w:rPr>
                <w:sz w:val="18"/>
                <w:szCs w:val="18"/>
                <w:lang w:val="fr-FR"/>
              </w:rPr>
              <w:t>Moldova (1)</w:t>
            </w:r>
          </w:p>
        </w:tc>
        <w:tc>
          <w:tcPr>
            <w:tcW w:w="2296" w:type="dxa"/>
            <w:shd w:val="clear" w:color="auto" w:fill="auto"/>
            <w:tcMar>
              <w:right w:w="113" w:type="dxa"/>
            </w:tcMar>
          </w:tcPr>
          <w:p w14:paraId="09E1DAB4"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57/2015, Salifou Belemvire</w:t>
            </w:r>
          </w:p>
        </w:tc>
        <w:tc>
          <w:tcPr>
            <w:tcW w:w="1680" w:type="dxa"/>
            <w:shd w:val="clear" w:color="auto" w:fill="auto"/>
            <w:tcMar>
              <w:right w:w="113" w:type="dxa"/>
            </w:tcMar>
          </w:tcPr>
          <w:p w14:paraId="00BF2F56" w14:textId="773D9137" w:rsidR="00DC1F96" w:rsidRPr="00395242" w:rsidRDefault="00DC1F96" w:rsidP="003C3479">
            <w:pPr>
              <w:spacing w:before="40" w:after="120"/>
              <w:ind w:right="113"/>
              <w:rPr>
                <w:sz w:val="18"/>
                <w:szCs w:val="18"/>
                <w:lang w:val="fr-FR"/>
              </w:rPr>
            </w:pPr>
            <w:r w:rsidRPr="003C3479">
              <w:rPr>
                <w:sz w:val="18"/>
                <w:szCs w:val="18"/>
                <w:lang w:val="fr-FR"/>
              </w:rPr>
              <w:t>X (</w:t>
            </w:r>
            <w:hyperlink r:id="rId56" w:history="1">
              <w:r w:rsidRPr="00395242">
                <w:rPr>
                  <w:rStyle w:val="Lienhypertexte"/>
                  <w:sz w:val="18"/>
                  <w:szCs w:val="18"/>
                  <w:lang w:val="fr-FR"/>
                </w:rPr>
                <w:t>A/73/18</w:t>
              </w:r>
            </w:hyperlink>
            <w:r w:rsidRPr="003C3479">
              <w:rPr>
                <w:sz w:val="18"/>
                <w:szCs w:val="18"/>
                <w:lang w:val="fr-FR"/>
              </w:rPr>
              <w:t>)</w:t>
            </w:r>
            <w:r w:rsidR="00395242">
              <w:rPr>
                <w:sz w:val="18"/>
                <w:szCs w:val="18"/>
                <w:lang w:val="fr-FR"/>
              </w:rPr>
              <w:t xml:space="preserve"> </w:t>
            </w:r>
            <w:r w:rsidR="00395242">
              <w:rPr>
                <w:sz w:val="18"/>
                <w:szCs w:val="18"/>
                <w:lang w:val="fr-FR"/>
              </w:rPr>
              <w:br/>
            </w:r>
            <w:r w:rsidRPr="003C3479">
              <w:rPr>
                <w:sz w:val="18"/>
                <w:szCs w:val="18"/>
                <w:lang w:val="fr-FR"/>
              </w:rPr>
              <w:t>27</w:t>
            </w:r>
            <w:r w:rsidR="00395242">
              <w:rPr>
                <w:sz w:val="18"/>
                <w:szCs w:val="18"/>
                <w:lang w:val="fr-FR"/>
              </w:rPr>
              <w:t> </w:t>
            </w:r>
            <w:r w:rsidRPr="003C3479">
              <w:rPr>
                <w:sz w:val="18"/>
                <w:szCs w:val="18"/>
                <w:lang w:val="fr-FR"/>
              </w:rPr>
              <w:t>mars 2018</w:t>
            </w:r>
          </w:p>
        </w:tc>
        <w:tc>
          <w:tcPr>
            <w:tcW w:w="1217" w:type="dxa"/>
            <w:shd w:val="clear" w:color="auto" w:fill="auto"/>
            <w:tcMar>
              <w:right w:w="113" w:type="dxa"/>
            </w:tcMar>
          </w:tcPr>
          <w:p w14:paraId="4187A140" w14:textId="77777777" w:rsidR="00DC1F96" w:rsidRPr="003C3479" w:rsidRDefault="00DC1F96" w:rsidP="003C3479">
            <w:pPr>
              <w:spacing w:before="40" w:after="120"/>
              <w:ind w:right="113"/>
              <w:rPr>
                <w:rFonts w:eastAsiaTheme="minorEastAsia"/>
                <w:sz w:val="18"/>
                <w:szCs w:val="18"/>
              </w:rPr>
            </w:pPr>
          </w:p>
        </w:tc>
        <w:tc>
          <w:tcPr>
            <w:tcW w:w="1217" w:type="dxa"/>
            <w:shd w:val="clear" w:color="auto" w:fill="auto"/>
            <w:tcMar>
              <w:right w:w="113" w:type="dxa"/>
            </w:tcMar>
          </w:tcPr>
          <w:p w14:paraId="0B41F822"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 en partie satisfaisant</w:t>
            </w:r>
          </w:p>
        </w:tc>
        <w:tc>
          <w:tcPr>
            <w:tcW w:w="1030" w:type="dxa"/>
            <w:shd w:val="clear" w:color="auto" w:fill="auto"/>
            <w:tcMar>
              <w:right w:w="113" w:type="dxa"/>
            </w:tcMar>
          </w:tcPr>
          <w:p w14:paraId="7CD8F429" w14:textId="77777777" w:rsidR="00DC1F96" w:rsidRPr="003C3479" w:rsidRDefault="00DC1F96" w:rsidP="003C3479">
            <w:pPr>
              <w:spacing w:before="40" w:after="120"/>
              <w:ind w:right="113"/>
              <w:rPr>
                <w:rFonts w:eastAsiaTheme="minorEastAsia"/>
                <w:sz w:val="18"/>
                <w:szCs w:val="18"/>
              </w:rPr>
            </w:pPr>
          </w:p>
        </w:tc>
        <w:tc>
          <w:tcPr>
            <w:tcW w:w="796" w:type="dxa"/>
            <w:shd w:val="clear" w:color="auto" w:fill="auto"/>
            <w:tcMar>
              <w:right w:w="113" w:type="dxa"/>
            </w:tcMar>
          </w:tcPr>
          <w:p w14:paraId="2A1BB17F"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tc>
      </w:tr>
      <w:tr w:rsidR="00395242" w:rsidRPr="003C3479" w14:paraId="2574C421" w14:textId="77777777" w:rsidTr="00395242">
        <w:trPr>
          <w:cantSplit/>
        </w:trPr>
        <w:tc>
          <w:tcPr>
            <w:tcW w:w="1400" w:type="dxa"/>
            <w:shd w:val="clear" w:color="auto" w:fill="auto"/>
            <w:tcMar>
              <w:right w:w="113" w:type="dxa"/>
            </w:tcMar>
          </w:tcPr>
          <w:p w14:paraId="3F1F9AF2"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Serbie-et-Monténégro (1)</w:t>
            </w:r>
          </w:p>
        </w:tc>
        <w:tc>
          <w:tcPr>
            <w:tcW w:w="2296" w:type="dxa"/>
            <w:shd w:val="clear" w:color="auto" w:fill="auto"/>
            <w:tcMar>
              <w:right w:w="113" w:type="dxa"/>
            </w:tcMar>
          </w:tcPr>
          <w:p w14:paraId="3A880138"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29/2003, Dragan Durmic</w:t>
            </w:r>
          </w:p>
        </w:tc>
        <w:tc>
          <w:tcPr>
            <w:tcW w:w="1680" w:type="dxa"/>
            <w:shd w:val="clear" w:color="auto" w:fill="auto"/>
            <w:tcMar>
              <w:right w:w="113" w:type="dxa"/>
            </w:tcMar>
          </w:tcPr>
          <w:p w14:paraId="0EA389E1" w14:textId="676E7F7D" w:rsidR="00DC1F96" w:rsidRPr="003C3479" w:rsidRDefault="00DC1F96" w:rsidP="003C3479">
            <w:pPr>
              <w:spacing w:before="40" w:after="120"/>
              <w:ind w:right="113"/>
              <w:rPr>
                <w:rFonts w:eastAsiaTheme="minorEastAsia"/>
                <w:sz w:val="18"/>
                <w:szCs w:val="18"/>
              </w:rPr>
            </w:pPr>
            <w:r w:rsidRPr="003C3479">
              <w:rPr>
                <w:sz w:val="18"/>
                <w:szCs w:val="18"/>
                <w:lang w:val="fr-FR"/>
              </w:rPr>
              <w:t>X (</w:t>
            </w:r>
            <w:hyperlink r:id="rId57" w:history="1">
              <w:r w:rsidR="00395242" w:rsidRPr="003C3479">
                <w:rPr>
                  <w:rStyle w:val="Lienhypertexte"/>
                  <w:sz w:val="18"/>
                  <w:szCs w:val="18"/>
                  <w:lang w:val="fr-FR"/>
                </w:rPr>
                <w:t>A/62/18</w:t>
              </w:r>
            </w:hyperlink>
            <w:r w:rsidRPr="003C3479">
              <w:rPr>
                <w:sz w:val="18"/>
                <w:szCs w:val="18"/>
                <w:lang w:val="fr-FR"/>
              </w:rPr>
              <w:t>)</w:t>
            </w:r>
          </w:p>
        </w:tc>
        <w:tc>
          <w:tcPr>
            <w:tcW w:w="1217" w:type="dxa"/>
            <w:shd w:val="clear" w:color="auto" w:fill="auto"/>
            <w:tcMar>
              <w:right w:w="113" w:type="dxa"/>
            </w:tcMar>
          </w:tcPr>
          <w:p w14:paraId="32ED299F" w14:textId="77777777" w:rsidR="00DC1F96" w:rsidRPr="003C3479" w:rsidRDefault="00DC1F96" w:rsidP="003C3479">
            <w:pPr>
              <w:spacing w:before="40" w:after="120"/>
              <w:ind w:right="113"/>
              <w:rPr>
                <w:rFonts w:eastAsiaTheme="minorEastAsia"/>
                <w:sz w:val="18"/>
                <w:szCs w:val="18"/>
              </w:rPr>
            </w:pPr>
          </w:p>
        </w:tc>
        <w:tc>
          <w:tcPr>
            <w:tcW w:w="1217" w:type="dxa"/>
            <w:shd w:val="clear" w:color="auto" w:fill="auto"/>
            <w:tcMar>
              <w:right w:w="113" w:type="dxa"/>
            </w:tcMar>
          </w:tcPr>
          <w:p w14:paraId="4F628B08" w14:textId="77777777" w:rsidR="00DC1F96" w:rsidRPr="003C3479" w:rsidRDefault="00DC1F96" w:rsidP="003C3479">
            <w:pPr>
              <w:spacing w:before="40" w:after="120"/>
              <w:ind w:right="113"/>
              <w:rPr>
                <w:rFonts w:eastAsiaTheme="minorEastAsia"/>
                <w:sz w:val="18"/>
                <w:szCs w:val="18"/>
              </w:rPr>
            </w:pPr>
          </w:p>
        </w:tc>
        <w:tc>
          <w:tcPr>
            <w:tcW w:w="1030" w:type="dxa"/>
            <w:shd w:val="clear" w:color="auto" w:fill="auto"/>
            <w:tcMar>
              <w:right w:w="113" w:type="dxa"/>
            </w:tcMar>
          </w:tcPr>
          <w:p w14:paraId="127C9CAF" w14:textId="77777777" w:rsidR="00DC1F96" w:rsidRPr="003C3479" w:rsidRDefault="00DC1F96" w:rsidP="003C3479">
            <w:pPr>
              <w:spacing w:before="40" w:after="120"/>
              <w:ind w:right="113"/>
              <w:rPr>
                <w:rFonts w:eastAsiaTheme="minorEastAsia"/>
                <w:sz w:val="18"/>
                <w:szCs w:val="18"/>
              </w:rPr>
            </w:pPr>
          </w:p>
        </w:tc>
        <w:tc>
          <w:tcPr>
            <w:tcW w:w="796" w:type="dxa"/>
            <w:shd w:val="clear" w:color="auto" w:fill="auto"/>
            <w:tcMar>
              <w:right w:w="113" w:type="dxa"/>
            </w:tcMar>
          </w:tcPr>
          <w:p w14:paraId="519392D5"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tc>
      </w:tr>
      <w:tr w:rsidR="00395242" w:rsidRPr="003C3479" w14:paraId="481B7C90" w14:textId="77777777" w:rsidTr="00395242">
        <w:trPr>
          <w:cantSplit/>
        </w:trPr>
        <w:tc>
          <w:tcPr>
            <w:tcW w:w="1400" w:type="dxa"/>
            <w:shd w:val="clear" w:color="auto" w:fill="auto"/>
            <w:tcMar>
              <w:right w:w="113" w:type="dxa"/>
            </w:tcMar>
          </w:tcPr>
          <w:p w14:paraId="0B94FC29"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Slovaquie (3)</w:t>
            </w:r>
          </w:p>
        </w:tc>
        <w:tc>
          <w:tcPr>
            <w:tcW w:w="2296" w:type="dxa"/>
            <w:shd w:val="clear" w:color="auto" w:fill="auto"/>
            <w:tcMar>
              <w:right w:w="113" w:type="dxa"/>
            </w:tcMar>
          </w:tcPr>
          <w:p w14:paraId="6D9A6006"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13/1998, Anna Koptova</w:t>
            </w:r>
          </w:p>
        </w:tc>
        <w:tc>
          <w:tcPr>
            <w:tcW w:w="1680" w:type="dxa"/>
            <w:shd w:val="clear" w:color="auto" w:fill="auto"/>
            <w:tcMar>
              <w:right w:w="113" w:type="dxa"/>
            </w:tcMar>
          </w:tcPr>
          <w:p w14:paraId="5662A9AF" w14:textId="1624EC1E" w:rsidR="00DC1F96" w:rsidRPr="003C3479" w:rsidRDefault="00DC1F96" w:rsidP="003C3479">
            <w:pPr>
              <w:spacing w:before="40" w:after="120"/>
              <w:ind w:right="113"/>
              <w:rPr>
                <w:rFonts w:eastAsiaTheme="minorEastAsia"/>
                <w:sz w:val="18"/>
                <w:szCs w:val="18"/>
              </w:rPr>
            </w:pPr>
            <w:r w:rsidRPr="003C3479">
              <w:rPr>
                <w:sz w:val="18"/>
                <w:szCs w:val="18"/>
                <w:lang w:val="fr-FR"/>
              </w:rPr>
              <w:t>X (</w:t>
            </w:r>
            <w:hyperlink r:id="rId58" w:history="1">
              <w:r w:rsidR="00395242" w:rsidRPr="003C3479">
                <w:rPr>
                  <w:rStyle w:val="Lienhypertexte"/>
                  <w:sz w:val="18"/>
                  <w:szCs w:val="18"/>
                  <w:lang w:val="fr-FR"/>
                </w:rPr>
                <w:t>A/61/18</w:t>
              </w:r>
            </w:hyperlink>
            <w:r w:rsidRPr="003C3479">
              <w:rPr>
                <w:sz w:val="18"/>
                <w:szCs w:val="18"/>
                <w:lang w:val="fr-FR"/>
              </w:rPr>
              <w:t xml:space="preserve">, </w:t>
            </w:r>
            <w:hyperlink r:id="rId59" w:history="1">
              <w:r w:rsidR="00395242" w:rsidRPr="003C3479">
                <w:rPr>
                  <w:rStyle w:val="Lienhypertexte"/>
                  <w:sz w:val="18"/>
                  <w:szCs w:val="18"/>
                  <w:lang w:val="fr-FR"/>
                </w:rPr>
                <w:t>A/62/18</w:t>
              </w:r>
            </w:hyperlink>
            <w:r w:rsidRPr="003C3479">
              <w:rPr>
                <w:sz w:val="18"/>
                <w:szCs w:val="18"/>
                <w:lang w:val="fr-FR"/>
              </w:rPr>
              <w:t>)</w:t>
            </w:r>
          </w:p>
        </w:tc>
        <w:tc>
          <w:tcPr>
            <w:tcW w:w="1217" w:type="dxa"/>
            <w:shd w:val="clear" w:color="auto" w:fill="auto"/>
            <w:tcMar>
              <w:right w:w="113" w:type="dxa"/>
            </w:tcMar>
          </w:tcPr>
          <w:p w14:paraId="221480CF" w14:textId="77777777" w:rsidR="00DC1F96" w:rsidRPr="003C3479" w:rsidRDefault="00DC1F96" w:rsidP="003C3479">
            <w:pPr>
              <w:spacing w:before="40" w:after="120"/>
              <w:ind w:right="113"/>
              <w:rPr>
                <w:rFonts w:eastAsiaTheme="minorEastAsia"/>
                <w:sz w:val="18"/>
                <w:szCs w:val="18"/>
              </w:rPr>
            </w:pPr>
          </w:p>
        </w:tc>
        <w:tc>
          <w:tcPr>
            <w:tcW w:w="1217" w:type="dxa"/>
            <w:shd w:val="clear" w:color="auto" w:fill="auto"/>
            <w:tcMar>
              <w:right w:w="113" w:type="dxa"/>
            </w:tcMar>
          </w:tcPr>
          <w:p w14:paraId="079E3DB3" w14:textId="77777777" w:rsidR="00DC1F96" w:rsidRPr="003C3479" w:rsidRDefault="00DC1F96" w:rsidP="003C3479">
            <w:pPr>
              <w:spacing w:before="40" w:after="120"/>
              <w:ind w:right="113"/>
              <w:rPr>
                <w:rFonts w:eastAsiaTheme="minorEastAsia"/>
                <w:sz w:val="18"/>
                <w:szCs w:val="18"/>
              </w:rPr>
            </w:pPr>
          </w:p>
        </w:tc>
        <w:tc>
          <w:tcPr>
            <w:tcW w:w="1030" w:type="dxa"/>
            <w:shd w:val="clear" w:color="auto" w:fill="auto"/>
            <w:tcMar>
              <w:right w:w="113" w:type="dxa"/>
            </w:tcMar>
          </w:tcPr>
          <w:p w14:paraId="5CB1ADDA" w14:textId="77777777" w:rsidR="00DC1F96" w:rsidRPr="003C3479" w:rsidRDefault="00DC1F96" w:rsidP="003C3479">
            <w:pPr>
              <w:spacing w:before="40" w:after="120"/>
              <w:ind w:right="113"/>
              <w:rPr>
                <w:rFonts w:eastAsiaTheme="minorEastAsia"/>
                <w:sz w:val="18"/>
                <w:szCs w:val="18"/>
              </w:rPr>
            </w:pPr>
          </w:p>
        </w:tc>
        <w:tc>
          <w:tcPr>
            <w:tcW w:w="796" w:type="dxa"/>
            <w:shd w:val="clear" w:color="auto" w:fill="auto"/>
            <w:tcMar>
              <w:right w:w="113" w:type="dxa"/>
            </w:tcMar>
          </w:tcPr>
          <w:p w14:paraId="27677C62"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tc>
      </w:tr>
      <w:tr w:rsidR="00395242" w:rsidRPr="003C3479" w14:paraId="7D903AF9" w14:textId="77777777" w:rsidTr="00395242">
        <w:trPr>
          <w:cantSplit/>
        </w:trPr>
        <w:tc>
          <w:tcPr>
            <w:tcW w:w="1400" w:type="dxa"/>
            <w:tcBorders>
              <w:bottom w:val="single" w:sz="12" w:space="0" w:color="auto"/>
            </w:tcBorders>
            <w:shd w:val="clear" w:color="auto" w:fill="auto"/>
            <w:tcMar>
              <w:right w:w="113" w:type="dxa"/>
            </w:tcMar>
          </w:tcPr>
          <w:p w14:paraId="61868CA8" w14:textId="77777777" w:rsidR="00DC1F96" w:rsidRPr="003C3479" w:rsidRDefault="00DC1F96" w:rsidP="003C3479">
            <w:pPr>
              <w:spacing w:before="40" w:after="120"/>
              <w:ind w:right="113"/>
              <w:rPr>
                <w:sz w:val="18"/>
                <w:szCs w:val="18"/>
              </w:rPr>
            </w:pPr>
          </w:p>
        </w:tc>
        <w:tc>
          <w:tcPr>
            <w:tcW w:w="2296" w:type="dxa"/>
            <w:tcBorders>
              <w:bottom w:val="single" w:sz="12" w:space="0" w:color="auto"/>
            </w:tcBorders>
            <w:shd w:val="clear" w:color="auto" w:fill="auto"/>
            <w:tcMar>
              <w:right w:w="113" w:type="dxa"/>
            </w:tcMar>
          </w:tcPr>
          <w:p w14:paraId="7CA26B7C" w14:textId="6AED76E4" w:rsidR="00DC1F96" w:rsidRPr="003C3479" w:rsidRDefault="00DC1F96" w:rsidP="003C3479">
            <w:pPr>
              <w:spacing w:before="40" w:after="120"/>
              <w:ind w:right="113"/>
              <w:rPr>
                <w:rFonts w:eastAsiaTheme="minorEastAsia"/>
                <w:sz w:val="18"/>
                <w:szCs w:val="18"/>
                <w:lang w:val="fr-FR"/>
              </w:rPr>
            </w:pPr>
            <w:r w:rsidRPr="003C3479">
              <w:rPr>
                <w:sz w:val="18"/>
                <w:szCs w:val="18"/>
                <w:lang w:val="fr-FR"/>
              </w:rPr>
              <w:t>31/2003, L.</w:t>
            </w:r>
            <w:r w:rsidR="002F7FAD">
              <w:rPr>
                <w:sz w:val="18"/>
                <w:szCs w:val="18"/>
                <w:lang w:val="fr-FR"/>
              </w:rPr>
              <w:t> </w:t>
            </w:r>
            <w:r w:rsidRPr="003C3479">
              <w:rPr>
                <w:sz w:val="18"/>
                <w:szCs w:val="18"/>
                <w:lang w:val="fr-FR"/>
              </w:rPr>
              <w:t>R. et consorts</w:t>
            </w:r>
            <w:r w:rsidR="002F7FAD">
              <w:rPr>
                <w:rFonts w:eastAsiaTheme="minorEastAsia"/>
                <w:sz w:val="18"/>
                <w:szCs w:val="18"/>
                <w:lang w:val="fr-FR"/>
              </w:rPr>
              <w:t xml:space="preserve"> </w:t>
            </w:r>
            <w:r w:rsidR="002F7FAD">
              <w:rPr>
                <w:rFonts w:eastAsiaTheme="minorEastAsia"/>
                <w:sz w:val="18"/>
                <w:szCs w:val="18"/>
                <w:lang w:val="fr-FR"/>
              </w:rPr>
              <w:br/>
            </w:r>
            <w:r w:rsidRPr="003C3479">
              <w:rPr>
                <w:sz w:val="18"/>
                <w:szCs w:val="18"/>
                <w:lang w:val="fr-FR"/>
              </w:rPr>
              <w:t>56/2014, V.S.</w:t>
            </w:r>
          </w:p>
        </w:tc>
        <w:tc>
          <w:tcPr>
            <w:tcW w:w="1680" w:type="dxa"/>
            <w:tcBorders>
              <w:bottom w:val="single" w:sz="12" w:space="0" w:color="auto"/>
            </w:tcBorders>
            <w:shd w:val="clear" w:color="auto" w:fill="auto"/>
            <w:tcMar>
              <w:right w:w="113" w:type="dxa"/>
            </w:tcMar>
          </w:tcPr>
          <w:p w14:paraId="342EB560" w14:textId="4C626484" w:rsidR="00DC1F96" w:rsidRPr="003C3479" w:rsidRDefault="00DC1F96" w:rsidP="002F7FAD">
            <w:pPr>
              <w:spacing w:before="40" w:after="120"/>
              <w:ind w:right="57"/>
              <w:rPr>
                <w:rFonts w:eastAsiaTheme="minorEastAsia"/>
                <w:sz w:val="18"/>
                <w:szCs w:val="18"/>
              </w:rPr>
            </w:pPr>
            <w:r w:rsidRPr="002F7FAD">
              <w:rPr>
                <w:spacing w:val="-3"/>
                <w:sz w:val="18"/>
                <w:szCs w:val="18"/>
                <w:lang w:val="fr-FR"/>
              </w:rPr>
              <w:t>X (</w:t>
            </w:r>
            <w:hyperlink r:id="rId60" w:history="1">
              <w:r w:rsidR="00395242" w:rsidRPr="002F7FAD">
                <w:rPr>
                  <w:rStyle w:val="Lienhypertexte"/>
                  <w:spacing w:val="-3"/>
                  <w:sz w:val="18"/>
                  <w:szCs w:val="18"/>
                  <w:lang w:val="fr-FR"/>
                </w:rPr>
                <w:t>A/61/18</w:t>
              </w:r>
            </w:hyperlink>
            <w:r w:rsidRPr="002F7FAD">
              <w:rPr>
                <w:spacing w:val="-3"/>
                <w:sz w:val="18"/>
                <w:szCs w:val="18"/>
                <w:lang w:val="fr-FR"/>
              </w:rPr>
              <w:t xml:space="preserve">, </w:t>
            </w:r>
            <w:hyperlink r:id="rId61" w:history="1">
              <w:r w:rsidR="00395242" w:rsidRPr="002F7FAD">
                <w:rPr>
                  <w:rStyle w:val="Lienhypertexte"/>
                  <w:spacing w:val="-3"/>
                  <w:sz w:val="18"/>
                  <w:szCs w:val="18"/>
                  <w:lang w:val="fr-FR"/>
                </w:rPr>
                <w:t>A/62/18</w:t>
              </w:r>
            </w:hyperlink>
            <w:r w:rsidRPr="002F7FAD">
              <w:rPr>
                <w:spacing w:val="-3"/>
                <w:sz w:val="18"/>
                <w:szCs w:val="18"/>
                <w:lang w:val="fr-FR"/>
              </w:rPr>
              <w:t>)</w:t>
            </w:r>
            <w:r w:rsidR="00395242">
              <w:rPr>
                <w:rFonts w:eastAsiaTheme="minorEastAsia"/>
                <w:sz w:val="18"/>
                <w:szCs w:val="18"/>
              </w:rPr>
              <w:t xml:space="preserve"> </w:t>
            </w:r>
            <w:r w:rsidR="00395242">
              <w:rPr>
                <w:rFonts w:eastAsiaTheme="minorEastAsia"/>
                <w:sz w:val="18"/>
                <w:szCs w:val="18"/>
              </w:rPr>
              <w:br/>
            </w:r>
            <w:r w:rsidRPr="003C3479">
              <w:rPr>
                <w:sz w:val="18"/>
                <w:szCs w:val="18"/>
                <w:lang w:val="fr-FR"/>
              </w:rPr>
              <w:t>X (</w:t>
            </w:r>
            <w:hyperlink r:id="rId62" w:history="1">
              <w:r w:rsidR="00395242" w:rsidRPr="00395242">
                <w:rPr>
                  <w:rStyle w:val="Lienhypertexte"/>
                  <w:sz w:val="18"/>
                  <w:szCs w:val="18"/>
                  <w:lang w:val="fr-FR"/>
                </w:rPr>
                <w:t>A/71/18</w:t>
              </w:r>
            </w:hyperlink>
            <w:r w:rsidRPr="003C3479">
              <w:rPr>
                <w:sz w:val="18"/>
                <w:szCs w:val="18"/>
                <w:lang w:val="fr-FR"/>
              </w:rPr>
              <w:t>)</w:t>
            </w:r>
            <w:r w:rsidR="00395242">
              <w:rPr>
                <w:rFonts w:eastAsiaTheme="minorEastAsia"/>
                <w:sz w:val="18"/>
                <w:szCs w:val="18"/>
              </w:rPr>
              <w:t xml:space="preserve"> </w:t>
            </w:r>
            <w:r w:rsidR="00395242">
              <w:rPr>
                <w:rFonts w:eastAsiaTheme="minorEastAsia"/>
                <w:sz w:val="18"/>
                <w:szCs w:val="18"/>
              </w:rPr>
              <w:br/>
            </w:r>
            <w:r w:rsidRPr="003C3479">
              <w:rPr>
                <w:sz w:val="18"/>
                <w:szCs w:val="18"/>
                <w:lang w:val="fr-FR"/>
              </w:rPr>
              <w:t>9</w:t>
            </w:r>
            <w:r w:rsidR="00395242">
              <w:rPr>
                <w:sz w:val="18"/>
                <w:szCs w:val="18"/>
                <w:lang w:val="fr-FR"/>
              </w:rPr>
              <w:t> </w:t>
            </w:r>
            <w:r w:rsidRPr="003C3479">
              <w:rPr>
                <w:sz w:val="18"/>
                <w:szCs w:val="18"/>
                <w:lang w:val="fr-FR"/>
              </w:rPr>
              <w:t>mars 2016</w:t>
            </w:r>
          </w:p>
        </w:tc>
        <w:tc>
          <w:tcPr>
            <w:tcW w:w="1217" w:type="dxa"/>
            <w:tcBorders>
              <w:bottom w:val="single" w:sz="12" w:space="0" w:color="auto"/>
            </w:tcBorders>
            <w:shd w:val="clear" w:color="auto" w:fill="auto"/>
            <w:tcMar>
              <w:right w:w="113" w:type="dxa"/>
            </w:tcMar>
          </w:tcPr>
          <w:p w14:paraId="7EF0E881" w14:textId="77777777" w:rsidR="00DC1F96" w:rsidRPr="003C3479" w:rsidRDefault="00DC1F96" w:rsidP="003C3479">
            <w:pPr>
              <w:spacing w:before="40" w:after="120"/>
              <w:ind w:right="113"/>
              <w:rPr>
                <w:rFonts w:eastAsiaTheme="minorEastAsia"/>
                <w:sz w:val="18"/>
                <w:szCs w:val="18"/>
              </w:rPr>
            </w:pPr>
          </w:p>
        </w:tc>
        <w:tc>
          <w:tcPr>
            <w:tcW w:w="1217" w:type="dxa"/>
            <w:tcBorders>
              <w:bottom w:val="single" w:sz="12" w:space="0" w:color="auto"/>
            </w:tcBorders>
            <w:shd w:val="clear" w:color="auto" w:fill="auto"/>
            <w:tcMar>
              <w:right w:w="113" w:type="dxa"/>
            </w:tcMar>
          </w:tcPr>
          <w:p w14:paraId="7B14ABC0" w14:textId="77777777" w:rsidR="00DC1F96" w:rsidRPr="003C3479" w:rsidRDefault="00DC1F96" w:rsidP="003C3479">
            <w:pPr>
              <w:spacing w:before="40" w:after="120"/>
              <w:ind w:right="113"/>
              <w:rPr>
                <w:rFonts w:eastAsiaTheme="minorEastAsia"/>
                <w:sz w:val="18"/>
                <w:szCs w:val="18"/>
              </w:rPr>
            </w:pPr>
          </w:p>
          <w:p w14:paraId="630DCD93"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 en partie insatisfaisant</w:t>
            </w:r>
          </w:p>
        </w:tc>
        <w:tc>
          <w:tcPr>
            <w:tcW w:w="1030" w:type="dxa"/>
            <w:tcBorders>
              <w:bottom w:val="single" w:sz="12" w:space="0" w:color="auto"/>
            </w:tcBorders>
            <w:shd w:val="clear" w:color="auto" w:fill="auto"/>
            <w:tcMar>
              <w:right w:w="113" w:type="dxa"/>
            </w:tcMar>
          </w:tcPr>
          <w:p w14:paraId="23945EBD" w14:textId="77777777" w:rsidR="00DC1F96" w:rsidRPr="003C3479" w:rsidRDefault="00DC1F96" w:rsidP="003C3479">
            <w:pPr>
              <w:spacing w:before="40" w:after="120"/>
              <w:ind w:right="113"/>
              <w:rPr>
                <w:rFonts w:eastAsiaTheme="minorEastAsia"/>
                <w:sz w:val="18"/>
                <w:szCs w:val="18"/>
              </w:rPr>
            </w:pPr>
          </w:p>
        </w:tc>
        <w:tc>
          <w:tcPr>
            <w:tcW w:w="796" w:type="dxa"/>
            <w:tcBorders>
              <w:bottom w:val="single" w:sz="12" w:space="0" w:color="auto"/>
            </w:tcBorders>
            <w:shd w:val="clear" w:color="auto" w:fill="auto"/>
            <w:tcMar>
              <w:right w:w="113" w:type="dxa"/>
            </w:tcMar>
          </w:tcPr>
          <w:p w14:paraId="0E034670"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p w14:paraId="2EB1FEFF" w14:textId="77777777" w:rsidR="00DC1F96" w:rsidRPr="003C3479" w:rsidRDefault="00DC1F96" w:rsidP="003C3479">
            <w:pPr>
              <w:spacing w:before="40" w:after="120"/>
              <w:ind w:right="113"/>
              <w:rPr>
                <w:rFonts w:eastAsiaTheme="minorEastAsia"/>
                <w:sz w:val="18"/>
                <w:szCs w:val="18"/>
              </w:rPr>
            </w:pPr>
            <w:r w:rsidRPr="003C3479">
              <w:rPr>
                <w:sz w:val="18"/>
                <w:szCs w:val="18"/>
                <w:lang w:val="fr-FR"/>
              </w:rPr>
              <w:t>X</w:t>
            </w:r>
          </w:p>
        </w:tc>
      </w:tr>
    </w:tbl>
    <w:p w14:paraId="56729D31" w14:textId="12B2CB3A" w:rsidR="00DC1F96" w:rsidRDefault="00DC1F96" w:rsidP="00DC1F96">
      <w:pPr>
        <w:pStyle w:val="SingleTxtG"/>
        <w:rPr>
          <w:lang w:val="fr-FR"/>
        </w:rPr>
      </w:pPr>
      <w:r>
        <w:rPr>
          <w:lang w:val="fr-FR"/>
        </w:rPr>
        <w:br w:type="page"/>
      </w:r>
    </w:p>
    <w:p w14:paraId="51DB3AFC" w14:textId="2CF05090" w:rsidR="00DC1F96" w:rsidRPr="002543F5" w:rsidRDefault="00DC1F96" w:rsidP="00395242">
      <w:pPr>
        <w:pStyle w:val="HChG"/>
        <w:rPr>
          <w:lang w:val="fr-FR"/>
        </w:rPr>
      </w:pPr>
      <w:r w:rsidRPr="00395242">
        <w:rPr>
          <w:spacing w:val="4"/>
          <w:lang w:val="fr-FR"/>
        </w:rPr>
        <w:lastRenderedPageBreak/>
        <w:tab/>
        <w:t>X.</w:t>
      </w:r>
      <w:r w:rsidRPr="00395242">
        <w:rPr>
          <w:spacing w:val="4"/>
          <w:lang w:val="fr-FR"/>
        </w:rPr>
        <w:tab/>
        <w:t>Suite donnée à la Conférence mondiale contre le racisme,</w:t>
      </w:r>
      <w:r>
        <w:rPr>
          <w:lang w:val="fr-FR"/>
        </w:rPr>
        <w:t xml:space="preserve"> </w:t>
      </w:r>
      <w:r w:rsidRPr="00395242">
        <w:rPr>
          <w:spacing w:val="-2"/>
          <w:lang w:val="fr-FR"/>
        </w:rPr>
        <w:t>la</w:t>
      </w:r>
      <w:r w:rsidR="00395242" w:rsidRPr="00395242">
        <w:rPr>
          <w:spacing w:val="-2"/>
          <w:lang w:val="fr-FR"/>
        </w:rPr>
        <w:t> </w:t>
      </w:r>
      <w:r w:rsidRPr="00395242">
        <w:rPr>
          <w:spacing w:val="-2"/>
          <w:lang w:val="fr-FR"/>
        </w:rPr>
        <w:t>discrimination raciale, la xénophobie et l’intolérance qui</w:t>
      </w:r>
      <w:r>
        <w:rPr>
          <w:lang w:val="fr-FR"/>
        </w:rPr>
        <w:t xml:space="preserve"> y</w:t>
      </w:r>
      <w:r w:rsidR="00395242">
        <w:rPr>
          <w:lang w:val="fr-FR"/>
        </w:rPr>
        <w:t> </w:t>
      </w:r>
      <w:r>
        <w:rPr>
          <w:lang w:val="fr-FR"/>
        </w:rPr>
        <w:t>est associée, et à la Conférence d’examen de Durban</w:t>
      </w:r>
      <w:bookmarkStart w:id="95" w:name="_Toc428794297"/>
      <w:bookmarkStart w:id="96" w:name="_Toc17361309"/>
      <w:bookmarkStart w:id="97" w:name="_Toc48752335"/>
      <w:bookmarkStart w:id="98" w:name="_Toc48816887"/>
      <w:bookmarkStart w:id="99" w:name="_Toc81563239"/>
      <w:bookmarkEnd w:id="95"/>
      <w:bookmarkEnd w:id="96"/>
      <w:bookmarkEnd w:id="97"/>
      <w:bookmarkEnd w:id="98"/>
      <w:bookmarkEnd w:id="99"/>
    </w:p>
    <w:p w14:paraId="6272A8CA" w14:textId="1BF3CF75" w:rsidR="00DC1F96" w:rsidRPr="002543F5" w:rsidRDefault="00395242" w:rsidP="00DC1F96">
      <w:pPr>
        <w:pStyle w:val="SingleTxtG"/>
        <w:rPr>
          <w:lang w:val="fr-FR"/>
        </w:rPr>
      </w:pPr>
      <w:r>
        <w:rPr>
          <w:lang w:val="fr-FR"/>
        </w:rPr>
        <w:t>6</w:t>
      </w:r>
      <w:r w:rsidR="002F7FAD">
        <w:rPr>
          <w:lang w:val="fr-FR"/>
        </w:rPr>
        <w:t>8</w:t>
      </w:r>
      <w:r>
        <w:rPr>
          <w:lang w:val="fr-FR"/>
        </w:rPr>
        <w:t>.</w:t>
      </w:r>
      <w:r>
        <w:rPr>
          <w:lang w:val="fr-FR"/>
        </w:rPr>
        <w:tab/>
      </w:r>
      <w:r w:rsidR="00DC1F96">
        <w:rPr>
          <w:lang w:val="fr-FR"/>
        </w:rPr>
        <w:t>Le Comité a examiné la question de la suite donnée à la Conférence mondiale contre le racisme, la discrimination raciale, la xénophobie et l’intolérance qui y est associée et à la</w:t>
      </w:r>
      <w:r>
        <w:rPr>
          <w:lang w:val="fr-FR"/>
        </w:rPr>
        <w:t> </w:t>
      </w:r>
      <w:r w:rsidR="00DC1F96">
        <w:rPr>
          <w:lang w:val="fr-FR"/>
        </w:rPr>
        <w:t>Conférence d’examen de Durban à ses 101</w:t>
      </w:r>
      <w:r w:rsidR="00DC1F96">
        <w:rPr>
          <w:vertAlign w:val="superscript"/>
          <w:lang w:val="fr-FR"/>
        </w:rPr>
        <w:t>e</w:t>
      </w:r>
      <w:r w:rsidR="00DC1F96">
        <w:rPr>
          <w:lang w:val="fr-FR"/>
        </w:rPr>
        <w:t>, 102</w:t>
      </w:r>
      <w:r w:rsidR="00DC1F96">
        <w:rPr>
          <w:vertAlign w:val="superscript"/>
          <w:lang w:val="fr-FR"/>
        </w:rPr>
        <w:t>e</w:t>
      </w:r>
      <w:r w:rsidR="00DC1F96">
        <w:rPr>
          <w:lang w:val="fr-FR"/>
        </w:rPr>
        <w:t xml:space="preserve"> et 103</w:t>
      </w:r>
      <w:r w:rsidR="00DC1F96">
        <w:rPr>
          <w:vertAlign w:val="superscript"/>
          <w:lang w:val="fr-FR"/>
        </w:rPr>
        <w:t>e</w:t>
      </w:r>
      <w:r>
        <w:rPr>
          <w:lang w:val="fr-FR"/>
        </w:rPr>
        <w:t> </w:t>
      </w:r>
      <w:r w:rsidR="00DC1F96">
        <w:rPr>
          <w:lang w:val="fr-FR"/>
        </w:rPr>
        <w:t>sessions.</w:t>
      </w:r>
    </w:p>
    <w:p w14:paraId="63C24604" w14:textId="5FCEF11A" w:rsidR="00DC1F96" w:rsidRPr="002543F5" w:rsidRDefault="002F7FAD" w:rsidP="00DC1F96">
      <w:pPr>
        <w:pStyle w:val="SingleTxtG"/>
        <w:rPr>
          <w:lang w:val="fr-FR"/>
        </w:rPr>
      </w:pPr>
      <w:r>
        <w:rPr>
          <w:lang w:val="fr-FR"/>
        </w:rPr>
        <w:t>69</w:t>
      </w:r>
      <w:r w:rsidR="00395242">
        <w:rPr>
          <w:lang w:val="fr-FR"/>
        </w:rPr>
        <w:t>.</w:t>
      </w:r>
      <w:r w:rsidR="00395242">
        <w:rPr>
          <w:lang w:val="fr-FR"/>
        </w:rPr>
        <w:tab/>
      </w:r>
      <w:r w:rsidR="00DC1F96">
        <w:rPr>
          <w:lang w:val="fr-FR"/>
        </w:rPr>
        <w:t>M</w:t>
      </w:r>
      <w:r w:rsidR="00DC1F96">
        <w:rPr>
          <w:vertAlign w:val="superscript"/>
          <w:lang w:val="fr-FR"/>
        </w:rPr>
        <w:t>me</w:t>
      </w:r>
      <w:r w:rsidR="00395242">
        <w:rPr>
          <w:lang w:val="fr-FR"/>
        </w:rPr>
        <w:t> </w:t>
      </w:r>
      <w:r w:rsidR="00DC1F96">
        <w:rPr>
          <w:lang w:val="fr-FR"/>
        </w:rPr>
        <w:t>Shepherd, en sa qualité de membre du Comité, a participé aux vingt-septième et vingt-huitième sessions du Groupe de travail d’experts sur les personnes d’ascendance africaine et a présenté des exposés. M</w:t>
      </w:r>
      <w:r w:rsidR="00DC1F96">
        <w:rPr>
          <w:vertAlign w:val="superscript"/>
          <w:lang w:val="fr-FR"/>
        </w:rPr>
        <w:t>me</w:t>
      </w:r>
      <w:r w:rsidR="00395242">
        <w:rPr>
          <w:lang w:val="fr-FR"/>
        </w:rPr>
        <w:t> </w:t>
      </w:r>
      <w:r w:rsidR="00DC1F96">
        <w:rPr>
          <w:lang w:val="fr-FR"/>
        </w:rPr>
        <w:t>Stavrinaki a participé à la consultation organisée par le HCDH en vue de l’application de la résolution</w:t>
      </w:r>
      <w:r w:rsidR="00395242">
        <w:rPr>
          <w:lang w:val="fr-FR"/>
        </w:rPr>
        <w:t> </w:t>
      </w:r>
      <w:r w:rsidR="00DC1F96">
        <w:rPr>
          <w:lang w:val="fr-FR"/>
        </w:rPr>
        <w:t>43/1 du Conseil des droits de l’homme, à</w:t>
      </w:r>
      <w:r w:rsidR="00395242">
        <w:rPr>
          <w:lang w:val="fr-FR"/>
        </w:rPr>
        <w:t> </w:t>
      </w:r>
      <w:r w:rsidR="00DC1F96">
        <w:rPr>
          <w:lang w:val="fr-FR"/>
        </w:rPr>
        <w:t>une réunion du HCDH sur les formes contemporaines d’esclavage et la discrimination raciale ainsi qu’à une rencontre organisée par le grand groupe des femmes sur le thème des objectifs de développement durable et de la Convention internationale sur l’élimination de toutes les formes de discrimination raciale.</w:t>
      </w:r>
    </w:p>
    <w:p w14:paraId="2F04F23A" w14:textId="77777777" w:rsidR="00DC1F96" w:rsidRPr="002543F5" w:rsidRDefault="00DC1F96" w:rsidP="00DC1F96">
      <w:pPr>
        <w:pStyle w:val="SingleTxtG"/>
        <w:rPr>
          <w:lang w:val="fr-FR"/>
        </w:rPr>
      </w:pPr>
      <w:r w:rsidRPr="002543F5">
        <w:rPr>
          <w:lang w:val="fr-FR"/>
        </w:rPr>
        <w:br w:type="page"/>
      </w:r>
    </w:p>
    <w:p w14:paraId="6BCD6EB0" w14:textId="740B2198" w:rsidR="00DC1F96" w:rsidRPr="002543F5" w:rsidRDefault="00DC1F96" w:rsidP="00395242">
      <w:pPr>
        <w:pStyle w:val="HChG"/>
        <w:rPr>
          <w:lang w:val="fr-FR"/>
        </w:rPr>
      </w:pPr>
      <w:r>
        <w:rPr>
          <w:lang w:val="fr-FR"/>
        </w:rPr>
        <w:lastRenderedPageBreak/>
        <w:tab/>
        <w:t>XI.</w:t>
      </w:r>
      <w:r>
        <w:rPr>
          <w:lang w:val="fr-FR"/>
        </w:rPr>
        <w:tab/>
        <w:t>Recommandation générale sur la prévention et l’élimination du recours au profilage racial par les représentants de la loi</w:t>
      </w:r>
      <w:bookmarkStart w:id="100" w:name="_Toc17361310"/>
      <w:bookmarkStart w:id="101" w:name="_Toc48752336"/>
      <w:bookmarkStart w:id="102" w:name="_Toc48816888"/>
      <w:bookmarkStart w:id="103" w:name="_Toc81563240"/>
      <w:bookmarkEnd w:id="100"/>
      <w:bookmarkEnd w:id="101"/>
      <w:bookmarkEnd w:id="102"/>
      <w:bookmarkEnd w:id="103"/>
    </w:p>
    <w:p w14:paraId="431C4B0D" w14:textId="3EB869A1" w:rsidR="00DC1F96" w:rsidRPr="002543F5" w:rsidRDefault="00395242" w:rsidP="00DC1F96">
      <w:pPr>
        <w:pStyle w:val="SingleTxtG"/>
        <w:rPr>
          <w:lang w:val="fr-FR"/>
        </w:rPr>
      </w:pPr>
      <w:r>
        <w:rPr>
          <w:lang w:val="fr-FR"/>
        </w:rPr>
        <w:t>7</w:t>
      </w:r>
      <w:r w:rsidR="002F7FAD">
        <w:rPr>
          <w:lang w:val="fr-FR"/>
        </w:rPr>
        <w:t>0</w:t>
      </w:r>
      <w:r>
        <w:rPr>
          <w:lang w:val="fr-FR"/>
        </w:rPr>
        <w:t>.</w:t>
      </w:r>
      <w:r>
        <w:rPr>
          <w:lang w:val="fr-FR"/>
        </w:rPr>
        <w:tab/>
      </w:r>
      <w:r w:rsidR="00DC1F96">
        <w:rPr>
          <w:lang w:val="fr-FR"/>
        </w:rPr>
        <w:t>À sa 102</w:t>
      </w:r>
      <w:r w:rsidR="00DC1F96">
        <w:rPr>
          <w:vertAlign w:val="superscript"/>
          <w:lang w:val="fr-FR"/>
        </w:rPr>
        <w:t>e</w:t>
      </w:r>
      <w:r>
        <w:rPr>
          <w:lang w:val="fr-FR"/>
        </w:rPr>
        <w:t> </w:t>
      </w:r>
      <w:r w:rsidR="00DC1F96">
        <w:rPr>
          <w:lang w:val="fr-FR"/>
        </w:rPr>
        <w:t>session, le Comité a achevé l’élaboration d’une recommandation générale sur la prévention et l’élimination du recours au profilage racial par les représentants de la loi</w:t>
      </w:r>
      <w:r w:rsidR="00DC1F96" w:rsidRPr="002B45EB">
        <w:rPr>
          <w:rStyle w:val="Appelnotedebasdep"/>
        </w:rPr>
        <w:footnoteReference w:id="14"/>
      </w:r>
      <w:r w:rsidR="00DC1F96">
        <w:rPr>
          <w:lang w:val="fr-FR"/>
        </w:rPr>
        <w:t>, sous la direction de la rapporteuse, M</w:t>
      </w:r>
      <w:r w:rsidR="00DC1F96">
        <w:rPr>
          <w:vertAlign w:val="superscript"/>
          <w:lang w:val="fr-FR"/>
        </w:rPr>
        <w:t>me</w:t>
      </w:r>
      <w:r>
        <w:rPr>
          <w:lang w:val="fr-FR"/>
        </w:rPr>
        <w:t> </w:t>
      </w:r>
      <w:r w:rsidR="00DC1F96">
        <w:rPr>
          <w:lang w:val="fr-FR"/>
        </w:rPr>
        <w:t>Shepherd, qui a poursuivi le travail entamé par son prédécesseur, Pastor Elias Murillo Martínez.</w:t>
      </w:r>
    </w:p>
    <w:p w14:paraId="2F7807F7" w14:textId="77777777" w:rsidR="00DC1F96" w:rsidRPr="002543F5" w:rsidRDefault="00DC1F96" w:rsidP="00DC1F96">
      <w:pPr>
        <w:pStyle w:val="SingleTxtG"/>
        <w:rPr>
          <w:lang w:val="fr-FR"/>
        </w:rPr>
      </w:pPr>
      <w:r w:rsidRPr="002543F5">
        <w:rPr>
          <w:lang w:val="fr-FR"/>
        </w:rPr>
        <w:br w:type="page"/>
      </w:r>
    </w:p>
    <w:p w14:paraId="2AD66B32" w14:textId="521BEBF4" w:rsidR="00DC1F96" w:rsidRPr="002543F5" w:rsidRDefault="00DC1F96" w:rsidP="00395242">
      <w:pPr>
        <w:pStyle w:val="HChG"/>
        <w:rPr>
          <w:lang w:val="fr-FR"/>
        </w:rPr>
      </w:pPr>
      <w:r w:rsidRPr="00395242">
        <w:rPr>
          <w:spacing w:val="4"/>
          <w:lang w:val="fr-FR"/>
        </w:rPr>
        <w:lastRenderedPageBreak/>
        <w:tab/>
        <w:t>XII.</w:t>
      </w:r>
      <w:r w:rsidRPr="00395242">
        <w:rPr>
          <w:spacing w:val="4"/>
          <w:lang w:val="fr-FR"/>
        </w:rPr>
        <w:tab/>
        <w:t>Examen des copies de pétitions, des copies de rapports et autres renseignements relatifs aux territoires sous tutelle,</w:t>
      </w:r>
      <w:r>
        <w:rPr>
          <w:lang w:val="fr-FR"/>
        </w:rPr>
        <w:t xml:space="preserve"> aux</w:t>
      </w:r>
      <w:r w:rsidR="00395242">
        <w:rPr>
          <w:lang w:val="fr-FR"/>
        </w:rPr>
        <w:t> </w:t>
      </w:r>
      <w:r>
        <w:rPr>
          <w:lang w:val="fr-FR"/>
        </w:rPr>
        <w:t>territoires non autonomes et à tous les autres territoires auxquels s’applique la résolution 1514 (XV) de l’Assemblée générale, conformément à l’article</w:t>
      </w:r>
      <w:r w:rsidR="00395242">
        <w:rPr>
          <w:lang w:val="fr-FR"/>
        </w:rPr>
        <w:t> </w:t>
      </w:r>
      <w:r>
        <w:rPr>
          <w:lang w:val="fr-FR"/>
        </w:rPr>
        <w:t>15 de la Convention</w:t>
      </w:r>
      <w:bookmarkStart w:id="104" w:name="_Toc48752337"/>
      <w:bookmarkStart w:id="105" w:name="_Toc48816889"/>
      <w:bookmarkStart w:id="106" w:name="_Toc81563241"/>
      <w:bookmarkStart w:id="107" w:name="_Toc17361311"/>
      <w:bookmarkEnd w:id="104"/>
      <w:bookmarkEnd w:id="105"/>
      <w:bookmarkEnd w:id="106"/>
      <w:bookmarkEnd w:id="107"/>
    </w:p>
    <w:p w14:paraId="7EDB162E" w14:textId="2F6C9144" w:rsidR="00DC1F96" w:rsidRPr="002543F5" w:rsidRDefault="00395242" w:rsidP="00DC1F96">
      <w:pPr>
        <w:pStyle w:val="SingleTxtG"/>
        <w:rPr>
          <w:lang w:val="fr-FR"/>
        </w:rPr>
      </w:pPr>
      <w:r>
        <w:rPr>
          <w:lang w:val="fr-FR"/>
        </w:rPr>
        <w:t>7</w:t>
      </w:r>
      <w:r w:rsidR="002F7FAD">
        <w:rPr>
          <w:lang w:val="fr-FR"/>
        </w:rPr>
        <w:t>1</w:t>
      </w:r>
      <w:r>
        <w:rPr>
          <w:lang w:val="fr-FR"/>
        </w:rPr>
        <w:t>.</w:t>
      </w:r>
      <w:r>
        <w:rPr>
          <w:lang w:val="fr-FR"/>
        </w:rPr>
        <w:tab/>
      </w:r>
      <w:r w:rsidR="00DC1F96">
        <w:rPr>
          <w:lang w:val="fr-FR"/>
        </w:rPr>
        <w:t>En vertu de l’article</w:t>
      </w:r>
      <w:r>
        <w:rPr>
          <w:lang w:val="fr-FR"/>
        </w:rPr>
        <w:t> </w:t>
      </w:r>
      <w:r w:rsidR="00DC1F96">
        <w:rPr>
          <w:lang w:val="fr-FR"/>
        </w:rPr>
        <w:t>15 de la Convention, le Comité est habilité à examiner des copies de pétitions, des copies de rapports et d’autres renseignements relatifs aux territoires sous tutelle, aux territoires non autonomes et à tous autres territoires auxquels s’applique la résolution</w:t>
      </w:r>
      <w:r>
        <w:rPr>
          <w:lang w:val="fr-FR"/>
        </w:rPr>
        <w:t> </w:t>
      </w:r>
      <w:r w:rsidR="00DC1F96">
        <w:rPr>
          <w:lang w:val="fr-FR"/>
        </w:rPr>
        <w:t>1514 (XV) de l’Assemblée générale, qui lui sont transmis par les organes compétents de l’ONU, et à soumettre à l’Assemblée générale son opinion et ses recommandations à cet égard.</w:t>
      </w:r>
    </w:p>
    <w:p w14:paraId="35EEEBAE" w14:textId="707DBEB5" w:rsidR="00DC1F96" w:rsidRPr="002543F5" w:rsidRDefault="00395242" w:rsidP="00DC1F96">
      <w:pPr>
        <w:pStyle w:val="SingleTxtG"/>
        <w:rPr>
          <w:lang w:val="fr-FR"/>
        </w:rPr>
      </w:pPr>
      <w:r>
        <w:rPr>
          <w:lang w:val="fr-FR"/>
        </w:rPr>
        <w:t>7</w:t>
      </w:r>
      <w:r w:rsidR="002F7FAD">
        <w:rPr>
          <w:lang w:val="fr-FR"/>
        </w:rPr>
        <w:t>2</w:t>
      </w:r>
      <w:r>
        <w:rPr>
          <w:lang w:val="fr-FR"/>
        </w:rPr>
        <w:t>.</w:t>
      </w:r>
      <w:r>
        <w:rPr>
          <w:lang w:val="fr-FR"/>
        </w:rPr>
        <w:tab/>
      </w:r>
      <w:r w:rsidR="00DC1F96">
        <w:rPr>
          <w:lang w:val="fr-FR"/>
        </w:rPr>
        <w:t>En conséquence, à la demande du Comité, M</w:t>
      </w:r>
      <w:r w:rsidR="00DC1F96">
        <w:rPr>
          <w:vertAlign w:val="superscript"/>
          <w:lang w:val="fr-FR"/>
        </w:rPr>
        <w:t>me</w:t>
      </w:r>
      <w:r>
        <w:rPr>
          <w:lang w:val="fr-FR"/>
        </w:rPr>
        <w:t> </w:t>
      </w:r>
      <w:r w:rsidR="00DC1F96">
        <w:rPr>
          <w:lang w:val="fr-FR"/>
        </w:rPr>
        <w:t>Shepherd a examiné le rapport du Comité spécial chargé d’étudier la situation en ce qui concerne l’application de la Déclaration sur l’octroi de l’indépendance aux pays et aux peuples coloniaux sur ses activités en 2020 et</w:t>
      </w:r>
      <w:r>
        <w:rPr>
          <w:lang w:val="fr-FR"/>
        </w:rPr>
        <w:t> </w:t>
      </w:r>
      <w:r w:rsidR="00DC1F96">
        <w:rPr>
          <w:lang w:val="fr-FR"/>
        </w:rPr>
        <w:t>2021</w:t>
      </w:r>
      <w:r w:rsidR="00DC1F96" w:rsidRPr="002B45EB">
        <w:rPr>
          <w:rStyle w:val="Appelnotedebasdep"/>
        </w:rPr>
        <w:footnoteReference w:id="15"/>
      </w:r>
      <w:r w:rsidR="00DC1F96">
        <w:rPr>
          <w:lang w:val="fr-FR"/>
        </w:rPr>
        <w:t xml:space="preserve"> ainsi que des copies des documents de travail sur 17</w:t>
      </w:r>
      <w:r>
        <w:rPr>
          <w:lang w:val="fr-FR"/>
        </w:rPr>
        <w:t> </w:t>
      </w:r>
      <w:r w:rsidR="00DC1F96">
        <w:rPr>
          <w:lang w:val="fr-FR"/>
        </w:rPr>
        <w:t>territoires</w:t>
      </w:r>
      <w:r w:rsidR="00DC1F96" w:rsidRPr="002B45EB">
        <w:rPr>
          <w:rStyle w:val="Appelnotedebasdep"/>
        </w:rPr>
        <w:footnoteReference w:id="16"/>
      </w:r>
      <w:r w:rsidR="00DC1F96">
        <w:rPr>
          <w:lang w:val="fr-FR"/>
        </w:rPr>
        <w:t xml:space="preserve">, établis par le secrétariat pour le Comité spécial et le Conseil de tutelle (voir </w:t>
      </w:r>
      <w:hyperlink r:id="rId63" w:history="1">
        <w:r w:rsidR="00DC1F96" w:rsidRPr="00395242">
          <w:rPr>
            <w:rStyle w:val="Lienhypertexte"/>
            <w:lang w:val="fr-FR"/>
          </w:rPr>
          <w:t>CERD/C/103/3</w:t>
        </w:r>
      </w:hyperlink>
      <w:r w:rsidR="00DC1F96">
        <w:rPr>
          <w:lang w:val="fr-FR"/>
        </w:rPr>
        <w:t>), et a présenté son rapport au Comité à sa 103</w:t>
      </w:r>
      <w:r w:rsidR="00DC1F96">
        <w:rPr>
          <w:vertAlign w:val="superscript"/>
          <w:lang w:val="fr-FR"/>
        </w:rPr>
        <w:t>e</w:t>
      </w:r>
      <w:r>
        <w:rPr>
          <w:lang w:val="fr-FR"/>
        </w:rPr>
        <w:t> </w:t>
      </w:r>
      <w:r w:rsidR="00DC1F96">
        <w:rPr>
          <w:lang w:val="fr-FR"/>
        </w:rPr>
        <w:t>session, le 29</w:t>
      </w:r>
      <w:r>
        <w:rPr>
          <w:lang w:val="fr-FR"/>
        </w:rPr>
        <w:t> </w:t>
      </w:r>
      <w:r w:rsidR="00DC1F96">
        <w:rPr>
          <w:lang w:val="fr-FR"/>
        </w:rPr>
        <w:t>avril 2021.</w:t>
      </w:r>
    </w:p>
    <w:p w14:paraId="29D44D8D" w14:textId="57143D1D" w:rsidR="00DC1F96" w:rsidRPr="002543F5" w:rsidRDefault="00395242" w:rsidP="00DC1F96">
      <w:pPr>
        <w:pStyle w:val="SingleTxtG"/>
        <w:rPr>
          <w:lang w:val="fr-FR"/>
        </w:rPr>
      </w:pPr>
      <w:r>
        <w:rPr>
          <w:lang w:val="fr-FR"/>
        </w:rPr>
        <w:t>7</w:t>
      </w:r>
      <w:r w:rsidR="002F7FAD">
        <w:rPr>
          <w:lang w:val="fr-FR"/>
        </w:rPr>
        <w:t>3</w:t>
      </w:r>
      <w:r>
        <w:rPr>
          <w:lang w:val="fr-FR"/>
        </w:rPr>
        <w:t>.</w:t>
      </w:r>
      <w:r>
        <w:rPr>
          <w:lang w:val="fr-FR"/>
        </w:rPr>
        <w:tab/>
      </w:r>
      <w:r w:rsidR="00DC1F96">
        <w:rPr>
          <w:lang w:val="fr-FR"/>
        </w:rPr>
        <w:t>Le Comité a indiqué qu’il lui restait difficile d’assurer pleinement le suivi de l’application de la Convention internationale sur l’élimination de toutes les formes de discrimination raciale dans les territoires non autonomes. Il a pris note cependant de l’existence dans ces territoires d’un certain nombre de questions relatives aux droits de l’homme qui entravaient le plein exercice de tous les droits consacrés par la Convention, en particulier dans les sphères administrative, législative, judiciaire et socioéconomique. Le</w:t>
      </w:r>
      <w:r>
        <w:rPr>
          <w:lang w:val="fr-FR"/>
        </w:rPr>
        <w:t> </w:t>
      </w:r>
      <w:r w:rsidR="00DC1F96">
        <w:rPr>
          <w:lang w:val="fr-FR"/>
        </w:rPr>
        <w:t>Comité soulèvera ces questions devant les États parties chargés d’administrer les territoires concernés au cours de l’examen de leurs rapports soumis en application de la Convention. Il se félicite que la plupart des puissances administrantes se soient engagées à garantir les droits humains des populations placées sous leur juridiction, en particulier le droit à l’autodétermination, et les prie d’accorder une attention immédiate aux cas de violation de ces droits.</w:t>
      </w:r>
    </w:p>
    <w:p w14:paraId="50AFDDCF" w14:textId="507CA601" w:rsidR="00DC1F96" w:rsidRPr="002543F5" w:rsidRDefault="00395242" w:rsidP="00DC1F96">
      <w:pPr>
        <w:pStyle w:val="SingleTxtG"/>
        <w:rPr>
          <w:lang w:val="fr-FR"/>
        </w:rPr>
      </w:pPr>
      <w:r>
        <w:rPr>
          <w:lang w:val="fr-FR"/>
        </w:rPr>
        <w:t>7</w:t>
      </w:r>
      <w:r w:rsidR="002F7FAD">
        <w:rPr>
          <w:lang w:val="fr-FR"/>
        </w:rPr>
        <w:t>4</w:t>
      </w:r>
      <w:r>
        <w:rPr>
          <w:lang w:val="fr-FR"/>
        </w:rPr>
        <w:t>.</w:t>
      </w:r>
      <w:r>
        <w:rPr>
          <w:lang w:val="fr-FR"/>
        </w:rPr>
        <w:tab/>
      </w:r>
      <w:r w:rsidR="00DC1F96">
        <w:rPr>
          <w:lang w:val="fr-FR"/>
        </w:rPr>
        <w:t>Le Comité a réaffirmé que le droit à l’autodétermination est un droit inaliénable des peuples des territoires non autonomes, et qu’il demeure le principe fondamental en matière de décolonisation et un droit humain capital consacré par les instruments pertinents relatifs aux droits de l’homme.</w:t>
      </w:r>
    </w:p>
    <w:p w14:paraId="05DD21E6" w14:textId="77777777" w:rsidR="00DC1F96" w:rsidRPr="002543F5" w:rsidRDefault="00DC1F96" w:rsidP="00DC1F96">
      <w:pPr>
        <w:pStyle w:val="SingleTxtG"/>
        <w:rPr>
          <w:lang w:val="fr-FR"/>
        </w:rPr>
      </w:pPr>
      <w:r w:rsidRPr="002543F5">
        <w:rPr>
          <w:lang w:val="fr-FR"/>
        </w:rPr>
        <w:br w:type="page"/>
      </w:r>
    </w:p>
    <w:p w14:paraId="0F6A23EA" w14:textId="77777777" w:rsidR="00DC1F96" w:rsidRPr="002543F5" w:rsidRDefault="00DC1F96" w:rsidP="002E79BC">
      <w:pPr>
        <w:pStyle w:val="HChG"/>
        <w:rPr>
          <w:lang w:val="fr-FR"/>
        </w:rPr>
      </w:pPr>
      <w:bookmarkStart w:id="108" w:name="_Toc17361312"/>
      <w:bookmarkStart w:id="109" w:name="_Toc48752338"/>
      <w:bookmarkStart w:id="110" w:name="_Toc48816890"/>
      <w:r>
        <w:rPr>
          <w:lang w:val="fr-FR"/>
        </w:rPr>
        <w:lastRenderedPageBreak/>
        <w:tab/>
        <w:t>XIII.</w:t>
      </w:r>
      <w:r>
        <w:rPr>
          <w:lang w:val="fr-FR"/>
        </w:rPr>
        <w:tab/>
        <w:t>Débat sur le renforcement des organes conventionnels</w:t>
      </w:r>
      <w:bookmarkStart w:id="111" w:name="_Toc81563242"/>
      <w:bookmarkEnd w:id="108"/>
      <w:bookmarkEnd w:id="109"/>
      <w:bookmarkEnd w:id="110"/>
      <w:bookmarkEnd w:id="111"/>
    </w:p>
    <w:p w14:paraId="60632E4D" w14:textId="6F65109F" w:rsidR="00DC1F96" w:rsidRDefault="002E79BC" w:rsidP="00DC1F96">
      <w:pPr>
        <w:pStyle w:val="SingleTxtG"/>
        <w:rPr>
          <w:lang w:val="fr-FR"/>
        </w:rPr>
      </w:pPr>
      <w:r>
        <w:rPr>
          <w:lang w:val="fr-FR"/>
        </w:rPr>
        <w:t>7</w:t>
      </w:r>
      <w:r w:rsidR="002F7FAD">
        <w:rPr>
          <w:lang w:val="fr-FR"/>
        </w:rPr>
        <w:t>5</w:t>
      </w:r>
      <w:r>
        <w:rPr>
          <w:lang w:val="fr-FR"/>
        </w:rPr>
        <w:t>.</w:t>
      </w:r>
      <w:r>
        <w:rPr>
          <w:lang w:val="fr-FR"/>
        </w:rPr>
        <w:tab/>
      </w:r>
      <w:r w:rsidR="00DC1F96">
        <w:rPr>
          <w:lang w:val="fr-FR"/>
        </w:rPr>
        <w:t>À sa 102</w:t>
      </w:r>
      <w:r w:rsidR="00DC1F96">
        <w:rPr>
          <w:vertAlign w:val="superscript"/>
          <w:lang w:val="fr-FR"/>
        </w:rPr>
        <w:t>e</w:t>
      </w:r>
      <w:r>
        <w:rPr>
          <w:lang w:val="fr-FR"/>
        </w:rPr>
        <w:t> </w:t>
      </w:r>
      <w:r w:rsidR="00DC1F96">
        <w:rPr>
          <w:lang w:val="fr-FR"/>
        </w:rPr>
        <w:t>session, le Comité a pris note du rapport établi par les cofacilitateurs nommés par le Président de l’Assemblée générale, en application du paragraphe</w:t>
      </w:r>
      <w:r>
        <w:rPr>
          <w:lang w:val="fr-FR"/>
        </w:rPr>
        <w:t> </w:t>
      </w:r>
      <w:r w:rsidR="00DC1F96">
        <w:rPr>
          <w:lang w:val="fr-FR"/>
        </w:rPr>
        <w:t>41 de la résolution</w:t>
      </w:r>
      <w:r>
        <w:rPr>
          <w:lang w:val="fr-FR"/>
        </w:rPr>
        <w:t> </w:t>
      </w:r>
      <w:r w:rsidR="00DC1F96">
        <w:rPr>
          <w:lang w:val="fr-FR"/>
        </w:rPr>
        <w:t>68/268 adoptée par l’Assemblée générale le 9</w:t>
      </w:r>
      <w:r>
        <w:rPr>
          <w:lang w:val="fr-FR"/>
        </w:rPr>
        <w:t> </w:t>
      </w:r>
      <w:r w:rsidR="00DC1F96">
        <w:rPr>
          <w:lang w:val="fr-FR"/>
        </w:rPr>
        <w:t>avril 2014 sur le renforcement et l’amélioration du fonctionnement de l’ensemble des organes conventionnels des droits de l’homme, et a procédé à son examen. Le Chef de la Section des droits civils, politiques, économiques, sociaux et culturels du HCDH, Simon Walker, a présenté le rapport des cofacilitateurs et en a communiqué les principaux éléments au Comité. Les membres du</w:t>
      </w:r>
      <w:r>
        <w:rPr>
          <w:lang w:val="fr-FR"/>
        </w:rPr>
        <w:t> </w:t>
      </w:r>
      <w:r w:rsidR="00DC1F96">
        <w:rPr>
          <w:lang w:val="fr-FR"/>
        </w:rPr>
        <w:t>Comité ont fait part de leurs questions, de leurs réflexions et de leurs préoccupations, et se sont enquis des étapes à venir.</w:t>
      </w:r>
    </w:p>
    <w:p w14:paraId="70DE0309" w14:textId="10277426" w:rsidR="002E79BC" w:rsidRPr="002E79BC" w:rsidRDefault="002E79BC" w:rsidP="002E79B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E79BC" w:rsidRPr="002E79BC" w:rsidSect="00A132E2">
      <w:headerReference w:type="default" r:id="rId64"/>
      <w:footerReference w:type="default" r:id="rId65"/>
      <w:endnotePr>
        <w:numFmt w:val="decimal"/>
      </w:endnotePr>
      <w:type w:val="oddPage"/>
      <w:pgSz w:w="11907" w:h="16840" w:code="9"/>
      <w:pgMar w:top="1417" w:right="1134" w:bottom="1134" w:left="1134" w:header="85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CEDF6" w14:textId="77777777" w:rsidR="00232A62" w:rsidRDefault="00232A62"/>
  </w:endnote>
  <w:endnote w:type="continuationSeparator" w:id="0">
    <w:p w14:paraId="2F1851C8" w14:textId="77777777" w:rsidR="00232A62" w:rsidRDefault="00232A62">
      <w:pPr>
        <w:pStyle w:val="Pieddepage"/>
      </w:pPr>
    </w:p>
  </w:endnote>
  <w:endnote w:type="continuationNotice" w:id="1">
    <w:p w14:paraId="2D1E7218" w14:textId="77777777" w:rsidR="00232A62" w:rsidRPr="00C451B9" w:rsidRDefault="00232A62"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9D8A" w14:textId="77777777" w:rsidR="00232A62" w:rsidRDefault="00232A62">
    <w:pPr>
      <w:pStyle w:val="Pieddepage"/>
    </w:pPr>
    <w:r>
      <w:rPr>
        <w:noProof/>
        <w:lang w:eastAsia="fr-CH"/>
      </w:rPr>
      <w:drawing>
        <wp:anchor distT="0" distB="0" distL="114300" distR="114300" simplePos="0" relativeHeight="251660288" behindDoc="0" locked="0" layoutInCell="1" allowOverlap="1" wp14:anchorId="0D6CE050" wp14:editId="24E60D18">
          <wp:simplePos x="0" y="0"/>
          <wp:positionH relativeFrom="margin">
            <wp:posOffset>5489575</wp:posOffset>
          </wp:positionH>
          <wp:positionV relativeFrom="margin">
            <wp:posOffset>8891905</wp:posOffset>
          </wp:positionV>
          <wp:extent cx="561975" cy="5619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9264" behindDoc="0" locked="0" layoutInCell="1" allowOverlap="0" wp14:anchorId="584806B7" wp14:editId="5E3677B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4781" w14:textId="77777777" w:rsidR="00232A62" w:rsidRDefault="00232A6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9EFD" w14:textId="77777777" w:rsidR="00232A62" w:rsidRDefault="00232A6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836A" w14:textId="77777777" w:rsidR="00232A62" w:rsidRPr="00A132E2" w:rsidRDefault="00232A62" w:rsidP="00A132E2">
    <w:pPr>
      <w:pStyle w:val="Pieddepage"/>
      <w:tabs>
        <w:tab w:val="right" w:pos="9638"/>
      </w:tabs>
    </w:pPr>
    <w:r w:rsidRPr="00A132E2">
      <w:rPr>
        <w:b/>
        <w:sz w:val="18"/>
      </w:rPr>
      <w:fldChar w:fldCharType="begin"/>
    </w:r>
    <w:r w:rsidRPr="00A132E2">
      <w:rPr>
        <w:b/>
        <w:sz w:val="18"/>
      </w:rPr>
      <w:instrText xml:space="preserve"> PAGE  \* MERGEFORMAT </w:instrText>
    </w:r>
    <w:r w:rsidRPr="00A132E2">
      <w:rPr>
        <w:b/>
        <w:sz w:val="18"/>
      </w:rPr>
      <w:fldChar w:fldCharType="separate"/>
    </w:r>
    <w:r w:rsidRPr="00A132E2">
      <w:rPr>
        <w:b/>
        <w:noProof/>
        <w:sz w:val="18"/>
      </w:rPr>
      <w:t>iv</w:t>
    </w:r>
    <w:r w:rsidRPr="00A132E2">
      <w:rPr>
        <w:b/>
        <w:sz w:val="18"/>
      </w:rPr>
      <w:fldChar w:fldCharType="end"/>
    </w:r>
    <w:r>
      <w:rPr>
        <w:b/>
        <w:sz w:val="18"/>
      </w:rPr>
      <w:tab/>
    </w:r>
    <w:r>
      <w:t>GE.21-12365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12D4" w14:textId="77777777" w:rsidR="00232A62" w:rsidRPr="00A132E2" w:rsidRDefault="00232A62" w:rsidP="00A132E2">
    <w:pPr>
      <w:pStyle w:val="Pieddepage"/>
      <w:tabs>
        <w:tab w:val="right" w:pos="9638"/>
      </w:tabs>
      <w:rPr>
        <w:b/>
        <w:sz w:val="18"/>
      </w:rPr>
    </w:pPr>
    <w:r>
      <w:t>GE.21-12365</w:t>
    </w:r>
    <w:r>
      <w:tab/>
    </w:r>
    <w:r w:rsidRPr="00A132E2">
      <w:rPr>
        <w:b/>
        <w:sz w:val="18"/>
      </w:rPr>
      <w:fldChar w:fldCharType="begin"/>
    </w:r>
    <w:r w:rsidRPr="00A132E2">
      <w:rPr>
        <w:b/>
        <w:sz w:val="18"/>
      </w:rPr>
      <w:instrText xml:space="preserve"> PAGE  \* MERGEFORMAT </w:instrText>
    </w:r>
    <w:r w:rsidRPr="00A132E2">
      <w:rPr>
        <w:b/>
        <w:sz w:val="18"/>
      </w:rPr>
      <w:fldChar w:fldCharType="separate"/>
    </w:r>
    <w:r w:rsidRPr="00A132E2">
      <w:rPr>
        <w:b/>
        <w:noProof/>
        <w:sz w:val="18"/>
      </w:rPr>
      <w:t>v</w:t>
    </w:r>
    <w:r w:rsidRPr="00A132E2">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1551" w14:textId="1560D823" w:rsidR="00232A62" w:rsidRPr="00A132E2" w:rsidRDefault="00232A62" w:rsidP="00A132E2">
    <w:pPr>
      <w:pStyle w:val="Pieddepage"/>
      <w:tabs>
        <w:tab w:val="right" w:pos="9638"/>
      </w:tabs>
      <w:spacing w:before="120"/>
      <w:rPr>
        <w:b/>
        <w:sz w:val="18"/>
      </w:rPr>
    </w:pPr>
    <w:r>
      <w:rPr>
        <w:sz w:val="20"/>
      </w:rPr>
      <w:t>GE.21-12365  (F)    111021    121021</w:t>
    </w:r>
    <w:r>
      <w:rPr>
        <w:sz w:val="20"/>
      </w:rPr>
      <w:tab/>
    </w:r>
    <w:r>
      <w:rPr>
        <w:b/>
        <w:sz w:val="18"/>
      </w:rPr>
      <w:fldChar w:fldCharType="begin"/>
    </w:r>
    <w:r>
      <w:rPr>
        <w:b/>
        <w:sz w:val="18"/>
      </w:rPr>
      <w:instrText xml:space="preserve"> PAGE  \* MERGEFORMAT </w:instrText>
    </w:r>
    <w:r>
      <w:rPr>
        <w:b/>
        <w:sz w:val="18"/>
      </w:rPr>
      <w:fldChar w:fldCharType="separate"/>
    </w:r>
    <w:r>
      <w:rPr>
        <w:b/>
        <w:noProof/>
        <w:sz w:val="18"/>
      </w:rPr>
      <w:t>iii</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CB686" w14:textId="77777777" w:rsidR="00232A62" w:rsidRPr="00A132E2" w:rsidRDefault="00232A62" w:rsidP="00A132E2">
    <w:pPr>
      <w:pStyle w:val="Pieddepage"/>
      <w:tabs>
        <w:tab w:val="right" w:pos="9638"/>
      </w:tabs>
      <w:rPr>
        <w:b/>
        <w:sz w:val="18"/>
      </w:rPr>
    </w:pPr>
    <w:r>
      <w:t>GE.21-12365</w:t>
    </w:r>
    <w:r>
      <w:tab/>
    </w:r>
    <w:r w:rsidRPr="00A132E2">
      <w:rPr>
        <w:b/>
        <w:sz w:val="18"/>
      </w:rPr>
      <w:fldChar w:fldCharType="begin"/>
    </w:r>
    <w:r w:rsidRPr="00A132E2">
      <w:rPr>
        <w:b/>
        <w:sz w:val="18"/>
      </w:rPr>
      <w:instrText xml:space="preserve"> PAGE  \* MERGEFORMAT </w:instrText>
    </w:r>
    <w:r w:rsidRPr="00A132E2">
      <w:rPr>
        <w:b/>
        <w:sz w:val="18"/>
      </w:rPr>
      <w:fldChar w:fldCharType="separate"/>
    </w:r>
    <w:r w:rsidRPr="00A132E2">
      <w:rPr>
        <w:b/>
        <w:noProof/>
        <w:sz w:val="18"/>
      </w:rPr>
      <w:t>v</w:t>
    </w:r>
    <w:r w:rsidRPr="00A132E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FDEB4" w14:textId="77777777" w:rsidR="00232A62" w:rsidRPr="00D27D5E" w:rsidRDefault="00232A62" w:rsidP="00D27D5E">
      <w:pPr>
        <w:tabs>
          <w:tab w:val="right" w:pos="2155"/>
        </w:tabs>
        <w:spacing w:after="80"/>
        <w:ind w:left="680"/>
        <w:rPr>
          <w:u w:val="single"/>
        </w:rPr>
      </w:pPr>
      <w:r>
        <w:rPr>
          <w:u w:val="single"/>
        </w:rPr>
        <w:tab/>
      </w:r>
    </w:p>
  </w:footnote>
  <w:footnote w:type="continuationSeparator" w:id="0">
    <w:p w14:paraId="168B3B98" w14:textId="77777777" w:rsidR="00232A62" w:rsidRPr="00D171D4" w:rsidRDefault="00232A62" w:rsidP="00D171D4">
      <w:pPr>
        <w:tabs>
          <w:tab w:val="right" w:pos="2155"/>
        </w:tabs>
        <w:spacing w:after="80"/>
        <w:ind w:left="680"/>
        <w:rPr>
          <w:u w:val="single"/>
        </w:rPr>
      </w:pPr>
      <w:r w:rsidRPr="00D171D4">
        <w:rPr>
          <w:u w:val="single"/>
        </w:rPr>
        <w:tab/>
      </w:r>
    </w:p>
  </w:footnote>
  <w:footnote w:type="continuationNotice" w:id="1">
    <w:p w14:paraId="40CA4386" w14:textId="77777777" w:rsidR="00232A62" w:rsidRPr="00C451B9" w:rsidRDefault="00232A62" w:rsidP="00C451B9">
      <w:pPr>
        <w:spacing w:line="240" w:lineRule="auto"/>
        <w:rPr>
          <w:sz w:val="2"/>
          <w:szCs w:val="2"/>
        </w:rPr>
      </w:pPr>
    </w:p>
  </w:footnote>
  <w:footnote w:id="2">
    <w:p w14:paraId="4876D36C" w14:textId="35A28AD2" w:rsidR="00232A62" w:rsidRPr="002543F5" w:rsidRDefault="00232A62" w:rsidP="00441572">
      <w:pPr>
        <w:pStyle w:val="Notedebasdepage"/>
        <w:rPr>
          <w:lang w:val="fr-FR"/>
        </w:rPr>
      </w:pPr>
      <w:r w:rsidRPr="00BB40A7">
        <w:rPr>
          <w:lang w:val="fr-FR"/>
        </w:rPr>
        <w:tab/>
      </w:r>
      <w:r w:rsidRPr="002B45EB">
        <w:rPr>
          <w:rStyle w:val="Appelnotedebasdep"/>
        </w:rPr>
        <w:footnoteRef/>
      </w:r>
      <w:r>
        <w:rPr>
          <w:lang w:val="fr-FR"/>
        </w:rPr>
        <w:tab/>
        <w:t xml:space="preserve">Voir </w:t>
      </w:r>
      <w:r w:rsidRPr="00152C09">
        <w:rPr>
          <w:i/>
          <w:iCs/>
          <w:lang w:val="fr-FR"/>
        </w:rPr>
        <w:t>Documents officiels de l’Assemblée générale, soixante-deuxième session, Supplément n</w:t>
      </w:r>
      <w:r w:rsidRPr="00152C09">
        <w:rPr>
          <w:i/>
          <w:iCs/>
          <w:vertAlign w:val="superscript"/>
          <w:lang w:val="fr-FR"/>
        </w:rPr>
        <w:t>o</w:t>
      </w:r>
      <w:r w:rsidRPr="00152C09">
        <w:rPr>
          <w:i/>
          <w:iCs/>
          <w:lang w:val="fr-FR"/>
        </w:rPr>
        <w:t> 18</w:t>
      </w:r>
      <w:r>
        <w:rPr>
          <w:lang w:val="fr-FR"/>
        </w:rPr>
        <w:t xml:space="preserve"> (</w:t>
      </w:r>
      <w:hyperlink r:id="rId1" w:history="1">
        <w:r w:rsidRPr="00441572">
          <w:rPr>
            <w:rStyle w:val="Lienhypertexte"/>
            <w:lang w:val="fr-FR"/>
          </w:rPr>
          <w:t>A/62/18</w:t>
        </w:r>
      </w:hyperlink>
      <w:r>
        <w:rPr>
          <w:lang w:val="fr-FR"/>
        </w:rPr>
        <w:t>), annexe III.</w:t>
      </w:r>
    </w:p>
  </w:footnote>
  <w:footnote w:id="3">
    <w:p w14:paraId="1199AD28" w14:textId="4BAAFD07" w:rsidR="00232A62" w:rsidRPr="002543F5" w:rsidRDefault="00232A62" w:rsidP="00337D8E">
      <w:pPr>
        <w:pStyle w:val="Notedebasdepage"/>
        <w:rPr>
          <w:lang w:val="fr-FR"/>
        </w:rPr>
      </w:pPr>
      <w:r w:rsidRPr="00BB40A7">
        <w:rPr>
          <w:lang w:val="fr-FR"/>
        </w:rPr>
        <w:tab/>
      </w:r>
      <w:r w:rsidRPr="002B45EB">
        <w:rPr>
          <w:rStyle w:val="Appelnotedebasdep"/>
        </w:rPr>
        <w:footnoteRef/>
      </w:r>
      <w:r>
        <w:rPr>
          <w:lang w:val="fr-FR"/>
        </w:rPr>
        <w:tab/>
        <w:t xml:space="preserve">Pour le mandat du rapporteur chargé du suivi, voir </w:t>
      </w:r>
      <w:r w:rsidRPr="00337D8E">
        <w:rPr>
          <w:i/>
          <w:iCs/>
          <w:lang w:val="fr-FR"/>
        </w:rPr>
        <w:t xml:space="preserve">Documents officiels de l’Assemblée générale, soixantième session, Supplément </w:t>
      </w:r>
      <w:r>
        <w:rPr>
          <w:i/>
          <w:iCs/>
          <w:lang w:val="fr-FR"/>
        </w:rPr>
        <w:t>n</w:t>
      </w:r>
      <w:r w:rsidRPr="00337D8E">
        <w:rPr>
          <w:i/>
          <w:iCs/>
          <w:vertAlign w:val="superscript"/>
          <w:lang w:val="fr-FR"/>
        </w:rPr>
        <w:t>o</w:t>
      </w:r>
      <w:r>
        <w:rPr>
          <w:i/>
          <w:iCs/>
          <w:lang w:val="fr-FR"/>
        </w:rPr>
        <w:t> </w:t>
      </w:r>
      <w:r w:rsidRPr="00337D8E">
        <w:rPr>
          <w:i/>
          <w:iCs/>
          <w:lang w:val="fr-FR"/>
        </w:rPr>
        <w:t>18</w:t>
      </w:r>
      <w:r>
        <w:rPr>
          <w:lang w:val="fr-FR"/>
        </w:rPr>
        <w:t xml:space="preserve"> (</w:t>
      </w:r>
      <w:hyperlink r:id="rId2" w:history="1">
        <w:r w:rsidRPr="00337D8E">
          <w:rPr>
            <w:rStyle w:val="Lienhypertexte"/>
            <w:lang w:val="fr-FR"/>
          </w:rPr>
          <w:t>A/60/18</w:t>
        </w:r>
      </w:hyperlink>
      <w:r>
        <w:rPr>
          <w:lang w:val="fr-FR"/>
        </w:rPr>
        <w:t>), annexe IV.</w:t>
      </w:r>
    </w:p>
  </w:footnote>
  <w:footnote w:id="4">
    <w:p w14:paraId="4F947F9E" w14:textId="028422A3" w:rsidR="00232A62" w:rsidRPr="002543F5" w:rsidRDefault="00232A62" w:rsidP="00337D8E">
      <w:pPr>
        <w:pStyle w:val="Notedebasdepage"/>
        <w:rPr>
          <w:lang w:val="fr-FR"/>
        </w:rPr>
      </w:pPr>
      <w:r w:rsidRPr="00BB40A7">
        <w:rPr>
          <w:lang w:val="fr-FR"/>
        </w:rPr>
        <w:tab/>
      </w:r>
      <w:r w:rsidRPr="002B45EB">
        <w:rPr>
          <w:rStyle w:val="Appelnotedebasdep"/>
        </w:rPr>
        <w:footnoteRef/>
      </w:r>
      <w:r>
        <w:rPr>
          <w:lang w:val="fr-FR"/>
        </w:rPr>
        <w:tab/>
        <w:t xml:space="preserve">Pour le texte des principes directeurs, voir </w:t>
      </w:r>
      <w:r w:rsidRPr="00337D8E">
        <w:rPr>
          <w:i/>
          <w:iCs/>
          <w:lang w:val="fr-FR"/>
        </w:rPr>
        <w:t>Documents officiels de l’Assemblée générale, soixante et unième session, Supplément n</w:t>
      </w:r>
      <w:r w:rsidRPr="00337D8E">
        <w:rPr>
          <w:i/>
          <w:iCs/>
          <w:vertAlign w:val="superscript"/>
          <w:lang w:val="fr-FR"/>
        </w:rPr>
        <w:t>o</w:t>
      </w:r>
      <w:r w:rsidRPr="00337D8E">
        <w:rPr>
          <w:i/>
          <w:iCs/>
          <w:lang w:val="fr-FR"/>
        </w:rPr>
        <w:t> 18</w:t>
      </w:r>
      <w:r>
        <w:rPr>
          <w:lang w:val="fr-FR"/>
        </w:rPr>
        <w:t xml:space="preserve"> (</w:t>
      </w:r>
      <w:hyperlink r:id="rId3" w:history="1">
        <w:r w:rsidRPr="00337D8E">
          <w:rPr>
            <w:rStyle w:val="Lienhypertexte"/>
            <w:lang w:val="fr-FR"/>
          </w:rPr>
          <w:t>A/61/18</w:t>
        </w:r>
      </w:hyperlink>
      <w:r>
        <w:rPr>
          <w:lang w:val="fr-FR"/>
        </w:rPr>
        <w:t>), annexe VI.</w:t>
      </w:r>
    </w:p>
  </w:footnote>
  <w:footnote w:id="5">
    <w:p w14:paraId="0EF0B10F" w14:textId="7A3DD2B9" w:rsidR="00232A62" w:rsidRPr="002543F5" w:rsidRDefault="00232A62" w:rsidP="00D909D0">
      <w:pPr>
        <w:pStyle w:val="Notedebasdepage"/>
        <w:rPr>
          <w:lang w:val="fr-FR"/>
        </w:rPr>
      </w:pPr>
      <w:r>
        <w:rPr>
          <w:lang w:val="fr-FR"/>
        </w:rPr>
        <w:tab/>
      </w:r>
      <w:r w:rsidRPr="002B45EB">
        <w:rPr>
          <w:rStyle w:val="Appelnotedebasdep"/>
        </w:rPr>
        <w:footnoteRef/>
      </w:r>
      <w:r>
        <w:rPr>
          <w:lang w:val="fr-FR"/>
        </w:rPr>
        <w:tab/>
      </w:r>
      <w:hyperlink r:id="rId4" w:history="1">
        <w:r w:rsidRPr="00D909D0">
          <w:rPr>
            <w:rStyle w:val="Lienhypertexte"/>
            <w:lang w:val="fr-FR"/>
          </w:rPr>
          <w:t>A/74/18</w:t>
        </w:r>
      </w:hyperlink>
      <w:r>
        <w:rPr>
          <w:lang w:val="fr-FR"/>
        </w:rPr>
        <w:t>, par. 49.</w:t>
      </w:r>
    </w:p>
  </w:footnote>
  <w:footnote w:id="6">
    <w:p w14:paraId="42C54C10" w14:textId="3A8B71BF" w:rsidR="00232A62" w:rsidRPr="002543F5" w:rsidRDefault="00232A62" w:rsidP="00D909D0">
      <w:pPr>
        <w:pStyle w:val="Notedebasdepage"/>
        <w:rPr>
          <w:lang w:val="fr-FR"/>
        </w:rPr>
      </w:pPr>
      <w:r w:rsidRPr="001E2AF0">
        <w:rPr>
          <w:spacing w:val="-3"/>
          <w:lang w:val="fr-FR"/>
        </w:rPr>
        <w:tab/>
      </w:r>
      <w:r w:rsidRPr="001E2AF0">
        <w:rPr>
          <w:rStyle w:val="Appelnotedebasdep"/>
          <w:spacing w:val="-3"/>
        </w:rPr>
        <w:footnoteRef/>
      </w:r>
      <w:r w:rsidRPr="001E2AF0">
        <w:rPr>
          <w:spacing w:val="-3"/>
          <w:lang w:val="fr-FR"/>
        </w:rPr>
        <w:tab/>
        <w:t xml:space="preserve">La commission chargée de l’affaire </w:t>
      </w:r>
      <w:r w:rsidRPr="001E2AF0">
        <w:rPr>
          <w:i/>
          <w:iCs/>
          <w:spacing w:val="-3"/>
          <w:lang w:val="fr-FR"/>
        </w:rPr>
        <w:t>Qatar c. Arabie saoudite</w:t>
      </w:r>
      <w:r w:rsidRPr="001E2AF0">
        <w:rPr>
          <w:spacing w:val="-3"/>
          <w:lang w:val="fr-FR"/>
        </w:rPr>
        <w:t xml:space="preserve"> est composée de : Marc Bossuyt (Belgique),</w:t>
      </w:r>
      <w:r>
        <w:rPr>
          <w:lang w:val="fr-FR"/>
        </w:rPr>
        <w:t xml:space="preserve"> </w:t>
      </w:r>
      <w:r w:rsidRPr="001E2AF0">
        <w:rPr>
          <w:spacing w:val="-2"/>
          <w:lang w:val="fr-FR"/>
        </w:rPr>
        <w:t>Chinsung Chung (République de Corée), Makane Moise Mbengue (Sénégal), Monica Pinto (Argentine)</w:t>
      </w:r>
      <w:r>
        <w:rPr>
          <w:lang w:val="fr-FR"/>
        </w:rPr>
        <w:t xml:space="preserve"> </w:t>
      </w:r>
      <w:r w:rsidRPr="001E2AF0">
        <w:rPr>
          <w:spacing w:val="-2"/>
          <w:lang w:val="fr-FR"/>
        </w:rPr>
        <w:t xml:space="preserve">et Verene Albertha Shepherd (Jamaïque). La commission chargée de l’affaire </w:t>
      </w:r>
      <w:r w:rsidRPr="001E2AF0">
        <w:rPr>
          <w:i/>
          <w:iCs/>
          <w:spacing w:val="-2"/>
          <w:lang w:val="fr-FR"/>
        </w:rPr>
        <w:t>Qatar c. Émirats arabes</w:t>
      </w:r>
      <w:r w:rsidRPr="00D909D0">
        <w:rPr>
          <w:i/>
          <w:iCs/>
          <w:lang w:val="fr-FR"/>
        </w:rPr>
        <w:t xml:space="preserve"> </w:t>
      </w:r>
      <w:r w:rsidRPr="001E2AF0">
        <w:rPr>
          <w:i/>
          <w:iCs/>
          <w:spacing w:val="-3"/>
          <w:lang w:val="fr-FR"/>
        </w:rPr>
        <w:t>unis</w:t>
      </w:r>
      <w:r w:rsidRPr="001E2AF0">
        <w:rPr>
          <w:spacing w:val="-3"/>
          <w:lang w:val="fr-FR"/>
        </w:rPr>
        <w:t xml:space="preserve"> est composée de : Sarah Cleveland (États-Unis), Chiara Georgetti (Italie), Bernardo Sepulvuda</w:t>
      </w:r>
      <w:r w:rsidRPr="001E2AF0">
        <w:rPr>
          <w:spacing w:val="-3"/>
          <w:lang w:val="fr-FR"/>
        </w:rPr>
        <w:noBreakHyphen/>
        <w:t>Amor</w:t>
      </w:r>
      <w:r>
        <w:rPr>
          <w:lang w:val="fr-FR"/>
        </w:rPr>
        <w:t xml:space="preserve"> (Mexique), Maya Shali-Fadel (Algérie) et Yeung Kam John Yeung Sik Yuen (Maurice).</w:t>
      </w:r>
    </w:p>
  </w:footnote>
  <w:footnote w:id="7">
    <w:p w14:paraId="2603E3D2" w14:textId="3C242EE5" w:rsidR="00232A62" w:rsidRPr="002543F5" w:rsidRDefault="00232A62" w:rsidP="00D909D0">
      <w:pPr>
        <w:pStyle w:val="Notedebasdepage"/>
        <w:rPr>
          <w:lang w:val="fr-FR"/>
        </w:rPr>
      </w:pPr>
      <w:r>
        <w:rPr>
          <w:lang w:val="fr-FR"/>
        </w:rPr>
        <w:tab/>
      </w:r>
      <w:r w:rsidRPr="002B45EB">
        <w:rPr>
          <w:rStyle w:val="Appelnotedebasdep"/>
        </w:rPr>
        <w:footnoteRef/>
      </w:r>
      <w:r>
        <w:rPr>
          <w:lang w:val="fr-FR"/>
        </w:rPr>
        <w:tab/>
        <w:t>L’article 2 de la Déclaration d’Al-Ula, signée le 5 janvier 2021, dispose que l’ensemble des procès, plaintes, mesures, protestations, objections et différends doivent automatiquement cesser au premier anniversaire de la signature de la Déclaration, à condition qu’il en ait été ainsi décidé.</w:t>
      </w:r>
    </w:p>
  </w:footnote>
  <w:footnote w:id="8">
    <w:p w14:paraId="7E47B93D" w14:textId="77777777" w:rsidR="00232A62" w:rsidRPr="002543F5" w:rsidRDefault="00232A62" w:rsidP="00D909D0">
      <w:pPr>
        <w:pStyle w:val="Notedebasdepage"/>
        <w:rPr>
          <w:lang w:val="fr-FR"/>
        </w:rPr>
      </w:pPr>
      <w:r>
        <w:rPr>
          <w:lang w:val="fr-FR"/>
        </w:rPr>
        <w:tab/>
      </w:r>
      <w:r w:rsidRPr="002B45EB">
        <w:rPr>
          <w:rStyle w:val="Appelnotedebasdep"/>
        </w:rPr>
        <w:footnoteRef/>
      </w:r>
      <w:r>
        <w:rPr>
          <w:lang w:val="fr-FR"/>
        </w:rPr>
        <w:tab/>
        <w:t>Les deux parties ayant fourni des informations complémentaires au sujet tant de la compétence du Comité que de la recevabilité de la communication, ces informations ont été prises en considération aux fins de la décision sur la recevabilité.</w:t>
      </w:r>
    </w:p>
  </w:footnote>
  <w:footnote w:id="9">
    <w:p w14:paraId="209A6414" w14:textId="5EEB6CD8" w:rsidR="00232A62" w:rsidRPr="002543F5" w:rsidRDefault="00232A62" w:rsidP="00D909D0">
      <w:pPr>
        <w:pStyle w:val="Notedebasdepage"/>
        <w:rPr>
          <w:lang w:val="fr-FR"/>
        </w:rPr>
      </w:pPr>
      <w:r>
        <w:rPr>
          <w:lang w:val="fr-FR"/>
        </w:rPr>
        <w:tab/>
      </w:r>
      <w:r w:rsidRPr="002B45EB">
        <w:rPr>
          <w:rStyle w:val="Appelnotedebasdep"/>
        </w:rPr>
        <w:footnoteRef/>
      </w:r>
      <w:r>
        <w:rPr>
          <w:lang w:val="fr-FR"/>
        </w:rPr>
        <w:tab/>
        <w:t>CERD/C/99/6, par. 23.</w:t>
      </w:r>
    </w:p>
  </w:footnote>
  <w:footnote w:id="10">
    <w:p w14:paraId="5DFE241D" w14:textId="13226579" w:rsidR="00232A62" w:rsidRPr="002543F5" w:rsidRDefault="00232A62" w:rsidP="00095418">
      <w:pPr>
        <w:pStyle w:val="Notedebasdepage"/>
        <w:rPr>
          <w:lang w:val="fr-FR"/>
        </w:rPr>
      </w:pPr>
      <w:r>
        <w:rPr>
          <w:lang w:val="fr-FR"/>
        </w:rPr>
        <w:tab/>
      </w:r>
      <w:r w:rsidRPr="002B45EB">
        <w:rPr>
          <w:rStyle w:val="Appelnotedebasdep"/>
        </w:rPr>
        <w:footnoteRef/>
      </w:r>
      <w:r>
        <w:rPr>
          <w:lang w:val="fr-FR"/>
        </w:rPr>
        <w:tab/>
        <w:t xml:space="preserve">Des renseignements concernant les déclarations sont disponibles à l’adresse </w:t>
      </w:r>
      <w:hyperlink r:id="rId5" w:history="1">
        <w:r w:rsidRPr="00095418">
          <w:rPr>
            <w:rStyle w:val="Lienhypertexte"/>
            <w:lang w:val="fr-FR"/>
          </w:rPr>
          <w:t>https://treaties.un.org/</w:t>
        </w:r>
      </w:hyperlink>
      <w:r>
        <w:rPr>
          <w:lang w:val="fr-FR"/>
        </w:rPr>
        <w:t>.</w:t>
      </w:r>
    </w:p>
  </w:footnote>
  <w:footnote w:id="11">
    <w:p w14:paraId="79BC45FF" w14:textId="698E1733" w:rsidR="00232A62" w:rsidRPr="002543F5" w:rsidRDefault="00232A62" w:rsidP="00095418">
      <w:pPr>
        <w:pStyle w:val="Notedebasdepage"/>
        <w:rPr>
          <w:lang w:val="fr-FR"/>
        </w:rPr>
      </w:pPr>
      <w:r w:rsidRPr="001E2AF0">
        <w:rPr>
          <w:spacing w:val="-2"/>
          <w:lang w:val="fr-FR"/>
        </w:rPr>
        <w:tab/>
      </w:r>
      <w:r w:rsidRPr="001E2AF0">
        <w:rPr>
          <w:rStyle w:val="Appelnotedebasdep"/>
          <w:spacing w:val="-2"/>
        </w:rPr>
        <w:footnoteRef/>
      </w:r>
      <w:r w:rsidRPr="001E2AF0">
        <w:rPr>
          <w:spacing w:val="-2"/>
          <w:lang w:val="fr-FR"/>
        </w:rPr>
        <w:tab/>
        <w:t>La République de Moldova a ratifié la Convention le 26 janvier 1993. Cet État partie a fait la déclaration</w:t>
      </w:r>
      <w:r>
        <w:rPr>
          <w:lang w:val="fr-FR"/>
        </w:rPr>
        <w:t xml:space="preserve"> prévue à l’article 14 de la Convention le 8 mai 2013.</w:t>
      </w:r>
    </w:p>
  </w:footnote>
  <w:footnote w:id="12">
    <w:p w14:paraId="46D64332" w14:textId="1502B63C" w:rsidR="00232A62" w:rsidRPr="002543F5" w:rsidRDefault="00232A62" w:rsidP="003C3479">
      <w:pPr>
        <w:pStyle w:val="Notedebasdepage"/>
        <w:rPr>
          <w:lang w:val="fr-FR"/>
        </w:rPr>
      </w:pPr>
      <w:r w:rsidRPr="00755E52">
        <w:rPr>
          <w:lang w:val="fr-FR"/>
        </w:rPr>
        <w:tab/>
      </w:r>
      <w:r w:rsidRPr="002B45EB">
        <w:rPr>
          <w:rStyle w:val="Appelnotedebasdep"/>
        </w:rPr>
        <w:footnoteRef/>
      </w:r>
      <w:r>
        <w:rPr>
          <w:lang w:val="fr-FR"/>
        </w:rPr>
        <w:tab/>
        <w:t xml:space="preserve">Voir </w:t>
      </w:r>
      <w:r w:rsidRPr="003C3479">
        <w:rPr>
          <w:i/>
          <w:iCs/>
          <w:lang w:val="fr-FR"/>
        </w:rPr>
        <w:t>Documents officiels de l’Assemblée générale, soixantième session, Supplément n</w:t>
      </w:r>
      <w:r w:rsidRPr="003C3479">
        <w:rPr>
          <w:i/>
          <w:iCs/>
          <w:vertAlign w:val="superscript"/>
          <w:lang w:val="fr-FR"/>
        </w:rPr>
        <w:t>o</w:t>
      </w:r>
      <w:r w:rsidRPr="003C3479">
        <w:rPr>
          <w:i/>
          <w:iCs/>
          <w:lang w:val="fr-FR"/>
        </w:rPr>
        <w:t> 18</w:t>
      </w:r>
      <w:r>
        <w:rPr>
          <w:lang w:val="fr-FR"/>
        </w:rPr>
        <w:t xml:space="preserve"> (</w:t>
      </w:r>
      <w:hyperlink r:id="rId6" w:history="1">
        <w:r w:rsidRPr="003C3479">
          <w:rPr>
            <w:rStyle w:val="Lienhypertexte"/>
            <w:lang w:val="fr-FR"/>
          </w:rPr>
          <w:t>A/60/18</w:t>
        </w:r>
      </w:hyperlink>
      <w:r>
        <w:rPr>
          <w:lang w:val="fr-FR"/>
        </w:rPr>
        <w:t>), annexe IV, sect. I.</w:t>
      </w:r>
    </w:p>
  </w:footnote>
  <w:footnote w:id="13">
    <w:p w14:paraId="24DC9CDF" w14:textId="4EDDE97B" w:rsidR="00232A62" w:rsidRPr="00232A62" w:rsidRDefault="00232A62" w:rsidP="003C3479">
      <w:pPr>
        <w:pStyle w:val="Notedebasdepage"/>
      </w:pPr>
      <w:r>
        <w:rPr>
          <w:lang w:val="fr-FR"/>
        </w:rPr>
        <w:tab/>
      </w:r>
      <w:r w:rsidRPr="002B45EB">
        <w:rPr>
          <w:rStyle w:val="Appelnotedebasdep"/>
        </w:rPr>
        <w:footnoteRef/>
      </w:r>
      <w:r w:rsidRPr="00232A62">
        <w:tab/>
        <w:t>Ibid., annexe IV, sect. II.</w:t>
      </w:r>
    </w:p>
  </w:footnote>
  <w:footnote w:id="14">
    <w:p w14:paraId="2493232C" w14:textId="643A8BE5" w:rsidR="00232A62" w:rsidRPr="002543F5" w:rsidRDefault="00232A62" w:rsidP="00395242">
      <w:pPr>
        <w:pStyle w:val="Notedebasdepage"/>
        <w:rPr>
          <w:lang w:val="fr-FR"/>
        </w:rPr>
      </w:pPr>
      <w:r w:rsidRPr="00232A62">
        <w:tab/>
      </w:r>
      <w:r w:rsidRPr="002B45EB">
        <w:rPr>
          <w:rStyle w:val="Appelnotedebasdep"/>
        </w:rPr>
        <w:footnoteRef/>
      </w:r>
      <w:r>
        <w:rPr>
          <w:lang w:val="fr-FR"/>
        </w:rPr>
        <w:tab/>
        <w:t>On trouvera le texte de la recommandation générale à l’adresse https://tbinternet.ohchr.org/_layouts/</w:t>
      </w:r>
      <w:r>
        <w:rPr>
          <w:lang w:val="fr-FR"/>
        </w:rPr>
        <w:br/>
        <w:t>15/treatybodyexternal/Download.aspx?symbolno=CERD%2fC%2fGC%2f36&amp;Lang=en.</w:t>
      </w:r>
    </w:p>
  </w:footnote>
  <w:footnote w:id="15">
    <w:p w14:paraId="3BB908C1" w14:textId="255FB08C" w:rsidR="00232A62" w:rsidRPr="002543F5" w:rsidRDefault="00232A62" w:rsidP="00395242">
      <w:pPr>
        <w:pStyle w:val="Notedebasdepage"/>
        <w:rPr>
          <w:lang w:val="fr-FR"/>
        </w:rPr>
      </w:pPr>
      <w:r w:rsidRPr="005D1AAA">
        <w:rPr>
          <w:spacing w:val="-2"/>
          <w:lang w:val="fr-FR"/>
        </w:rPr>
        <w:tab/>
      </w:r>
      <w:r w:rsidRPr="005D1AAA">
        <w:rPr>
          <w:rStyle w:val="Appelnotedebasdep"/>
          <w:spacing w:val="-2"/>
        </w:rPr>
        <w:footnoteRef/>
      </w:r>
      <w:r w:rsidRPr="005D1AAA">
        <w:rPr>
          <w:spacing w:val="-2"/>
          <w:lang w:val="fr-FR"/>
        </w:rPr>
        <w:tab/>
      </w:r>
      <w:r w:rsidRPr="005D1AAA">
        <w:rPr>
          <w:i/>
          <w:iCs/>
          <w:spacing w:val="-2"/>
          <w:lang w:val="fr-FR"/>
        </w:rPr>
        <w:t>Documents officiels de l’Assemblée générale, soixante-quinzième session, Supplément n</w:t>
      </w:r>
      <w:r w:rsidRPr="005D1AAA">
        <w:rPr>
          <w:i/>
          <w:iCs/>
          <w:spacing w:val="-2"/>
          <w:vertAlign w:val="superscript"/>
          <w:lang w:val="fr-FR"/>
        </w:rPr>
        <w:t>o</w:t>
      </w:r>
      <w:r w:rsidRPr="005D1AAA">
        <w:rPr>
          <w:i/>
          <w:iCs/>
          <w:spacing w:val="-2"/>
          <w:lang w:val="fr-FR"/>
        </w:rPr>
        <w:t> 23</w:t>
      </w:r>
      <w:r w:rsidRPr="005D1AAA">
        <w:rPr>
          <w:spacing w:val="-2"/>
          <w:lang w:val="fr-FR"/>
        </w:rPr>
        <w:t xml:space="preserve"> (</w:t>
      </w:r>
      <w:hyperlink r:id="rId7" w:history="1">
        <w:r w:rsidRPr="005D1AAA">
          <w:rPr>
            <w:rStyle w:val="Lienhypertexte"/>
            <w:spacing w:val="-2"/>
            <w:lang w:val="fr-FR"/>
          </w:rPr>
          <w:t>A/75/23</w:t>
        </w:r>
      </w:hyperlink>
      <w:r w:rsidRPr="005D1AAA">
        <w:rPr>
          <w:spacing w:val="-2"/>
          <w:lang w:val="fr-FR"/>
        </w:rPr>
        <w:t>) ;</w:t>
      </w:r>
      <w:r>
        <w:rPr>
          <w:lang w:val="fr-FR"/>
        </w:rPr>
        <w:t xml:space="preserve"> </w:t>
      </w:r>
      <w:r w:rsidRPr="005D1AAA">
        <w:rPr>
          <w:i/>
          <w:iCs/>
          <w:spacing w:val="-2"/>
          <w:lang w:val="fr-FR"/>
        </w:rPr>
        <w:t>Documents officiels de l’Assemblée générale, soixante-seizième session, Supplément n</w:t>
      </w:r>
      <w:r w:rsidRPr="005D1AAA">
        <w:rPr>
          <w:i/>
          <w:iCs/>
          <w:spacing w:val="-2"/>
          <w:vertAlign w:val="superscript"/>
          <w:lang w:val="fr-FR"/>
        </w:rPr>
        <w:t>o</w:t>
      </w:r>
      <w:r w:rsidRPr="005D1AAA">
        <w:rPr>
          <w:i/>
          <w:iCs/>
          <w:spacing w:val="-2"/>
          <w:lang w:val="fr-FR"/>
        </w:rPr>
        <w:t> 23</w:t>
      </w:r>
      <w:r w:rsidRPr="005D1AAA">
        <w:rPr>
          <w:spacing w:val="-2"/>
          <w:lang w:val="fr-FR"/>
        </w:rPr>
        <w:t xml:space="preserve"> (à paraître).</w:t>
      </w:r>
    </w:p>
  </w:footnote>
  <w:footnote w:id="16">
    <w:p w14:paraId="4491AFAD" w14:textId="53FC6FAC" w:rsidR="00232A62" w:rsidRPr="002543F5" w:rsidRDefault="00232A62" w:rsidP="00395242">
      <w:pPr>
        <w:pStyle w:val="Notedebasdepage"/>
        <w:rPr>
          <w:lang w:val="fr-FR"/>
        </w:rPr>
      </w:pPr>
      <w:r>
        <w:rPr>
          <w:lang w:val="fr-FR"/>
        </w:rPr>
        <w:tab/>
      </w:r>
      <w:r w:rsidRPr="002B45EB">
        <w:rPr>
          <w:rStyle w:val="Appelnotedebasdep"/>
        </w:rPr>
        <w:footnoteRef/>
      </w:r>
      <w:r>
        <w:rPr>
          <w:lang w:val="fr-FR"/>
        </w:rPr>
        <w:tab/>
        <w:t>Samoa américaines, Anguilla, Bermudes, Îles Vierges britanniques, Îles Caïmanes, Îles Falkland (Malvinas), Polynésie française, Gibraltar, Guam, Montserrat, Nouvelle-Calédonie, Pitcairn, Sainte</w:t>
      </w:r>
      <w:r w:rsidR="002F7FAD">
        <w:rPr>
          <w:lang w:val="fr-FR"/>
        </w:rPr>
        <w:noBreakHyphen/>
      </w:r>
      <w:r>
        <w:rPr>
          <w:lang w:val="fr-FR"/>
        </w:rPr>
        <w:t>Hélène, Tokélaou, Îles Turques et Caïques, Îles Vierges américaines et Sahara occidental.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5420" w14:textId="77777777" w:rsidR="00232A62" w:rsidRDefault="00232A62" w:rsidP="00E37E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A9D1" w14:textId="77777777" w:rsidR="00232A62" w:rsidRDefault="00232A62" w:rsidP="00A132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448F" w14:textId="0F89B30E" w:rsidR="00232A62" w:rsidRPr="00A132E2" w:rsidRDefault="00B13943" w:rsidP="00A132E2">
    <w:pPr>
      <w:pStyle w:val="En-tte"/>
    </w:pPr>
    <w:r>
      <w:fldChar w:fldCharType="begin"/>
    </w:r>
    <w:r>
      <w:instrText xml:space="preserve"> TITLE  \* MERGEFORMAT </w:instrText>
    </w:r>
    <w:r>
      <w:fldChar w:fldCharType="separate"/>
    </w:r>
    <w:r w:rsidR="00A30D88">
      <w:t>A/76/18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B63F1" w14:textId="0A543565" w:rsidR="00232A62" w:rsidRDefault="00B13943" w:rsidP="00A132E2">
    <w:pPr>
      <w:pStyle w:val="En-tte"/>
      <w:jc w:val="right"/>
    </w:pPr>
    <w:r>
      <w:fldChar w:fldCharType="begin"/>
    </w:r>
    <w:r>
      <w:instrText xml:space="preserve"> TITLE  \* MERGEFORMAT </w:instrText>
    </w:r>
    <w:r>
      <w:fldChar w:fldCharType="separate"/>
    </w:r>
    <w:r w:rsidR="00A30D88">
      <w:t>A/76/18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9C2D" w14:textId="6807803B" w:rsidR="00232A62" w:rsidRDefault="00B13943" w:rsidP="00A132E2">
    <w:pPr>
      <w:pStyle w:val="En-tte"/>
      <w:jc w:val="right"/>
    </w:pPr>
    <w:r>
      <w:fldChar w:fldCharType="begin"/>
    </w:r>
    <w:r>
      <w:instrText xml:space="preserve"> TITLE  \* MERGEFORMAT </w:instrText>
    </w:r>
    <w:r>
      <w:fldChar w:fldCharType="separate"/>
    </w:r>
    <w:r w:rsidR="00A30D88">
      <w:t>A/76/18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5F01" w14:textId="65149466" w:rsidR="00232A62" w:rsidRDefault="00B13943" w:rsidP="00A132E2">
    <w:pPr>
      <w:pStyle w:val="En-tte"/>
      <w:jc w:val="right"/>
    </w:pPr>
    <w:r>
      <w:fldChar w:fldCharType="begin"/>
    </w:r>
    <w:r>
      <w:instrText xml:space="preserve"> TITLE  \* MERGEFORMAT </w:instrText>
    </w:r>
    <w:r>
      <w:fldChar w:fldCharType="separate"/>
    </w:r>
    <w:r w:rsidR="00A30D88">
      <w:t>A/76/18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9178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CC2C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81D8D"/>
    <w:multiLevelType w:val="hybridMultilevel"/>
    <w:tmpl w:val="AE9C0536"/>
    <w:lvl w:ilvl="0" w:tplc="7B1EC652">
      <w:start w:val="1"/>
      <w:numFmt w:val="decimal"/>
      <w:lvlText w:val="%1."/>
      <w:lvlJc w:val="left"/>
      <w:pPr>
        <w:ind w:left="1636" w:hanging="360"/>
      </w:pPr>
      <w:rPr>
        <w:rFonts w:hint="default"/>
        <w:b w:val="0"/>
        <w:i w:val="0"/>
        <w:color w:val="000000" w:themeColor="text1"/>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F6F731F"/>
    <w:multiLevelType w:val="hybridMultilevel"/>
    <w:tmpl w:val="79702BEC"/>
    <w:lvl w:ilvl="0" w:tplc="3DC620EC">
      <w:start w:val="45"/>
      <w:numFmt w:val="decimal"/>
      <w:lvlText w:val="%1."/>
      <w:lvlJc w:val="left"/>
      <w:pPr>
        <w:ind w:left="1494" w:hanging="360"/>
      </w:pPr>
      <w:rPr>
        <w:rFonts w:hint="default"/>
        <w:b w:val="0"/>
        <w:i w:val="0"/>
        <w:color w:val="000000" w:themeColor="text1"/>
        <w:sz w:val="20"/>
        <w:szCs w:val="2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08275FE"/>
    <w:multiLevelType w:val="hybridMultilevel"/>
    <w:tmpl w:val="FE5EF5FE"/>
    <w:lvl w:ilvl="0" w:tplc="80026B30">
      <w:start w:val="46"/>
      <w:numFmt w:val="decimal"/>
      <w:lvlText w:val="%1."/>
      <w:lvlJc w:val="left"/>
      <w:pPr>
        <w:ind w:left="1636" w:hanging="360"/>
      </w:pPr>
      <w:rPr>
        <w:rFonts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8"/>
  </w:num>
  <w:num w:numId="3">
    <w:abstractNumId w:val="11"/>
  </w:num>
  <w:num w:numId="4">
    <w:abstractNumId w:val="20"/>
  </w:num>
  <w:num w:numId="5">
    <w:abstractNumId w:val="18"/>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3"/>
  </w:num>
  <w:num w:numId="18">
    <w:abstractNumId w:val="12"/>
  </w:num>
  <w:num w:numId="19">
    <w:abstractNumId w:val="17"/>
  </w:num>
  <w:num w:numId="20">
    <w:abstractNumId w:val="14"/>
  </w:num>
  <w:num w:numId="21">
    <w:abstractNumId w:val="10"/>
  </w:num>
  <w:num w:numId="22">
    <w:abstractNumId w:val="15"/>
  </w:num>
  <w:num w:numId="23">
    <w:abstractNumId w:val="16"/>
  </w:num>
  <w:num w:numId="2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de-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48"/>
    <w:rsid w:val="000067A6"/>
    <w:rsid w:val="0001470D"/>
    <w:rsid w:val="00016165"/>
    <w:rsid w:val="00016AC5"/>
    <w:rsid w:val="00021907"/>
    <w:rsid w:val="000233A5"/>
    <w:rsid w:val="0002445D"/>
    <w:rsid w:val="00024C50"/>
    <w:rsid w:val="00025E92"/>
    <w:rsid w:val="000276A3"/>
    <w:rsid w:val="00031C3D"/>
    <w:rsid w:val="00032060"/>
    <w:rsid w:val="00040539"/>
    <w:rsid w:val="00040598"/>
    <w:rsid w:val="00047F10"/>
    <w:rsid w:val="00052157"/>
    <w:rsid w:val="0005346D"/>
    <w:rsid w:val="00055FE4"/>
    <w:rsid w:val="000641CE"/>
    <w:rsid w:val="00067310"/>
    <w:rsid w:val="00077E35"/>
    <w:rsid w:val="0008669E"/>
    <w:rsid w:val="00090599"/>
    <w:rsid w:val="00095418"/>
    <w:rsid w:val="00096270"/>
    <w:rsid w:val="000A1501"/>
    <w:rsid w:val="000A2494"/>
    <w:rsid w:val="000A6B7E"/>
    <w:rsid w:val="000B105A"/>
    <w:rsid w:val="000C6CDB"/>
    <w:rsid w:val="000D5C25"/>
    <w:rsid w:val="000E4F06"/>
    <w:rsid w:val="000E5601"/>
    <w:rsid w:val="000F41F2"/>
    <w:rsid w:val="0010373B"/>
    <w:rsid w:val="00116B4E"/>
    <w:rsid w:val="00125446"/>
    <w:rsid w:val="00126DCC"/>
    <w:rsid w:val="001358D9"/>
    <w:rsid w:val="00141E26"/>
    <w:rsid w:val="00143EB9"/>
    <w:rsid w:val="00145051"/>
    <w:rsid w:val="00152C09"/>
    <w:rsid w:val="0015389C"/>
    <w:rsid w:val="00160540"/>
    <w:rsid w:val="00166C68"/>
    <w:rsid w:val="00174814"/>
    <w:rsid w:val="00181A90"/>
    <w:rsid w:val="00190D5D"/>
    <w:rsid w:val="00192660"/>
    <w:rsid w:val="00192EEB"/>
    <w:rsid w:val="00194484"/>
    <w:rsid w:val="0019559B"/>
    <w:rsid w:val="001A2040"/>
    <w:rsid w:val="001A20FB"/>
    <w:rsid w:val="001A376F"/>
    <w:rsid w:val="001B09BB"/>
    <w:rsid w:val="001C3D8D"/>
    <w:rsid w:val="001C6497"/>
    <w:rsid w:val="001D12EC"/>
    <w:rsid w:val="001D7F8A"/>
    <w:rsid w:val="001E0447"/>
    <w:rsid w:val="001E1495"/>
    <w:rsid w:val="001E2AF0"/>
    <w:rsid w:val="001E34CB"/>
    <w:rsid w:val="001E3FEB"/>
    <w:rsid w:val="001E4541"/>
    <w:rsid w:val="001E4A02"/>
    <w:rsid w:val="001E4E3F"/>
    <w:rsid w:val="001E5979"/>
    <w:rsid w:val="001E653B"/>
    <w:rsid w:val="001E6DF0"/>
    <w:rsid w:val="001F3E68"/>
    <w:rsid w:val="001F4931"/>
    <w:rsid w:val="001F6DE4"/>
    <w:rsid w:val="001F6EA4"/>
    <w:rsid w:val="00200CBA"/>
    <w:rsid w:val="00204B66"/>
    <w:rsid w:val="002059CE"/>
    <w:rsid w:val="00206AD4"/>
    <w:rsid w:val="00224B8B"/>
    <w:rsid w:val="00225A8C"/>
    <w:rsid w:val="00231A7F"/>
    <w:rsid w:val="00232A62"/>
    <w:rsid w:val="00242BBD"/>
    <w:rsid w:val="0024586F"/>
    <w:rsid w:val="00246BC8"/>
    <w:rsid w:val="002476EF"/>
    <w:rsid w:val="00251F95"/>
    <w:rsid w:val="00252317"/>
    <w:rsid w:val="00261730"/>
    <w:rsid w:val="002659F1"/>
    <w:rsid w:val="00270821"/>
    <w:rsid w:val="00271E41"/>
    <w:rsid w:val="00284C19"/>
    <w:rsid w:val="00286E23"/>
    <w:rsid w:val="002876A1"/>
    <w:rsid w:val="00287CA6"/>
    <w:rsid w:val="00287E79"/>
    <w:rsid w:val="00290049"/>
    <w:rsid w:val="002928F9"/>
    <w:rsid w:val="00294D5B"/>
    <w:rsid w:val="002A2A2C"/>
    <w:rsid w:val="002A5D07"/>
    <w:rsid w:val="002D1BED"/>
    <w:rsid w:val="002D25CA"/>
    <w:rsid w:val="002D3DA4"/>
    <w:rsid w:val="002D64CF"/>
    <w:rsid w:val="002E2F5C"/>
    <w:rsid w:val="002E79BC"/>
    <w:rsid w:val="002F0905"/>
    <w:rsid w:val="002F0C48"/>
    <w:rsid w:val="002F7FAD"/>
    <w:rsid w:val="003016B7"/>
    <w:rsid w:val="00305BCD"/>
    <w:rsid w:val="0030754C"/>
    <w:rsid w:val="00317E54"/>
    <w:rsid w:val="00322DF1"/>
    <w:rsid w:val="00324EBF"/>
    <w:rsid w:val="0032556C"/>
    <w:rsid w:val="00330508"/>
    <w:rsid w:val="0033286A"/>
    <w:rsid w:val="00333130"/>
    <w:rsid w:val="0033338E"/>
    <w:rsid w:val="00337D8E"/>
    <w:rsid w:val="0034168A"/>
    <w:rsid w:val="00346E32"/>
    <w:rsid w:val="003515AA"/>
    <w:rsid w:val="00364F13"/>
    <w:rsid w:val="0036776C"/>
    <w:rsid w:val="00372A7A"/>
    <w:rsid w:val="00372D1D"/>
    <w:rsid w:val="00374106"/>
    <w:rsid w:val="0037679A"/>
    <w:rsid w:val="0038047C"/>
    <w:rsid w:val="00390EEF"/>
    <w:rsid w:val="00394410"/>
    <w:rsid w:val="00395242"/>
    <w:rsid w:val="003976D5"/>
    <w:rsid w:val="003A0448"/>
    <w:rsid w:val="003A4DA9"/>
    <w:rsid w:val="003B53B6"/>
    <w:rsid w:val="003C3479"/>
    <w:rsid w:val="003D3C77"/>
    <w:rsid w:val="003D6C68"/>
    <w:rsid w:val="003E01D0"/>
    <w:rsid w:val="003E49B9"/>
    <w:rsid w:val="003E5F12"/>
    <w:rsid w:val="003E786C"/>
    <w:rsid w:val="003E7C09"/>
    <w:rsid w:val="003F2A89"/>
    <w:rsid w:val="003F4433"/>
    <w:rsid w:val="003F4A54"/>
    <w:rsid w:val="0040144C"/>
    <w:rsid w:val="004067AE"/>
    <w:rsid w:val="00410521"/>
    <w:rsid w:val="00413BB0"/>
    <w:rsid w:val="004159D0"/>
    <w:rsid w:val="00417326"/>
    <w:rsid w:val="00422499"/>
    <w:rsid w:val="004342E2"/>
    <w:rsid w:val="00434354"/>
    <w:rsid w:val="004374FA"/>
    <w:rsid w:val="00440BC8"/>
    <w:rsid w:val="00441572"/>
    <w:rsid w:val="00454F8D"/>
    <w:rsid w:val="004567EB"/>
    <w:rsid w:val="00460E72"/>
    <w:rsid w:val="00467412"/>
    <w:rsid w:val="00476265"/>
    <w:rsid w:val="00481132"/>
    <w:rsid w:val="00483E94"/>
    <w:rsid w:val="00490F56"/>
    <w:rsid w:val="00491F39"/>
    <w:rsid w:val="004A49A5"/>
    <w:rsid w:val="004A66A2"/>
    <w:rsid w:val="004B51CD"/>
    <w:rsid w:val="004B7E9E"/>
    <w:rsid w:val="004C54C0"/>
    <w:rsid w:val="004C56B2"/>
    <w:rsid w:val="004D00B2"/>
    <w:rsid w:val="004E4963"/>
    <w:rsid w:val="004E6809"/>
    <w:rsid w:val="004E7F24"/>
    <w:rsid w:val="004F49A4"/>
    <w:rsid w:val="005111B1"/>
    <w:rsid w:val="0051457E"/>
    <w:rsid w:val="00516D6F"/>
    <w:rsid w:val="0051714B"/>
    <w:rsid w:val="00520F80"/>
    <w:rsid w:val="005239FF"/>
    <w:rsid w:val="00523DB8"/>
    <w:rsid w:val="00533150"/>
    <w:rsid w:val="00541BE4"/>
    <w:rsid w:val="00543B57"/>
    <w:rsid w:val="00543C47"/>
    <w:rsid w:val="00543D5E"/>
    <w:rsid w:val="00550C89"/>
    <w:rsid w:val="00552260"/>
    <w:rsid w:val="00552777"/>
    <w:rsid w:val="00555494"/>
    <w:rsid w:val="00555CBA"/>
    <w:rsid w:val="005629D6"/>
    <w:rsid w:val="00565B29"/>
    <w:rsid w:val="00567F8A"/>
    <w:rsid w:val="00571BC1"/>
    <w:rsid w:val="00571F41"/>
    <w:rsid w:val="00575476"/>
    <w:rsid w:val="00584373"/>
    <w:rsid w:val="00591DB3"/>
    <w:rsid w:val="005939ED"/>
    <w:rsid w:val="005947BC"/>
    <w:rsid w:val="00595E8A"/>
    <w:rsid w:val="005A0268"/>
    <w:rsid w:val="005A6014"/>
    <w:rsid w:val="005B473C"/>
    <w:rsid w:val="005C549A"/>
    <w:rsid w:val="005D1AAA"/>
    <w:rsid w:val="005D7719"/>
    <w:rsid w:val="005E1B9B"/>
    <w:rsid w:val="005E32D1"/>
    <w:rsid w:val="005E5D1F"/>
    <w:rsid w:val="0061113B"/>
    <w:rsid w:val="00611D43"/>
    <w:rsid w:val="00612D48"/>
    <w:rsid w:val="00613A5E"/>
    <w:rsid w:val="00614FBD"/>
    <w:rsid w:val="00616B45"/>
    <w:rsid w:val="006241C6"/>
    <w:rsid w:val="00627593"/>
    <w:rsid w:val="00630D9B"/>
    <w:rsid w:val="00631953"/>
    <w:rsid w:val="0063208D"/>
    <w:rsid w:val="00643814"/>
    <w:rsid w:val="006439EC"/>
    <w:rsid w:val="00645090"/>
    <w:rsid w:val="00647059"/>
    <w:rsid w:val="00647162"/>
    <w:rsid w:val="0065029A"/>
    <w:rsid w:val="00650770"/>
    <w:rsid w:val="00661667"/>
    <w:rsid w:val="00661E96"/>
    <w:rsid w:val="00665786"/>
    <w:rsid w:val="006714C7"/>
    <w:rsid w:val="00671C93"/>
    <w:rsid w:val="00671F00"/>
    <w:rsid w:val="006729C8"/>
    <w:rsid w:val="00675501"/>
    <w:rsid w:val="0068562A"/>
    <w:rsid w:val="006957F9"/>
    <w:rsid w:val="006A6B31"/>
    <w:rsid w:val="006A6C95"/>
    <w:rsid w:val="006A7B29"/>
    <w:rsid w:val="006B0784"/>
    <w:rsid w:val="006B0EB2"/>
    <w:rsid w:val="006B0FF8"/>
    <w:rsid w:val="006B4590"/>
    <w:rsid w:val="006C340C"/>
    <w:rsid w:val="006E492F"/>
    <w:rsid w:val="006F1D0B"/>
    <w:rsid w:val="006F27A8"/>
    <w:rsid w:val="006F3493"/>
    <w:rsid w:val="006F3544"/>
    <w:rsid w:val="006F5A52"/>
    <w:rsid w:val="00702F0F"/>
    <w:rsid w:val="0070347C"/>
    <w:rsid w:val="007102D2"/>
    <w:rsid w:val="00714647"/>
    <w:rsid w:val="00714A66"/>
    <w:rsid w:val="007176C1"/>
    <w:rsid w:val="00720BC0"/>
    <w:rsid w:val="0072116B"/>
    <w:rsid w:val="00725063"/>
    <w:rsid w:val="00732E72"/>
    <w:rsid w:val="00741D90"/>
    <w:rsid w:val="007607B1"/>
    <w:rsid w:val="00765296"/>
    <w:rsid w:val="00766D28"/>
    <w:rsid w:val="007723C2"/>
    <w:rsid w:val="00775680"/>
    <w:rsid w:val="007815B9"/>
    <w:rsid w:val="00781E5C"/>
    <w:rsid w:val="00785F1F"/>
    <w:rsid w:val="00790B9D"/>
    <w:rsid w:val="00796316"/>
    <w:rsid w:val="007A1C58"/>
    <w:rsid w:val="007A20D2"/>
    <w:rsid w:val="007A79CD"/>
    <w:rsid w:val="007B0ECA"/>
    <w:rsid w:val="007D2668"/>
    <w:rsid w:val="007D3119"/>
    <w:rsid w:val="007F1867"/>
    <w:rsid w:val="007F1EC4"/>
    <w:rsid w:val="007F55CB"/>
    <w:rsid w:val="007F6597"/>
    <w:rsid w:val="007F768E"/>
    <w:rsid w:val="008021D4"/>
    <w:rsid w:val="008149F9"/>
    <w:rsid w:val="008245B7"/>
    <w:rsid w:val="0082755E"/>
    <w:rsid w:val="00831A18"/>
    <w:rsid w:val="00837345"/>
    <w:rsid w:val="00844750"/>
    <w:rsid w:val="00851A74"/>
    <w:rsid w:val="00853AB8"/>
    <w:rsid w:val="00854C34"/>
    <w:rsid w:val="0085586A"/>
    <w:rsid w:val="00895B5A"/>
    <w:rsid w:val="00895DE5"/>
    <w:rsid w:val="008A0FA8"/>
    <w:rsid w:val="008A1EC0"/>
    <w:rsid w:val="008B44C4"/>
    <w:rsid w:val="008B6412"/>
    <w:rsid w:val="008B6DFA"/>
    <w:rsid w:val="008C322B"/>
    <w:rsid w:val="008C4B74"/>
    <w:rsid w:val="008D1156"/>
    <w:rsid w:val="008D59DB"/>
    <w:rsid w:val="008E0319"/>
    <w:rsid w:val="008E4DE2"/>
    <w:rsid w:val="008E7CE2"/>
    <w:rsid w:val="008E7FAE"/>
    <w:rsid w:val="00911BF7"/>
    <w:rsid w:val="0091594A"/>
    <w:rsid w:val="009230F1"/>
    <w:rsid w:val="00935490"/>
    <w:rsid w:val="009418DE"/>
    <w:rsid w:val="009516B7"/>
    <w:rsid w:val="0095776B"/>
    <w:rsid w:val="00957CE5"/>
    <w:rsid w:val="009624E2"/>
    <w:rsid w:val="00977EC8"/>
    <w:rsid w:val="0098343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32E2"/>
    <w:rsid w:val="00A2492E"/>
    <w:rsid w:val="00A30D88"/>
    <w:rsid w:val="00A31163"/>
    <w:rsid w:val="00A34593"/>
    <w:rsid w:val="00A364DB"/>
    <w:rsid w:val="00A4366F"/>
    <w:rsid w:val="00A45E90"/>
    <w:rsid w:val="00A4770F"/>
    <w:rsid w:val="00A50D6B"/>
    <w:rsid w:val="00A51050"/>
    <w:rsid w:val="00A51B6D"/>
    <w:rsid w:val="00A56945"/>
    <w:rsid w:val="00A57027"/>
    <w:rsid w:val="00A5750C"/>
    <w:rsid w:val="00A72C35"/>
    <w:rsid w:val="00A752BB"/>
    <w:rsid w:val="00A81F93"/>
    <w:rsid w:val="00A9247E"/>
    <w:rsid w:val="00AA7796"/>
    <w:rsid w:val="00AC67A1"/>
    <w:rsid w:val="00AC7977"/>
    <w:rsid w:val="00AC7E56"/>
    <w:rsid w:val="00AE2617"/>
    <w:rsid w:val="00AE352C"/>
    <w:rsid w:val="00AE79AC"/>
    <w:rsid w:val="00AF2A49"/>
    <w:rsid w:val="00B01AAD"/>
    <w:rsid w:val="00B101DB"/>
    <w:rsid w:val="00B10DD9"/>
    <w:rsid w:val="00B13943"/>
    <w:rsid w:val="00B21751"/>
    <w:rsid w:val="00B256F0"/>
    <w:rsid w:val="00B31D7D"/>
    <w:rsid w:val="00B32E2D"/>
    <w:rsid w:val="00B363B0"/>
    <w:rsid w:val="00B42710"/>
    <w:rsid w:val="00B43741"/>
    <w:rsid w:val="00B45642"/>
    <w:rsid w:val="00B52F29"/>
    <w:rsid w:val="00B5388D"/>
    <w:rsid w:val="00B5722C"/>
    <w:rsid w:val="00B61990"/>
    <w:rsid w:val="00B6249B"/>
    <w:rsid w:val="00B70CCD"/>
    <w:rsid w:val="00B7180A"/>
    <w:rsid w:val="00B75E66"/>
    <w:rsid w:val="00B773BF"/>
    <w:rsid w:val="00B8612F"/>
    <w:rsid w:val="00B93C7D"/>
    <w:rsid w:val="00BC3F20"/>
    <w:rsid w:val="00BD03A2"/>
    <w:rsid w:val="00BD28B2"/>
    <w:rsid w:val="00BD5A8D"/>
    <w:rsid w:val="00BD7343"/>
    <w:rsid w:val="00BD7BC4"/>
    <w:rsid w:val="00BF0556"/>
    <w:rsid w:val="00BF37EE"/>
    <w:rsid w:val="00C024A1"/>
    <w:rsid w:val="00C02C42"/>
    <w:rsid w:val="00C10FB1"/>
    <w:rsid w:val="00C11282"/>
    <w:rsid w:val="00C12CA3"/>
    <w:rsid w:val="00C14108"/>
    <w:rsid w:val="00C261F8"/>
    <w:rsid w:val="00C27662"/>
    <w:rsid w:val="00C33100"/>
    <w:rsid w:val="00C451B9"/>
    <w:rsid w:val="00C467A6"/>
    <w:rsid w:val="00C51D9C"/>
    <w:rsid w:val="00C54DA4"/>
    <w:rsid w:val="00C55118"/>
    <w:rsid w:val="00C577D1"/>
    <w:rsid w:val="00C57A2D"/>
    <w:rsid w:val="00C6018C"/>
    <w:rsid w:val="00C66C3B"/>
    <w:rsid w:val="00C67D23"/>
    <w:rsid w:val="00C71827"/>
    <w:rsid w:val="00C825E5"/>
    <w:rsid w:val="00C95EB8"/>
    <w:rsid w:val="00CB02C5"/>
    <w:rsid w:val="00CB39CD"/>
    <w:rsid w:val="00CC7CE6"/>
    <w:rsid w:val="00CD044C"/>
    <w:rsid w:val="00CD1A71"/>
    <w:rsid w:val="00CD1FBB"/>
    <w:rsid w:val="00CE033D"/>
    <w:rsid w:val="00CE08E5"/>
    <w:rsid w:val="00D016B5"/>
    <w:rsid w:val="00D034F1"/>
    <w:rsid w:val="00D14F42"/>
    <w:rsid w:val="00D171D4"/>
    <w:rsid w:val="00D26F76"/>
    <w:rsid w:val="00D27D5E"/>
    <w:rsid w:val="00D32B08"/>
    <w:rsid w:val="00D407D1"/>
    <w:rsid w:val="00D43E5F"/>
    <w:rsid w:val="00D51CE6"/>
    <w:rsid w:val="00D639BD"/>
    <w:rsid w:val="00D65777"/>
    <w:rsid w:val="00D66E0D"/>
    <w:rsid w:val="00D7425A"/>
    <w:rsid w:val="00D74F7E"/>
    <w:rsid w:val="00D7695F"/>
    <w:rsid w:val="00D83B6C"/>
    <w:rsid w:val="00D9039B"/>
    <w:rsid w:val="00D909D0"/>
    <w:rsid w:val="00D93582"/>
    <w:rsid w:val="00DA41A2"/>
    <w:rsid w:val="00DA43A1"/>
    <w:rsid w:val="00DA5E1D"/>
    <w:rsid w:val="00DC1F96"/>
    <w:rsid w:val="00DC4F43"/>
    <w:rsid w:val="00DE6D90"/>
    <w:rsid w:val="00DF002F"/>
    <w:rsid w:val="00DF0B70"/>
    <w:rsid w:val="00DF128E"/>
    <w:rsid w:val="00DF4D0D"/>
    <w:rsid w:val="00E0244D"/>
    <w:rsid w:val="00E026DF"/>
    <w:rsid w:val="00E02F48"/>
    <w:rsid w:val="00E03712"/>
    <w:rsid w:val="00E06B3F"/>
    <w:rsid w:val="00E10A73"/>
    <w:rsid w:val="00E14F27"/>
    <w:rsid w:val="00E171D2"/>
    <w:rsid w:val="00E25534"/>
    <w:rsid w:val="00E26EF3"/>
    <w:rsid w:val="00E319B6"/>
    <w:rsid w:val="00E32145"/>
    <w:rsid w:val="00E32F5A"/>
    <w:rsid w:val="00E37E21"/>
    <w:rsid w:val="00E510F3"/>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A3B1D"/>
    <w:rsid w:val="00EB77B9"/>
    <w:rsid w:val="00EB7D07"/>
    <w:rsid w:val="00ED3A26"/>
    <w:rsid w:val="00EF33E0"/>
    <w:rsid w:val="00EF70BB"/>
    <w:rsid w:val="00EF7D1D"/>
    <w:rsid w:val="00F0010B"/>
    <w:rsid w:val="00F02FA9"/>
    <w:rsid w:val="00F06660"/>
    <w:rsid w:val="00F115C8"/>
    <w:rsid w:val="00F116EB"/>
    <w:rsid w:val="00F1794E"/>
    <w:rsid w:val="00F17DC0"/>
    <w:rsid w:val="00F211AF"/>
    <w:rsid w:val="00F25EC3"/>
    <w:rsid w:val="00F32ADB"/>
    <w:rsid w:val="00F32C98"/>
    <w:rsid w:val="00F37E12"/>
    <w:rsid w:val="00F424BD"/>
    <w:rsid w:val="00F515AD"/>
    <w:rsid w:val="00F57DD7"/>
    <w:rsid w:val="00F636AD"/>
    <w:rsid w:val="00F70677"/>
    <w:rsid w:val="00F734D9"/>
    <w:rsid w:val="00F73F83"/>
    <w:rsid w:val="00F74902"/>
    <w:rsid w:val="00F807AD"/>
    <w:rsid w:val="00F85A4E"/>
    <w:rsid w:val="00F9353A"/>
    <w:rsid w:val="00F94EBB"/>
    <w:rsid w:val="00F965C2"/>
    <w:rsid w:val="00FA1D61"/>
    <w:rsid w:val="00FA27D4"/>
    <w:rsid w:val="00FA5A79"/>
    <w:rsid w:val="00FA5DFC"/>
    <w:rsid w:val="00FB0BFE"/>
    <w:rsid w:val="00FB1C8F"/>
    <w:rsid w:val="00FB4300"/>
    <w:rsid w:val="00FB4C51"/>
    <w:rsid w:val="00FB734D"/>
    <w:rsid w:val="00FC21B2"/>
    <w:rsid w:val="00FD02A2"/>
    <w:rsid w:val="00FD5E64"/>
    <w:rsid w:val="00FD7985"/>
    <w:rsid w:val="00FE6526"/>
    <w:rsid w:val="00FF0C71"/>
    <w:rsid w:val="00FF1DBD"/>
    <w:rsid w:val="00FF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A9A99A4"/>
  <w15:docId w15:val="{FAED76E6-B0F8-4FCD-A4C2-FA87C169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semiHidden="1" w:uiPriority="99" w:qFormat="1"/>
    <w:lsdException w:name="Emphasis" w:semiHidden="1"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22C"/>
    <w:pPr>
      <w:suppressAutoHyphens/>
      <w:kinsoku w:val="0"/>
      <w:overflowPunct w:val="0"/>
      <w:autoSpaceDE w:val="0"/>
      <w:autoSpaceDN w:val="0"/>
      <w:adjustRightInd w:val="0"/>
      <w:snapToGrid w:val="0"/>
      <w:spacing w:line="240" w:lineRule="atLeast"/>
    </w:pPr>
    <w:rPr>
      <w:rFonts w:eastAsiaTheme="minorHAnsi"/>
      <w:lang w:val="fr-CH" w:eastAsia="en-US"/>
    </w:rPr>
  </w:style>
  <w:style w:type="paragraph" w:styleId="Titre1">
    <w:name w:val="heading 1"/>
    <w:aliases w:val="Table_G"/>
    <w:basedOn w:val="SingleTxtG"/>
    <w:next w:val="SingleTxtG"/>
    <w:link w:val="Titre1Car"/>
    <w:qFormat/>
    <w:rsid w:val="00B5722C"/>
    <w:pPr>
      <w:keepNext/>
      <w:keepLines/>
      <w:spacing w:after="0" w:line="240" w:lineRule="auto"/>
      <w:ind w:right="0"/>
      <w:jc w:val="left"/>
      <w:outlineLvl w:val="0"/>
    </w:pPr>
  </w:style>
  <w:style w:type="paragraph" w:styleId="Titre2">
    <w:name w:val="heading 2"/>
    <w:basedOn w:val="Normal"/>
    <w:next w:val="Normal"/>
    <w:link w:val="Titre2Car"/>
    <w:semiHidden/>
    <w:qFormat/>
    <w:rsid w:val="00B5722C"/>
    <w:pPr>
      <w:outlineLvl w:val="1"/>
    </w:pPr>
  </w:style>
  <w:style w:type="paragraph" w:styleId="Titre3">
    <w:name w:val="heading 3"/>
    <w:basedOn w:val="Normal"/>
    <w:next w:val="Normal"/>
    <w:link w:val="Titre3Car"/>
    <w:semiHidden/>
    <w:qFormat/>
    <w:rsid w:val="00B5722C"/>
    <w:pPr>
      <w:outlineLvl w:val="2"/>
    </w:pPr>
  </w:style>
  <w:style w:type="paragraph" w:styleId="Titre4">
    <w:name w:val="heading 4"/>
    <w:basedOn w:val="Normal"/>
    <w:next w:val="Normal"/>
    <w:link w:val="Titre4Car"/>
    <w:semiHidden/>
    <w:qFormat/>
    <w:rsid w:val="00B5722C"/>
    <w:pPr>
      <w:outlineLvl w:val="3"/>
    </w:pPr>
  </w:style>
  <w:style w:type="paragraph" w:styleId="Titre5">
    <w:name w:val="heading 5"/>
    <w:basedOn w:val="Normal"/>
    <w:next w:val="Normal"/>
    <w:link w:val="Titre5Car"/>
    <w:semiHidden/>
    <w:qFormat/>
    <w:rsid w:val="00B5722C"/>
    <w:pPr>
      <w:outlineLvl w:val="4"/>
    </w:pPr>
  </w:style>
  <w:style w:type="paragraph" w:styleId="Titre6">
    <w:name w:val="heading 6"/>
    <w:basedOn w:val="Normal"/>
    <w:next w:val="Normal"/>
    <w:link w:val="Titre6Car"/>
    <w:semiHidden/>
    <w:qFormat/>
    <w:rsid w:val="00B5722C"/>
    <w:pPr>
      <w:outlineLvl w:val="5"/>
    </w:pPr>
  </w:style>
  <w:style w:type="paragraph" w:styleId="Titre7">
    <w:name w:val="heading 7"/>
    <w:basedOn w:val="Normal"/>
    <w:next w:val="Normal"/>
    <w:link w:val="Titre7Car"/>
    <w:semiHidden/>
    <w:qFormat/>
    <w:rsid w:val="00B5722C"/>
    <w:pPr>
      <w:outlineLvl w:val="6"/>
    </w:pPr>
  </w:style>
  <w:style w:type="paragraph" w:styleId="Titre8">
    <w:name w:val="heading 8"/>
    <w:basedOn w:val="Normal"/>
    <w:next w:val="Normal"/>
    <w:link w:val="Titre8Car"/>
    <w:semiHidden/>
    <w:qFormat/>
    <w:rsid w:val="00B5722C"/>
    <w:pPr>
      <w:outlineLvl w:val="7"/>
    </w:pPr>
  </w:style>
  <w:style w:type="paragraph" w:styleId="Titre9">
    <w:name w:val="heading 9"/>
    <w:basedOn w:val="Normal"/>
    <w:next w:val="Normal"/>
    <w:link w:val="Titre9Car"/>
    <w:semiHidden/>
    <w:qFormat/>
    <w:rsid w:val="00B5722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rsid w:val="00B5722C"/>
    <w:pPr>
      <w:tabs>
        <w:tab w:val="left" w:pos="1701"/>
        <w:tab w:val="left" w:pos="2268"/>
        <w:tab w:val="left" w:pos="2835"/>
      </w:tabs>
      <w:spacing w:after="120"/>
      <w:ind w:left="1134" w:right="1134"/>
      <w:jc w:val="both"/>
    </w:pPr>
  </w:style>
  <w:style w:type="paragraph" w:styleId="Notedefin">
    <w:name w:val="endnote text"/>
    <w:aliases w:val="2_G"/>
    <w:basedOn w:val="Notedebasdepage"/>
    <w:link w:val="NotedefinCar"/>
    <w:qFormat/>
    <w:rsid w:val="00B5722C"/>
  </w:style>
  <w:style w:type="paragraph" w:styleId="Notedebasdepage">
    <w:name w:val="footnote text"/>
    <w:aliases w:val="5_G"/>
    <w:basedOn w:val="Normal"/>
    <w:link w:val="NotedebasdepageCar"/>
    <w:qFormat/>
    <w:rsid w:val="00B5722C"/>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B5722C"/>
    <w:pPr>
      <w:spacing w:line="240" w:lineRule="auto"/>
    </w:pPr>
    <w:rPr>
      <w:sz w:val="16"/>
    </w:rPr>
  </w:style>
  <w:style w:type="character" w:styleId="Appeldenotedefin">
    <w:name w:val="endnote reference"/>
    <w:aliases w:val="1_G"/>
    <w:basedOn w:val="Appelnotedebasdep"/>
    <w:qFormat/>
    <w:rsid w:val="00B5722C"/>
    <w:rPr>
      <w:rFonts w:ascii="Times New Roman" w:hAnsi="Times New Roman"/>
      <w:sz w:val="18"/>
      <w:vertAlign w:val="superscript"/>
      <w:lang w:val="fr-CH"/>
    </w:rPr>
  </w:style>
  <w:style w:type="character" w:styleId="Appelnotedebasdep">
    <w:name w:val="footnote reference"/>
    <w:aliases w:val="4_G"/>
    <w:basedOn w:val="Policepardfaut"/>
    <w:qFormat/>
    <w:rsid w:val="00B5722C"/>
    <w:rPr>
      <w:rFonts w:ascii="Times New Roman" w:hAnsi="Times New Roman"/>
      <w:sz w:val="18"/>
      <w:vertAlign w:val="superscript"/>
      <w:lang w:val="fr-CH"/>
    </w:rPr>
  </w:style>
  <w:style w:type="character" w:styleId="Numrodepage">
    <w:name w:val="page number"/>
    <w:aliases w:val="7_G"/>
    <w:basedOn w:val="Policepardfaut"/>
    <w:qFormat/>
    <w:rsid w:val="00B5722C"/>
    <w:rPr>
      <w:rFonts w:ascii="Times New Roman" w:hAnsi="Times New Roman"/>
      <w:b/>
      <w:sz w:val="18"/>
      <w:lang w:val="fr-CH"/>
    </w:rPr>
  </w:style>
  <w:style w:type="paragraph" w:styleId="En-tte">
    <w:name w:val="header"/>
    <w:aliases w:val="6_G"/>
    <w:basedOn w:val="Normal"/>
    <w:next w:val="Normal"/>
    <w:link w:val="En-tteCar"/>
    <w:qFormat/>
    <w:rsid w:val="00B5722C"/>
    <w:pPr>
      <w:pBdr>
        <w:bottom w:val="single" w:sz="4" w:space="4" w:color="auto"/>
      </w:pBdr>
      <w:spacing w:line="240" w:lineRule="auto"/>
    </w:pPr>
    <w:rPr>
      <w:b/>
      <w:sz w:val="18"/>
    </w:rPr>
  </w:style>
  <w:style w:type="paragraph" w:customStyle="1" w:styleId="H1G">
    <w:name w:val="_ H_1_G"/>
    <w:basedOn w:val="Normal"/>
    <w:next w:val="Normal"/>
    <w:qFormat/>
    <w:rsid w:val="00B5722C"/>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B5722C"/>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B5722C"/>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B5722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B5722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B5722C"/>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B5722C"/>
    <w:pPr>
      <w:keepNext/>
      <w:keepLines/>
      <w:spacing w:before="240" w:after="240" w:line="420" w:lineRule="exact"/>
      <w:ind w:left="1134" w:right="1134"/>
    </w:pPr>
    <w:rPr>
      <w:b/>
      <w:sz w:val="40"/>
    </w:rPr>
  </w:style>
  <w:style w:type="paragraph" w:customStyle="1" w:styleId="SLG">
    <w:name w:val="__S_L_G"/>
    <w:basedOn w:val="Normal"/>
    <w:next w:val="Normal"/>
    <w:rsid w:val="00B5722C"/>
    <w:pPr>
      <w:keepNext/>
      <w:keepLines/>
      <w:spacing w:before="240" w:after="240" w:line="580" w:lineRule="exact"/>
      <w:ind w:left="1134" w:right="1134"/>
    </w:pPr>
    <w:rPr>
      <w:b/>
      <w:sz w:val="56"/>
    </w:rPr>
  </w:style>
  <w:style w:type="paragraph" w:customStyle="1" w:styleId="SSG">
    <w:name w:val="__S_S_G"/>
    <w:basedOn w:val="Normal"/>
    <w:next w:val="Normal"/>
    <w:rsid w:val="00B5722C"/>
    <w:pPr>
      <w:keepNext/>
      <w:keepLines/>
      <w:spacing w:before="240" w:after="240" w:line="300" w:lineRule="exact"/>
      <w:ind w:left="1134" w:right="1134"/>
    </w:pPr>
    <w:rPr>
      <w:b/>
      <w:sz w:val="28"/>
    </w:rPr>
  </w:style>
  <w:style w:type="paragraph" w:customStyle="1" w:styleId="XLargeG">
    <w:name w:val="__XLarge_G"/>
    <w:basedOn w:val="Normal"/>
    <w:next w:val="Normal"/>
    <w:rsid w:val="00B5722C"/>
    <w:pPr>
      <w:keepNext/>
      <w:keepLines/>
      <w:spacing w:before="240" w:after="240" w:line="420" w:lineRule="exact"/>
      <w:ind w:left="1134" w:right="1134"/>
    </w:pPr>
    <w:rPr>
      <w:b/>
      <w:sz w:val="40"/>
    </w:rPr>
  </w:style>
  <w:style w:type="paragraph" w:customStyle="1" w:styleId="Bullet1G">
    <w:name w:val="_Bullet 1_G"/>
    <w:basedOn w:val="Normal"/>
    <w:qFormat/>
    <w:rsid w:val="00B5722C"/>
    <w:pPr>
      <w:numPr>
        <w:numId w:val="4"/>
      </w:numPr>
      <w:spacing w:after="120"/>
      <w:ind w:right="1134"/>
      <w:jc w:val="both"/>
    </w:pPr>
  </w:style>
  <w:style w:type="paragraph" w:customStyle="1" w:styleId="Bullet2G">
    <w:name w:val="_Bullet 2_G"/>
    <w:basedOn w:val="Normal"/>
    <w:qFormat/>
    <w:rsid w:val="00B5722C"/>
    <w:pPr>
      <w:numPr>
        <w:numId w:val="5"/>
      </w:numPr>
      <w:spacing w:after="120"/>
      <w:ind w:right="1134"/>
      <w:jc w:val="both"/>
    </w:pPr>
  </w:style>
  <w:style w:type="table" w:styleId="Grilledutableau">
    <w:name w:val="Table Grid"/>
    <w:basedOn w:val="TableauNormal"/>
    <w:rsid w:val="00B5722C"/>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basedOn w:val="Policepardfaut"/>
    <w:link w:val="SingleTxtG"/>
    <w:rsid w:val="00541BE4"/>
    <w:rPr>
      <w:rFonts w:eastAsiaTheme="minorHAnsi"/>
      <w:lang w:val="fr-CH" w:eastAsia="en-US"/>
    </w:rPr>
  </w:style>
  <w:style w:type="character" w:styleId="Lienhypertexte">
    <w:name w:val="Hyperlink"/>
    <w:basedOn w:val="Policepardfaut"/>
    <w:rsid w:val="00B5722C"/>
    <w:rPr>
      <w:color w:val="0000FF"/>
      <w:u w:val="none"/>
    </w:rPr>
  </w:style>
  <w:style w:type="character" w:styleId="Lienhypertextesuivivisit">
    <w:name w:val="FollowedHyperlink"/>
    <w:basedOn w:val="Policepardfaut"/>
    <w:rsid w:val="00B5722C"/>
    <w:rPr>
      <w:color w:val="0000FF"/>
      <w:u w:val="none"/>
    </w:rPr>
  </w:style>
  <w:style w:type="paragraph" w:customStyle="1" w:styleId="ParNoG">
    <w:name w:val="_ParNo_G"/>
    <w:basedOn w:val="Normal"/>
    <w:qFormat/>
    <w:rsid w:val="00B5722C"/>
    <w:pPr>
      <w:numPr>
        <w:numId w:val="6"/>
      </w:numPr>
      <w:tabs>
        <w:tab w:val="left" w:pos="1701"/>
        <w:tab w:val="left" w:pos="2268"/>
        <w:tab w:val="left" w:pos="2835"/>
      </w:tabs>
      <w:spacing w:after="120"/>
      <w:ind w:right="1134"/>
      <w:jc w:val="both"/>
    </w:pPr>
  </w:style>
  <w:style w:type="paragraph" w:styleId="Textedebulles">
    <w:name w:val="Balloon Text"/>
    <w:basedOn w:val="Normal"/>
    <w:link w:val="TextedebullesCar"/>
    <w:uiPriority w:val="99"/>
    <w:semiHidden/>
    <w:rsid w:val="00550C8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7A6"/>
    <w:rPr>
      <w:rFonts w:ascii="Tahoma" w:hAnsi="Tahoma" w:cs="Tahoma"/>
      <w:sz w:val="16"/>
      <w:szCs w:val="16"/>
      <w:lang w:val="fr-CH" w:eastAsia="en-US"/>
    </w:rPr>
  </w:style>
  <w:style w:type="character" w:customStyle="1" w:styleId="En-tteCar">
    <w:name w:val="En-tête Car"/>
    <w:aliases w:val="6_G Car"/>
    <w:basedOn w:val="Policepardfaut"/>
    <w:link w:val="En-tte"/>
    <w:rsid w:val="00B5722C"/>
    <w:rPr>
      <w:rFonts w:eastAsiaTheme="minorHAnsi"/>
      <w:b/>
      <w:sz w:val="18"/>
      <w:lang w:val="fr-CH" w:eastAsia="en-US"/>
    </w:rPr>
  </w:style>
  <w:style w:type="character" w:customStyle="1" w:styleId="NotedebasdepageCar">
    <w:name w:val="Note de bas de page Car"/>
    <w:aliases w:val="5_G Car"/>
    <w:basedOn w:val="Policepardfaut"/>
    <w:link w:val="Notedebasdepage"/>
    <w:rsid w:val="00B5722C"/>
    <w:rPr>
      <w:rFonts w:eastAsiaTheme="minorHAnsi"/>
      <w:sz w:val="18"/>
      <w:lang w:val="fr-CH" w:eastAsia="en-US"/>
    </w:rPr>
  </w:style>
  <w:style w:type="character" w:customStyle="1" w:styleId="NotedefinCar">
    <w:name w:val="Note de fin Car"/>
    <w:aliases w:val="2_G Car"/>
    <w:basedOn w:val="Policepardfaut"/>
    <w:link w:val="Notedefin"/>
    <w:rsid w:val="00B5722C"/>
    <w:rPr>
      <w:rFonts w:eastAsiaTheme="minorHAnsi"/>
      <w:sz w:val="18"/>
      <w:lang w:val="fr-CH" w:eastAsia="en-US"/>
    </w:rPr>
  </w:style>
  <w:style w:type="character" w:customStyle="1" w:styleId="PieddepageCar">
    <w:name w:val="Pied de page Car"/>
    <w:aliases w:val="3_G Car"/>
    <w:basedOn w:val="Policepardfaut"/>
    <w:link w:val="Pieddepage"/>
    <w:rsid w:val="00B5722C"/>
    <w:rPr>
      <w:rFonts w:eastAsiaTheme="minorHAnsi"/>
      <w:sz w:val="16"/>
      <w:lang w:val="fr-CH" w:eastAsia="en-US"/>
    </w:rPr>
  </w:style>
  <w:style w:type="character" w:customStyle="1" w:styleId="Titre1Car">
    <w:name w:val="Titre 1 Car"/>
    <w:aliases w:val="Table_G Car"/>
    <w:basedOn w:val="Policepardfaut"/>
    <w:link w:val="Titre1"/>
    <w:rsid w:val="00B5722C"/>
    <w:rPr>
      <w:rFonts w:eastAsiaTheme="minorHAnsi"/>
      <w:lang w:val="fr-CH" w:eastAsia="en-US"/>
    </w:rPr>
  </w:style>
  <w:style w:type="character" w:customStyle="1" w:styleId="Titre2Car">
    <w:name w:val="Titre 2 Car"/>
    <w:basedOn w:val="Policepardfaut"/>
    <w:link w:val="Titre2"/>
    <w:semiHidden/>
    <w:rsid w:val="00B5722C"/>
    <w:rPr>
      <w:rFonts w:eastAsiaTheme="minorHAnsi"/>
      <w:lang w:val="fr-CH" w:eastAsia="en-US"/>
    </w:rPr>
  </w:style>
  <w:style w:type="character" w:customStyle="1" w:styleId="Titre3Car">
    <w:name w:val="Titre 3 Car"/>
    <w:basedOn w:val="Policepardfaut"/>
    <w:link w:val="Titre3"/>
    <w:semiHidden/>
    <w:rsid w:val="00B5722C"/>
    <w:rPr>
      <w:rFonts w:eastAsiaTheme="minorHAnsi"/>
      <w:lang w:val="fr-CH" w:eastAsia="en-US"/>
    </w:rPr>
  </w:style>
  <w:style w:type="character" w:customStyle="1" w:styleId="Titre4Car">
    <w:name w:val="Titre 4 Car"/>
    <w:basedOn w:val="Policepardfaut"/>
    <w:link w:val="Titre4"/>
    <w:semiHidden/>
    <w:rsid w:val="00B5722C"/>
    <w:rPr>
      <w:rFonts w:eastAsiaTheme="minorHAnsi"/>
      <w:lang w:val="fr-CH" w:eastAsia="en-US"/>
    </w:rPr>
  </w:style>
  <w:style w:type="character" w:customStyle="1" w:styleId="Titre5Car">
    <w:name w:val="Titre 5 Car"/>
    <w:basedOn w:val="Policepardfaut"/>
    <w:link w:val="Titre5"/>
    <w:semiHidden/>
    <w:rsid w:val="00B5722C"/>
    <w:rPr>
      <w:rFonts w:eastAsiaTheme="minorHAnsi"/>
      <w:lang w:val="fr-CH" w:eastAsia="en-US"/>
    </w:rPr>
  </w:style>
  <w:style w:type="character" w:customStyle="1" w:styleId="Titre6Car">
    <w:name w:val="Titre 6 Car"/>
    <w:basedOn w:val="Policepardfaut"/>
    <w:link w:val="Titre6"/>
    <w:semiHidden/>
    <w:rsid w:val="00B5722C"/>
    <w:rPr>
      <w:rFonts w:eastAsiaTheme="minorHAnsi"/>
      <w:lang w:val="fr-CH" w:eastAsia="en-US"/>
    </w:rPr>
  </w:style>
  <w:style w:type="character" w:customStyle="1" w:styleId="Titre7Car">
    <w:name w:val="Titre 7 Car"/>
    <w:basedOn w:val="Policepardfaut"/>
    <w:link w:val="Titre7"/>
    <w:semiHidden/>
    <w:rsid w:val="00B5722C"/>
    <w:rPr>
      <w:rFonts w:eastAsiaTheme="minorHAnsi"/>
      <w:lang w:val="fr-CH" w:eastAsia="en-US"/>
    </w:rPr>
  </w:style>
  <w:style w:type="character" w:customStyle="1" w:styleId="Titre8Car">
    <w:name w:val="Titre 8 Car"/>
    <w:basedOn w:val="Policepardfaut"/>
    <w:link w:val="Titre8"/>
    <w:semiHidden/>
    <w:rsid w:val="00B5722C"/>
    <w:rPr>
      <w:rFonts w:eastAsiaTheme="minorHAnsi"/>
      <w:lang w:val="fr-CH" w:eastAsia="en-US"/>
    </w:rPr>
  </w:style>
  <w:style w:type="character" w:customStyle="1" w:styleId="Titre9Car">
    <w:name w:val="Titre 9 Car"/>
    <w:basedOn w:val="Policepardfaut"/>
    <w:link w:val="Titre9"/>
    <w:semiHidden/>
    <w:rsid w:val="00B5722C"/>
    <w:rPr>
      <w:rFonts w:eastAsiaTheme="minorHAnsi"/>
      <w:lang w:val="fr-CH" w:eastAsia="en-US"/>
    </w:rPr>
  </w:style>
  <w:style w:type="paragraph" w:customStyle="1" w:styleId="ColorfulShading-Accent11">
    <w:name w:val="Colorful Shading - Accent 11"/>
    <w:hidden/>
    <w:uiPriority w:val="71"/>
    <w:rsid w:val="00DC1F96"/>
    <w:rPr>
      <w:lang w:eastAsia="en-US"/>
    </w:rPr>
  </w:style>
  <w:style w:type="character" w:styleId="Mentionnonrsolue">
    <w:name w:val="Unresolved Mention"/>
    <w:basedOn w:val="Policepardfaut"/>
    <w:uiPriority w:val="99"/>
    <w:semiHidden/>
    <w:unhideWhenUsed/>
    <w:rsid w:val="00B36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undocs.org/fr/CERD/C/BIH/FCO/12-13" TargetMode="External"/><Relationship Id="rId39" Type="http://schemas.openxmlformats.org/officeDocument/2006/relationships/hyperlink" Target="https://undocs.org/fr/CERD/C/MNE/FCO/4-6" TargetMode="External"/><Relationship Id="rId21" Type="http://schemas.openxmlformats.org/officeDocument/2006/relationships/hyperlink" Target="https://undocs.org/fr/CERD/C/102/1" TargetMode="External"/><Relationship Id="rId34" Type="http://schemas.openxmlformats.org/officeDocument/2006/relationships/hyperlink" Target="https://undocs.org/fr/CERD/C/KGZ/FCO/8-10" TargetMode="External"/><Relationship Id="rId42" Type="http://schemas.openxmlformats.org/officeDocument/2006/relationships/hyperlink" Target="https://undocs.org/fr/CERD/C/QAT/FCO/17-21" TargetMode="External"/><Relationship Id="rId47" Type="http://schemas.openxmlformats.org/officeDocument/2006/relationships/hyperlink" Target="https://undocs.org/fr/A/62/18" TargetMode="External"/><Relationship Id="rId50" Type="http://schemas.openxmlformats.org/officeDocument/2006/relationships/hyperlink" Target="https://undocs.org/fr/A/69/18" TargetMode="External"/><Relationship Id="rId55" Type="http://schemas.openxmlformats.org/officeDocument/2006/relationships/hyperlink" Target="https://undocs.org/fr/A/71/18" TargetMode="External"/><Relationship Id="rId63" Type="http://schemas.openxmlformats.org/officeDocument/2006/relationships/hyperlink" Target="https://undocs.org/fr/CERD/C/103/3"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s://undocs.org/fr/CERD/C/GTM/FCO/16-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ohchr.org/FR/Pages/Home.aspx" TargetMode="External"/><Relationship Id="rId32" Type="http://schemas.openxmlformats.org/officeDocument/2006/relationships/hyperlink" Target="https://undocs.org/fr/CERD/C/JPN/CO/10-11/Add.1" TargetMode="External"/><Relationship Id="rId37" Type="http://schemas.openxmlformats.org/officeDocument/2006/relationships/hyperlink" Target="https://undocs.org/fr/CERD/C/MRT/CO/8-14/Add.1" TargetMode="External"/><Relationship Id="rId40" Type="http://schemas.openxmlformats.org/officeDocument/2006/relationships/hyperlink" Target="https://undocs.org/fr/CERD/C/NOR/FCO/23-24" TargetMode="External"/><Relationship Id="rId45" Type="http://schemas.openxmlformats.org/officeDocument/2006/relationships/hyperlink" Target="https://undocs.org/fr/A/61/18" TargetMode="External"/><Relationship Id="rId53" Type="http://schemas.openxmlformats.org/officeDocument/2006/relationships/hyperlink" Target="https://undocs.org/fr/A/70/18" TargetMode="External"/><Relationship Id="rId58" Type="http://schemas.openxmlformats.org/officeDocument/2006/relationships/hyperlink" Target="https://undocs.org/fr/A/61/18"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undocs.org/fr/CERD/C/BEL/CO/20-22" TargetMode="External"/><Relationship Id="rId28" Type="http://schemas.openxmlformats.org/officeDocument/2006/relationships/hyperlink" Target="https://undocs.org/fr/CERD/C/CUB/FCO/19-21" TargetMode="External"/><Relationship Id="rId36" Type="http://schemas.openxmlformats.org/officeDocument/2006/relationships/hyperlink" Target="https://undocs.org/en/CERD/C/MUS/FCO/20-23" TargetMode="External"/><Relationship Id="rId49" Type="http://schemas.openxmlformats.org/officeDocument/2006/relationships/hyperlink" Target="https://undocs.org/fr/A/66/18" TargetMode="External"/><Relationship Id="rId57" Type="http://schemas.openxmlformats.org/officeDocument/2006/relationships/hyperlink" Target="https://undocs.org/fr/A/62/18" TargetMode="External"/><Relationship Id="rId61" Type="http://schemas.openxmlformats.org/officeDocument/2006/relationships/hyperlink" Target="https://undocs.org/fr/A/62/18" TargetMode="Externa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https://undocs.org/fr/CERD/C/ISL/FCO/21-23" TargetMode="External"/><Relationship Id="rId44" Type="http://schemas.openxmlformats.org/officeDocument/2006/relationships/hyperlink" Target="https://undocs.org/fr/CERD/C/PSE/FCO/1-2" TargetMode="External"/><Relationship Id="rId52" Type="http://schemas.openxmlformats.org/officeDocument/2006/relationships/hyperlink" Target="https://undocs.org/fr/A/72/18" TargetMode="External"/><Relationship Id="rId60" Type="http://schemas.openxmlformats.org/officeDocument/2006/relationships/hyperlink" Target="https://undocs.org/fr/A/61/18" TargetMode="External"/><Relationship Id="rId65"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3.xml"/><Relationship Id="rId22" Type="http://schemas.openxmlformats.org/officeDocument/2006/relationships/hyperlink" Target="https://undocs.org/fr/CERD/C/103/1" TargetMode="External"/><Relationship Id="rId27" Type="http://schemas.openxmlformats.org/officeDocument/2006/relationships/hyperlink" Target="https://undocs.org/fr/CERD/C/CHN/FCO/14-17" TargetMode="External"/><Relationship Id="rId30" Type="http://schemas.openxmlformats.org/officeDocument/2006/relationships/hyperlink" Target="https://undocs.org/fr/CERD/C/HND/FCO/6-8" TargetMode="External"/><Relationship Id="rId35" Type="http://schemas.openxmlformats.org/officeDocument/2006/relationships/hyperlink" Target="https://undocs.org/fr/CERD/C/LVA/CO/6-12/Add.1" TargetMode="External"/><Relationship Id="rId43" Type="http://schemas.openxmlformats.org/officeDocument/2006/relationships/hyperlink" Target="https://undocs.org/fr/CERD/C/KOR/FCO/17-19" TargetMode="External"/><Relationship Id="rId48" Type="http://schemas.openxmlformats.org/officeDocument/2006/relationships/hyperlink" Target="https://undocs.org/fr/A/63/18" TargetMode="External"/><Relationship Id="rId56" Type="http://schemas.openxmlformats.org/officeDocument/2006/relationships/hyperlink" Target="https://undocs.org/fr/A/73/18" TargetMode="External"/><Relationship Id="rId64" Type="http://schemas.openxmlformats.org/officeDocument/2006/relationships/header" Target="header6.xml"/><Relationship Id="rId8" Type="http://schemas.openxmlformats.org/officeDocument/2006/relationships/footer" Target="footer1.xml"/><Relationship Id="rId51" Type="http://schemas.openxmlformats.org/officeDocument/2006/relationships/hyperlink" Target="https://undocs.org/fr/A/74/18"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s://documents.un.org/prod/ods.nsf/home.xsp" TargetMode="External"/><Relationship Id="rId33" Type="http://schemas.openxmlformats.org/officeDocument/2006/relationships/hyperlink" Target="https://undocs.org/fr/CERD/C/JOR/FCO/18-20" TargetMode="External"/><Relationship Id="rId38" Type="http://schemas.openxmlformats.org/officeDocument/2006/relationships/hyperlink" Target="https://undocs.org/fr/CERD/C/MEX/FCO/18-21" TargetMode="External"/><Relationship Id="rId46" Type="http://schemas.openxmlformats.org/officeDocument/2006/relationships/hyperlink" Target="https://undocs.org/fr/A/61/18" TargetMode="External"/><Relationship Id="rId59" Type="http://schemas.openxmlformats.org/officeDocument/2006/relationships/hyperlink" Target="https://undocs.org/fr/A/62/18" TargetMode="External"/><Relationship Id="rId67" Type="http://schemas.openxmlformats.org/officeDocument/2006/relationships/theme" Target="theme/theme1.xml"/><Relationship Id="rId20" Type="http://schemas.openxmlformats.org/officeDocument/2006/relationships/hyperlink" Target="https://undocs.org/fr/CERD/C/101/1" TargetMode="External"/><Relationship Id="rId41" Type="http://schemas.openxmlformats.org/officeDocument/2006/relationships/hyperlink" Target="https://undocs.org/fr/CERD/C/POL/FCO/22-24" TargetMode="External"/><Relationship Id="rId54" Type="http://schemas.openxmlformats.org/officeDocument/2006/relationships/hyperlink" Target="https://undocs.org/fr/A/62/18" TargetMode="External"/><Relationship Id="rId62" Type="http://schemas.openxmlformats.org/officeDocument/2006/relationships/hyperlink" Target="https://undocs.org/fr/A/71/1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A/61/18" TargetMode="External"/><Relationship Id="rId7" Type="http://schemas.openxmlformats.org/officeDocument/2006/relationships/hyperlink" Target="https://undocs.org/fr/A/75/23" TargetMode="External"/><Relationship Id="rId2" Type="http://schemas.openxmlformats.org/officeDocument/2006/relationships/hyperlink" Target="https://documents-dds-ny.un.org/doc/UNDOC/GEN/G05/441/20/pdf/G0544120.pdf?OpenElement" TargetMode="External"/><Relationship Id="rId1" Type="http://schemas.openxmlformats.org/officeDocument/2006/relationships/hyperlink" Target="https://undocs.org/fr/A/62/18" TargetMode="External"/><Relationship Id="rId6" Type="http://schemas.openxmlformats.org/officeDocument/2006/relationships/hyperlink" Target="https://documents-dds-ny.un.org/doc/UNDOC/GEN/G05/441/20/pdf/G0544120.pdf?OpenElement" TargetMode="External"/><Relationship Id="rId5" Type="http://schemas.openxmlformats.org/officeDocument/2006/relationships/hyperlink" Target="https://treaties.un.org/Pages/Home.aspx?clang=_fr" TargetMode="External"/><Relationship Id="rId4" Type="http://schemas.openxmlformats.org/officeDocument/2006/relationships/hyperlink" Target="https://undocs.org/fr/A/74/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Rapport_AG.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Rapport_AG.dotm</Template>
  <TotalTime>1</TotalTime>
  <Pages>34</Pages>
  <Words>11531</Words>
  <Characters>63234</Characters>
  <Application>Microsoft Office Word</Application>
  <DocSecurity>0</DocSecurity>
  <Lines>1308</Lines>
  <Paragraphs>463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A/76/18</vt:lpstr>
      <vt:lpstr>A/…</vt:lpstr>
    </vt:vector>
  </TitlesOfParts>
  <Manager>Corinne</Manager>
  <Company>CSD</Company>
  <LinksUpToDate>false</LinksUpToDate>
  <CharactersWithSpaces>74436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A/76/18</dc:title>
  <dc:subject/>
  <dc:creator>Marie DESCHAMPS</dc:creator>
  <cp:keywords/>
  <cp:lastModifiedBy>Marie DESCHAMPS</cp:lastModifiedBy>
  <cp:revision>2</cp:revision>
  <cp:lastPrinted>2008-11-04T15:54:00Z</cp:lastPrinted>
  <dcterms:created xsi:type="dcterms:W3CDTF">2021-10-12T09:39:00Z</dcterms:created>
  <dcterms:modified xsi:type="dcterms:W3CDTF">2021-10-12T09:39:00Z</dcterms:modified>
</cp:coreProperties>
</file>