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A17" w:rsidRDefault="004C7A17" w:rsidP="004C7A17">
      <w:pPr>
        <w:spacing w:line="60" w:lineRule="exact"/>
        <w:rPr>
          <w:sz w:val="6"/>
        </w:rPr>
        <w:sectPr w:rsidR="004C7A17" w:rsidSect="004C7A1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4C7A17" w:rsidRDefault="004C7A17" w:rsidP="004C7A17">
      <w:pPr>
        <w:spacing w:line="60" w:lineRule="exact"/>
        <w:rPr>
          <w:sz w:val="6"/>
        </w:rPr>
      </w:pPr>
    </w:p>
    <w:p w:rsidR="002E3BB2" w:rsidRPr="002E3BB2" w:rsidRDefault="002E3BB2" w:rsidP="002E3BB2">
      <w:pPr>
        <w:pStyle w:val="SingleTxt"/>
        <w:spacing w:after="60"/>
        <w:ind w:left="0"/>
        <w:rPr>
          <w:rFonts w:ascii="SimHei" w:eastAsia="SimHei" w:hint="eastAsia"/>
          <w:color w:val="FF0000"/>
          <w:sz w:val="24"/>
          <w:szCs w:val="24"/>
        </w:rPr>
      </w:pPr>
      <w:r w:rsidRPr="002E3BB2">
        <w:rPr>
          <w:rFonts w:ascii="SimHei" w:eastAsia="SimHei" w:hint="eastAsia"/>
          <w:color w:val="FF0000"/>
          <w:sz w:val="24"/>
          <w:szCs w:val="24"/>
        </w:rPr>
        <w:t>消除对妇女歧视委员会</w:t>
      </w:r>
    </w:p>
    <w:p w:rsidR="002E3BB2" w:rsidRPr="002E3BB2" w:rsidRDefault="002E3BB2" w:rsidP="002E3BB2">
      <w:pPr>
        <w:pStyle w:val="SingleTxt"/>
        <w:spacing w:after="60"/>
        <w:ind w:left="0"/>
        <w:rPr>
          <w:rFonts w:ascii="SimHei" w:eastAsia="SimHei" w:hint="eastAsia"/>
          <w:color w:val="FF0000"/>
        </w:rPr>
      </w:pPr>
      <w:r w:rsidRPr="002E3BB2">
        <w:rPr>
          <w:rFonts w:ascii="SimHei" w:eastAsia="SimHei" w:hint="eastAsia"/>
          <w:color w:val="FF0000"/>
        </w:rPr>
        <w:t>第三十七届会议</w:t>
      </w:r>
    </w:p>
    <w:p w:rsidR="002E3BB2" w:rsidRDefault="002E3BB2" w:rsidP="002E3BB2">
      <w:pPr>
        <w:pStyle w:val="SingleTxt"/>
        <w:spacing w:after="360"/>
        <w:ind w:left="0"/>
        <w:rPr>
          <w:rFonts w:hint="eastAsia"/>
        </w:rPr>
      </w:pPr>
      <w:r>
        <w:rPr>
          <w:rFonts w:hint="eastAsia"/>
        </w:rPr>
        <w:t>2007年1月15日至2月2日</w:t>
      </w:r>
    </w:p>
    <w:p w:rsidR="002E3BB2" w:rsidRDefault="002E3BB2" w:rsidP="000B55C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4" w:right="1259" w:hanging="1264"/>
        <w:rPr>
          <w:rFonts w:hint="eastAsia"/>
        </w:rPr>
      </w:pPr>
      <w:r>
        <w:rPr>
          <w:rFonts w:hint="eastAsia"/>
        </w:rPr>
        <w:tab/>
      </w:r>
      <w:r>
        <w:rPr>
          <w:rFonts w:hint="eastAsia"/>
        </w:rPr>
        <w:tab/>
        <w:t>消除对妇女歧视委员会的结论意见：希腊</w:t>
      </w:r>
    </w:p>
    <w:p w:rsidR="002E3BB2" w:rsidRDefault="002E3BB2" w:rsidP="000B55C0">
      <w:pPr>
        <w:pStyle w:val="SingleTxt"/>
        <w:spacing w:after="180" w:line="332" w:lineRule="exact"/>
        <w:rPr>
          <w:rFonts w:hint="eastAsia"/>
        </w:rPr>
      </w:pPr>
      <w:r>
        <w:rPr>
          <w:rFonts w:hint="eastAsia"/>
        </w:rPr>
        <w:t>1.</w:t>
      </w:r>
      <w:r>
        <w:rPr>
          <w:rFonts w:hint="eastAsia"/>
        </w:rPr>
        <w:tab/>
      </w:r>
      <w:r w:rsidRPr="000B55C0">
        <w:rPr>
          <w:rFonts w:hint="eastAsia"/>
          <w:spacing w:val="4"/>
        </w:rPr>
        <w:t>2007年1月24日，委员会第767次和第768次会议(见CEDAW/C/SR.767和768)审议了希腊的第六次定期报告(CEDAW/C/GRC/6)。委员会的议题和问题清单见CEDAW/C/GRC/Q/6号文件，希腊的答复见CEDAW/C/GRC/Q/6/Add.1号文件。</w:t>
      </w:r>
    </w:p>
    <w:p w:rsidR="002E3BB2" w:rsidRDefault="002E3BB2" w:rsidP="000B55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80"/>
        <w:ind w:left="1264" w:right="1259" w:hanging="1264"/>
        <w:rPr>
          <w:rFonts w:hint="eastAsia"/>
        </w:rPr>
      </w:pPr>
      <w:r>
        <w:rPr>
          <w:rFonts w:hint="eastAsia"/>
        </w:rPr>
        <w:tab/>
      </w:r>
      <w:r>
        <w:rPr>
          <w:rFonts w:hint="eastAsia"/>
        </w:rPr>
        <w:tab/>
        <w:t>导言</w:t>
      </w:r>
    </w:p>
    <w:p w:rsidR="002E3BB2" w:rsidRDefault="002E3BB2" w:rsidP="000B55C0">
      <w:pPr>
        <w:pStyle w:val="SingleTxt"/>
        <w:spacing w:line="330" w:lineRule="exact"/>
        <w:rPr>
          <w:rFonts w:hint="eastAsia"/>
        </w:rPr>
      </w:pPr>
      <w:r>
        <w:rPr>
          <w:rFonts w:hint="eastAsia"/>
        </w:rPr>
        <w:t>2.</w:t>
      </w:r>
      <w:r>
        <w:rPr>
          <w:rFonts w:hint="eastAsia"/>
        </w:rPr>
        <w:tab/>
        <w:t>委员会感谢缔约国提交按委员会准则编写的第六次定期报告。委员会还感谢缔约国对会前工作组提出的议题和问题清单做出的书面答复以及对委员会口头提出的问题做出的口头说明和进一步澄清。</w:t>
      </w:r>
    </w:p>
    <w:p w:rsidR="002E3BB2" w:rsidRDefault="002E3BB2" w:rsidP="000B55C0">
      <w:pPr>
        <w:pStyle w:val="SingleTxt"/>
        <w:spacing w:line="330" w:lineRule="exact"/>
        <w:rPr>
          <w:rFonts w:hint="eastAsia"/>
        </w:rPr>
      </w:pPr>
      <w:r>
        <w:rPr>
          <w:rFonts w:hint="eastAsia"/>
        </w:rPr>
        <w:t>3</w:t>
      </w:r>
      <w:r w:rsidR="000B55C0">
        <w:rPr>
          <w:rFonts w:hint="eastAsia"/>
        </w:rPr>
        <w:t>.</w:t>
      </w:r>
      <w:r>
        <w:rPr>
          <w:rFonts w:hint="eastAsia"/>
        </w:rPr>
        <w:tab/>
        <w:t>委员会赞扬缔约国派出由两性平等问题秘书长率领的代表团出席会议，代表团成员包括来自相关部委和政府部门的男女代表。委员会赞赏代表团与委员会成员进行了坦率和建设性的对话。</w:t>
      </w:r>
    </w:p>
    <w:p w:rsidR="002E3BB2" w:rsidRDefault="002E3BB2" w:rsidP="000B55C0">
      <w:pPr>
        <w:pStyle w:val="SingleTxt"/>
        <w:spacing w:line="330" w:lineRule="exact"/>
        <w:rPr>
          <w:rFonts w:hint="eastAsia"/>
        </w:rPr>
      </w:pPr>
      <w:r>
        <w:rPr>
          <w:rFonts w:hint="eastAsia"/>
        </w:rPr>
        <w:t>4</w:t>
      </w:r>
      <w:r w:rsidR="000B55C0">
        <w:rPr>
          <w:rFonts w:hint="eastAsia"/>
        </w:rPr>
        <w:t>.</w:t>
      </w:r>
      <w:r>
        <w:rPr>
          <w:rFonts w:hint="eastAsia"/>
        </w:rPr>
        <w:tab/>
        <w:t>委员会赞赏地注意到，该报告是由政府机构、非政府组织、妇女组织以及独立专家共同参与编写的。</w:t>
      </w:r>
    </w:p>
    <w:p w:rsidR="002E3BB2" w:rsidRDefault="002E3BB2" w:rsidP="000B55C0">
      <w:pPr>
        <w:pStyle w:val="SingleTxt"/>
        <w:spacing w:line="330" w:lineRule="exact"/>
        <w:rPr>
          <w:rFonts w:hint="eastAsia"/>
        </w:rPr>
      </w:pPr>
      <w:r>
        <w:rPr>
          <w:rFonts w:hint="eastAsia"/>
        </w:rPr>
        <w:t>5</w:t>
      </w:r>
      <w:r w:rsidR="000B55C0">
        <w:rPr>
          <w:rFonts w:hint="eastAsia"/>
        </w:rPr>
        <w:t>.</w:t>
      </w:r>
      <w:r>
        <w:rPr>
          <w:rFonts w:hint="eastAsia"/>
        </w:rPr>
        <w:tab/>
        <w:t>委员会赞扬缔约国于2002年1月批准了《消除对妇女一切形式歧视公约任择议定书》。</w:t>
      </w:r>
    </w:p>
    <w:p w:rsidR="002E3BB2" w:rsidRDefault="002E3BB2" w:rsidP="000B55C0">
      <w:pPr>
        <w:pStyle w:val="SingleTxt"/>
        <w:spacing w:line="330" w:lineRule="exact"/>
        <w:rPr>
          <w:rFonts w:hint="eastAsia"/>
        </w:rPr>
      </w:pPr>
      <w:r>
        <w:rPr>
          <w:rFonts w:hint="eastAsia"/>
        </w:rPr>
        <w:t>6</w:t>
      </w:r>
      <w:r w:rsidR="000B55C0">
        <w:rPr>
          <w:rFonts w:hint="eastAsia"/>
        </w:rPr>
        <w:t>.</w:t>
      </w:r>
      <w:r>
        <w:rPr>
          <w:rFonts w:hint="eastAsia"/>
        </w:rPr>
        <w:tab/>
        <w:t>委员会赞赏地注意到缔约国正在考虑接受对《公约》中关于委员会会议时间问题的第二十条第1款的修正案。</w:t>
      </w:r>
    </w:p>
    <w:p w:rsidR="002E3BB2" w:rsidRDefault="002E3BB2" w:rsidP="000B55C0">
      <w:pPr>
        <w:pStyle w:val="SingleTxt"/>
        <w:spacing w:line="330" w:lineRule="exact"/>
        <w:rPr>
          <w:rFonts w:hint="eastAsia"/>
        </w:rPr>
      </w:pPr>
      <w:r>
        <w:rPr>
          <w:rFonts w:hint="eastAsia"/>
        </w:rPr>
        <w:t>7</w:t>
      </w:r>
      <w:r w:rsidR="000B55C0">
        <w:rPr>
          <w:rFonts w:hint="eastAsia"/>
        </w:rPr>
        <w:t>.</w:t>
      </w:r>
      <w:r>
        <w:rPr>
          <w:rFonts w:hint="eastAsia"/>
        </w:rPr>
        <w:tab/>
        <w:t>委员会还赞扬缔约国拒绝接受其他缔约国做出的、它认为不符合《公约》目标与宗旨的保留。</w:t>
      </w:r>
    </w:p>
    <w:p w:rsidR="002E3BB2" w:rsidRDefault="002E3BB2" w:rsidP="000B55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积极方面</w:t>
      </w:r>
    </w:p>
    <w:p w:rsidR="002E3BB2" w:rsidRDefault="002E3BB2" w:rsidP="002E3BB2">
      <w:pPr>
        <w:pStyle w:val="SingleTxt"/>
        <w:rPr>
          <w:rFonts w:hint="eastAsia"/>
        </w:rPr>
      </w:pPr>
      <w:r>
        <w:rPr>
          <w:rFonts w:hint="eastAsia"/>
        </w:rPr>
        <w:t>8</w:t>
      </w:r>
      <w:r w:rsidR="000B55C0">
        <w:rPr>
          <w:rFonts w:hint="eastAsia"/>
        </w:rPr>
        <w:t>.</w:t>
      </w:r>
      <w:r>
        <w:rPr>
          <w:rFonts w:hint="eastAsia"/>
        </w:rPr>
        <w:tab/>
        <w:t>委员会赞扬缔约国近来实施的旨在消除对妇女歧视和促进两性平等的法律改革。委员会特别欢迎缔约国的下列举措：2001年开始实施《宪法》第116条第2款，其中规定国家有责任采取特别措施消除对妇女的歧视；2002年颁布了关于制止贩运人口的第3064/2002号法律；2003年颁布了为贩运人口活动受害者提供援助的第233/2003号总统法令；2004年颁布了为人口贩运活动受害者发放临时居留许可证的第3274/2004号法律；2006年颁布了《制止家庭暴力法》和《关于就业、劳动和职业方面男女平等待遇法》。</w:t>
      </w:r>
    </w:p>
    <w:p w:rsidR="002E3BB2" w:rsidRDefault="002E3BB2" w:rsidP="002E3BB2">
      <w:pPr>
        <w:pStyle w:val="SingleTxt"/>
        <w:rPr>
          <w:rFonts w:hint="eastAsia"/>
        </w:rPr>
      </w:pPr>
      <w:r>
        <w:rPr>
          <w:rFonts w:hint="eastAsia"/>
        </w:rPr>
        <w:t>9</w:t>
      </w:r>
      <w:r w:rsidR="000B55C0">
        <w:rPr>
          <w:rFonts w:hint="eastAsia"/>
        </w:rPr>
        <w:t>.</w:t>
      </w:r>
      <w:r>
        <w:rPr>
          <w:rFonts w:hint="eastAsia"/>
        </w:rPr>
        <w:tab/>
        <w:t>委员会赞赏缔约国在建设性对话过程中表现出的全面执行《公约》条款的政治意愿。</w:t>
      </w:r>
    </w:p>
    <w:p w:rsidR="002E3BB2" w:rsidRDefault="002E3BB2" w:rsidP="002E3BB2">
      <w:pPr>
        <w:pStyle w:val="SingleTxt"/>
        <w:rPr>
          <w:rFonts w:hint="eastAsia"/>
        </w:rPr>
      </w:pPr>
      <w:r>
        <w:rPr>
          <w:rFonts w:hint="eastAsia"/>
        </w:rPr>
        <w:t>10</w:t>
      </w:r>
      <w:r w:rsidR="000B55C0">
        <w:rPr>
          <w:rFonts w:hint="eastAsia"/>
        </w:rPr>
        <w:t>.</w:t>
      </w:r>
      <w:r>
        <w:rPr>
          <w:rFonts w:hint="eastAsia"/>
        </w:rPr>
        <w:tab/>
        <w:t>委员会赞扬缔约国两性平等总秘书处与联合国难民事务高级专员办事处（难民署）签署了一项旨在促进和保护难民妇女和女孩权利的合作备忘录。委员会还赞扬缔约国拟定了一项执行该备忘录的行动计划。</w:t>
      </w:r>
    </w:p>
    <w:p w:rsidR="002E3BB2" w:rsidRDefault="002E3BB2" w:rsidP="002E3BB2">
      <w:pPr>
        <w:pStyle w:val="SingleTxt"/>
        <w:rPr>
          <w:rFonts w:hint="eastAsia"/>
        </w:rPr>
      </w:pPr>
      <w:r>
        <w:rPr>
          <w:rFonts w:hint="eastAsia"/>
        </w:rPr>
        <w:t>11</w:t>
      </w:r>
      <w:r w:rsidR="000B55C0">
        <w:rPr>
          <w:rFonts w:hint="eastAsia"/>
        </w:rPr>
        <w:t>.</w:t>
      </w:r>
      <w:r>
        <w:rPr>
          <w:rFonts w:hint="eastAsia"/>
        </w:rPr>
        <w:tab/>
        <w:t>委员会祝贺缔约国采取法律措施增加妇女就业，特别是开始实施第3250/2004号法律，其中重新界定了有资格应聘的人员类别，特别把育有未成年子女的母亲类别定额扩大至10％，同时规定把各类失业人数中将受益于这些就业职位的60％配额保留给妇女。</w:t>
      </w:r>
    </w:p>
    <w:p w:rsidR="002E3BB2" w:rsidRDefault="002E3BB2" w:rsidP="000B55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主要关切领域和建议</w:t>
      </w:r>
    </w:p>
    <w:p w:rsidR="002E3BB2" w:rsidRDefault="002E3BB2" w:rsidP="000B55C0">
      <w:pPr>
        <w:pStyle w:val="SingleTxt"/>
        <w:spacing w:line="332" w:lineRule="exact"/>
        <w:rPr>
          <w:rFonts w:hint="eastAsia"/>
        </w:rPr>
      </w:pPr>
      <w:r>
        <w:rPr>
          <w:rFonts w:hint="eastAsia"/>
        </w:rPr>
        <w:t>12</w:t>
      </w:r>
      <w:r w:rsidR="000B55C0">
        <w:rPr>
          <w:rFonts w:hint="eastAsia"/>
        </w:rPr>
        <w:t>.</w:t>
      </w:r>
      <w:r>
        <w:rPr>
          <w:rFonts w:hint="eastAsia"/>
        </w:rPr>
        <w:tab/>
      </w:r>
      <w:r w:rsidRPr="000B55C0">
        <w:rPr>
          <w:rFonts w:ascii="SimHei" w:eastAsia="SimHei" w:hint="eastAsia"/>
          <w:color w:val="FF0000"/>
        </w:rPr>
        <w:t>委员会回顾指出，缔约国有义务系统地不断执行《公约》各项条款，同时认为本结论意见中所列的关切问题和建议需要缔约国在现在至提交下次定期报告这段时间里予以高度优先重视。因此，委员会呼吁缔约国在执行活动中侧重这些方面，并在下次定期报告中报告所采取的行动和结果。委员会呼吁缔约国向所有相关部委和议会提交本结论意见，以确保全面落实。</w:t>
      </w:r>
    </w:p>
    <w:p w:rsidR="002E3BB2" w:rsidRDefault="002E3BB2" w:rsidP="000B55C0">
      <w:pPr>
        <w:pStyle w:val="SingleTxt"/>
        <w:spacing w:line="332" w:lineRule="exact"/>
        <w:rPr>
          <w:rFonts w:hint="eastAsia"/>
        </w:rPr>
      </w:pPr>
      <w:r>
        <w:rPr>
          <w:rFonts w:hint="eastAsia"/>
        </w:rPr>
        <w:t>13</w:t>
      </w:r>
      <w:r w:rsidR="000B55C0">
        <w:rPr>
          <w:rFonts w:hint="eastAsia"/>
        </w:rPr>
        <w:t>.</w:t>
      </w:r>
      <w:r>
        <w:rPr>
          <w:rFonts w:hint="eastAsia"/>
        </w:rPr>
        <w:tab/>
        <w:t>委员会关切地注意到，对男女在家庭和社会中的角色和责任问题始终存在着重男轻女态度和根深蒂固的定型观念。这些定型观念严重妨碍《公约》的执行，是对妇女暴力行为以及妇女在劳动力市场、政治和公共生活所有部门处于劣势地位的根源。</w:t>
      </w:r>
    </w:p>
    <w:p w:rsidR="002E3BB2" w:rsidRPr="000B55C0" w:rsidRDefault="002E3BB2" w:rsidP="000B55C0">
      <w:pPr>
        <w:pStyle w:val="SingleTxt"/>
        <w:spacing w:line="332" w:lineRule="exact"/>
        <w:rPr>
          <w:rFonts w:ascii="SimHei" w:eastAsia="SimHei" w:hint="eastAsia"/>
          <w:color w:val="FF0000"/>
        </w:rPr>
      </w:pPr>
      <w:r>
        <w:rPr>
          <w:rFonts w:hint="eastAsia"/>
        </w:rPr>
        <w:t>14</w:t>
      </w:r>
      <w:r w:rsidR="000B55C0">
        <w:rPr>
          <w:rFonts w:hint="eastAsia"/>
        </w:rPr>
        <w:t>.</w:t>
      </w:r>
      <w:r>
        <w:rPr>
          <w:rFonts w:hint="eastAsia"/>
        </w:rPr>
        <w:tab/>
      </w:r>
      <w:r w:rsidRPr="000B55C0">
        <w:rPr>
          <w:rFonts w:ascii="SimHei" w:eastAsia="SimHei" w:hint="eastAsia"/>
          <w:color w:val="FF0000"/>
          <w:spacing w:val="-2"/>
        </w:rPr>
        <w:t>委员会建议缔约国采取措施扭转传统的重男轻女态度和男女角色定型观念。这些措施应包括：根据《公约》第二条(f)款和第五条(a)款，以妇女和女孩，特别是以男人和男孩为对象，开展提高认识和公共宣传教育活动，以消除家庭和社会中的传统男女角色定型观念。委员会还建议缔约国进一步理清男女不平等现象顽固存在的根源，为此不妨研究强化男女角色定型观念的体制规则；传统、定型的意识形态在缔约国的具体表现；完全由妇女承担家务负担所付出的代价；妇女</w:t>
      </w:r>
      <w:r w:rsidRPr="000B55C0">
        <w:rPr>
          <w:rFonts w:ascii="SimHei" w:eastAsia="SimHei" w:hint="eastAsia"/>
          <w:color w:val="FF0000"/>
        </w:rPr>
        <w:t>无报酬劳动的货币价值；利用这些研究所得的洞见采取强化措施消除这些定型观念。</w:t>
      </w:r>
    </w:p>
    <w:p w:rsidR="002E3BB2" w:rsidRDefault="002E3BB2" w:rsidP="002E3BB2">
      <w:pPr>
        <w:pStyle w:val="SingleTxt"/>
        <w:rPr>
          <w:rFonts w:hint="eastAsia"/>
        </w:rPr>
      </w:pPr>
      <w:r>
        <w:rPr>
          <w:rFonts w:hint="eastAsia"/>
        </w:rPr>
        <w:t>15</w:t>
      </w:r>
      <w:r w:rsidR="000B55C0">
        <w:rPr>
          <w:rFonts w:hint="eastAsia"/>
        </w:rPr>
        <w:t>.</w:t>
      </w:r>
      <w:r>
        <w:rPr>
          <w:rFonts w:hint="eastAsia"/>
        </w:rPr>
        <w:tab/>
        <w:t>委员会注意到，国家法律列有惩罚性别歧视行为的规定，同时规定了免受歧视的权利和平等权利受到侵犯时的补救办法，但委员会感到关切的是，妇女可能不了解，或在其权利受到侵犯时，难以利用她们应得到的补救办法。</w:t>
      </w:r>
    </w:p>
    <w:p w:rsidR="002E3BB2" w:rsidRDefault="002E3BB2" w:rsidP="002E3BB2">
      <w:pPr>
        <w:pStyle w:val="SingleTxt"/>
        <w:rPr>
          <w:rFonts w:hint="eastAsia"/>
        </w:rPr>
      </w:pPr>
      <w:r>
        <w:rPr>
          <w:rFonts w:hint="eastAsia"/>
        </w:rPr>
        <w:t>16</w:t>
      </w:r>
      <w:r w:rsidR="000B55C0">
        <w:rPr>
          <w:rFonts w:hint="eastAsia"/>
        </w:rPr>
        <w:t>.</w:t>
      </w:r>
      <w:r>
        <w:rPr>
          <w:rFonts w:hint="eastAsia"/>
        </w:rPr>
        <w:tab/>
      </w:r>
      <w:r w:rsidRPr="000B55C0">
        <w:rPr>
          <w:rFonts w:ascii="SimHei" w:eastAsia="SimHei" w:hint="eastAsia"/>
          <w:color w:val="FF0000"/>
        </w:rPr>
        <w:t>委员会请缔约国消除妇女在寻求正义方面可能遇到的障碍。委员会敦促缔约国提供法律援助服务，通过宣传使人民了解如何利用现有的反歧视法律渠道，同时监督这些工作的成果。</w:t>
      </w:r>
    </w:p>
    <w:p w:rsidR="002E3BB2" w:rsidRDefault="002E3BB2" w:rsidP="002E3BB2">
      <w:pPr>
        <w:pStyle w:val="SingleTxt"/>
        <w:rPr>
          <w:rFonts w:hint="eastAsia"/>
        </w:rPr>
      </w:pPr>
      <w:r>
        <w:rPr>
          <w:rFonts w:hint="eastAsia"/>
        </w:rPr>
        <w:t>17</w:t>
      </w:r>
      <w:r w:rsidR="000B55C0">
        <w:rPr>
          <w:rFonts w:hint="eastAsia"/>
        </w:rPr>
        <w:t>.</w:t>
      </w:r>
      <w:r>
        <w:rPr>
          <w:rFonts w:hint="eastAsia"/>
        </w:rPr>
        <w:tab/>
        <w:t>委员会注意到，缔约国已采取措施促进少数族裔妇女融入希腊社会，例如罗姆族妇女融入社会综合行动计划，但委员会仍然关切少数族裔妇女，特别是罗姆族妇女和穆斯林妇女在接受教育、就业和卫生保健方面可能遇到的多种形式歧视。委员会对报告中缺乏关于这些妇女群体的资料和数据表示遗憾。</w:t>
      </w:r>
    </w:p>
    <w:p w:rsidR="002E3BB2" w:rsidRDefault="002E3BB2" w:rsidP="002E3BB2">
      <w:pPr>
        <w:pStyle w:val="SingleTxt"/>
        <w:rPr>
          <w:rFonts w:hint="eastAsia"/>
        </w:rPr>
      </w:pPr>
      <w:r>
        <w:rPr>
          <w:rFonts w:hint="eastAsia"/>
        </w:rPr>
        <w:t>18.</w:t>
      </w:r>
      <w:r>
        <w:rPr>
          <w:rFonts w:hint="eastAsia"/>
        </w:rPr>
        <w:tab/>
      </w:r>
      <w:r w:rsidRPr="000B55C0">
        <w:rPr>
          <w:rFonts w:ascii="SimHei" w:eastAsia="SimHei" w:hint="eastAsia"/>
          <w:color w:val="FF0000"/>
        </w:rPr>
        <w:t>委员会呼吁缔约国采取有效措施，消除对少数民族妇女的歧视，特别是对罗姆族妇女和穆斯林妇女的歧视，并增进她们对人权的享受。委员会请缔约国在其下次报告中提供资料，说明少数民族妇女的境况，包括介绍她们获得教育、就业和保健服务的机会以及为增进这些机会而采取的措施所发挥的作用和成效及长期趋势。</w:t>
      </w:r>
    </w:p>
    <w:p w:rsidR="002E3BB2" w:rsidRDefault="002E3BB2" w:rsidP="002E3BB2">
      <w:pPr>
        <w:pStyle w:val="SingleTxt"/>
        <w:rPr>
          <w:rFonts w:hint="eastAsia"/>
        </w:rPr>
      </w:pPr>
      <w:r>
        <w:rPr>
          <w:rFonts w:hint="eastAsia"/>
        </w:rPr>
        <w:t>19.</w:t>
      </w:r>
      <w:r>
        <w:rPr>
          <w:rFonts w:hint="eastAsia"/>
        </w:rPr>
        <w:tab/>
        <w:t>委员会欢迎于2006年颁布《制止家庭暴力法》，特别是把婚内强奸定为刑事犯罪，并禁止针对未成年人的人身暴力行为。但是，委员会关切地看到，在某些类型的家庭暴力刑事案件中，可以由检察官提议进行调停，这可能使遭遇暴力的妇女再次受到伤害。</w:t>
      </w:r>
    </w:p>
    <w:p w:rsidR="002E3BB2" w:rsidRPr="000B55C0" w:rsidRDefault="002E3BB2" w:rsidP="000B55C0">
      <w:pPr>
        <w:pStyle w:val="SingleTxt"/>
        <w:spacing w:line="332" w:lineRule="exact"/>
        <w:rPr>
          <w:rFonts w:ascii="SimHei" w:eastAsia="SimHei" w:hint="eastAsia"/>
          <w:color w:val="FF0000"/>
        </w:rPr>
      </w:pPr>
      <w:r>
        <w:rPr>
          <w:rFonts w:hint="eastAsia"/>
        </w:rPr>
        <w:t>20.</w:t>
      </w:r>
      <w:r>
        <w:rPr>
          <w:rFonts w:hint="eastAsia"/>
        </w:rPr>
        <w:tab/>
      </w:r>
      <w:r w:rsidRPr="000B55C0">
        <w:rPr>
          <w:rFonts w:ascii="SimHei" w:eastAsia="SimHei" w:hint="eastAsia"/>
          <w:color w:val="FF0000"/>
          <w:spacing w:val="-2"/>
        </w:rPr>
        <w:t>委员会建议缔约国进行研究，密切监测《制止家庭暴力法》，特别是其调停程序，以保证在这项法律的执行过程中尊重和促进妇女人权，不使犯罪者逃脱惩罚。委员会呼吁缔约国采取措施，对在家庭暴力案件刑事诉讼中进行调停的法官进行培训，从而加强他们的能力，使他们能够结合两性因素处理侵害妇女暴力行为。</w:t>
      </w:r>
    </w:p>
    <w:p w:rsidR="002E3BB2" w:rsidRDefault="002E3BB2" w:rsidP="000B55C0">
      <w:pPr>
        <w:pStyle w:val="SingleTxt"/>
        <w:spacing w:line="332" w:lineRule="exact"/>
        <w:rPr>
          <w:rFonts w:hint="eastAsia"/>
        </w:rPr>
      </w:pPr>
      <w:r>
        <w:rPr>
          <w:rFonts w:hint="eastAsia"/>
        </w:rPr>
        <w:t>21.</w:t>
      </w:r>
      <w:r>
        <w:rPr>
          <w:rFonts w:hint="eastAsia"/>
        </w:rPr>
        <w:tab/>
        <w:t>委员会欢迎缔约国采取各种措施打击贩运活动，包括修订法律和通过一项综合的《打击人口贩运活动全国计划》，但委员会仍关切地看到，依然存在贩运妇女和女孩的现象，而且打击人口贩运的法律没有得到充分执行。</w:t>
      </w:r>
    </w:p>
    <w:p w:rsidR="002E3BB2" w:rsidRPr="000B55C0" w:rsidRDefault="002E3BB2" w:rsidP="000B55C0">
      <w:pPr>
        <w:pStyle w:val="SingleTxt"/>
        <w:spacing w:line="332" w:lineRule="exact"/>
        <w:rPr>
          <w:rFonts w:ascii="SimHei" w:eastAsia="SimHei" w:hint="eastAsia"/>
          <w:color w:val="FF0000"/>
        </w:rPr>
      </w:pPr>
      <w:r>
        <w:rPr>
          <w:rFonts w:hint="eastAsia"/>
        </w:rPr>
        <w:t>22.</w:t>
      </w:r>
      <w:r>
        <w:rPr>
          <w:rFonts w:hint="eastAsia"/>
        </w:rPr>
        <w:tab/>
      </w:r>
      <w:r w:rsidRPr="000B55C0">
        <w:rPr>
          <w:rFonts w:ascii="SimHei" w:eastAsia="SimHei" w:hint="eastAsia"/>
          <w:color w:val="FF0000"/>
        </w:rPr>
        <w:t>委员会请缔约国切实执行综合的《打击人口贩运活动全国计划》。委员会呼吁缔约国确保充分执行打击贩运活动的法律，特别是切实起诉和惩罚犯罪者。委员会还建议缔约国进一步努力防止人口贩运活动，并向妇女受害者提供援助和支持。</w:t>
      </w:r>
    </w:p>
    <w:p w:rsidR="002E3BB2" w:rsidRDefault="002E3BB2" w:rsidP="000B55C0">
      <w:pPr>
        <w:pStyle w:val="SingleTxt"/>
        <w:spacing w:line="332" w:lineRule="exact"/>
        <w:rPr>
          <w:rFonts w:hint="eastAsia"/>
        </w:rPr>
      </w:pPr>
      <w:r>
        <w:rPr>
          <w:rFonts w:hint="eastAsia"/>
        </w:rPr>
        <w:t>23.</w:t>
      </w:r>
      <w:r>
        <w:rPr>
          <w:rFonts w:hint="eastAsia"/>
        </w:rPr>
        <w:tab/>
        <w:t>委员会赞扬订立强制定额，即在地方选举候选人名单和所有政府部门的集体决策机关中，每个性别所占比例不得少于三分之一。但是，委员会关切地看到，妇女在各级政治和公众生活以及在决策过程中的代表比例不足，在议会和外交部门尤其如此。委员会还对妇女在工会和雇主协会中的参与有限感到关切。</w:t>
      </w:r>
    </w:p>
    <w:p w:rsidR="002E3BB2" w:rsidRDefault="002E3BB2" w:rsidP="002E3BB2">
      <w:pPr>
        <w:pStyle w:val="SingleTxt"/>
        <w:rPr>
          <w:rFonts w:hint="eastAsia"/>
        </w:rPr>
      </w:pPr>
      <w:r>
        <w:rPr>
          <w:rFonts w:hint="eastAsia"/>
        </w:rPr>
        <w:t>24.</w:t>
      </w:r>
      <w:r>
        <w:rPr>
          <w:rFonts w:hint="eastAsia"/>
        </w:rPr>
        <w:tab/>
      </w:r>
      <w:r w:rsidRPr="000B55C0">
        <w:rPr>
          <w:rFonts w:ascii="SimHei" w:eastAsia="SimHei" w:hint="eastAsia"/>
          <w:color w:val="FF0000"/>
        </w:rPr>
        <w:t>委员会呼吁缔约国切实执行当前的定额法，以增加妇女在选举产生的地方机关和所有政府部门的集体决策机关中的参与。委员会建议缔约国根据《公约》第四条第1款和委员会一般性建议25采取暂行特别措施，以加快执行《公约》第七和第八条的规定，增加妇女在所有方面的政治参与，包括在议会和外交部门的参与。委员会又建议开展宣传活动，宣传妇女在决策过程中的参与对于整个社会的重要性。委员会还建议缔约国按照《公约》第二条(e)款和第七条(c)款采取适当措施，确保妇女能够平等参与工会和雇主协会。委员会鼓励缔约国监测所采取的措施的作用和长期趋势。</w:t>
      </w:r>
    </w:p>
    <w:p w:rsidR="002E3BB2" w:rsidRDefault="002E3BB2" w:rsidP="002E3BB2">
      <w:pPr>
        <w:pStyle w:val="SingleTxt"/>
        <w:rPr>
          <w:rFonts w:hint="eastAsia"/>
        </w:rPr>
      </w:pPr>
      <w:r>
        <w:rPr>
          <w:rFonts w:hint="eastAsia"/>
        </w:rPr>
        <w:t>25.</w:t>
      </w:r>
      <w:r>
        <w:rPr>
          <w:rFonts w:hint="eastAsia"/>
        </w:rPr>
        <w:tab/>
        <w:t>委员会感到关切的是，由于获得计划生育服务和避孕药具的机会不足，妇女和少女把人工流产作为控制生育的方法。委员会对缺乏按人工流产者的年龄和族裔分列的人工流产率数据感到遗憾。委员会还对剖腹产很多感到关切。</w:t>
      </w:r>
    </w:p>
    <w:p w:rsidR="002E3BB2" w:rsidRDefault="002E3BB2" w:rsidP="002E3BB2">
      <w:pPr>
        <w:pStyle w:val="SingleTxt"/>
        <w:rPr>
          <w:rFonts w:hint="eastAsia"/>
        </w:rPr>
      </w:pPr>
      <w:r>
        <w:rPr>
          <w:rFonts w:hint="eastAsia"/>
        </w:rPr>
        <w:t>26.</w:t>
      </w:r>
      <w:r>
        <w:rPr>
          <w:rFonts w:hint="eastAsia"/>
        </w:rPr>
        <w:tab/>
      </w:r>
      <w:r w:rsidRPr="000B55C0">
        <w:rPr>
          <w:rFonts w:ascii="SimHei" w:eastAsia="SimHei" w:hint="eastAsia"/>
          <w:color w:val="FF0000"/>
        </w:rPr>
        <w:t>委员会建议缔约国执行方案和政策，使妇女，包括少数民族妇女和少女，能够切实得到保健信息、避孕药具和计划生育服务，从而不必把人工流产作为控制生育的方法。委员会敦促缔约国执行面向男子、妇女和青少年的性保健和生殖保健教育方案，以提倡负责任的性行为。委员会还呼吁缔约国与医务界密切协商，采取举措减少剖腹产。</w:t>
      </w:r>
    </w:p>
    <w:p w:rsidR="002E3BB2" w:rsidRDefault="002E3BB2" w:rsidP="002E3BB2">
      <w:pPr>
        <w:pStyle w:val="SingleTxt"/>
        <w:rPr>
          <w:rFonts w:hint="eastAsia"/>
        </w:rPr>
      </w:pPr>
      <w:r>
        <w:rPr>
          <w:rFonts w:hint="eastAsia"/>
        </w:rPr>
        <w:t>27.</w:t>
      </w:r>
      <w:r>
        <w:rPr>
          <w:rFonts w:hint="eastAsia"/>
        </w:rPr>
        <w:tab/>
        <w:t>委员会对高等教育领域的妇女，包括少数民族妇女，人数不足感到关切。</w:t>
      </w:r>
    </w:p>
    <w:p w:rsidR="002E3BB2" w:rsidRDefault="002E3BB2" w:rsidP="002E3BB2">
      <w:pPr>
        <w:pStyle w:val="SingleTxt"/>
        <w:rPr>
          <w:rFonts w:hint="eastAsia"/>
        </w:rPr>
      </w:pPr>
      <w:r>
        <w:rPr>
          <w:rFonts w:hint="eastAsia"/>
        </w:rPr>
        <w:t>28.</w:t>
      </w:r>
      <w:r>
        <w:rPr>
          <w:rFonts w:hint="eastAsia"/>
        </w:rPr>
        <w:tab/>
      </w:r>
      <w:r w:rsidRPr="000B55C0">
        <w:rPr>
          <w:rFonts w:ascii="SimHei" w:eastAsia="SimHei" w:hint="eastAsia"/>
          <w:color w:val="FF0000"/>
        </w:rPr>
        <w:t>委员会敦促缔约国采取措施，使人们更多意识到，教育作为一项人权以及作为增强妇女能力的基础具有重要意义。委员会建议缔约国根据关于暂行特别措施的《公约》第四条第1款和委员会一般性建议25采取暂行特别措施，增加高等教育领域的妇女人数，包括少数民族妇女。委员会请缔约国在下次定期报告中说明所采取的措施及其效果。</w:t>
      </w:r>
    </w:p>
    <w:p w:rsidR="002E3BB2" w:rsidRDefault="002E3BB2" w:rsidP="002E3BB2">
      <w:pPr>
        <w:pStyle w:val="SingleTxt"/>
        <w:rPr>
          <w:rFonts w:hint="eastAsia"/>
        </w:rPr>
      </w:pPr>
      <w:r>
        <w:rPr>
          <w:rFonts w:hint="eastAsia"/>
        </w:rPr>
        <w:t>29.</w:t>
      </w:r>
      <w:r>
        <w:rPr>
          <w:rFonts w:hint="eastAsia"/>
        </w:rPr>
        <w:tab/>
        <w:t>委员会关切妇女在劳动力市场的处境，特别是妇女失业率高和集中于收入低下的就业部门，而且男女同工不同酬。委员会还感到关切的是，缔约国没有提供任何统计数据，用以显示公营部门和私营部门休育儿假的男子人数。</w:t>
      </w:r>
    </w:p>
    <w:p w:rsidR="002E3BB2" w:rsidRDefault="002E3BB2" w:rsidP="002E3BB2">
      <w:pPr>
        <w:pStyle w:val="SingleTxt"/>
        <w:rPr>
          <w:rFonts w:hint="eastAsia"/>
        </w:rPr>
      </w:pPr>
      <w:r>
        <w:rPr>
          <w:rFonts w:hint="eastAsia"/>
        </w:rPr>
        <w:t>30.</w:t>
      </w:r>
      <w:r>
        <w:rPr>
          <w:rFonts w:hint="eastAsia"/>
        </w:rPr>
        <w:tab/>
      </w:r>
      <w:r w:rsidRPr="000B55C0">
        <w:rPr>
          <w:rFonts w:ascii="SimHei" w:eastAsia="SimHei" w:hint="eastAsia"/>
          <w:color w:val="FF0000"/>
        </w:rPr>
        <w:t>委员会敦促缔约国除采取其他措施外，根据关于暂行特别措施的《公约》第四条第1款和委员会一般性建议25采取暂行特别措施，以保证妇女和男子在劳动力市场中机会平等。委员会建议加强努力，降低妇女失业率，消除纵横两向的就业隔离，并缩小和消除男女之间的工资差距。委员会建议缔约国根据《公约》第十一条第3款定期审查本国法律，以减少妇女在劳动力市场遇到的障碍。委员会还敦促缔约国监测妇女和男子使用育儿假情况，以此作为一个指标，显示家庭责任分担情况，并制定刺激措施，鼓励更多男子利用育儿假。委员会呼吁缔约国监测所采取措施的效力和取得的成果，并在下次定期报告中加以说明。</w:t>
      </w:r>
    </w:p>
    <w:p w:rsidR="002E3BB2" w:rsidRDefault="002E3BB2" w:rsidP="002E3BB2">
      <w:pPr>
        <w:pStyle w:val="SingleTxt"/>
        <w:rPr>
          <w:rFonts w:hint="eastAsia"/>
        </w:rPr>
      </w:pPr>
      <w:r>
        <w:rPr>
          <w:rFonts w:hint="eastAsia"/>
        </w:rPr>
        <w:t>31.</w:t>
      </w:r>
      <w:r>
        <w:rPr>
          <w:rFonts w:hint="eastAsia"/>
        </w:rPr>
        <w:tab/>
        <w:t>委员会关切的是，缺乏用以了解移民妇女无法为其子女领取出生证情况的资料。</w:t>
      </w:r>
    </w:p>
    <w:p w:rsidR="002E3BB2" w:rsidRDefault="002E3BB2" w:rsidP="002E3BB2">
      <w:pPr>
        <w:pStyle w:val="SingleTxt"/>
        <w:rPr>
          <w:rFonts w:hint="eastAsia"/>
        </w:rPr>
      </w:pPr>
      <w:r>
        <w:rPr>
          <w:rFonts w:hint="eastAsia"/>
        </w:rPr>
        <w:t>32.</w:t>
      </w:r>
      <w:r>
        <w:rPr>
          <w:rFonts w:hint="eastAsia"/>
        </w:rPr>
        <w:tab/>
      </w:r>
      <w:r w:rsidRPr="000B55C0">
        <w:rPr>
          <w:rFonts w:ascii="SimHei" w:eastAsia="SimHei" w:hint="eastAsia"/>
          <w:color w:val="FF0000"/>
        </w:rPr>
        <w:t>委员会呼吁缔约国采取措施，确保向移民妇女的子女颁发出生证。</w:t>
      </w:r>
    </w:p>
    <w:p w:rsidR="002E3BB2" w:rsidRDefault="002E3BB2" w:rsidP="002E3BB2">
      <w:pPr>
        <w:pStyle w:val="SingleTxt"/>
        <w:rPr>
          <w:rFonts w:hint="eastAsia"/>
        </w:rPr>
      </w:pPr>
      <w:r>
        <w:rPr>
          <w:rFonts w:hint="eastAsia"/>
        </w:rPr>
        <w:t>33.</w:t>
      </w:r>
      <w:r>
        <w:rPr>
          <w:rFonts w:hint="eastAsia"/>
        </w:rPr>
        <w:tab/>
        <w:t>委员会关切的是，在婚姻和遗产事务方面，希腊的普通法不适用于穆斯林少数民族，因为穆斯林社区可以选择受伊斯兰法的管辖。委员会感到关切的是，这一情况违反《希腊宪法》和《公约》第十六条，导致对穆斯林妇女的歧视。委员会关切地注意到，在穆斯林社区继续存在早婚和一夫多妻现象，尽管这有悖希腊宪法和《公约》。</w:t>
      </w:r>
    </w:p>
    <w:p w:rsidR="002E3BB2" w:rsidRDefault="002E3BB2" w:rsidP="002E3BB2">
      <w:pPr>
        <w:pStyle w:val="SingleTxt"/>
        <w:rPr>
          <w:rFonts w:hint="eastAsia"/>
        </w:rPr>
      </w:pPr>
      <w:r>
        <w:rPr>
          <w:rFonts w:hint="eastAsia"/>
        </w:rPr>
        <w:t>34</w:t>
      </w:r>
      <w:r w:rsidR="000B55C0">
        <w:rPr>
          <w:rFonts w:hint="eastAsia"/>
        </w:rPr>
        <w:t>.</w:t>
      </w:r>
      <w:r>
        <w:rPr>
          <w:rFonts w:hint="eastAsia"/>
        </w:rPr>
        <w:tab/>
      </w:r>
      <w:r w:rsidRPr="000B55C0">
        <w:rPr>
          <w:rFonts w:ascii="SimHei" w:eastAsia="SimHei" w:hint="eastAsia"/>
          <w:color w:val="FF0000"/>
        </w:rPr>
        <w:t>委员会敦促缔约国更加努力地提高穆斯林妇女对其权利及对遭受暴力后补救措施的认识，确保她们从希腊婚姻法和继承法的规定中获益。委员会吁请缔约国依照希腊宪法以及关于婚姻和家庭关系中平等问题的《公约》第十六条和委员会一般性建议21大力执法，禁止早婚和一夫多妻，并采取全面措施消除这些习俗。</w:t>
      </w:r>
    </w:p>
    <w:p w:rsidR="002E3BB2" w:rsidRDefault="002E3BB2" w:rsidP="002E3BB2">
      <w:pPr>
        <w:pStyle w:val="SingleTxt"/>
        <w:rPr>
          <w:rFonts w:hint="eastAsia"/>
        </w:rPr>
      </w:pPr>
      <w:r>
        <w:rPr>
          <w:rFonts w:hint="eastAsia"/>
        </w:rPr>
        <w:t>35</w:t>
      </w:r>
      <w:r w:rsidR="000B55C0">
        <w:rPr>
          <w:rFonts w:hint="eastAsia"/>
        </w:rPr>
        <w:t>.</w:t>
      </w:r>
      <w:r>
        <w:rPr>
          <w:rFonts w:hint="eastAsia"/>
        </w:rPr>
        <w:tab/>
        <w:t>委员会欢迎两性平等研究中心为支持政府关于促进两性平等和提高妇女地位的政策所作的工作，同时也关切地注意到缔约国报告中没有列入该研究中心的研究成果，特别是关于少数族裔妇女的研究成果。</w:t>
      </w:r>
    </w:p>
    <w:p w:rsidR="002E3BB2" w:rsidRDefault="002E3BB2" w:rsidP="002E3BB2">
      <w:pPr>
        <w:pStyle w:val="SingleTxt"/>
        <w:rPr>
          <w:rFonts w:hint="eastAsia"/>
        </w:rPr>
      </w:pPr>
      <w:r>
        <w:rPr>
          <w:rFonts w:hint="eastAsia"/>
        </w:rPr>
        <w:t>36</w:t>
      </w:r>
      <w:r w:rsidR="000B55C0">
        <w:rPr>
          <w:rFonts w:hint="eastAsia"/>
        </w:rPr>
        <w:t>.</w:t>
      </w:r>
      <w:r>
        <w:rPr>
          <w:rFonts w:hint="eastAsia"/>
        </w:rPr>
        <w:tab/>
      </w:r>
      <w:r w:rsidRPr="000B55C0">
        <w:rPr>
          <w:rFonts w:ascii="SimHei" w:eastAsia="SimHei" w:hint="eastAsia"/>
          <w:color w:val="FF0000"/>
        </w:rPr>
        <w:t>委员会请缔约国在下次报告中列入两性平等研究中心特别是关于少数族裔妇女的研究成果。委员会还鼓励缔约国将这些研究成果和结论作为进一步完善立法和政策框架的基础，以期切实执行男女平等原则。</w:t>
      </w:r>
    </w:p>
    <w:p w:rsidR="002E3BB2" w:rsidRDefault="002E3BB2" w:rsidP="002E3BB2">
      <w:pPr>
        <w:pStyle w:val="SingleTxt"/>
        <w:rPr>
          <w:rFonts w:hint="eastAsia"/>
        </w:rPr>
      </w:pPr>
      <w:r>
        <w:rPr>
          <w:rFonts w:hint="eastAsia"/>
        </w:rPr>
        <w:t>37</w:t>
      </w:r>
      <w:r w:rsidR="000B55C0">
        <w:rPr>
          <w:rFonts w:hint="eastAsia"/>
        </w:rPr>
        <w:t>.</w:t>
      </w:r>
      <w:r>
        <w:rPr>
          <w:rFonts w:hint="eastAsia"/>
        </w:rPr>
        <w:tab/>
      </w:r>
      <w:r w:rsidRPr="000B55C0">
        <w:rPr>
          <w:rFonts w:ascii="SimHei" w:eastAsia="SimHei" w:hint="eastAsia"/>
          <w:color w:val="FF0000"/>
        </w:rPr>
        <w:t>委员会鼓励缔约国尽早接受关于委员会会议时间的《公约》第二十条第1款的修正案。</w:t>
      </w:r>
    </w:p>
    <w:p w:rsidR="002E3BB2" w:rsidRDefault="002E3BB2" w:rsidP="002E3BB2">
      <w:pPr>
        <w:pStyle w:val="SingleTxt"/>
        <w:rPr>
          <w:rFonts w:hint="eastAsia"/>
        </w:rPr>
      </w:pPr>
      <w:r>
        <w:rPr>
          <w:rFonts w:hint="eastAsia"/>
        </w:rPr>
        <w:t>38.</w:t>
      </w:r>
      <w:r>
        <w:rPr>
          <w:rFonts w:hint="eastAsia"/>
        </w:rPr>
        <w:tab/>
      </w:r>
      <w:r w:rsidRPr="000B55C0">
        <w:rPr>
          <w:rFonts w:ascii="SimHei" w:eastAsia="SimHei" w:hint="eastAsia"/>
          <w:color w:val="FF0000"/>
        </w:rPr>
        <w:t>委员会敦促缔约国在履行《公约》义务时充分实施《北京宣言和行动纲要》，后者强化了《公约》各项规定，并请缔约国在下次定期报告中列入有关资料。</w:t>
      </w:r>
    </w:p>
    <w:p w:rsidR="002E3BB2" w:rsidRPr="000B55C0" w:rsidRDefault="002E3BB2" w:rsidP="002E3BB2">
      <w:pPr>
        <w:pStyle w:val="SingleTxt"/>
        <w:rPr>
          <w:rFonts w:ascii="SimHei" w:eastAsia="SimHei" w:hint="eastAsia"/>
          <w:color w:val="FF0000"/>
        </w:rPr>
      </w:pPr>
      <w:r>
        <w:rPr>
          <w:rFonts w:hint="eastAsia"/>
        </w:rPr>
        <w:t>39</w:t>
      </w:r>
      <w:r w:rsidR="000B55C0">
        <w:rPr>
          <w:rFonts w:hint="eastAsia"/>
        </w:rPr>
        <w:t>.</w:t>
      </w:r>
      <w:r>
        <w:rPr>
          <w:rFonts w:hint="eastAsia"/>
        </w:rPr>
        <w:tab/>
      </w:r>
      <w:r w:rsidRPr="000B55C0">
        <w:rPr>
          <w:rFonts w:ascii="SimHei" w:eastAsia="SimHei" w:hint="eastAsia"/>
          <w:color w:val="FF0000"/>
        </w:rPr>
        <w:t>委员会还强调，全面和切实执行《公约》对于实现千年发展目标不可或缺。委员会呼吁在一切旨在实现千年发展目标的工作中纳入性别观点并明确反映《公约》各项规定，并请缔约国在下次定期报告中列入有关资料。</w:t>
      </w:r>
    </w:p>
    <w:p w:rsidR="002E3BB2" w:rsidRDefault="002E3BB2" w:rsidP="002E3BB2">
      <w:pPr>
        <w:pStyle w:val="SingleTxt"/>
        <w:rPr>
          <w:rFonts w:hint="eastAsia"/>
        </w:rPr>
      </w:pPr>
      <w:r>
        <w:rPr>
          <w:rFonts w:hint="eastAsia"/>
        </w:rPr>
        <w:t>40.</w:t>
      </w:r>
      <w:r>
        <w:rPr>
          <w:rFonts w:hint="eastAsia"/>
        </w:rPr>
        <w:tab/>
      </w:r>
      <w:r w:rsidRPr="000B55C0">
        <w:rPr>
          <w:rFonts w:ascii="SimHei" w:eastAsia="SimHei" w:hint="eastAsia"/>
          <w:color w:val="FF0000"/>
        </w:rPr>
        <w:t>委员会指出，各国遵循七项主要国际人权文书，</w:t>
      </w:r>
      <w:r>
        <w:rPr>
          <w:rStyle w:val="FootnoteReference"/>
        </w:rPr>
        <w:footnoteReference w:id="1"/>
      </w:r>
      <w:r>
        <w:rPr>
          <w:rFonts w:hint="eastAsia"/>
        </w:rPr>
        <w:t xml:space="preserve"> </w:t>
      </w:r>
      <w:r w:rsidRPr="000B55C0">
        <w:rPr>
          <w:rFonts w:ascii="SimHei" w:eastAsia="SimHei" w:hint="eastAsia"/>
          <w:color w:val="FF0000"/>
        </w:rPr>
        <w:t>这有助于增进妇女在生活所有方面享受人权和基本自由。因此，委员会鼓励希腊政府考虑批准其尚未加入的条约，即《保护所有移徙工人及其家庭成员权利国际公约》。</w:t>
      </w:r>
    </w:p>
    <w:p w:rsidR="002E3BB2" w:rsidRPr="000B55C0" w:rsidRDefault="002E3BB2" w:rsidP="002E3BB2">
      <w:pPr>
        <w:pStyle w:val="SingleTxt"/>
        <w:rPr>
          <w:rFonts w:ascii="SimHei" w:eastAsia="SimHei" w:hint="eastAsia"/>
          <w:color w:val="FF0000"/>
        </w:rPr>
      </w:pPr>
      <w:r>
        <w:rPr>
          <w:rFonts w:hint="eastAsia"/>
        </w:rPr>
        <w:t>41.</w:t>
      </w:r>
      <w:r>
        <w:rPr>
          <w:rFonts w:hint="eastAsia"/>
        </w:rPr>
        <w:tab/>
      </w:r>
      <w:r w:rsidRPr="000B55C0">
        <w:rPr>
          <w:rFonts w:ascii="SimHei" w:eastAsia="SimHei" w:hint="eastAsia"/>
          <w:color w:val="FF0000"/>
        </w:rPr>
        <w:t>委员会要求在希腊广泛宣传本结论意见，让希腊人民，包括政府官员、政治家、议员、妇女组织和人权组织了解为确保妇女在法律上和事实上的平等已经采取的步骤，了解这方面需要进一步采取的步骤。委员会请缔约国继续广泛宣传，尤其是向妇女组织和人权组织广泛宣传《公约》及其《任择议定书》、委员会一般性建议、《北京宣言和行动纲要》以及题为“2000年妇女：二十一世纪两性平等、发展与和平”的大会第二十三届特别会议的成果。</w:t>
      </w:r>
    </w:p>
    <w:p w:rsidR="002E3BB2" w:rsidRPr="000B55C0" w:rsidRDefault="002E3BB2" w:rsidP="002E3BB2">
      <w:pPr>
        <w:pStyle w:val="SingleTxt"/>
        <w:rPr>
          <w:rFonts w:ascii="SimHei" w:eastAsia="SimHei" w:hint="eastAsia"/>
          <w:color w:val="FF0000"/>
        </w:rPr>
      </w:pPr>
      <w:r>
        <w:rPr>
          <w:rFonts w:hint="eastAsia"/>
        </w:rPr>
        <w:t>42.</w:t>
      </w:r>
      <w:r>
        <w:rPr>
          <w:rFonts w:hint="eastAsia"/>
        </w:rPr>
        <w:tab/>
      </w:r>
      <w:r w:rsidRPr="000B55C0">
        <w:rPr>
          <w:rFonts w:ascii="SimHei" w:eastAsia="SimHei" w:hint="eastAsia"/>
          <w:color w:val="FF0000"/>
        </w:rPr>
        <w:t>委员会请缔约国依照《公约》第十八条，在其应于2008年7月提交的下次定期报告中就本结论意见所述的关切问题作出答复。</w:t>
      </w:r>
    </w:p>
    <w:p w:rsidR="00EA31C3" w:rsidRDefault="00EA31C3" w:rsidP="000B55C0">
      <w:pPr>
        <w:pStyle w:val="SingleTxt"/>
      </w:pPr>
    </w:p>
    <w:p w:rsidR="000B55C0" w:rsidRDefault="000B55C0" w:rsidP="000B55C0">
      <w:pPr>
        <w:pStyle w:val="SingleTxt"/>
        <w:jc w:val="center"/>
      </w:pPr>
      <w:r>
        <w:t>––––––––––––––</w:t>
      </w:r>
    </w:p>
    <w:sectPr w:rsidR="000B55C0" w:rsidSect="004C7A17">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1:50:00Z" w:initials="Start">
    <w:p w:rsidR="00070957" w:rsidRDefault="0007095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NO&gt;&gt;N0724373C&lt;&lt;ODS JOB NO&gt;&gt;</w:t>
      </w:r>
    </w:p>
    <w:p w:rsidR="00070957" w:rsidRDefault="00070957">
      <w:pPr>
        <w:pStyle w:val="CommentText"/>
      </w:pPr>
      <w:r>
        <w:t>&lt;&lt;ODS DOC SYMBOL1&gt;&gt;CEDAW/C/GRC/CO/6&lt;&lt;ODS DOC SYMBOL1&gt;&gt;</w:t>
      </w:r>
    </w:p>
    <w:p w:rsidR="00070957" w:rsidRDefault="000709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11A" w:rsidRDefault="00C4311A">
      <w:r>
        <w:separator/>
      </w:r>
    </w:p>
  </w:endnote>
  <w:endnote w:type="continuationSeparator" w:id="0">
    <w:p w:rsidR="00C4311A" w:rsidRDefault="00C43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0957" w:rsidTr="004C7A17">
      <w:tblPrEx>
        <w:tblCellMar>
          <w:top w:w="0" w:type="dxa"/>
          <w:bottom w:w="0" w:type="dxa"/>
        </w:tblCellMar>
      </w:tblPrEx>
      <w:tc>
        <w:tcPr>
          <w:tcW w:w="5033" w:type="dxa"/>
          <w:shd w:val="clear" w:color="auto" w:fill="auto"/>
          <w:vAlign w:val="bottom"/>
        </w:tcPr>
        <w:p w:rsidR="00070957" w:rsidRPr="004C7A17" w:rsidRDefault="00070957" w:rsidP="004C7A17">
          <w:pPr>
            <w:pStyle w:val="Footer"/>
            <w:jc w:val="left"/>
          </w:pPr>
          <w:r>
            <w:fldChar w:fldCharType="begin"/>
          </w:r>
          <w:r>
            <w:instrText xml:space="preserve"> PAGE  \* MERGEFORMAT </w:instrText>
          </w:r>
          <w:r>
            <w:fldChar w:fldCharType="separate"/>
          </w:r>
          <w:r w:rsidR="00DC79E8">
            <w:t>6</w:t>
          </w:r>
          <w:r>
            <w:fldChar w:fldCharType="end"/>
          </w:r>
        </w:p>
      </w:tc>
      <w:tc>
        <w:tcPr>
          <w:tcW w:w="5033" w:type="dxa"/>
          <w:shd w:val="clear" w:color="auto" w:fill="auto"/>
          <w:vAlign w:val="bottom"/>
        </w:tcPr>
        <w:p w:rsidR="00070957" w:rsidRPr="004C7A17" w:rsidRDefault="00070957" w:rsidP="004C7A1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07-24373</w:t>
          </w:r>
          <w:r>
            <w:rPr>
              <w:b w:val="0"/>
              <w:sz w:val="14"/>
            </w:rPr>
            <w:fldChar w:fldCharType="end"/>
          </w:r>
        </w:p>
      </w:tc>
    </w:tr>
  </w:tbl>
  <w:p w:rsidR="00070957" w:rsidRPr="004C7A17" w:rsidRDefault="00070957" w:rsidP="004C7A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70957" w:rsidTr="004C7A17">
      <w:tblPrEx>
        <w:tblCellMar>
          <w:top w:w="0" w:type="dxa"/>
          <w:bottom w:w="0" w:type="dxa"/>
        </w:tblCellMar>
      </w:tblPrEx>
      <w:tc>
        <w:tcPr>
          <w:tcW w:w="5033" w:type="dxa"/>
          <w:shd w:val="clear" w:color="auto" w:fill="auto"/>
          <w:vAlign w:val="bottom"/>
        </w:tcPr>
        <w:p w:rsidR="00070957" w:rsidRPr="004C7A17" w:rsidRDefault="00070957" w:rsidP="004C7A17">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07-24373</w:t>
          </w:r>
          <w:r>
            <w:rPr>
              <w:b w:val="0"/>
              <w:sz w:val="14"/>
            </w:rPr>
            <w:fldChar w:fldCharType="end"/>
          </w:r>
        </w:p>
      </w:tc>
      <w:tc>
        <w:tcPr>
          <w:tcW w:w="5033" w:type="dxa"/>
          <w:shd w:val="clear" w:color="auto" w:fill="auto"/>
          <w:vAlign w:val="bottom"/>
        </w:tcPr>
        <w:p w:rsidR="00070957" w:rsidRPr="004C7A17" w:rsidRDefault="00070957" w:rsidP="004C7A17">
          <w:pPr>
            <w:pStyle w:val="Footer"/>
            <w:jc w:val="right"/>
          </w:pPr>
          <w:r>
            <w:fldChar w:fldCharType="begin"/>
          </w:r>
          <w:r>
            <w:instrText xml:space="preserve"> PAGE  \* MERGEFORMAT </w:instrText>
          </w:r>
          <w:r>
            <w:fldChar w:fldCharType="separate"/>
          </w:r>
          <w:r w:rsidR="00DC79E8">
            <w:t>5</w:t>
          </w:r>
          <w:r>
            <w:fldChar w:fldCharType="end"/>
          </w:r>
        </w:p>
      </w:tc>
    </w:tr>
  </w:tbl>
  <w:p w:rsidR="00070957" w:rsidRPr="004C7A17" w:rsidRDefault="00070957" w:rsidP="004C7A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957" w:rsidRDefault="00070957" w:rsidP="004C7A1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07-24373 (C)</w:t>
    </w:r>
    <w:r>
      <w:rPr>
        <w:b w:val="0"/>
        <w:sz w:val="21"/>
      </w:rPr>
      <w:fldChar w:fldCharType="end"/>
    </w:r>
    <w:r>
      <w:rPr>
        <w:b w:val="0"/>
        <w:sz w:val="21"/>
      </w:rPr>
      <w:t xml:space="preserve">    230207    2</w:t>
    </w:r>
    <w:r>
      <w:rPr>
        <w:rFonts w:hint="eastAsia"/>
        <w:b w:val="0"/>
        <w:sz w:val="21"/>
      </w:rPr>
      <w:t>7</w:t>
    </w:r>
    <w:r>
      <w:rPr>
        <w:b w:val="0"/>
        <w:sz w:val="21"/>
      </w:rPr>
      <w:t>0207</w:t>
    </w:r>
  </w:p>
  <w:p w:rsidR="00070957" w:rsidRPr="004C7A17" w:rsidRDefault="00070957" w:rsidP="004C7A17">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*0724373*</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11A" w:rsidRPr="002E3BB2" w:rsidRDefault="00C4311A" w:rsidP="002E3BB2">
      <w:pPr>
        <w:pStyle w:val="Footer"/>
        <w:spacing w:after="80"/>
        <w:ind w:left="792"/>
        <w:rPr>
          <w:sz w:val="16"/>
        </w:rPr>
      </w:pPr>
      <w:r w:rsidRPr="002E3BB2">
        <w:rPr>
          <w:sz w:val="16"/>
        </w:rPr>
        <w:t>__________________</w:t>
      </w:r>
    </w:p>
  </w:footnote>
  <w:footnote w:type="continuationSeparator" w:id="0">
    <w:p w:rsidR="00C4311A" w:rsidRPr="002E3BB2" w:rsidRDefault="00C4311A" w:rsidP="002E3BB2">
      <w:pPr>
        <w:pStyle w:val="Footer"/>
        <w:spacing w:after="80"/>
        <w:ind w:left="792"/>
        <w:rPr>
          <w:sz w:val="16"/>
        </w:rPr>
      </w:pPr>
      <w:r w:rsidRPr="002E3BB2">
        <w:rPr>
          <w:sz w:val="16"/>
        </w:rPr>
        <w:t>__________________</w:t>
      </w:r>
    </w:p>
  </w:footnote>
  <w:footnote w:id="1">
    <w:p w:rsidR="00070957" w:rsidRPr="002E3BB2" w:rsidRDefault="00070957" w:rsidP="002E3B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E3BB2">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0957" w:rsidTr="004C7A17">
      <w:tblPrEx>
        <w:tblCellMar>
          <w:top w:w="0" w:type="dxa"/>
          <w:bottom w:w="0" w:type="dxa"/>
        </w:tblCellMar>
      </w:tblPrEx>
      <w:trPr>
        <w:trHeight w:hRule="exact" w:val="864"/>
      </w:trPr>
      <w:tc>
        <w:tcPr>
          <w:tcW w:w="4838" w:type="dxa"/>
          <w:shd w:val="clear" w:color="auto" w:fill="auto"/>
          <w:vAlign w:val="bottom"/>
        </w:tcPr>
        <w:p w:rsidR="00070957" w:rsidRPr="004C7A17" w:rsidRDefault="00070957" w:rsidP="004C7A1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CEDAW/C/GRC/CO/6</w:t>
          </w:r>
          <w:r>
            <w:rPr>
              <w:b/>
              <w:sz w:val="17"/>
            </w:rPr>
            <w:fldChar w:fldCharType="end"/>
          </w:r>
        </w:p>
      </w:tc>
      <w:tc>
        <w:tcPr>
          <w:tcW w:w="5033" w:type="dxa"/>
          <w:shd w:val="clear" w:color="auto" w:fill="auto"/>
          <w:vAlign w:val="bottom"/>
        </w:tcPr>
        <w:p w:rsidR="00070957" w:rsidRDefault="00070957" w:rsidP="004C7A17">
          <w:pPr>
            <w:pStyle w:val="Header"/>
          </w:pPr>
        </w:p>
      </w:tc>
    </w:tr>
  </w:tbl>
  <w:p w:rsidR="00070957" w:rsidRPr="004C7A17" w:rsidRDefault="00070957" w:rsidP="004C7A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70957" w:rsidTr="004C7A17">
      <w:tblPrEx>
        <w:tblCellMar>
          <w:top w:w="0" w:type="dxa"/>
          <w:bottom w:w="0" w:type="dxa"/>
        </w:tblCellMar>
      </w:tblPrEx>
      <w:trPr>
        <w:trHeight w:hRule="exact" w:val="864"/>
      </w:trPr>
      <w:tc>
        <w:tcPr>
          <w:tcW w:w="4838" w:type="dxa"/>
          <w:shd w:val="clear" w:color="auto" w:fill="auto"/>
          <w:vAlign w:val="bottom"/>
        </w:tcPr>
        <w:p w:rsidR="00070957" w:rsidRDefault="00070957" w:rsidP="004C7A17">
          <w:pPr>
            <w:pStyle w:val="Header"/>
          </w:pPr>
        </w:p>
      </w:tc>
      <w:tc>
        <w:tcPr>
          <w:tcW w:w="5033" w:type="dxa"/>
          <w:shd w:val="clear" w:color="auto" w:fill="auto"/>
          <w:vAlign w:val="bottom"/>
        </w:tcPr>
        <w:p w:rsidR="00070957" w:rsidRPr="004C7A17" w:rsidRDefault="00070957" w:rsidP="004C7A1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CEDAW/C/GRC/CO/6</w:t>
          </w:r>
          <w:r>
            <w:rPr>
              <w:b/>
              <w:sz w:val="17"/>
            </w:rPr>
            <w:fldChar w:fldCharType="end"/>
          </w:r>
        </w:p>
      </w:tc>
    </w:tr>
  </w:tbl>
  <w:p w:rsidR="00070957" w:rsidRPr="004C7A17" w:rsidRDefault="00070957" w:rsidP="004C7A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70957" w:rsidTr="004C7A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0957" w:rsidRDefault="00070957" w:rsidP="004C7A17">
          <w:pPr>
            <w:pStyle w:val="Header"/>
            <w:spacing w:after="120"/>
          </w:pPr>
        </w:p>
      </w:tc>
      <w:tc>
        <w:tcPr>
          <w:tcW w:w="1872" w:type="dxa"/>
          <w:tcBorders>
            <w:bottom w:val="single" w:sz="4" w:space="0" w:color="auto"/>
          </w:tcBorders>
          <w:shd w:val="clear" w:color="auto" w:fill="auto"/>
          <w:vAlign w:val="bottom"/>
        </w:tcPr>
        <w:p w:rsidR="00070957" w:rsidRPr="004C7A17" w:rsidRDefault="00070957" w:rsidP="004C7A1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70957" w:rsidRDefault="00070957" w:rsidP="004C7A17">
          <w:pPr>
            <w:pStyle w:val="Header"/>
            <w:spacing w:after="120"/>
          </w:pPr>
        </w:p>
      </w:tc>
      <w:tc>
        <w:tcPr>
          <w:tcW w:w="6523" w:type="dxa"/>
          <w:gridSpan w:val="3"/>
          <w:tcBorders>
            <w:bottom w:val="single" w:sz="4" w:space="0" w:color="auto"/>
          </w:tcBorders>
          <w:shd w:val="clear" w:color="auto" w:fill="auto"/>
          <w:vAlign w:val="bottom"/>
        </w:tcPr>
        <w:p w:rsidR="00070957" w:rsidRPr="004C7A17" w:rsidRDefault="00070957" w:rsidP="004C7A1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/C/GRC/CO/6</w:t>
          </w:r>
        </w:p>
      </w:tc>
    </w:tr>
    <w:tr w:rsidR="00070957" w:rsidRPr="004C7A17" w:rsidTr="004C7A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0957" w:rsidRDefault="00070957" w:rsidP="004C7A1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0957" w:rsidRPr="004C7A17" w:rsidRDefault="00070957" w:rsidP="004C7A17">
          <w:pPr>
            <w:pStyle w:val="Header"/>
            <w:spacing w:before="109"/>
            <w:ind w:left="-72"/>
          </w:pPr>
        </w:p>
      </w:tc>
      <w:tc>
        <w:tcPr>
          <w:tcW w:w="5227" w:type="dxa"/>
          <w:gridSpan w:val="3"/>
          <w:tcBorders>
            <w:top w:val="single" w:sz="4" w:space="0" w:color="auto"/>
            <w:bottom w:val="single" w:sz="12" w:space="0" w:color="auto"/>
          </w:tcBorders>
          <w:shd w:val="clear" w:color="auto" w:fill="auto"/>
        </w:tcPr>
        <w:p w:rsidR="00070957" w:rsidRPr="004C7A17" w:rsidRDefault="00070957" w:rsidP="004C7A1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70957" w:rsidRPr="004C7A17" w:rsidRDefault="00070957" w:rsidP="004C7A17">
          <w:pPr>
            <w:pStyle w:val="Header"/>
            <w:spacing w:before="109"/>
          </w:pPr>
        </w:p>
      </w:tc>
      <w:tc>
        <w:tcPr>
          <w:tcW w:w="3180" w:type="dxa"/>
          <w:gridSpan w:val="2"/>
          <w:tcBorders>
            <w:top w:val="single" w:sz="4" w:space="0" w:color="auto"/>
            <w:bottom w:val="single" w:sz="12" w:space="0" w:color="auto"/>
          </w:tcBorders>
          <w:shd w:val="clear" w:color="auto" w:fill="auto"/>
        </w:tcPr>
        <w:p w:rsidR="00070957" w:rsidRDefault="00070957" w:rsidP="004C7A17">
          <w:pPr>
            <w:spacing w:before="240" w:line="240" w:lineRule="exact"/>
            <w:rPr>
              <w:rFonts w:ascii="Times New Roman"/>
            </w:rPr>
          </w:pPr>
          <w:r>
            <w:rPr>
              <w:rFonts w:ascii="Times New Roman"/>
            </w:rPr>
            <w:t>Distr.: General</w:t>
          </w:r>
        </w:p>
        <w:p w:rsidR="00070957" w:rsidRDefault="00070957" w:rsidP="004C7A17">
          <w:pPr>
            <w:spacing w:line="240" w:lineRule="exact"/>
            <w:rPr>
              <w:rFonts w:ascii="Times New Roman"/>
            </w:rPr>
          </w:pPr>
          <w:r>
            <w:rPr>
              <w:rFonts w:ascii="Times New Roman"/>
            </w:rPr>
            <w:t>2 February 2007</w:t>
          </w:r>
        </w:p>
        <w:p w:rsidR="00070957" w:rsidRDefault="00070957" w:rsidP="004C7A17">
          <w:pPr>
            <w:spacing w:line="240" w:lineRule="exact"/>
            <w:rPr>
              <w:rFonts w:ascii="Times New Roman"/>
            </w:rPr>
          </w:pPr>
          <w:r>
            <w:rPr>
              <w:rFonts w:ascii="Times New Roman"/>
            </w:rPr>
            <w:t>Chinese</w:t>
          </w:r>
        </w:p>
        <w:p w:rsidR="00070957" w:rsidRPr="004C7A17" w:rsidRDefault="00070957" w:rsidP="004C7A17">
          <w:pPr>
            <w:spacing w:line="240" w:lineRule="exact"/>
            <w:rPr>
              <w:rFonts w:ascii="Times New Roman"/>
            </w:rPr>
          </w:pPr>
          <w:r>
            <w:rPr>
              <w:rFonts w:ascii="Times New Roman"/>
            </w:rPr>
            <w:t>Original: English</w:t>
          </w:r>
        </w:p>
      </w:tc>
    </w:tr>
  </w:tbl>
  <w:p w:rsidR="00070957" w:rsidRPr="004C7A17" w:rsidRDefault="00070957" w:rsidP="004C7A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3*"/>
    <w:docVar w:name="CreationDt" w:val="26/02/2007 11:20:50"/>
    <w:docVar w:name="DocCategory" w:val="Doc"/>
    <w:docVar w:name="DocType" w:val="Final"/>
    <w:docVar w:name="FooterJN" w:val="07-24373"/>
    <w:docVar w:name="jobn" w:val="07-24373 (C)"/>
    <w:docVar w:name="jobnDT" w:val="07-24373 (C)   260207"/>
    <w:docVar w:name="jobnDTDT" w:val="07-24373 (C)   260207   260207"/>
    <w:docVar w:name="JobNo" w:val="0724373C"/>
    <w:docVar w:name="OandT" w:val="sheng"/>
    <w:docVar w:name="sss1" w:val="CEDAW/C/GRC/CO/6"/>
    <w:docVar w:name="sss2" w:val="-"/>
    <w:docVar w:name="Symbol1" w:val="CEDAW/C/GRC/CO/6"/>
    <w:docVar w:name="Symbol2" w:val="-"/>
  </w:docVars>
  <w:rsids>
    <w:rsidRoot w:val="007B48F8"/>
    <w:rsid w:val="000125BC"/>
    <w:rsid w:val="00021A2B"/>
    <w:rsid w:val="00037B39"/>
    <w:rsid w:val="00044CA4"/>
    <w:rsid w:val="00045EFE"/>
    <w:rsid w:val="00070957"/>
    <w:rsid w:val="0007337D"/>
    <w:rsid w:val="000758DF"/>
    <w:rsid w:val="00076EB8"/>
    <w:rsid w:val="00095C67"/>
    <w:rsid w:val="000A31F9"/>
    <w:rsid w:val="000B55C0"/>
    <w:rsid w:val="000C1786"/>
    <w:rsid w:val="000E240F"/>
    <w:rsid w:val="000E64C0"/>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3BB2"/>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C7A17"/>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B48F8"/>
    <w:rsid w:val="007E1B5E"/>
    <w:rsid w:val="007F2278"/>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6AAD"/>
    <w:rsid w:val="00C2725D"/>
    <w:rsid w:val="00C42033"/>
    <w:rsid w:val="00C4311A"/>
    <w:rsid w:val="00CB2B1E"/>
    <w:rsid w:val="00CC3E8B"/>
    <w:rsid w:val="00CC4E84"/>
    <w:rsid w:val="00CD5641"/>
    <w:rsid w:val="00CE64AC"/>
    <w:rsid w:val="00CF7718"/>
    <w:rsid w:val="00D177F1"/>
    <w:rsid w:val="00D323B5"/>
    <w:rsid w:val="00D42ACC"/>
    <w:rsid w:val="00D51DC5"/>
    <w:rsid w:val="00D676D7"/>
    <w:rsid w:val="00D874E1"/>
    <w:rsid w:val="00D9586D"/>
    <w:rsid w:val="00DA29E4"/>
    <w:rsid w:val="00DC2506"/>
    <w:rsid w:val="00DC49FA"/>
    <w:rsid w:val="00DC79E8"/>
    <w:rsid w:val="00DD3D6B"/>
    <w:rsid w:val="00DD4467"/>
    <w:rsid w:val="00DD61C8"/>
    <w:rsid w:val="00DD772B"/>
    <w:rsid w:val="00E25442"/>
    <w:rsid w:val="00E37EEB"/>
    <w:rsid w:val="00E444E5"/>
    <w:rsid w:val="00E710FB"/>
    <w:rsid w:val="00E806D9"/>
    <w:rsid w:val="00E82CA2"/>
    <w:rsid w:val="00E95594"/>
    <w:rsid w:val="00E96573"/>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 w:val="00FF28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741</Words>
  <Characters>4229</Characters>
  <Application>Microsoft Office Word</Application>
  <DocSecurity>4</DocSecurity>
  <Lines>35</Lines>
  <Paragraphs>9</Paragraphs>
  <ScaleCrop>false</ScaleCrop>
  <Company>United Nations</Company>
  <LinksUpToDate>false</LinksUpToDate>
  <CharactersWithSpaces>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shurui duan</cp:lastModifiedBy>
  <cp:revision>14</cp:revision>
  <cp:lastPrinted>2007-02-27T08:39:00Z</cp:lastPrinted>
  <dcterms:created xsi:type="dcterms:W3CDTF">2007-02-26T10:20:00Z</dcterms:created>
  <dcterms:modified xsi:type="dcterms:W3CDTF">2007-02-27T08:42:00Z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0724373</vt:lpwstr>
  </property>
  <property fmtid="{D5CDD505-2E9C-101B-9397-08002B2CF9AE}" pid="3" name="Symbol1">
    <vt:lpwstr>CEDAW/C/GRC/CO/6</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