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E101E">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E101E" w:rsidP="003E101E">
            <w:pPr>
              <w:jc w:val="right"/>
            </w:pPr>
            <w:r w:rsidRPr="003E101E">
              <w:rPr>
                <w:sz w:val="40"/>
              </w:rPr>
              <w:t>A</w:t>
            </w:r>
            <w:r>
              <w:t>/HRC/RES/24/6</w:t>
            </w:r>
          </w:p>
        </w:tc>
      </w:tr>
      <w:tr w:rsidR="002D5AAC" w:rsidTr="003E101E">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3E101E" w:rsidRDefault="003E101E" w:rsidP="00AB05F9">
            <w:pPr>
              <w:spacing w:before="240"/>
            </w:pPr>
            <w:r>
              <w:t>Distr. general</w:t>
            </w:r>
          </w:p>
          <w:p w:rsidR="003E101E" w:rsidRDefault="003E101E" w:rsidP="003E101E">
            <w:pPr>
              <w:spacing w:line="240" w:lineRule="exact"/>
            </w:pPr>
            <w:r>
              <w:t>8 de octubre de 2013</w:t>
            </w:r>
          </w:p>
          <w:p w:rsidR="003E101E" w:rsidRDefault="003E101E" w:rsidP="003E101E">
            <w:pPr>
              <w:spacing w:line="240" w:lineRule="exact"/>
            </w:pPr>
            <w:r>
              <w:t>Español</w:t>
            </w:r>
          </w:p>
          <w:p w:rsidR="002D5AAC" w:rsidRDefault="003E101E" w:rsidP="003E101E">
            <w:pPr>
              <w:spacing w:line="240" w:lineRule="exact"/>
            </w:pPr>
            <w:r>
              <w:t>Original: inglés</w:t>
            </w:r>
          </w:p>
        </w:tc>
      </w:tr>
    </w:tbl>
    <w:p w:rsidR="003E101E" w:rsidRPr="00367DE9" w:rsidRDefault="003E101E" w:rsidP="009F6BFE">
      <w:pPr>
        <w:suppressAutoHyphens/>
        <w:spacing w:before="120"/>
        <w:rPr>
          <w:b/>
          <w:sz w:val="24"/>
          <w:szCs w:val="24"/>
          <w:lang w:eastAsia="en-US"/>
        </w:rPr>
      </w:pPr>
      <w:r w:rsidRPr="00367DE9">
        <w:rPr>
          <w:b/>
          <w:sz w:val="24"/>
          <w:szCs w:val="24"/>
          <w:lang w:eastAsia="en-US"/>
        </w:rPr>
        <w:t>Consejo de Derechos Humanos</w:t>
      </w:r>
    </w:p>
    <w:p w:rsidR="003E101E" w:rsidRPr="00367DE9" w:rsidRDefault="003E101E" w:rsidP="003E101E">
      <w:pPr>
        <w:suppressAutoHyphens/>
        <w:rPr>
          <w:b/>
          <w:lang w:eastAsia="en-US"/>
        </w:rPr>
      </w:pPr>
      <w:r w:rsidRPr="00367DE9">
        <w:rPr>
          <w:b/>
          <w:lang w:eastAsia="en-US"/>
        </w:rPr>
        <w:t>24º período de sesiones</w:t>
      </w:r>
    </w:p>
    <w:p w:rsidR="003E101E" w:rsidRPr="00367DE9" w:rsidRDefault="003E101E" w:rsidP="003E101E">
      <w:pPr>
        <w:suppressAutoHyphens/>
        <w:rPr>
          <w:lang w:eastAsia="en-US"/>
        </w:rPr>
      </w:pPr>
      <w:r w:rsidRPr="00367DE9">
        <w:rPr>
          <w:lang w:eastAsia="en-US"/>
        </w:rPr>
        <w:t>Tema 3 de la agenda</w:t>
      </w:r>
    </w:p>
    <w:p w:rsidR="003E101E" w:rsidRDefault="003E101E" w:rsidP="003E101E">
      <w:pPr>
        <w:suppressAutoHyphens/>
        <w:rPr>
          <w:b/>
          <w:lang w:eastAsia="en-US"/>
        </w:rPr>
      </w:pPr>
      <w:r w:rsidRPr="00367DE9">
        <w:rPr>
          <w:b/>
          <w:lang w:eastAsia="en-US"/>
        </w:rPr>
        <w:t>Promoción y protección</w:t>
      </w:r>
      <w:r>
        <w:rPr>
          <w:b/>
          <w:lang w:eastAsia="en-US"/>
        </w:rPr>
        <w:t xml:space="preserve"> de todos los derechos humanos,</w:t>
      </w:r>
    </w:p>
    <w:p w:rsidR="003E101E" w:rsidRDefault="003E101E" w:rsidP="003E101E">
      <w:pPr>
        <w:suppressAutoHyphens/>
        <w:rPr>
          <w:b/>
          <w:lang w:eastAsia="en-US"/>
        </w:rPr>
      </w:pPr>
      <w:r w:rsidRPr="00367DE9">
        <w:rPr>
          <w:b/>
          <w:lang w:eastAsia="en-US"/>
        </w:rPr>
        <w:t>civiles, políticos, eco</w:t>
      </w:r>
      <w:r>
        <w:rPr>
          <w:b/>
          <w:lang w:eastAsia="en-US"/>
        </w:rPr>
        <w:t>nómicos, sociales y culturales,</w:t>
      </w:r>
    </w:p>
    <w:p w:rsidR="003E101E" w:rsidRPr="00367DE9" w:rsidRDefault="003E101E" w:rsidP="003E101E">
      <w:pPr>
        <w:suppressAutoHyphens/>
        <w:rPr>
          <w:b/>
          <w:lang w:eastAsia="en-US"/>
        </w:rPr>
      </w:pPr>
      <w:r w:rsidRPr="00367DE9">
        <w:rPr>
          <w:b/>
          <w:lang w:eastAsia="en-US"/>
        </w:rPr>
        <w:t>incluido el derecho al desarrollo</w:t>
      </w:r>
    </w:p>
    <w:p w:rsidR="003E101E" w:rsidRPr="00367DE9" w:rsidRDefault="003E101E" w:rsidP="003E101E">
      <w:pPr>
        <w:pStyle w:val="HChG"/>
        <w:rPr>
          <w:lang w:val="es-ES_tradnl"/>
        </w:rPr>
      </w:pPr>
      <w:r>
        <w:rPr>
          <w:lang w:val="es-ES_tradnl"/>
        </w:rPr>
        <w:tab/>
      </w:r>
      <w:r>
        <w:rPr>
          <w:lang w:val="es-ES_tradnl"/>
        </w:rPr>
        <w:tab/>
        <w:t>R</w:t>
      </w:r>
      <w:r w:rsidRPr="00367DE9">
        <w:rPr>
          <w:lang w:val="es-ES_tradnl"/>
        </w:rPr>
        <w:t>esolución</w:t>
      </w:r>
      <w:r>
        <w:rPr>
          <w:lang w:val="es-ES_tradnl"/>
        </w:rPr>
        <w:t xml:space="preserve"> aprobada por el Consejo de Derechos Humanos</w:t>
      </w:r>
      <w:r w:rsidRPr="00867179">
        <w:rPr>
          <w:rStyle w:val="FootnoteReference"/>
          <w:b w:val="0"/>
          <w:sz w:val="20"/>
          <w:vertAlign w:val="baseline"/>
          <w:lang w:val="es-ES_tradnl"/>
        </w:rPr>
        <w:footnoteReference w:customMarkFollows="1" w:id="1"/>
        <w:t>*</w:t>
      </w:r>
    </w:p>
    <w:p w:rsidR="003E101E" w:rsidRPr="00367DE9" w:rsidRDefault="003E101E" w:rsidP="003E101E">
      <w:pPr>
        <w:pStyle w:val="H1G"/>
        <w:tabs>
          <w:tab w:val="left" w:pos="1932"/>
        </w:tabs>
        <w:rPr>
          <w:lang w:val="es-ES_tradnl"/>
        </w:rPr>
      </w:pPr>
      <w:r>
        <w:rPr>
          <w:lang w:val="es-ES_tradnl"/>
        </w:rPr>
        <w:tab/>
      </w:r>
      <w:r>
        <w:rPr>
          <w:lang w:val="es-ES_tradnl"/>
        </w:rPr>
        <w:tab/>
      </w:r>
      <w:r w:rsidRPr="00367DE9">
        <w:rPr>
          <w:lang w:val="es-ES_tradnl"/>
        </w:rPr>
        <w:t>24/</w:t>
      </w:r>
      <w:r>
        <w:t>6.</w:t>
      </w:r>
      <w:r>
        <w:tab/>
      </w:r>
      <w:r w:rsidRPr="00367DE9">
        <w:rPr>
          <w:lang w:val="es-ES_tradnl"/>
        </w:rPr>
        <w:t>El derecho de toda persona al disfrute del más alto nive</w:t>
      </w:r>
      <w:r w:rsidR="00AE2087">
        <w:rPr>
          <w:lang w:val="es-ES_tradnl"/>
        </w:rPr>
        <w:t>l</w:t>
      </w:r>
      <w:r w:rsidR="00AE2087">
        <w:rPr>
          <w:lang w:val="es-ES_tradnl"/>
        </w:rPr>
        <w:tab/>
        <w:t>posible </w:t>
      </w:r>
      <w:r w:rsidRPr="00367DE9">
        <w:rPr>
          <w:lang w:val="es-ES_tradnl"/>
        </w:rPr>
        <w:t>de salud física y mental</w:t>
      </w:r>
    </w:p>
    <w:p w:rsidR="003E101E" w:rsidRPr="00367DE9" w:rsidRDefault="003E101E" w:rsidP="003E101E">
      <w:pPr>
        <w:pStyle w:val="SingleTxtG"/>
        <w:rPr>
          <w:lang w:val="es-ES_tradnl"/>
        </w:rPr>
      </w:pPr>
      <w:r>
        <w:rPr>
          <w:lang w:val="es-ES_tradnl"/>
        </w:rPr>
        <w:tab/>
      </w:r>
      <w:r w:rsidRPr="00367DE9">
        <w:rPr>
          <w:i/>
          <w:lang w:val="es-ES_tradnl"/>
        </w:rPr>
        <w:t>El Consejo de Derechos Humanos</w:t>
      </w:r>
      <w:r w:rsidRPr="00367DE9">
        <w:rPr>
          <w:lang w:val="es-ES_tradnl"/>
        </w:rPr>
        <w:t>,</w:t>
      </w:r>
    </w:p>
    <w:p w:rsidR="003E101E" w:rsidRPr="00367DE9" w:rsidRDefault="003E101E" w:rsidP="003E101E">
      <w:pPr>
        <w:pStyle w:val="SingleTxtG"/>
        <w:rPr>
          <w:lang w:val="es-ES_tradnl"/>
        </w:rPr>
      </w:pPr>
      <w:r>
        <w:rPr>
          <w:i/>
          <w:iCs/>
          <w:lang w:val="es-ES_tradnl"/>
        </w:rPr>
        <w:tab/>
      </w:r>
      <w:r w:rsidRPr="00367DE9">
        <w:rPr>
          <w:i/>
          <w:iCs/>
          <w:lang w:val="es-ES_tradnl"/>
        </w:rPr>
        <w:t>Reafirmando</w:t>
      </w:r>
      <w:r w:rsidRPr="00367DE9">
        <w:rPr>
          <w:lang w:val="es-ES_tradnl"/>
        </w:rPr>
        <w:t xml:space="preserve"> la Declaración Universal de Derechos Humanos y recordando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y la Convención sobre los derechos de las personas con discapacidad,</w:t>
      </w:r>
    </w:p>
    <w:p w:rsidR="003E101E" w:rsidRPr="00367DE9" w:rsidRDefault="003E101E" w:rsidP="003E101E">
      <w:pPr>
        <w:pStyle w:val="SingleTxtG"/>
        <w:rPr>
          <w:lang w:val="es-ES_tradnl"/>
        </w:rPr>
      </w:pPr>
      <w:r>
        <w:rPr>
          <w:i/>
          <w:iCs/>
          <w:lang w:val="es-ES_tradnl"/>
        </w:rPr>
        <w:tab/>
      </w:r>
      <w:r w:rsidRPr="00367DE9">
        <w:rPr>
          <w:i/>
          <w:iCs/>
          <w:lang w:val="es-ES_tradnl"/>
        </w:rPr>
        <w:t>Recordando</w:t>
      </w:r>
      <w:r w:rsidRPr="00367DE9">
        <w:rPr>
          <w:lang w:val="es-ES_tradnl"/>
        </w:rPr>
        <w:t xml:space="preserve"> sus resoluciones 6/29, de 14 de diciembre de 2007, y 15/22, de 30 de septiembre de 2010, y todas las resoluciones anteriores de la Comisión de Derechos Humanos y del Consejo sobre la efectividad del derecho de toda persona al disfrute del más alto nivel posible de salud física y mental,</w:t>
      </w:r>
    </w:p>
    <w:p w:rsidR="003E101E" w:rsidRPr="00367DE9" w:rsidRDefault="003E101E" w:rsidP="003E101E">
      <w:pPr>
        <w:pStyle w:val="SingleTxtG"/>
        <w:rPr>
          <w:lang w:val="es-ES_tradnl"/>
        </w:rPr>
      </w:pPr>
      <w:r>
        <w:rPr>
          <w:i/>
          <w:iCs/>
          <w:lang w:val="es-ES_tradnl"/>
        </w:rPr>
        <w:tab/>
      </w:r>
      <w:r w:rsidRPr="00367DE9">
        <w:rPr>
          <w:i/>
          <w:iCs/>
          <w:lang w:val="es-ES_tradnl"/>
        </w:rPr>
        <w:t>Reconociendo</w:t>
      </w:r>
      <w:r w:rsidRPr="00367DE9">
        <w:rPr>
          <w:lang w:val="es-ES_tradnl"/>
        </w:rPr>
        <w:t xml:space="preserve"> la necesidad de que los Estados, en cooperación con las organizaciones internacionales y la sociedad civil, incluidas las organizaciones no gubernamentales y el sector privado, creen condiciones favorables en los ámbitos nacional, regional e internacional para garantizar el disfrute pleno y efectivo del derecho de toda persona al más alto nivel posible de salud física y mental,</w:t>
      </w:r>
    </w:p>
    <w:p w:rsidR="003E101E" w:rsidRPr="00367DE9" w:rsidRDefault="003E101E" w:rsidP="003E101E">
      <w:pPr>
        <w:pStyle w:val="SingleTxtG"/>
        <w:rPr>
          <w:lang w:val="es-ES_tradnl"/>
        </w:rPr>
      </w:pPr>
      <w:r>
        <w:rPr>
          <w:i/>
          <w:iCs/>
          <w:lang w:val="es-ES_tradnl"/>
        </w:rPr>
        <w:tab/>
      </w:r>
      <w:r w:rsidRPr="00367DE9">
        <w:rPr>
          <w:i/>
          <w:iCs/>
          <w:lang w:val="es-ES_tradnl"/>
        </w:rPr>
        <w:t>Recordando</w:t>
      </w:r>
      <w:r w:rsidRPr="00367DE9">
        <w:rPr>
          <w:lang w:val="es-ES_tradnl"/>
        </w:rPr>
        <w:t xml:space="preserve"> las resoluciones del Consejo de Derechos Humanos 5/1, sobre la construcción institucional del Consejo, y 5/2, sobre el Código de conducta para los titulares de mandatos de los procedimientos especiales del Consejo, de 18 de junio de 2007, y subrayando que los titulares de mandatos deberán cumplir sus funciones de conformidad con esas resoluciones y sus anexos,</w:t>
      </w:r>
    </w:p>
    <w:p w:rsidR="003E101E" w:rsidRPr="00367DE9" w:rsidRDefault="003E101E" w:rsidP="003E101E">
      <w:pPr>
        <w:pStyle w:val="SingleTxtG"/>
        <w:rPr>
          <w:lang w:val="es-ES_tradnl"/>
        </w:rPr>
      </w:pPr>
      <w:r>
        <w:rPr>
          <w:lang w:val="es-ES_tradnl"/>
        </w:rPr>
        <w:tab/>
        <w:t>1.</w:t>
      </w:r>
      <w:r>
        <w:rPr>
          <w:lang w:val="es-ES_tradnl"/>
        </w:rPr>
        <w:tab/>
      </w:r>
      <w:r w:rsidRPr="00367DE9">
        <w:rPr>
          <w:i/>
          <w:iCs/>
          <w:lang w:val="es-ES_tradnl"/>
        </w:rPr>
        <w:t>Toma nota con reconocimiento</w:t>
      </w:r>
      <w:r w:rsidRPr="00367DE9">
        <w:rPr>
          <w:lang w:val="es-ES_tradnl"/>
        </w:rPr>
        <w:t xml:space="preserve"> de la labor del Relator Especial sobre el derecho de toda persona al disfrute del más alto nivel posible de salud física y mental;</w:t>
      </w:r>
    </w:p>
    <w:p w:rsidR="003E101E" w:rsidRPr="00367DE9" w:rsidRDefault="003E101E" w:rsidP="003E101E">
      <w:pPr>
        <w:pStyle w:val="SingleTxtG"/>
        <w:rPr>
          <w:lang w:val="es-ES_tradnl"/>
        </w:rPr>
      </w:pPr>
      <w:r>
        <w:rPr>
          <w:lang w:val="es-ES_tradnl"/>
        </w:rPr>
        <w:tab/>
      </w:r>
      <w:r w:rsidRPr="00367DE9">
        <w:rPr>
          <w:lang w:val="es-ES_tradnl"/>
        </w:rPr>
        <w:t>2.</w:t>
      </w:r>
      <w:r>
        <w:rPr>
          <w:lang w:val="es-ES_tradnl"/>
        </w:rPr>
        <w:tab/>
      </w:r>
      <w:r w:rsidRPr="00367DE9">
        <w:rPr>
          <w:i/>
          <w:iCs/>
          <w:lang w:val="es-ES_tradnl"/>
        </w:rPr>
        <w:t>Decide</w:t>
      </w:r>
      <w:r w:rsidRPr="00367DE9">
        <w:rPr>
          <w:lang w:val="es-ES_tradnl"/>
        </w:rPr>
        <w:t xml:space="preserve"> prorrogar por un nuevo período de tres años el mandato del Relator Especial sobre el derecho de toda persona al disfrute del más alto nivel posible de salud física y mental, según lo establecido por el Consejo de Derechos Humanos en el párrafo 1 de su resolución 6/29;</w:t>
      </w:r>
    </w:p>
    <w:p w:rsidR="003E101E" w:rsidRPr="00367DE9" w:rsidRDefault="003E101E" w:rsidP="003E101E">
      <w:pPr>
        <w:pStyle w:val="SingleTxtG"/>
        <w:rPr>
          <w:lang w:val="es-ES_tradnl"/>
        </w:rPr>
      </w:pPr>
      <w:r>
        <w:rPr>
          <w:lang w:val="es-ES_tradnl"/>
        </w:rPr>
        <w:tab/>
      </w:r>
      <w:r w:rsidRPr="00367DE9">
        <w:rPr>
          <w:lang w:val="es-ES_tradnl"/>
        </w:rPr>
        <w:t>3.</w:t>
      </w:r>
      <w:r>
        <w:rPr>
          <w:lang w:val="es-ES_tradnl"/>
        </w:rPr>
        <w:tab/>
      </w:r>
      <w:r w:rsidRPr="00367DE9">
        <w:rPr>
          <w:i/>
          <w:iCs/>
          <w:lang w:val="es-ES_tradnl"/>
        </w:rPr>
        <w:t>Solicita</w:t>
      </w:r>
      <w:r w:rsidRPr="00367DE9">
        <w:rPr>
          <w:lang w:val="es-ES_tradnl"/>
        </w:rPr>
        <w:t xml:space="preserve"> a todos los gobiernos que cooperen plenamente con el Relator Especial en la realización de las actividades y funciones que se le han encomendado y presten la debida atención a las recomendaciones que formule el titular del mandato;</w:t>
      </w:r>
    </w:p>
    <w:p w:rsidR="003E101E" w:rsidRPr="00367DE9" w:rsidRDefault="003E101E" w:rsidP="003E101E">
      <w:pPr>
        <w:pStyle w:val="SingleTxtG"/>
        <w:rPr>
          <w:lang w:val="es-ES_tradnl"/>
        </w:rPr>
      </w:pPr>
      <w:r>
        <w:rPr>
          <w:lang w:val="es-ES_tradnl"/>
        </w:rPr>
        <w:tab/>
      </w:r>
      <w:r w:rsidRPr="00367DE9">
        <w:rPr>
          <w:lang w:val="es-ES_tradnl"/>
        </w:rPr>
        <w:t>4.</w:t>
      </w:r>
      <w:r>
        <w:rPr>
          <w:lang w:val="es-ES_tradnl"/>
        </w:rPr>
        <w:tab/>
      </w:r>
      <w:r w:rsidRPr="00367DE9">
        <w:rPr>
          <w:i/>
          <w:iCs/>
          <w:lang w:val="es-ES_tradnl"/>
        </w:rPr>
        <w:t>Alienta</w:t>
      </w:r>
      <w:r w:rsidRPr="00367DE9">
        <w:rPr>
          <w:lang w:val="es-ES_tradnl"/>
        </w:rPr>
        <w:t xml:space="preserve"> a todos los gobiernos a que consideren seriamente la posibilidad de acceder a las solicitudes del Relator Especial de visitar sus países, de modo que </w:t>
      </w:r>
      <w:r>
        <w:rPr>
          <w:lang w:val="es-ES_tradnl"/>
        </w:rPr>
        <w:t>este</w:t>
      </w:r>
      <w:r w:rsidRPr="00367DE9">
        <w:rPr>
          <w:lang w:val="es-ES_tradnl"/>
        </w:rPr>
        <w:t xml:space="preserve"> pueda cumplir su mandato cabalmente;</w:t>
      </w:r>
    </w:p>
    <w:p w:rsidR="003E101E" w:rsidRPr="00367DE9" w:rsidRDefault="003E101E" w:rsidP="003E101E">
      <w:pPr>
        <w:pStyle w:val="SingleTxtG"/>
        <w:rPr>
          <w:lang w:val="es-ES_tradnl"/>
        </w:rPr>
      </w:pPr>
      <w:r>
        <w:rPr>
          <w:lang w:val="es-ES_tradnl"/>
        </w:rPr>
        <w:tab/>
        <w:t>5.</w:t>
      </w:r>
      <w:r>
        <w:rPr>
          <w:lang w:val="es-ES_tradnl"/>
        </w:rPr>
        <w:tab/>
      </w:r>
      <w:r w:rsidRPr="00367DE9">
        <w:rPr>
          <w:i/>
          <w:iCs/>
          <w:lang w:val="es-ES_tradnl"/>
        </w:rPr>
        <w:t>Solicita</w:t>
      </w:r>
      <w:r w:rsidRPr="00367DE9">
        <w:rPr>
          <w:lang w:val="es-ES_tradnl"/>
        </w:rPr>
        <w:t xml:space="preserve"> a la Alta Comisionada de las Naciones Unidas para los Derechos Humanos que siga proporcionando todos los recursos necesarios para el desempeño eficaz del mandato del Relator Especial;</w:t>
      </w:r>
    </w:p>
    <w:p w:rsidR="003E101E" w:rsidRPr="00367DE9" w:rsidRDefault="003E101E" w:rsidP="003E101E">
      <w:pPr>
        <w:pStyle w:val="SingleTxtG"/>
      </w:pPr>
      <w:r>
        <w:rPr>
          <w:lang w:val="es-ES_tradnl"/>
        </w:rPr>
        <w:tab/>
        <w:t>6.</w:t>
      </w:r>
      <w:r>
        <w:rPr>
          <w:lang w:val="es-ES_tradnl"/>
        </w:rPr>
        <w:tab/>
      </w:r>
      <w:r w:rsidRPr="00367DE9">
        <w:rPr>
          <w:i/>
          <w:iCs/>
          <w:lang w:val="es-ES_tradnl"/>
        </w:rPr>
        <w:t>Solicita</w:t>
      </w:r>
      <w:r w:rsidRPr="00367DE9">
        <w:rPr>
          <w:lang w:val="es-ES_tradnl"/>
        </w:rPr>
        <w:t xml:space="preserve"> al Relator Especial que presente cada año al Consejo </w:t>
      </w:r>
      <w:r>
        <w:rPr>
          <w:lang w:val="es-ES_tradnl"/>
        </w:rPr>
        <w:t xml:space="preserve">de Derechos Humanos </w:t>
      </w:r>
      <w:r w:rsidRPr="00367DE9">
        <w:rPr>
          <w:lang w:val="es-ES_tradnl"/>
        </w:rPr>
        <w:t>y a la Asamblea General un informe sobre todas las actividades relativas a su mandato, a fin de aprovechar al máximo los beneficios de la presentación de informes;</w:t>
      </w:r>
    </w:p>
    <w:p w:rsidR="003E101E" w:rsidRPr="00E75924" w:rsidRDefault="003E101E" w:rsidP="003E101E">
      <w:pPr>
        <w:pStyle w:val="SingleTxtG"/>
      </w:pPr>
      <w:r>
        <w:rPr>
          <w:lang w:val="es-ES_tradnl"/>
        </w:rPr>
        <w:tab/>
        <w:t>7.</w:t>
      </w:r>
      <w:r>
        <w:rPr>
          <w:lang w:val="es-ES_tradnl"/>
        </w:rPr>
        <w:tab/>
      </w:r>
      <w:r w:rsidRPr="00367DE9">
        <w:rPr>
          <w:i/>
          <w:iCs/>
          <w:lang w:val="es-ES_tradnl"/>
        </w:rPr>
        <w:t>Decide</w:t>
      </w:r>
      <w:r w:rsidRPr="00367DE9">
        <w:rPr>
          <w:lang w:val="es-ES_tradnl"/>
        </w:rPr>
        <w:t xml:space="preserve"> seguir examinando este asunto en relación con el mismo tema de la agenda, de conformidad con su programa de trabajo.</w:t>
      </w:r>
    </w:p>
    <w:p w:rsidR="003E101E" w:rsidRPr="0096688B" w:rsidRDefault="003E101E" w:rsidP="003E101E">
      <w:pPr>
        <w:pStyle w:val="SingleTxtG"/>
        <w:spacing w:after="0" w:line="240" w:lineRule="auto"/>
        <w:jc w:val="right"/>
        <w:rPr>
          <w:i/>
        </w:rPr>
      </w:pPr>
      <w:r w:rsidRPr="0096688B">
        <w:rPr>
          <w:i/>
        </w:rPr>
        <w:t>3</w:t>
      </w:r>
      <w:r>
        <w:rPr>
          <w:i/>
        </w:rPr>
        <w:t>4</w:t>
      </w:r>
      <w:r w:rsidRPr="0096688B">
        <w:rPr>
          <w:i/>
        </w:rPr>
        <w:t>ª sesión</w:t>
      </w:r>
    </w:p>
    <w:p w:rsidR="003E101E" w:rsidRPr="0096688B" w:rsidRDefault="003E101E" w:rsidP="003E101E">
      <w:pPr>
        <w:pStyle w:val="SingleTxtG"/>
        <w:spacing w:after="0" w:line="240" w:lineRule="auto"/>
        <w:jc w:val="right"/>
        <w:rPr>
          <w:i/>
        </w:rPr>
      </w:pPr>
      <w:r>
        <w:rPr>
          <w:i/>
        </w:rPr>
        <w:t>26</w:t>
      </w:r>
      <w:r w:rsidRPr="0096688B">
        <w:rPr>
          <w:i/>
        </w:rPr>
        <w:t xml:space="preserve"> de septiembre de 201</w:t>
      </w:r>
      <w:r>
        <w:rPr>
          <w:i/>
        </w:rPr>
        <w:t>3</w:t>
      </w:r>
    </w:p>
    <w:p w:rsidR="003E101E" w:rsidRPr="008F07A6" w:rsidRDefault="003E101E" w:rsidP="003E101E">
      <w:pPr>
        <w:pStyle w:val="SingleTxtG"/>
      </w:pPr>
      <w:r w:rsidRPr="008F07A6">
        <w:t>[Aprobada sin votación.]</w:t>
      </w:r>
    </w:p>
    <w:p w:rsidR="003E101E" w:rsidRPr="00E40EEA" w:rsidRDefault="003E101E" w:rsidP="003E101E">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3E101E" w:rsidRPr="00E40EEA" w:rsidSect="003E101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48A" w:rsidRDefault="0095148A">
      <w:r>
        <w:separator/>
      </w:r>
    </w:p>
  </w:endnote>
  <w:endnote w:type="continuationSeparator" w:id="0">
    <w:p w:rsidR="0095148A" w:rsidRDefault="0095148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01E" w:rsidRPr="003E101E" w:rsidRDefault="003E101E" w:rsidP="003E101E">
    <w:pPr>
      <w:pStyle w:val="Footer"/>
      <w:tabs>
        <w:tab w:val="right" w:pos="9638"/>
      </w:tabs>
    </w:pPr>
    <w:r w:rsidRPr="003E101E">
      <w:rPr>
        <w:b/>
        <w:sz w:val="18"/>
      </w:rPr>
      <w:fldChar w:fldCharType="begin"/>
    </w:r>
    <w:r w:rsidRPr="003E101E">
      <w:rPr>
        <w:b/>
        <w:sz w:val="18"/>
      </w:rPr>
      <w:instrText xml:space="preserve"> PAGE  \* MERGEFORMAT </w:instrText>
    </w:r>
    <w:r w:rsidRPr="003E101E">
      <w:rPr>
        <w:b/>
        <w:sz w:val="18"/>
      </w:rPr>
      <w:fldChar w:fldCharType="separate"/>
    </w:r>
    <w:r w:rsidR="00517305">
      <w:rPr>
        <w:b/>
        <w:noProof/>
        <w:sz w:val="18"/>
      </w:rPr>
      <w:t>2</w:t>
    </w:r>
    <w:r w:rsidRPr="003E101E">
      <w:rPr>
        <w:b/>
        <w:sz w:val="18"/>
      </w:rPr>
      <w:fldChar w:fldCharType="end"/>
    </w:r>
    <w:r>
      <w:rPr>
        <w:b/>
        <w:sz w:val="18"/>
      </w:rPr>
      <w:tab/>
    </w:r>
    <w:r>
      <w:t>GE.13-17843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01E" w:rsidRPr="003E101E" w:rsidRDefault="003E101E" w:rsidP="003E101E">
    <w:pPr>
      <w:pStyle w:val="Footer"/>
      <w:tabs>
        <w:tab w:val="right" w:pos="9638"/>
      </w:tabs>
      <w:rPr>
        <w:b/>
        <w:sz w:val="18"/>
      </w:rPr>
    </w:pPr>
    <w:r>
      <w:t>GE.13-17843</w:t>
    </w:r>
    <w:r>
      <w:tab/>
    </w:r>
    <w:r w:rsidRPr="003E101E">
      <w:rPr>
        <w:b/>
        <w:sz w:val="18"/>
      </w:rPr>
      <w:fldChar w:fldCharType="begin"/>
    </w:r>
    <w:r w:rsidRPr="003E101E">
      <w:rPr>
        <w:b/>
        <w:sz w:val="18"/>
      </w:rPr>
      <w:instrText xml:space="preserve"> PAGE  \* MERGEFORMAT </w:instrText>
    </w:r>
    <w:r w:rsidRPr="003E101E">
      <w:rPr>
        <w:b/>
        <w:sz w:val="18"/>
      </w:rPr>
      <w:fldChar w:fldCharType="separate"/>
    </w:r>
    <w:r>
      <w:rPr>
        <w:b/>
        <w:noProof/>
        <w:sz w:val="18"/>
      </w:rPr>
      <w:t>3</w:t>
    </w:r>
    <w:r w:rsidRPr="003E10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F14" w:rsidRPr="003E101E" w:rsidRDefault="003E101E">
    <w:pPr>
      <w:pStyle w:val="Footer"/>
      <w:rPr>
        <w:sz w:val="20"/>
      </w:rPr>
    </w:pPr>
    <w:r>
      <w:rPr>
        <w:sz w:val="20"/>
      </w:rPr>
      <w:t>GE.</w:t>
    </w:r>
    <w:r w:rsidR="00B30F1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13-17843  (S)</w:t>
    </w:r>
    <w:r w:rsidR="00C83470">
      <w:rPr>
        <w:sz w:val="20"/>
      </w:rPr>
      <w:t xml:space="preserve">    241013    281013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48A" w:rsidRPr="001075E9" w:rsidRDefault="0095148A" w:rsidP="001075E9">
      <w:pPr>
        <w:tabs>
          <w:tab w:val="right" w:pos="2155"/>
        </w:tabs>
        <w:spacing w:after="80" w:line="240" w:lineRule="auto"/>
        <w:ind w:left="680"/>
        <w:rPr>
          <w:u w:val="single"/>
        </w:rPr>
      </w:pPr>
      <w:r>
        <w:rPr>
          <w:u w:val="single"/>
        </w:rPr>
        <w:tab/>
      </w:r>
    </w:p>
  </w:footnote>
  <w:footnote w:type="continuationSeparator" w:id="0">
    <w:p w:rsidR="0095148A" w:rsidRDefault="0095148A" w:rsidP="00882271">
      <w:pPr>
        <w:tabs>
          <w:tab w:val="right" w:pos="2155"/>
        </w:tabs>
        <w:spacing w:after="80" w:line="240" w:lineRule="auto"/>
        <w:ind w:left="680"/>
      </w:pPr>
      <w:r>
        <w:rPr>
          <w:u w:val="single"/>
        </w:rPr>
        <w:tab/>
      </w:r>
    </w:p>
  </w:footnote>
  <w:footnote w:id="1">
    <w:p w:rsidR="003E101E" w:rsidRPr="00867179" w:rsidRDefault="003E101E" w:rsidP="003E101E">
      <w:pPr>
        <w:pStyle w:val="FootnoteText"/>
        <w:rPr>
          <w:sz w:val="20"/>
        </w:rPr>
      </w:pPr>
      <w:r>
        <w:tab/>
      </w:r>
      <w:r w:rsidRPr="00867179">
        <w:rPr>
          <w:rStyle w:val="FootnoteReference"/>
          <w:sz w:val="20"/>
          <w:vertAlign w:val="baseline"/>
        </w:rPr>
        <w:t>*</w:t>
      </w:r>
      <w:r w:rsidRPr="00867179">
        <w:tab/>
      </w:r>
      <w:r>
        <w:t xml:space="preserve">Las resoluciones y decisiones aprobadas por el Consejo de Derechos Humanos se publicarán en el informe del Consejo sobre su 24º período de sesiones (A/HRC/24/2), </w:t>
      </w:r>
      <w:r w:rsidR="00C83470">
        <w:t>Primera parte</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01E" w:rsidRPr="003E101E" w:rsidRDefault="003E101E">
    <w:pPr>
      <w:pStyle w:val="Header"/>
    </w:pPr>
    <w:r>
      <w:t>A/HRC/RES/24/6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01E" w:rsidRPr="003E101E" w:rsidRDefault="003E101E" w:rsidP="003E101E">
    <w:pPr>
      <w:pStyle w:val="Header"/>
      <w:jc w:val="right"/>
    </w:pPr>
    <w:r>
      <w:t>A/HRC/RES/24/6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0F14"/>
    <w:rsid w:val="0008650D"/>
    <w:rsid w:val="000B57E7"/>
    <w:rsid w:val="000F09DF"/>
    <w:rsid w:val="000F0DA4"/>
    <w:rsid w:val="000F61B2"/>
    <w:rsid w:val="0010219A"/>
    <w:rsid w:val="001075E9"/>
    <w:rsid w:val="001414AD"/>
    <w:rsid w:val="00177CBA"/>
    <w:rsid w:val="00180183"/>
    <w:rsid w:val="00196389"/>
    <w:rsid w:val="001C7A89"/>
    <w:rsid w:val="002A2EFC"/>
    <w:rsid w:val="002D16F0"/>
    <w:rsid w:val="002D5AAC"/>
    <w:rsid w:val="00301299"/>
    <w:rsid w:val="00313431"/>
    <w:rsid w:val="00322004"/>
    <w:rsid w:val="003402C2"/>
    <w:rsid w:val="00381C24"/>
    <w:rsid w:val="003958D0"/>
    <w:rsid w:val="003D064D"/>
    <w:rsid w:val="003E101E"/>
    <w:rsid w:val="00403A7C"/>
    <w:rsid w:val="0041031F"/>
    <w:rsid w:val="00454E07"/>
    <w:rsid w:val="004942E2"/>
    <w:rsid w:val="004B19F2"/>
    <w:rsid w:val="004C339B"/>
    <w:rsid w:val="004E2655"/>
    <w:rsid w:val="0050108D"/>
    <w:rsid w:val="005016AF"/>
    <w:rsid w:val="005076AF"/>
    <w:rsid w:val="00517305"/>
    <w:rsid w:val="0052159C"/>
    <w:rsid w:val="005567D9"/>
    <w:rsid w:val="00572E19"/>
    <w:rsid w:val="005A4166"/>
    <w:rsid w:val="005F0B42"/>
    <w:rsid w:val="0064421C"/>
    <w:rsid w:val="006F35EE"/>
    <w:rsid w:val="00710CF8"/>
    <w:rsid w:val="00716C6F"/>
    <w:rsid w:val="007464CC"/>
    <w:rsid w:val="007D6339"/>
    <w:rsid w:val="00802199"/>
    <w:rsid w:val="008308A6"/>
    <w:rsid w:val="00830923"/>
    <w:rsid w:val="00834B71"/>
    <w:rsid w:val="0086445C"/>
    <w:rsid w:val="00882271"/>
    <w:rsid w:val="008A08D7"/>
    <w:rsid w:val="00906890"/>
    <w:rsid w:val="0095148A"/>
    <w:rsid w:val="00951972"/>
    <w:rsid w:val="009C05D9"/>
    <w:rsid w:val="009E78C4"/>
    <w:rsid w:val="009F6BFE"/>
    <w:rsid w:val="00A00CB2"/>
    <w:rsid w:val="00A500CE"/>
    <w:rsid w:val="00A917B3"/>
    <w:rsid w:val="00AB05F9"/>
    <w:rsid w:val="00AB4B51"/>
    <w:rsid w:val="00AB4EB2"/>
    <w:rsid w:val="00AE2087"/>
    <w:rsid w:val="00B10CC7"/>
    <w:rsid w:val="00B30F14"/>
    <w:rsid w:val="00B62458"/>
    <w:rsid w:val="00B6350A"/>
    <w:rsid w:val="00BC161C"/>
    <w:rsid w:val="00BD33EE"/>
    <w:rsid w:val="00BD6E50"/>
    <w:rsid w:val="00BE734D"/>
    <w:rsid w:val="00C60F0C"/>
    <w:rsid w:val="00C805C9"/>
    <w:rsid w:val="00C83470"/>
    <w:rsid w:val="00CA1679"/>
    <w:rsid w:val="00CE34F5"/>
    <w:rsid w:val="00D738F9"/>
    <w:rsid w:val="00D90138"/>
    <w:rsid w:val="00D97076"/>
    <w:rsid w:val="00E66A25"/>
    <w:rsid w:val="00E73F76"/>
    <w:rsid w:val="00EF1360"/>
    <w:rsid w:val="00EF3220"/>
    <w:rsid w:val="00F22CAE"/>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547</Words>
  <Characters>3012</Characters>
  <Application>Microsoft Office Outlook</Application>
  <DocSecurity>4</DocSecurity>
  <Lines>25</Lines>
  <Paragraphs>7</Paragraphs>
  <ScaleCrop>false</ScaleCrop>
  <HeadingPairs>
    <vt:vector size="2" baseType="variant">
      <vt:variant>
        <vt:lpstr>Título</vt:lpstr>
      </vt:variant>
      <vt:variant>
        <vt:i4>1</vt:i4>
      </vt:variant>
    </vt:vector>
  </HeadingPairs>
  <TitlesOfParts>
    <vt:vector size="1" baseType="lpstr">
      <vt:lpstr>A/HRC/RES/24/6</vt:lpstr>
    </vt:vector>
  </TitlesOfParts>
  <Company/>
  <LinksUpToDate>false</LinksUpToDate>
  <CharactersWithSpaces>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A/HRC/RES/24/6</dc:title>
  <dc:subject>Final</dc:subject>
  <dc:creator>Ángel Moreno</dc:creator>
  <cp:keywords/>
  <dc:description/>
  <cp:lastModifiedBy>Maruchi Zeballos</cp:lastModifiedBy>
  <cp:revision>2</cp:revision>
  <cp:lastPrinted>2008-01-15T07:58:00Z</cp:lastPrinted>
  <dcterms:created xsi:type="dcterms:W3CDTF">2013-10-28T14:47:00Z</dcterms:created>
  <dcterms:modified xsi:type="dcterms:W3CDTF">2013-10-28T14:47:00Z</dcterms:modified>
</cp:coreProperties>
</file>