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6C956B" w14:textId="77777777" w:rsidTr="009B22A1">
        <w:trPr>
          <w:trHeight w:hRule="exact" w:val="851"/>
        </w:trPr>
        <w:tc>
          <w:tcPr>
            <w:tcW w:w="1280" w:type="dxa"/>
            <w:tcBorders>
              <w:bottom w:val="single" w:sz="4" w:space="0" w:color="auto"/>
            </w:tcBorders>
          </w:tcPr>
          <w:p w14:paraId="0143C4F0" w14:textId="77777777" w:rsidR="002D5AAC" w:rsidRDefault="002D5AAC" w:rsidP="009B22A1">
            <w:pPr>
              <w:kinsoku w:val="0"/>
              <w:overflowPunct w:val="0"/>
              <w:autoSpaceDE w:val="0"/>
              <w:autoSpaceDN w:val="0"/>
              <w:adjustRightInd w:val="0"/>
              <w:snapToGrid w:val="0"/>
            </w:pPr>
          </w:p>
        </w:tc>
        <w:tc>
          <w:tcPr>
            <w:tcW w:w="2273" w:type="dxa"/>
            <w:tcBorders>
              <w:bottom w:val="single" w:sz="4" w:space="0" w:color="auto"/>
            </w:tcBorders>
            <w:vAlign w:val="bottom"/>
          </w:tcPr>
          <w:p w14:paraId="1FE6DEF7"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0470E9" w14:textId="0784B70C" w:rsidR="002D5AAC" w:rsidRDefault="009B22A1" w:rsidP="009B22A1">
            <w:pPr>
              <w:jc w:val="right"/>
            </w:pPr>
            <w:r w:rsidRPr="009B22A1">
              <w:rPr>
                <w:sz w:val="40"/>
              </w:rPr>
              <w:t>E</w:t>
            </w:r>
            <w:r>
              <w:t>/C.12/CZE/RQ/3</w:t>
            </w:r>
          </w:p>
        </w:tc>
      </w:tr>
      <w:tr w:rsidR="002D5AAC" w14:paraId="31094F20" w14:textId="77777777" w:rsidTr="009B22A1">
        <w:trPr>
          <w:trHeight w:hRule="exact" w:val="2835"/>
        </w:trPr>
        <w:tc>
          <w:tcPr>
            <w:tcW w:w="1280" w:type="dxa"/>
            <w:tcBorders>
              <w:top w:val="single" w:sz="4" w:space="0" w:color="auto"/>
              <w:bottom w:val="single" w:sz="12" w:space="0" w:color="auto"/>
            </w:tcBorders>
          </w:tcPr>
          <w:p w14:paraId="60ACE1FE" w14:textId="77777777" w:rsidR="002D5AAC" w:rsidRDefault="00DC6544" w:rsidP="006E27AD">
            <w:pPr>
              <w:spacing w:before="120"/>
              <w:jc w:val="center"/>
            </w:pPr>
            <w:r>
              <w:rPr>
                <w:noProof/>
              </w:rPr>
              <w:drawing>
                <wp:inline distT="0" distB="0" distL="0" distR="0" wp14:anchorId="5CD33F7E" wp14:editId="2F37A0D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66A8F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FFF3169" w14:textId="77777777" w:rsidR="002D5AAC" w:rsidRDefault="009B22A1" w:rsidP="006E27AD">
            <w:pPr>
              <w:spacing w:before="240"/>
            </w:pPr>
            <w:r>
              <w:t>Distr. general</w:t>
            </w:r>
          </w:p>
          <w:p w14:paraId="32F99EA2" w14:textId="77777777" w:rsidR="009B22A1" w:rsidRDefault="009B22A1" w:rsidP="009B22A1">
            <w:pPr>
              <w:spacing w:line="240" w:lineRule="exact"/>
            </w:pPr>
            <w:r>
              <w:t>1 de junio de 2021</w:t>
            </w:r>
          </w:p>
          <w:p w14:paraId="4DA4D342" w14:textId="77777777" w:rsidR="009B22A1" w:rsidRDefault="009B22A1" w:rsidP="009B22A1">
            <w:pPr>
              <w:spacing w:line="240" w:lineRule="exact"/>
            </w:pPr>
            <w:r>
              <w:t>Español</w:t>
            </w:r>
          </w:p>
          <w:p w14:paraId="6A98E624" w14:textId="77777777" w:rsidR="009B22A1" w:rsidRDefault="009B22A1" w:rsidP="009B22A1">
            <w:pPr>
              <w:spacing w:line="240" w:lineRule="exact"/>
            </w:pPr>
            <w:r>
              <w:t>Original: inglés</w:t>
            </w:r>
          </w:p>
          <w:p w14:paraId="746DBD6F" w14:textId="29679FE0" w:rsidR="009B22A1" w:rsidRDefault="009B22A1" w:rsidP="009B22A1">
            <w:pPr>
              <w:spacing w:line="240" w:lineRule="exact"/>
            </w:pPr>
            <w:r>
              <w:t>Español, francés e inglés únicamente</w:t>
            </w:r>
          </w:p>
        </w:tc>
      </w:tr>
    </w:tbl>
    <w:p w14:paraId="363F4572" w14:textId="77777777" w:rsidR="009B22A1" w:rsidRPr="009B22A1" w:rsidRDefault="009B22A1" w:rsidP="009B22A1">
      <w:pPr>
        <w:spacing w:before="120"/>
        <w:rPr>
          <w:b/>
          <w:bCs/>
          <w:sz w:val="24"/>
          <w:szCs w:val="24"/>
          <w:lang w:val="es-ES_tradnl"/>
        </w:rPr>
      </w:pPr>
      <w:r w:rsidRPr="009B22A1">
        <w:rPr>
          <w:b/>
          <w:bCs/>
          <w:sz w:val="24"/>
          <w:szCs w:val="24"/>
          <w:lang w:val="es-ES_tradnl"/>
        </w:rPr>
        <w:t>Comité de Derechos Económicos, Sociales y Culturales</w:t>
      </w:r>
    </w:p>
    <w:p w14:paraId="3457F35E" w14:textId="77777777" w:rsidR="009B22A1" w:rsidRPr="009B22A1" w:rsidRDefault="009B22A1" w:rsidP="009B22A1">
      <w:pPr>
        <w:rPr>
          <w:b/>
          <w:bCs/>
          <w:lang w:val="es-ES_tradnl"/>
        </w:rPr>
      </w:pPr>
      <w:r w:rsidRPr="009B22A1">
        <w:rPr>
          <w:b/>
          <w:bCs/>
          <w:lang w:val="es-ES_tradnl"/>
        </w:rPr>
        <w:t>70º período de sesiones</w:t>
      </w:r>
    </w:p>
    <w:p w14:paraId="2D202588" w14:textId="77777777" w:rsidR="009B22A1" w:rsidRPr="009B22A1" w:rsidRDefault="009B22A1" w:rsidP="009B22A1">
      <w:pPr>
        <w:rPr>
          <w:lang w:val="es-ES_tradnl"/>
        </w:rPr>
      </w:pPr>
      <w:r w:rsidRPr="009B22A1">
        <w:rPr>
          <w:lang w:val="es-ES_tradnl"/>
        </w:rPr>
        <w:t>27 de septiembre a 15 de octubre de 2021</w:t>
      </w:r>
    </w:p>
    <w:p w14:paraId="454C97B7" w14:textId="77777777" w:rsidR="009B22A1" w:rsidRPr="009B22A1" w:rsidRDefault="009B22A1" w:rsidP="009B22A1">
      <w:pPr>
        <w:rPr>
          <w:lang w:val="es-ES_tradnl"/>
        </w:rPr>
      </w:pPr>
      <w:r w:rsidRPr="009B22A1">
        <w:rPr>
          <w:lang w:val="es-ES_tradnl"/>
        </w:rPr>
        <w:t>Tema 7 a) del programa provisional</w:t>
      </w:r>
    </w:p>
    <w:p w14:paraId="7416E2B8" w14:textId="77777777" w:rsidR="009B22A1" w:rsidRPr="009B22A1" w:rsidRDefault="009B22A1" w:rsidP="009B22A1">
      <w:pPr>
        <w:rPr>
          <w:b/>
          <w:bCs/>
          <w:lang w:val="es-ES_tradnl"/>
        </w:rPr>
      </w:pPr>
      <w:bookmarkStart w:id="0" w:name="_Hlk45027542"/>
      <w:r w:rsidRPr="009B22A1">
        <w:rPr>
          <w:b/>
          <w:bCs/>
          <w:lang w:val="es-ES_tradnl"/>
        </w:rPr>
        <w:t>Examen de los informes:</w:t>
      </w:r>
    </w:p>
    <w:p w14:paraId="7AC78AC8" w14:textId="77777777" w:rsidR="009B22A1" w:rsidRDefault="009B22A1" w:rsidP="009B22A1">
      <w:pPr>
        <w:rPr>
          <w:b/>
          <w:bCs/>
          <w:lang w:val="es-ES_tradnl"/>
        </w:rPr>
      </w:pPr>
      <w:r w:rsidRPr="009B22A1">
        <w:rPr>
          <w:b/>
          <w:bCs/>
          <w:lang w:val="es-ES_tradnl"/>
        </w:rPr>
        <w:t>Informes presentados por los Estados partes en virtud</w:t>
      </w:r>
    </w:p>
    <w:p w14:paraId="266521FF" w14:textId="258F0535" w:rsidR="009B22A1" w:rsidRPr="009B22A1" w:rsidRDefault="009B22A1" w:rsidP="009B22A1">
      <w:pPr>
        <w:rPr>
          <w:b/>
          <w:bCs/>
          <w:lang w:val="es-ES_tradnl"/>
        </w:rPr>
      </w:pPr>
      <w:r w:rsidRPr="009B22A1">
        <w:rPr>
          <w:b/>
          <w:bCs/>
          <w:lang w:val="es-ES_tradnl"/>
        </w:rPr>
        <w:t>de los artículos 16 y 17 del Pacto</w:t>
      </w:r>
    </w:p>
    <w:bookmarkEnd w:id="0"/>
    <w:p w14:paraId="10D5F74D" w14:textId="0ED84DC3" w:rsidR="009B22A1" w:rsidRPr="009B22A1" w:rsidRDefault="009B22A1" w:rsidP="009B22A1">
      <w:pPr>
        <w:pStyle w:val="HMG"/>
        <w:rPr>
          <w:lang w:val="es-ES_tradnl"/>
        </w:rPr>
      </w:pPr>
      <w:r>
        <w:rPr>
          <w:lang w:val="es-ES_tradnl"/>
        </w:rPr>
        <w:tab/>
      </w:r>
      <w:r w:rsidRPr="009B22A1">
        <w:rPr>
          <w:lang w:val="es-ES_tradnl"/>
        </w:rPr>
        <w:tab/>
        <w:t>Respuestas de Chequia a la lista de cuestiones relativa a su tercer informe periódico</w:t>
      </w:r>
      <w:r w:rsidRPr="009B22A1">
        <w:rPr>
          <w:rStyle w:val="FootnoteReference"/>
          <w:b w:val="0"/>
          <w:bCs/>
          <w:sz w:val="20"/>
          <w:vertAlign w:val="baseline"/>
          <w:lang w:val="es-ES_tradnl"/>
        </w:rPr>
        <w:footnoteReference w:customMarkFollows="1" w:id="1"/>
        <w:t>*</w:t>
      </w:r>
      <w:r w:rsidRPr="009B22A1">
        <w:rPr>
          <w:b w:val="0"/>
          <w:bCs/>
          <w:sz w:val="20"/>
          <w:lang w:val="es-ES_tradnl"/>
        </w:rPr>
        <w:t xml:space="preserve"> </w:t>
      </w:r>
      <w:r w:rsidRPr="009B22A1">
        <w:rPr>
          <w:rStyle w:val="FootnoteReference"/>
          <w:b w:val="0"/>
          <w:bCs/>
          <w:sz w:val="20"/>
          <w:vertAlign w:val="baseline"/>
          <w:lang w:val="es-ES_tradnl"/>
        </w:rPr>
        <w:footnoteReference w:customMarkFollows="1" w:id="2"/>
        <w:t>**</w:t>
      </w:r>
    </w:p>
    <w:p w14:paraId="7B7CF945" w14:textId="77777777" w:rsidR="009B22A1" w:rsidRPr="009B22A1" w:rsidRDefault="009B22A1" w:rsidP="009B22A1">
      <w:pPr>
        <w:pStyle w:val="SingleTxtG"/>
        <w:jc w:val="right"/>
        <w:rPr>
          <w:lang w:val="es-ES_tradnl"/>
        </w:rPr>
      </w:pPr>
      <w:r w:rsidRPr="009B22A1">
        <w:rPr>
          <w:lang w:val="es-ES_tradnl"/>
        </w:rPr>
        <w:t>[Fecha de recepción: 16 de febrero de 2021]</w:t>
      </w:r>
    </w:p>
    <w:p w14:paraId="0473C408" w14:textId="77777777" w:rsidR="009B22A1" w:rsidRPr="009B22A1" w:rsidRDefault="009B22A1" w:rsidP="009B22A1">
      <w:pPr>
        <w:pStyle w:val="SingleTxtG"/>
        <w:rPr>
          <w:lang w:val="es-ES_tradnl"/>
        </w:rPr>
      </w:pPr>
      <w:r w:rsidRPr="009B22A1">
        <w:rPr>
          <w:lang w:val="es-ES_tradnl"/>
        </w:rPr>
        <w:br w:type="page"/>
      </w:r>
    </w:p>
    <w:p w14:paraId="68341309" w14:textId="77777777" w:rsidR="009B22A1" w:rsidRPr="009B22A1" w:rsidRDefault="009B22A1" w:rsidP="009B22A1">
      <w:pPr>
        <w:pStyle w:val="HChG"/>
        <w:rPr>
          <w:lang w:val="es-ES_tradnl"/>
        </w:rPr>
      </w:pPr>
      <w:r w:rsidRPr="009B22A1">
        <w:rPr>
          <w:lang w:val="es-ES_tradnl"/>
        </w:rPr>
        <w:lastRenderedPageBreak/>
        <w:tab/>
        <w:t>I.</w:t>
      </w:r>
      <w:r w:rsidRPr="009B22A1">
        <w:rPr>
          <w:lang w:val="es-ES_tradnl"/>
        </w:rPr>
        <w:tab/>
        <w:t>Información general</w:t>
      </w:r>
    </w:p>
    <w:p w14:paraId="30CB3FF3" w14:textId="46B3BC9C" w:rsidR="009B22A1" w:rsidRPr="009B22A1" w:rsidRDefault="009B22A1" w:rsidP="009B22A1">
      <w:pPr>
        <w:pStyle w:val="H1G"/>
        <w:rPr>
          <w:lang w:val="es-ES_tradnl"/>
        </w:rPr>
      </w:pPr>
      <w:r>
        <w:rPr>
          <w:lang w:val="es-ES_tradnl"/>
        </w:rPr>
        <w:tab/>
      </w:r>
      <w:r w:rsidRPr="009B22A1">
        <w:rPr>
          <w:lang w:val="es-ES_tradnl"/>
        </w:rPr>
        <w:tab/>
        <w:t>Respuesta al párrafo 1 de la lista de cuestiones (E/C.12/CZE/Q/3)</w:t>
      </w:r>
    </w:p>
    <w:p w14:paraId="0061148A" w14:textId="77777777" w:rsidR="009B22A1" w:rsidRPr="009B22A1" w:rsidRDefault="009B22A1" w:rsidP="009B22A1">
      <w:pPr>
        <w:pStyle w:val="SingleTxtG"/>
        <w:rPr>
          <w:lang w:val="es-ES_tradnl"/>
        </w:rPr>
      </w:pPr>
      <w:r w:rsidRPr="009B22A1">
        <w:rPr>
          <w:lang w:val="es-ES_tradnl"/>
        </w:rPr>
        <w:t>1.</w:t>
      </w:r>
      <w:r w:rsidRPr="009B22A1">
        <w:rPr>
          <w:lang w:val="es-ES_tradnl"/>
        </w:rPr>
        <w:tab/>
        <w:t>La República Checa describió la condición del Pacto en el derecho interno y la protección nacional de los derechos económicos, sociales y culturales en los párrafos 3 y 4 de su informe periódico. Con arreglo al artículo 10 de la Constitución, los tribunales y las autoridades administrativas aplican directamente los derechos contemplados en el Pacto. Las diferencias en el contenido de la Carta y el Pacto y otros tratados de derechos humanos no afectan a la realización de los derechos económicos, sociales y culturales en la República Checa.</w:t>
      </w:r>
    </w:p>
    <w:p w14:paraId="275D9BA5" w14:textId="77777777" w:rsidR="009B22A1" w:rsidRPr="009B22A1" w:rsidRDefault="009B22A1" w:rsidP="009B22A1">
      <w:pPr>
        <w:pStyle w:val="SingleTxtG"/>
        <w:rPr>
          <w:lang w:val="es-ES_tradnl"/>
        </w:rPr>
      </w:pPr>
      <w:r w:rsidRPr="009B22A1">
        <w:rPr>
          <w:lang w:val="es-ES_tradnl"/>
        </w:rPr>
        <w:t>2.</w:t>
      </w:r>
      <w:r w:rsidRPr="009B22A1">
        <w:rPr>
          <w:lang w:val="es-ES_tradnl"/>
        </w:rPr>
        <w:tab/>
        <w:t>La República Checa describió el uso del Pacto por los tribunales en los párrafos 5 y 6 de su informe periódico. Hasta la fecha, el Tribunal Supremo se remitió al Pacto en 55 casos y el Tribunal Constitucional en 60.</w:t>
      </w:r>
    </w:p>
    <w:p w14:paraId="4D28D48C" w14:textId="77777777" w:rsidR="009B22A1" w:rsidRPr="009B22A1" w:rsidRDefault="009B22A1" w:rsidP="009B22A1">
      <w:pPr>
        <w:pStyle w:val="SingleTxtG"/>
        <w:rPr>
          <w:lang w:val="es-ES_tradnl"/>
        </w:rPr>
      </w:pPr>
      <w:r w:rsidRPr="009B22A1">
        <w:rPr>
          <w:lang w:val="es-ES_tradnl"/>
        </w:rPr>
        <w:t>3.</w:t>
      </w:r>
      <w:r w:rsidRPr="009B22A1">
        <w:rPr>
          <w:lang w:val="es-ES_tradnl"/>
        </w:rPr>
        <w:tab/>
        <w:t>La Constitución establece los principios fundamentales del funcionamiento del poder judicial. Los jueces y tribunales son independientes en el ejercicio de sus funciones y su imparcialidad no debe verse comprometida. Los jueces, al adoptar decisiones, están sujetos a las leyes y los tratados internacionales. La Ley de Tribunales y Jueces hace efectivas las disposiciones de la Constitución. En 2019, el Gobierno presentó una enmienda a la Ley de Tribunales y Jueces para fortalecer la independencia e imparcialidad del poder judicial. Esta tiene por objeto introducir un sistema uniforme y transparente de selección de jueces y funcionarios judiciales. Su nombramiento debería basarse en un procedimiento de selección abierto a los jueces aprendices y a los solicitantes no judiciales. Deberían reglamentarse nuevamente por ley los procedimientos de selección de los presidentes de tribunales. Además, una enmienda de la Ley de Procedimientos en Casos de Jueces, Fiscales y Alguaciles Certificados reforzará los procedimientos disciplinarios aplicables a jueces, fiscales y alguaciles, utilizando dos niveles de competencia. Ambas propuestas se están debatiendo actualmente en el Parlamento. La imparcialidad en los trámites judiciales se ha visto reforzada por la creación en 2020 de un nuevo sistema de asignación y distribución aleatoria de los casos judiciales, que impide predecir a quién se asignarán.</w:t>
      </w:r>
    </w:p>
    <w:p w14:paraId="326ECB4A" w14:textId="786E9E16" w:rsidR="009B22A1" w:rsidRPr="009B22A1" w:rsidRDefault="009B22A1" w:rsidP="009B22A1">
      <w:pPr>
        <w:pStyle w:val="H1G"/>
        <w:rPr>
          <w:lang w:val="es-ES_tradnl"/>
        </w:rPr>
      </w:pPr>
      <w:r>
        <w:rPr>
          <w:lang w:val="es-ES_tradnl"/>
        </w:rPr>
        <w:tab/>
      </w:r>
      <w:r w:rsidRPr="009B22A1">
        <w:rPr>
          <w:lang w:val="es-ES_tradnl"/>
        </w:rPr>
        <w:tab/>
        <w:t>Respuesta al párrafo 2 de la lista de cuestiones</w:t>
      </w:r>
    </w:p>
    <w:p w14:paraId="5F7993D9" w14:textId="29C3EDC1" w:rsidR="009B22A1" w:rsidRPr="009B22A1" w:rsidRDefault="009B22A1" w:rsidP="009B22A1">
      <w:pPr>
        <w:pStyle w:val="SingleTxtG"/>
        <w:rPr>
          <w:lang w:val="es-ES_tradnl"/>
        </w:rPr>
      </w:pPr>
      <w:r w:rsidRPr="009B22A1">
        <w:rPr>
          <w:lang w:val="es-ES_tradnl"/>
        </w:rPr>
        <w:t>4.</w:t>
      </w:r>
      <w:r w:rsidRPr="009B22A1">
        <w:rPr>
          <w:lang w:val="es-ES_tradnl"/>
        </w:rPr>
        <w:tab/>
        <w:t>El Ministerio de Medio Ambiente puso en marcha el programa de inversión Subsidios a las Calderas, cuyo objetivo es reducir la contaminación del aire de las instalaciones de calefacción locales mediante la sustitución de al menos 85.000 calderas antiguas no ecológicas. Mediante tres llamamientos se distribuirán 9.000 millones de coronas checas de los fondos de la Unión Europea entre los hogares. Ya se dio apoyo a casi 58.000 proyectos. Los hogares vulnerables y los de bajos ingresos de las regiones de ingreso bajo reciben préstamos sin intereses para prefinanciar la sustitución de las calderas en casas de familia que no cumplen la reglamentación.</w:t>
      </w:r>
    </w:p>
    <w:p w14:paraId="1CD03ACE" w14:textId="097DF5E3" w:rsidR="009B22A1" w:rsidRPr="009B22A1" w:rsidRDefault="009B22A1" w:rsidP="009B22A1">
      <w:pPr>
        <w:pStyle w:val="SingleTxtG"/>
        <w:rPr>
          <w:lang w:val="es-ES_tradnl"/>
        </w:rPr>
      </w:pPr>
      <w:r w:rsidRPr="009B22A1">
        <w:rPr>
          <w:lang w:val="es-ES_tradnl"/>
        </w:rPr>
        <w:t>5.</w:t>
      </w:r>
      <w:r w:rsidRPr="009B22A1">
        <w:rPr>
          <w:lang w:val="es-ES_tradnl"/>
        </w:rPr>
        <w:tab/>
        <w:t>Actualmente, el mayor reto relacionado con el cambio climático es la sequía. En 2019, se distribuyeron 2.000 millones de coronas entre 4.606 proyectos destinados a mejorar el suministro de agua potable y su calidad, y a ahorrar. Como resultado, se ha mejorado el</w:t>
      </w:r>
      <w:r w:rsidR="001E551F">
        <w:rPr>
          <w:lang w:val="es-ES_tradnl"/>
        </w:rPr>
        <w:t xml:space="preserve"> </w:t>
      </w:r>
      <w:r w:rsidRPr="009B22A1">
        <w:rPr>
          <w:lang w:val="es-ES_tradnl"/>
        </w:rPr>
        <w:t>suministro de agua potable a 200.000 personas en 120 municipios y 81.000 personas en 80</w:t>
      </w:r>
      <w:r w:rsidR="001E551F">
        <w:rPr>
          <w:lang w:val="es-ES_tradnl"/>
        </w:rPr>
        <w:t> </w:t>
      </w:r>
      <w:r w:rsidRPr="009B22A1">
        <w:rPr>
          <w:lang w:val="es-ES_tradnl"/>
        </w:rPr>
        <w:t>municipios ahora tienen acceso al agua potable. Varios proyectos de apoyo a la restauración de las funciones naturales del paisaje contribuirán a aumentar su capacidad de retención de agua. Las subvenciones concedidas para la revitalización de espacios verdes, la infiltración de las aguas pluviales en el paisaje edificado y la construcción de tejados verdes fomentan la adaptación de las residencias al cambio climático, incluida la reducción de su impacto en los grupos vulnerables. Un sistema de alerta temprana de cambios rápidos de temperatura o temperaturas extremas tiene como objetivo ayudar a los grupos vulnerables (por ejemplo, los niños, las personas mayores y las personas con discapacidad).</w:t>
      </w:r>
    </w:p>
    <w:p w14:paraId="7B6CA6C8" w14:textId="77777777" w:rsidR="009B22A1" w:rsidRPr="009B22A1" w:rsidRDefault="009B22A1" w:rsidP="009B22A1">
      <w:pPr>
        <w:pStyle w:val="SingleTxtG"/>
        <w:rPr>
          <w:lang w:val="es-ES_tradnl"/>
        </w:rPr>
      </w:pPr>
      <w:r w:rsidRPr="009B22A1">
        <w:rPr>
          <w:lang w:val="es-ES_tradnl"/>
        </w:rPr>
        <w:t>6.</w:t>
      </w:r>
      <w:r w:rsidRPr="009B22A1">
        <w:rPr>
          <w:lang w:val="es-ES_tradnl"/>
        </w:rPr>
        <w:tab/>
        <w:t xml:space="preserve">Según la evaluación de 2019 del Plan de Acción Nacional de Adaptación al Cambio Climático, se ha ejecutado el 70 % de las 350 tareas que contiene. Se está preparando una actualización de la Estrategia de Adaptación al Cambio Climático en la República Checa. </w:t>
      </w:r>
      <w:r w:rsidRPr="009B22A1">
        <w:rPr>
          <w:lang w:val="es-ES_tradnl"/>
        </w:rPr>
        <w:lastRenderedPageBreak/>
        <w:t>Las emisiones de gases de efecto invernadero disminuyeron un 35,6 % entre 1990 y 2018. Según las proyecciones de emisiones del Plan Nacional de Energía y Clima, el objetivo fijado por la República Checa en el marco del Acuerdo de París sobre cambio climático se cumplirá antes de 2030. La República Checa ha prometido una asignación de unos 5,3 millones de dólares de los Estados Unidos al Fondo Verde para el Clima. La cooperación para el desarrollo en el extranjero incluye proyectos de adaptación al cambio climático y reducción de las emisiones de gases de efecto invernadero en países en desarrollo, mejora del acceso al agua y a la energía limpia, reducción del riesgo de desastres, ahorro de energía y adaptación del sector agrícola.</w:t>
      </w:r>
    </w:p>
    <w:p w14:paraId="12473E78" w14:textId="77777777" w:rsidR="009B22A1" w:rsidRPr="009B22A1" w:rsidRDefault="009B22A1" w:rsidP="009B22A1">
      <w:pPr>
        <w:pStyle w:val="HChG"/>
        <w:rPr>
          <w:lang w:val="es-ES_tradnl"/>
        </w:rPr>
      </w:pPr>
      <w:r w:rsidRPr="009B22A1">
        <w:rPr>
          <w:lang w:val="es-ES_tradnl"/>
        </w:rPr>
        <w:tab/>
        <w:t>II.</w:t>
      </w:r>
      <w:r w:rsidRPr="009B22A1">
        <w:rPr>
          <w:lang w:val="es-ES_tradnl"/>
        </w:rPr>
        <w:tab/>
        <w:t>Cuestiones relativas a las disposiciones generales del Pacto (arts. 1 a 5)</w:t>
      </w:r>
    </w:p>
    <w:p w14:paraId="52344627" w14:textId="659B4CC8" w:rsidR="009B22A1" w:rsidRPr="009B22A1" w:rsidRDefault="009B22A1" w:rsidP="009B22A1">
      <w:pPr>
        <w:pStyle w:val="H1G"/>
        <w:rPr>
          <w:lang w:val="es-ES_tradnl"/>
        </w:rPr>
      </w:pPr>
      <w:r>
        <w:rPr>
          <w:lang w:val="es-ES_tradnl"/>
        </w:rPr>
        <w:tab/>
      </w:r>
      <w:r w:rsidRPr="009B22A1">
        <w:rPr>
          <w:lang w:val="es-ES_tradnl"/>
        </w:rPr>
        <w:tab/>
        <w:t>Respuesta al párrafo 3 a) de la lista de cuestiones</w:t>
      </w:r>
    </w:p>
    <w:p w14:paraId="3A7427BA" w14:textId="404EAB27" w:rsidR="009B22A1" w:rsidRPr="009B22A1" w:rsidRDefault="009B22A1" w:rsidP="009B22A1">
      <w:pPr>
        <w:pStyle w:val="SingleTxtG"/>
        <w:rPr>
          <w:lang w:val="es-ES_tradnl"/>
        </w:rPr>
      </w:pPr>
      <w:r w:rsidRPr="009B22A1">
        <w:rPr>
          <w:lang w:val="es-ES_tradnl"/>
        </w:rPr>
        <w:t>7.</w:t>
      </w:r>
      <w:r w:rsidRPr="009B22A1">
        <w:rPr>
          <w:lang w:val="es-ES_tradnl"/>
        </w:rPr>
        <w:tab/>
        <w:t>Los datos sobre los niveles de desigualdad y la proporción de personas que están por debajo del umbral de pobreza figuran en el anexo I.</w:t>
      </w:r>
    </w:p>
    <w:p w14:paraId="1524D115" w14:textId="54F7EF85" w:rsidR="009B22A1" w:rsidRPr="009B22A1" w:rsidRDefault="009B22A1" w:rsidP="009B22A1">
      <w:pPr>
        <w:pStyle w:val="H1G"/>
        <w:rPr>
          <w:lang w:val="es-ES_tradnl"/>
        </w:rPr>
      </w:pPr>
      <w:r>
        <w:rPr>
          <w:lang w:val="es-ES_tradnl"/>
        </w:rPr>
        <w:tab/>
      </w:r>
      <w:r w:rsidRPr="009B22A1">
        <w:rPr>
          <w:lang w:val="es-ES_tradnl"/>
        </w:rPr>
        <w:tab/>
        <w:t>Respuesta al párrafo 3 b) de la lista de cuestiones</w:t>
      </w:r>
    </w:p>
    <w:p w14:paraId="4075C32F" w14:textId="77777777" w:rsidR="009B22A1" w:rsidRPr="009B22A1" w:rsidRDefault="009B22A1" w:rsidP="009B22A1">
      <w:pPr>
        <w:pStyle w:val="SingleTxtG"/>
        <w:rPr>
          <w:lang w:val="es-ES_tradnl"/>
        </w:rPr>
      </w:pPr>
      <w:r w:rsidRPr="009B22A1">
        <w:rPr>
          <w:lang w:val="es-ES_tradnl"/>
        </w:rPr>
        <w:t>8.</w:t>
      </w:r>
      <w:r w:rsidRPr="009B22A1">
        <w:rPr>
          <w:lang w:val="es-ES_tradnl"/>
        </w:rPr>
        <w:tab/>
        <w:t>Los datos sobre la proporción de los ingresos públicos que se obtiene de los impuestos figuran en el anexo I.</w:t>
      </w:r>
    </w:p>
    <w:p w14:paraId="00CDB087" w14:textId="46AC934A" w:rsidR="009B22A1" w:rsidRPr="009B22A1" w:rsidRDefault="009B22A1" w:rsidP="009B22A1">
      <w:pPr>
        <w:pStyle w:val="H1G"/>
        <w:rPr>
          <w:lang w:val="es-ES_tradnl"/>
        </w:rPr>
      </w:pPr>
      <w:r>
        <w:rPr>
          <w:lang w:val="es-ES_tradnl"/>
        </w:rPr>
        <w:tab/>
      </w:r>
      <w:r w:rsidRPr="009B22A1">
        <w:rPr>
          <w:lang w:val="es-ES_tradnl"/>
        </w:rPr>
        <w:tab/>
        <w:t>Respuesta al párrafo 3 c) de la lista de cuestiones</w:t>
      </w:r>
    </w:p>
    <w:p w14:paraId="6DF9E556" w14:textId="77777777" w:rsidR="009B22A1" w:rsidRPr="009B22A1" w:rsidRDefault="009B22A1" w:rsidP="009B22A1">
      <w:pPr>
        <w:pStyle w:val="SingleTxtG"/>
        <w:rPr>
          <w:lang w:val="es-ES_tradnl"/>
        </w:rPr>
      </w:pPr>
      <w:r w:rsidRPr="009B22A1">
        <w:rPr>
          <w:lang w:val="es-ES_tradnl"/>
        </w:rPr>
        <w:t>9.</w:t>
      </w:r>
      <w:r w:rsidRPr="009B22A1">
        <w:rPr>
          <w:lang w:val="es-ES_tradnl"/>
        </w:rPr>
        <w:tab/>
        <w:t>Los datos sobre los tipos impositivos con los que se gravan los beneficios empresariales y la renta de las personas físicas, el impuesto sobre el valor añadido y los impuestos especiales, así como sobre el porcentaje de los ingresos totales que se obtiene del impuesto sobre la renta de las personas físicas con el que se grava al decil más rico de la población, figuran en el anexo I.</w:t>
      </w:r>
    </w:p>
    <w:p w14:paraId="26DFFA39" w14:textId="38FCCAAC" w:rsidR="009B22A1" w:rsidRPr="009B22A1" w:rsidRDefault="009B22A1" w:rsidP="009B22A1">
      <w:pPr>
        <w:pStyle w:val="H1G"/>
        <w:rPr>
          <w:lang w:val="es-ES_tradnl"/>
        </w:rPr>
      </w:pPr>
      <w:r>
        <w:rPr>
          <w:lang w:val="es-ES_tradnl"/>
        </w:rPr>
        <w:tab/>
      </w:r>
      <w:r w:rsidRPr="009B22A1">
        <w:rPr>
          <w:lang w:val="es-ES_tradnl"/>
        </w:rPr>
        <w:tab/>
        <w:t>Respuesta al párrafo 3 d) de la lista de cuestiones</w:t>
      </w:r>
    </w:p>
    <w:p w14:paraId="798F23F6" w14:textId="77777777" w:rsidR="009B22A1" w:rsidRPr="009B22A1" w:rsidRDefault="009B22A1" w:rsidP="009B22A1">
      <w:pPr>
        <w:pStyle w:val="SingleTxtG"/>
        <w:rPr>
          <w:lang w:val="es-ES_tradnl"/>
        </w:rPr>
      </w:pPr>
      <w:r w:rsidRPr="009B22A1">
        <w:rPr>
          <w:lang w:val="es-ES_tradnl"/>
        </w:rPr>
        <w:t>10.</w:t>
      </w:r>
      <w:r w:rsidRPr="009B22A1">
        <w:rPr>
          <w:lang w:val="es-ES_tradnl"/>
        </w:rPr>
        <w:tab/>
        <w:t>El gasto público como porcentaje del producto interno bruto y, dentro del gasto público total, la proporción del presupuesto público que se destina al gasto social figuran en el anexo I.</w:t>
      </w:r>
    </w:p>
    <w:p w14:paraId="03638A9C" w14:textId="027AB84B" w:rsidR="009B22A1" w:rsidRPr="009B22A1" w:rsidRDefault="009B22A1" w:rsidP="009B22A1">
      <w:pPr>
        <w:pStyle w:val="H1G"/>
        <w:rPr>
          <w:lang w:val="es-ES_tradnl"/>
        </w:rPr>
      </w:pPr>
      <w:r>
        <w:rPr>
          <w:lang w:val="es-ES_tradnl"/>
        </w:rPr>
        <w:tab/>
      </w:r>
      <w:r w:rsidRPr="009B22A1">
        <w:rPr>
          <w:lang w:val="es-ES_tradnl"/>
        </w:rPr>
        <w:tab/>
        <w:t>Respuesta al párrafo 3 e) de la lista de cuestiones</w:t>
      </w:r>
    </w:p>
    <w:p w14:paraId="1CC92810" w14:textId="77777777" w:rsidR="009B22A1" w:rsidRPr="009B22A1" w:rsidRDefault="009B22A1" w:rsidP="009B22A1">
      <w:pPr>
        <w:pStyle w:val="SingleTxtG"/>
        <w:rPr>
          <w:lang w:val="es-ES_tradnl"/>
        </w:rPr>
      </w:pPr>
      <w:r w:rsidRPr="009B22A1">
        <w:rPr>
          <w:lang w:val="es-ES_tradnl"/>
        </w:rPr>
        <w:t>11.</w:t>
      </w:r>
      <w:r w:rsidRPr="009B22A1">
        <w:rPr>
          <w:lang w:val="es-ES_tradnl"/>
        </w:rPr>
        <w:tab/>
        <w:t>Los datos sobre los niveles absolutos de gasto social ajustados a la inflación figuran en el anexo I.</w:t>
      </w:r>
    </w:p>
    <w:p w14:paraId="6C12B9CA" w14:textId="2C603915" w:rsidR="009B22A1" w:rsidRPr="009B22A1" w:rsidRDefault="009B22A1" w:rsidP="009B22A1">
      <w:pPr>
        <w:pStyle w:val="H1G"/>
        <w:rPr>
          <w:lang w:val="es-ES_tradnl"/>
        </w:rPr>
      </w:pPr>
      <w:r>
        <w:rPr>
          <w:lang w:val="es-ES_tradnl"/>
        </w:rPr>
        <w:tab/>
      </w:r>
      <w:r w:rsidRPr="009B22A1">
        <w:rPr>
          <w:lang w:val="es-ES_tradnl"/>
        </w:rPr>
        <w:tab/>
        <w:t>Respuesta al párrafo 4 de la lista de cuestiones</w:t>
      </w:r>
    </w:p>
    <w:p w14:paraId="256E5B44" w14:textId="77777777" w:rsidR="009B22A1" w:rsidRPr="009B22A1" w:rsidRDefault="009B22A1" w:rsidP="009B22A1">
      <w:pPr>
        <w:pStyle w:val="SingleTxtG"/>
        <w:rPr>
          <w:lang w:val="es-ES_tradnl"/>
        </w:rPr>
      </w:pPr>
      <w:r w:rsidRPr="009B22A1">
        <w:rPr>
          <w:lang w:val="es-ES_tradnl"/>
        </w:rPr>
        <w:t>12.</w:t>
      </w:r>
      <w:r w:rsidRPr="009B22A1">
        <w:rPr>
          <w:lang w:val="es-ES_tradnl"/>
        </w:rPr>
        <w:tab/>
        <w:t xml:space="preserve">La República Checa resumió su posición en los párrafos 21 a 25 de su informe periódico. La discriminación en relación con los derechos económicos, sociales y culturales está prohibida por la aplicación directa del Pacto, la prohibición constitucional de la discriminación en la Carta de Derechos y Libertades Fundamentales, que contiene todos los motivos incluidos en el Pacto (incluidos el color y la ascendencia), y la prohibición dispuesta en la Ley de Lucha contra la Discriminación, el Código del Trabajo, la Ley de Empleo y otras leyes. Cuando no figuran por separado los motivos de color y ascendencia, están incluidos en la discriminación racial según su definición en la Convención Internacional sobre la Eliminación de Todas las Formas de Discriminación Racial. La Ley de Lucha contra la Discriminación, en su calidad de norma general de lucha contra la discriminación, define la </w:t>
      </w:r>
      <w:r w:rsidRPr="009B22A1">
        <w:rPr>
          <w:lang w:val="es-ES_tradnl"/>
        </w:rPr>
        <w:lastRenderedPageBreak/>
        <w:t>discriminación directa e indirecta, el acoso, la victimización y la instrucción e iniciación en la discriminación.</w:t>
      </w:r>
    </w:p>
    <w:p w14:paraId="15B0144D" w14:textId="77777777" w:rsidR="009B22A1" w:rsidRPr="009B22A1" w:rsidRDefault="009B22A1" w:rsidP="009B22A1">
      <w:pPr>
        <w:pStyle w:val="SingleTxtG"/>
        <w:rPr>
          <w:lang w:val="es-ES_tradnl"/>
        </w:rPr>
      </w:pPr>
      <w:r w:rsidRPr="009B22A1">
        <w:rPr>
          <w:lang w:val="es-ES_tradnl"/>
        </w:rPr>
        <w:t>13.</w:t>
      </w:r>
      <w:r w:rsidRPr="009B22A1">
        <w:rPr>
          <w:lang w:val="es-ES_tradnl"/>
        </w:rPr>
        <w:tab/>
        <w:t>Los datos actualizados sobre los casos de discriminación detectados por las inspecciones del trabajo figuran en el anexo I.</w:t>
      </w:r>
    </w:p>
    <w:p w14:paraId="1F078439" w14:textId="77777777" w:rsidR="009B22A1" w:rsidRPr="009B22A1" w:rsidRDefault="009B22A1" w:rsidP="009B22A1">
      <w:pPr>
        <w:pStyle w:val="SingleTxtG"/>
        <w:rPr>
          <w:lang w:val="es-ES_tradnl"/>
        </w:rPr>
      </w:pPr>
      <w:r w:rsidRPr="009B22A1">
        <w:rPr>
          <w:lang w:val="es-ES_tradnl"/>
        </w:rPr>
        <w:t>14.</w:t>
      </w:r>
      <w:r w:rsidRPr="009B22A1">
        <w:rPr>
          <w:lang w:val="es-ES_tradnl"/>
        </w:rPr>
        <w:tab/>
        <w:t>Los tribunales trataron cuatro casos de discriminación en la educación. Tres de estos se referían a la provisión de un subsidio para un asistente docente y uno al derecho de un niño con discapacidad a ser educado de acuerdo con su estado de salud. Los casos siguen pendientes.</w:t>
      </w:r>
    </w:p>
    <w:p w14:paraId="7E6845A9" w14:textId="2508DF05" w:rsidR="009B22A1" w:rsidRPr="009B22A1" w:rsidRDefault="009B22A1" w:rsidP="009B22A1">
      <w:pPr>
        <w:pStyle w:val="SingleTxtG"/>
        <w:rPr>
          <w:lang w:val="es-ES_tradnl"/>
        </w:rPr>
      </w:pPr>
      <w:r w:rsidRPr="009B22A1">
        <w:rPr>
          <w:lang w:val="es-ES_tradnl"/>
        </w:rPr>
        <w:t>15.</w:t>
      </w:r>
      <w:r w:rsidRPr="009B22A1">
        <w:rPr>
          <w:lang w:val="es-ES_tradnl"/>
        </w:rPr>
        <w:tab/>
        <w:t>Todas las víctimas de discriminación pueden reclamar una indemnización en los tribunales y presentar denuncias ante los organismos administrativos, como se indica en el párrafo 24 del informe periódico. En los casos relativos a los ámbitos y motivos de discriminación contemplados en la Ley de Lucha contra la Discriminación, las víctimas se remiten a dicha Ley, en los demás casos, al Código Civil. Ambas vías son equivalentes en su forma y pueden proporcionar protección contra la discriminación, incluida una indemnización.</w:t>
      </w:r>
    </w:p>
    <w:p w14:paraId="01456520" w14:textId="77777777" w:rsidR="009B22A1" w:rsidRPr="009B22A1" w:rsidRDefault="009B22A1" w:rsidP="009B22A1">
      <w:pPr>
        <w:pStyle w:val="SingleTxtG"/>
        <w:rPr>
          <w:lang w:val="es-ES_tradnl"/>
        </w:rPr>
      </w:pPr>
      <w:r w:rsidRPr="009B22A1">
        <w:rPr>
          <w:lang w:val="es-ES_tradnl"/>
        </w:rPr>
        <w:t>16.</w:t>
      </w:r>
      <w:r w:rsidRPr="009B22A1">
        <w:rPr>
          <w:lang w:val="es-ES_tradnl"/>
        </w:rPr>
        <w:tab/>
        <w:t>La Defensoría del Pueblo desempeña el papel principal en la sensibilización de la opinión pública acerca de las víctimas de la discriminación y la defensa de sus derechos. Publica en su sitio web la información sobre los recursos jurídicos de que disponen las víctimas de discriminación, las instrucciones para realizar una denuncia o entablar acciones judiciales para reclamar una indemnización, y las posibilidades de obtener asistencia jurídica</w:t>
      </w:r>
      <w:r w:rsidRPr="009B22A1">
        <w:rPr>
          <w:sz w:val="18"/>
          <w:szCs w:val="18"/>
          <w:vertAlign w:val="superscript"/>
          <w:lang w:val="es-ES_tradnl"/>
        </w:rPr>
        <w:footnoteReference w:id="3"/>
      </w:r>
      <w:r w:rsidRPr="009B22A1">
        <w:rPr>
          <w:lang w:val="es-ES_tradnl"/>
        </w:rPr>
        <w:t>. Las autoridades de inspección pública que se ocupan de la discriminación, como la Inspección del Trabajo, publican información sobre la discriminación y los recursos jurídicos en sus sitios web.</w:t>
      </w:r>
    </w:p>
    <w:p w14:paraId="5E45327F" w14:textId="57B741B2" w:rsidR="009B22A1" w:rsidRPr="009B22A1" w:rsidRDefault="009B22A1" w:rsidP="009B22A1">
      <w:pPr>
        <w:pStyle w:val="H1G"/>
        <w:rPr>
          <w:lang w:val="es-ES_tradnl"/>
        </w:rPr>
      </w:pPr>
      <w:r>
        <w:rPr>
          <w:lang w:val="es-ES_tradnl"/>
        </w:rPr>
        <w:tab/>
      </w:r>
      <w:r w:rsidRPr="009B22A1">
        <w:rPr>
          <w:lang w:val="es-ES_tradnl"/>
        </w:rPr>
        <w:tab/>
        <w:t>Respuesta al párrafo 5 de la lista de cuestiones</w:t>
      </w:r>
    </w:p>
    <w:p w14:paraId="1FAF22FB" w14:textId="77777777" w:rsidR="009B22A1" w:rsidRPr="009B22A1" w:rsidRDefault="009B22A1" w:rsidP="009B22A1">
      <w:pPr>
        <w:pStyle w:val="SingleTxtG"/>
        <w:rPr>
          <w:lang w:val="es-ES_tradnl"/>
        </w:rPr>
      </w:pPr>
      <w:r w:rsidRPr="009B22A1">
        <w:rPr>
          <w:lang w:val="es-ES_tradnl"/>
        </w:rPr>
        <w:t>17.</w:t>
      </w:r>
      <w:r w:rsidRPr="009B22A1">
        <w:rPr>
          <w:lang w:val="es-ES_tradnl"/>
        </w:rPr>
        <w:tab/>
        <w:t>Según el Código de Procedimiento Civil, las normas sobre el cambio de la carga de la prueba se aplican en todos los casos de discriminación racial o étnica y en todos los casos de discriminación en el empleo y la ocupación. En otros casos, este cambio lamentablemente no se aplica. La República Checa tiene previsto modificar las normas de la carga de la prueba como parte de la recodificación de la legislación procesal civil en los próximos años.</w:t>
      </w:r>
    </w:p>
    <w:p w14:paraId="1CDDCB41" w14:textId="7B431631" w:rsidR="009B22A1" w:rsidRPr="009B22A1" w:rsidRDefault="009B22A1" w:rsidP="009B22A1">
      <w:pPr>
        <w:pStyle w:val="H1G"/>
        <w:rPr>
          <w:lang w:val="es-ES_tradnl"/>
        </w:rPr>
      </w:pPr>
      <w:r>
        <w:rPr>
          <w:lang w:val="es-ES_tradnl"/>
        </w:rPr>
        <w:tab/>
      </w:r>
      <w:r w:rsidRPr="009B22A1">
        <w:rPr>
          <w:lang w:val="es-ES_tradnl"/>
        </w:rPr>
        <w:tab/>
        <w:t>Respuesta al párrafo 6 de la lista de cuestiones</w:t>
      </w:r>
    </w:p>
    <w:p w14:paraId="03CB4ED0" w14:textId="1709DBE6" w:rsidR="009B22A1" w:rsidRPr="009B22A1" w:rsidRDefault="009B22A1" w:rsidP="009B22A1">
      <w:pPr>
        <w:pStyle w:val="SingleTxtG"/>
        <w:rPr>
          <w:lang w:val="es-ES_tradnl"/>
        </w:rPr>
      </w:pPr>
      <w:r w:rsidRPr="009B22A1">
        <w:rPr>
          <w:lang w:val="es-ES_tradnl"/>
        </w:rPr>
        <w:t>18.</w:t>
      </w:r>
      <w:r w:rsidRPr="009B22A1">
        <w:rPr>
          <w:lang w:val="es-ES_tradnl"/>
        </w:rPr>
        <w:tab/>
        <w:t>La Estrategia de Integración de los Romaníes hasta 2020 exige al Ministerio de Educación, Juventud y Deportes que supervise la situación de los niños, alumnos y estudiantes romaníes. La Inspección Escolar checa supervisa las actividades de las escuelas y los servicios de asesoramiento escolar en materia de educación inclusiva y coopera con la Oficina del Gobierno, el Ministerio, la Defensoría del Pueblo, organizaciones no gubernamentales</w:t>
      </w:r>
      <w:r w:rsidR="007F731D">
        <w:rPr>
          <w:lang w:val="es-ES_tradnl"/>
        </w:rPr>
        <w:t xml:space="preserve"> (ONG)</w:t>
      </w:r>
      <w:r w:rsidRPr="009B22A1">
        <w:rPr>
          <w:lang w:val="es-ES_tradnl"/>
        </w:rPr>
        <w:t xml:space="preserve"> y otros expertos en la evaluación de la situación de los niños, alumnos y estudiantes romaníes.</w:t>
      </w:r>
    </w:p>
    <w:p w14:paraId="299B3F01" w14:textId="3EE61F5C" w:rsidR="009B22A1" w:rsidRPr="009B22A1" w:rsidRDefault="009B22A1" w:rsidP="009B22A1">
      <w:pPr>
        <w:pStyle w:val="SingleTxtG"/>
        <w:rPr>
          <w:lang w:val="es-ES_tradnl"/>
        </w:rPr>
      </w:pPr>
      <w:r w:rsidRPr="009B22A1">
        <w:rPr>
          <w:lang w:val="es-ES_tradnl"/>
        </w:rPr>
        <w:t>19.</w:t>
      </w:r>
      <w:r w:rsidRPr="009B22A1">
        <w:rPr>
          <w:lang w:val="es-ES_tradnl"/>
        </w:rPr>
        <w:tab/>
        <w:t>En el año escolar 2017/18, se presentaron dos denuncias de discriminación contra alumnos romaníes ante la Inspección Escolar checa; ambas se consideraron justificadas. Según los datos del Ministerio de Educación, Juventud y Deportes, el número de denuncias de desigualdad de trato de niños, alumnos y estudiantes romaníes ha disminuido.</w:t>
      </w:r>
    </w:p>
    <w:p w14:paraId="43CCE11B" w14:textId="5022CE8A" w:rsidR="009B22A1" w:rsidRPr="009B22A1" w:rsidRDefault="009B22A1" w:rsidP="009B22A1">
      <w:pPr>
        <w:pStyle w:val="SingleTxtG"/>
        <w:rPr>
          <w:lang w:val="es-ES_tradnl"/>
        </w:rPr>
      </w:pPr>
      <w:r w:rsidRPr="009B22A1">
        <w:rPr>
          <w:lang w:val="es-ES_tradnl"/>
        </w:rPr>
        <w:t>20.</w:t>
      </w:r>
      <w:r w:rsidRPr="009B22A1">
        <w:rPr>
          <w:lang w:val="es-ES_tradnl"/>
        </w:rPr>
        <w:tab/>
        <w:t>En 2019, el Ministerio de Educación, Juventud y Deportes asignó más de 12.000</w:t>
      </w:r>
      <w:r w:rsidR="0046219E">
        <w:rPr>
          <w:lang w:val="es-ES_tradnl"/>
        </w:rPr>
        <w:t> </w:t>
      </w:r>
      <w:r w:rsidRPr="009B22A1">
        <w:rPr>
          <w:lang w:val="es-ES_tradnl"/>
        </w:rPr>
        <w:t>millones de coronas al programa de subvención Apoyo a la Integración de la Minoría Romaní. Este se centró en la ayuda y el apoyo a los alumnos romaníes en la enseñanza preescolar y primaria y su transición con éxito a la enseñanza secundaria, así como en las actividades de ocio para los niños y alumnos romaníes. Se prestó apoyo a 29 organizaciones sin ánimo de lucro y a 1 escuela.</w:t>
      </w:r>
    </w:p>
    <w:p w14:paraId="25E4972F" w14:textId="77777777" w:rsidR="009B22A1" w:rsidRPr="009B22A1" w:rsidRDefault="009B22A1" w:rsidP="009B22A1">
      <w:pPr>
        <w:pStyle w:val="SingleTxtG"/>
        <w:rPr>
          <w:lang w:val="es-ES_tradnl"/>
        </w:rPr>
      </w:pPr>
      <w:r w:rsidRPr="009B22A1">
        <w:rPr>
          <w:lang w:val="es-ES_tradnl"/>
        </w:rPr>
        <w:lastRenderedPageBreak/>
        <w:t>21.</w:t>
      </w:r>
      <w:r w:rsidRPr="009B22A1">
        <w:rPr>
          <w:lang w:val="es-ES_tradnl"/>
        </w:rPr>
        <w:tab/>
        <w:t>El Ministerio de Educación, Juventud y Deportes analiza las repercusiones de la introducción de la obligatoriedad del último año de la enseñanza preescolar. El análisis evalúa las barreras a la educación de los niños de medios desfavorecidos y se centra en las razones para posponer la asistencia obligatoria a la escuela. El Ministerio encarará los problemas detectados.</w:t>
      </w:r>
    </w:p>
    <w:p w14:paraId="4D88BFC3" w14:textId="625A544E" w:rsidR="009B22A1" w:rsidRPr="009B22A1" w:rsidRDefault="009B22A1" w:rsidP="009B22A1">
      <w:pPr>
        <w:pStyle w:val="SingleTxtG"/>
        <w:rPr>
          <w:lang w:val="es-ES_tradnl"/>
        </w:rPr>
      </w:pPr>
      <w:r w:rsidRPr="009B22A1">
        <w:rPr>
          <w:lang w:val="es-ES_tradnl"/>
        </w:rPr>
        <w:t>22.</w:t>
      </w:r>
      <w:r w:rsidRPr="009B22A1">
        <w:rPr>
          <w:lang w:val="es-ES_tradnl"/>
        </w:rPr>
        <w:tab/>
        <w:t>El abandono escolar prematuro de los estudiantes romaníes es un problema persistente. El Ministerio de Educación, Juventud y Deportes se centra en reducir las barreras de acceso a la educación superior, por ejemplo, mediante becas sociales vinculadas al salario mínimo. También, se presta apoyo mediante las convocatorias del Programa Operacional de Investigación, Desarrollo y Educación, que está orientado al aumento de la participación de estudiantes con necesidades especiales, grupos socioeconómicamente desfavorecidos y minorías étnicas en la enseñanza superior, y a la reducción del fracaso de los estudiantes.</w:t>
      </w:r>
    </w:p>
    <w:p w14:paraId="123185F1" w14:textId="7943C61C" w:rsidR="009B22A1" w:rsidRPr="009B22A1" w:rsidRDefault="009B22A1" w:rsidP="009B22A1">
      <w:pPr>
        <w:pStyle w:val="SingleTxtG"/>
        <w:rPr>
          <w:lang w:val="es-ES_tradnl"/>
        </w:rPr>
      </w:pPr>
      <w:r w:rsidRPr="009B22A1">
        <w:rPr>
          <w:lang w:val="es-ES_tradnl"/>
        </w:rPr>
        <w:t>23.</w:t>
      </w:r>
      <w:r w:rsidRPr="009B22A1">
        <w:rPr>
          <w:lang w:val="es-ES_tradnl"/>
        </w:rPr>
        <w:tab/>
        <w:t>Los informes finales de los proyectos apoyados por el programa de subsidios Apoyo al Trabajo sobre el Terreno mostraron que en 2019 los trabajadores sobre el terreno realizaron aproximadamente 1.471 intervenciones relacionadas con la discriminación. Los trabajadores sociales se ocuparon de 66 casos de presunta discriminación por motivos étnicos por las oficinas de empleo y de 38 casos de supuesta discriminación por empleadores. Proporcionaron a los destinatarios romaníes información sobre las opciones para defender sus derechos en caso de discriminación (la Defensoría del Pueblo, las autoridades de inspección, los tribunales). Sin embargo, en general los destinatarios no buscaron una solución a sus problemas. En 2019, la Inspección Estatal del Trabajo recibió dos denuncias de posible discriminación por motivos de origen racial o étnico. Algunas oficinas de empleo de la República Checa tratan de prevenir los casos de discriminación, por ejemplo, permitiendo que las entrevistas de trabajo tengan lugar en sus locales.</w:t>
      </w:r>
    </w:p>
    <w:p w14:paraId="10EC29D2" w14:textId="7C1910B5" w:rsidR="009B22A1" w:rsidRPr="009B22A1" w:rsidRDefault="009B22A1" w:rsidP="009B22A1">
      <w:pPr>
        <w:pStyle w:val="SingleTxtG"/>
        <w:rPr>
          <w:lang w:val="es-ES_tradnl"/>
        </w:rPr>
      </w:pPr>
      <w:r w:rsidRPr="009B22A1">
        <w:rPr>
          <w:lang w:val="es-ES_tradnl"/>
        </w:rPr>
        <w:t>24.</w:t>
      </w:r>
      <w:r w:rsidRPr="009B22A1">
        <w:rPr>
          <w:lang w:val="es-ES_tradnl"/>
        </w:rPr>
        <w:tab/>
        <w:t xml:space="preserve">Los romaníes se enfrentan a una oferta insuficiente de viviendas, a depósitos de seguridad elevados y a precios de alquiler excesivos, o a la reticencia de los propietarios a alquilarles un apartamento. Los trabajadores sociales de los proyectos municipales financiados por la Oficina del Gobierno trataron 338 casos de supuesta discriminación por motivos de origen étnico por agentes inmobiliarios o arrendadores de pisos y albergues contra personas de etnia romaní. En 2019, los municipios con un alto número de romaníes ejecutaron programas de vivienda social introduciendo el enfoque </w:t>
      </w:r>
      <w:r w:rsidR="00646A67">
        <w:rPr>
          <w:lang w:val="es-ES_tradnl"/>
        </w:rPr>
        <w:t>“</w:t>
      </w:r>
      <w:r w:rsidRPr="009B22A1">
        <w:rPr>
          <w:lang w:val="es-ES_tradnl"/>
        </w:rPr>
        <w:t>primero la vivienda</w:t>
      </w:r>
      <w:r w:rsidR="00646A67">
        <w:rPr>
          <w:lang w:val="es-ES_tradnl"/>
        </w:rPr>
        <w:t>”</w:t>
      </w:r>
      <w:r w:rsidRPr="009B22A1">
        <w:rPr>
          <w:lang w:val="es-ES_tradnl"/>
        </w:rPr>
        <w:t>, un modelo de tres niveles de vivienda flexible. El párrafo 137 del informe periódico contiene más información sobre viviendas sociales.</w:t>
      </w:r>
    </w:p>
    <w:p w14:paraId="4F0D2AC4" w14:textId="381420FA" w:rsidR="009B22A1" w:rsidRPr="009B22A1" w:rsidRDefault="009B22A1" w:rsidP="009B22A1">
      <w:pPr>
        <w:pStyle w:val="SingleTxtG"/>
        <w:rPr>
          <w:lang w:val="es-ES_tradnl"/>
        </w:rPr>
      </w:pPr>
      <w:r w:rsidRPr="009B22A1">
        <w:rPr>
          <w:lang w:val="es-ES_tradnl"/>
        </w:rPr>
        <w:t>25.</w:t>
      </w:r>
      <w:r w:rsidRPr="009B22A1">
        <w:rPr>
          <w:lang w:val="es-ES_tradnl"/>
        </w:rPr>
        <w:tab/>
        <w:t>Los informes sobre la minoría romaní muestran que, en general, los romaníes tienen una actitud más reacia frente a la protección de la salud que la población mayoritaria. Su relación con el sistema de atención sanitaria también es compleja debido a la falta de confianza mutua y a los prejuicios. Los trabajadores sociales de los proyectos municipales financiados por la Oficina del Gobierno realizaron unas 5.000 intervenciones sanitarias, por ejemplo, proporcionaron información y apoyo a los pacientes al registrarse para consultar a un médico o al enfrentarse con comportamientos de riesgo (especialmente el juego y el abuso de sustancias). También trataron 125 casos de supuesta discriminación por personal de centros médicos contra la población romaní. Sin embargo, en 2019 el Ministerio de Salud no registró ninguna denuncia oficial sobre discriminación contra la minoría romaní.</w:t>
      </w:r>
    </w:p>
    <w:p w14:paraId="472E7400" w14:textId="2BDF4190" w:rsidR="009B22A1" w:rsidRDefault="009B22A1" w:rsidP="009B22A1">
      <w:pPr>
        <w:pStyle w:val="SingleTxtG"/>
        <w:rPr>
          <w:lang w:val="es-ES_tradnl"/>
        </w:rPr>
      </w:pPr>
      <w:r w:rsidRPr="009B22A1">
        <w:rPr>
          <w:lang w:val="es-ES_tradnl"/>
        </w:rPr>
        <w:t>26.</w:t>
      </w:r>
      <w:r w:rsidRPr="009B22A1">
        <w:rPr>
          <w:lang w:val="es-ES_tradnl"/>
        </w:rPr>
        <w:tab/>
        <w:t>En 2018, se creó el Grupo de Trabajo de Coordinación entre los Ministerios de Trabajo y Asuntos Sociales y de Salud de la República Checa, que se centra en los servicios sociales y de salud y proporciona atención, apoyo y asistencia a las personas necesitadas, incluida la minoría romaní. Su objetivo es mejorar la calidad y lograr el funcionamiento eficaz de los servicios en la interfaz sociosanitaria y garantizar su disponibilidad.</w:t>
      </w:r>
    </w:p>
    <w:p w14:paraId="5C24F2D3" w14:textId="1C309308" w:rsidR="009B22A1" w:rsidRPr="009B22A1" w:rsidRDefault="009B22A1" w:rsidP="009B22A1">
      <w:pPr>
        <w:pStyle w:val="SingleTxtG"/>
        <w:rPr>
          <w:lang w:val="es-ES_tradnl"/>
        </w:rPr>
      </w:pPr>
      <w:r w:rsidRPr="009B22A1">
        <w:rPr>
          <w:lang w:val="es-ES_tradnl"/>
        </w:rPr>
        <w:t>27.</w:t>
      </w:r>
      <w:r w:rsidRPr="009B22A1">
        <w:rPr>
          <w:lang w:val="es-ES_tradnl"/>
        </w:rPr>
        <w:tab/>
      </w:r>
      <w:r w:rsidRPr="00E30AD9">
        <w:t>En 2018, el Public Health Institute puso en marcha el proyecto quinquenal Promoción Eficaz de la Salud de las Personas en Riesgo de Pobreza y Exclusión Social, cuyo objetivo es aumentar la alfabetización sanitaria y mejorar los conocimientos sanitarios y el estilo de vida de estas personas. En 2018/19 se crearon 14 centros regionales de apoyo a la salud como bases de expertos para la implementación de 66 nuevos programas de apoyo a las intervenciones en 11 esferas temáticas (higiene personal, vida saludable, prevención de adicciones y nutrición, entre otras). Los centros cuentan con coordinadores y los llamados</w:t>
      </w:r>
      <w:r w:rsidRPr="009B22A1">
        <w:rPr>
          <w:lang w:val="es-ES_tradnl"/>
        </w:rPr>
        <w:t xml:space="preserve"> mediadores de promoción de la salud, en su mayoría de origen romaní. A finales de 2019 </w:t>
      </w:r>
      <w:r w:rsidRPr="009B22A1">
        <w:rPr>
          <w:lang w:val="es-ES_tradnl"/>
        </w:rPr>
        <w:lastRenderedPageBreak/>
        <w:t xml:space="preserve">tenían 50 empleados y está previsto que su número aumentará en 2020. Los centros cooperan con los principales asociados de su región (como puestos de higiene, </w:t>
      </w:r>
      <w:r w:rsidR="007F731D">
        <w:rPr>
          <w:lang w:val="es-ES_tradnl"/>
        </w:rPr>
        <w:t>ONG</w:t>
      </w:r>
      <w:r w:rsidRPr="009B22A1">
        <w:rPr>
          <w:lang w:val="es-ES_tradnl"/>
        </w:rPr>
        <w:t>, la Asociación de Ciudades y Municipios y la Agencia de Inclusión Social). En 2019, las actividades regionales de educación sanitaria se centraron en la prevención del VIH/sida y de las adicciones y la higiene diaria, entre otras).</w:t>
      </w:r>
    </w:p>
    <w:p w14:paraId="108465CB" w14:textId="4EE7E228" w:rsidR="009B22A1" w:rsidRPr="009B22A1" w:rsidRDefault="009B22A1" w:rsidP="009B22A1">
      <w:pPr>
        <w:pStyle w:val="SingleTxtG"/>
        <w:rPr>
          <w:lang w:val="es-ES_tradnl"/>
        </w:rPr>
      </w:pPr>
      <w:r w:rsidRPr="009B22A1">
        <w:rPr>
          <w:lang w:val="es-ES_tradnl"/>
        </w:rPr>
        <w:t>28.</w:t>
      </w:r>
      <w:r w:rsidRPr="009B22A1">
        <w:rPr>
          <w:lang w:val="es-ES_tradnl"/>
        </w:rPr>
        <w:tab/>
        <w:t>El proyecto Activación y Empoderamiento de los Agentes Romaníes por medio de la Plataforma Nacional Romaní tuvo por objeto organizar reuniones en las regiones con partes interesadas romaníes para debatir la aplicación de la Estrategia de Integración de los Romaníes, hacer aportaciones a la nueva Estrategia de Integración de los Romaníes después de 2021 y asesorar sobre el fortalecimiento de la comunidad romaní, la cooperación con las comunidades mayoritarias, las subvenciones para las comunidades romaníes y otras cuestiones pertinentes. En las reuniones también se formularon recomendaciones sobre la integración de los romaníes en los ámbitos del empleo, la educación, la atención sanitaria y la vivienda.</w:t>
      </w:r>
    </w:p>
    <w:p w14:paraId="4241C7C1" w14:textId="3272DADD" w:rsidR="009B22A1" w:rsidRPr="009B22A1" w:rsidRDefault="009B22A1" w:rsidP="009B22A1">
      <w:pPr>
        <w:pStyle w:val="H1G"/>
        <w:rPr>
          <w:lang w:val="es-ES_tradnl"/>
        </w:rPr>
      </w:pPr>
      <w:r>
        <w:rPr>
          <w:lang w:val="es-ES_tradnl"/>
        </w:rPr>
        <w:tab/>
      </w:r>
      <w:r w:rsidRPr="009B22A1">
        <w:rPr>
          <w:lang w:val="es-ES_tradnl"/>
        </w:rPr>
        <w:tab/>
        <w:t>Respuesta al párrafo 7 de la lista de cuestiones</w:t>
      </w:r>
    </w:p>
    <w:p w14:paraId="70991AFD" w14:textId="4A988A8B" w:rsidR="009B22A1" w:rsidRPr="009B22A1" w:rsidRDefault="009B22A1" w:rsidP="009B22A1">
      <w:pPr>
        <w:pStyle w:val="SingleTxtG"/>
        <w:rPr>
          <w:lang w:val="es-ES_tradnl"/>
        </w:rPr>
      </w:pPr>
      <w:r w:rsidRPr="009B22A1">
        <w:rPr>
          <w:lang w:val="es-ES_tradnl"/>
        </w:rPr>
        <w:t>29.</w:t>
      </w:r>
      <w:r w:rsidRPr="009B22A1">
        <w:rPr>
          <w:lang w:val="es-ES_tradnl"/>
        </w:rPr>
        <w:tab/>
        <w:t xml:space="preserve">Las leyes que regulan la residencia de los extranjeros en la República Checa se basan en los principios de igualdad y no discriminación. En la práctica, las instituciones públicas y las </w:t>
      </w:r>
      <w:r w:rsidR="007F731D">
        <w:rPr>
          <w:lang w:val="es-ES_tradnl"/>
        </w:rPr>
        <w:t>ONG</w:t>
      </w:r>
      <w:r w:rsidR="007F731D" w:rsidRPr="009B22A1">
        <w:rPr>
          <w:lang w:val="es-ES_tradnl"/>
        </w:rPr>
        <w:t xml:space="preserve"> </w:t>
      </w:r>
      <w:r w:rsidRPr="009B22A1">
        <w:rPr>
          <w:lang w:val="es-ES_tradnl"/>
        </w:rPr>
        <w:t>prestan asistencia y protección a los extranjeros y ayudan a prevenir la discriminación contra los migrantes y los trabajadores migrantes.</w:t>
      </w:r>
    </w:p>
    <w:p w14:paraId="3CAD60FC" w14:textId="77777777" w:rsidR="009B22A1" w:rsidRPr="009B22A1" w:rsidRDefault="009B22A1" w:rsidP="009B22A1">
      <w:pPr>
        <w:pStyle w:val="SingleTxtG"/>
        <w:rPr>
          <w:lang w:val="es-ES_tradnl"/>
        </w:rPr>
      </w:pPr>
      <w:r w:rsidRPr="009B22A1">
        <w:rPr>
          <w:lang w:val="es-ES_tradnl"/>
        </w:rPr>
        <w:t>30.</w:t>
      </w:r>
      <w:r w:rsidRPr="009B22A1">
        <w:rPr>
          <w:lang w:val="es-ES_tradnl"/>
        </w:rPr>
        <w:tab/>
        <w:t>La política pública de integración se centra principalmente en el apoyo al acceso al empleo, la vivienda y la asistencia social pública. El Estado aplica esta política a los extranjeros que permanecen en la República Checa y ejecuta el Programa Estatal de Integración, concebido para integrar a los solicitantes y beneficiarios de protección internacional. Su objetivo es la convivencia pacífica entre extranjeros y ciudadanos checos y su vida autosuficiente en la sociedad checa. Los Centros Regionales de Apoyo a la Integración de Extranjeros proporcionan a los extranjeros información, asistencia y cursos de idioma checo. Los cursos especiales de adaptación familiarizan a los extranjeros con el sistema jurídico, político y social checo, sus derechos y obligaciones, así como con los valores básicos de la República Checa y la Unión Europea. Los municipios ejecutan proyectos locales de integración financiados por el Estado. La integración de los nacionales y migrantes extranjeros en la sociedad checa se trata también en otros documentos estratégicos, en particular la Estrategia de Inclusión Social 2021-2030 y el Plan de Acción conexo, que contendrá medidas específicas en ámbitos como los servicios sociales, la atención sanitaria y la vivienda.</w:t>
      </w:r>
    </w:p>
    <w:p w14:paraId="626E6DCD" w14:textId="0A5F4647" w:rsidR="009B22A1" w:rsidRPr="009B22A1" w:rsidRDefault="009B22A1" w:rsidP="009B22A1">
      <w:pPr>
        <w:pStyle w:val="SingleTxtG"/>
        <w:rPr>
          <w:lang w:val="es-ES_tradnl"/>
        </w:rPr>
      </w:pPr>
      <w:r w:rsidRPr="009B22A1">
        <w:rPr>
          <w:lang w:val="es-ES_tradnl"/>
        </w:rPr>
        <w:t>31.</w:t>
      </w:r>
      <w:r w:rsidRPr="009B22A1">
        <w:rPr>
          <w:lang w:val="es-ES_tradnl"/>
        </w:rPr>
        <w:tab/>
        <w:t>En el mercado laboral, los participantes en el Programa Estatal de Integración tienen los mismos derechos que los ciudadanos checos, es decir, pueden trabajar sin un permiso de trabajo y registrarse en la Oficina de Empleo. También pueden participar en cursos de readiestramiento y de otra índole. Los nacionales extranjeros obtienen sus derechos al recibir su permiso de residencia. La residencia permanente o de larga duración incluye los mismos derechos a las prestaciones laborales que la ciudadanía checa. Otros permisos de residencia (por ejemplo, visados) también pueden incluir permisos de trabajo.</w:t>
      </w:r>
    </w:p>
    <w:p w14:paraId="41772B89" w14:textId="0417DADA" w:rsidR="009B22A1" w:rsidRPr="009B22A1" w:rsidRDefault="009B22A1" w:rsidP="009B22A1">
      <w:pPr>
        <w:pStyle w:val="SingleTxtG"/>
        <w:rPr>
          <w:lang w:val="es-ES_tradnl"/>
        </w:rPr>
      </w:pPr>
      <w:r w:rsidRPr="009B22A1">
        <w:rPr>
          <w:lang w:val="es-ES_tradnl"/>
        </w:rPr>
        <w:t>32.</w:t>
      </w:r>
      <w:r w:rsidRPr="009B22A1">
        <w:rPr>
          <w:lang w:val="es-ES_tradnl"/>
        </w:rPr>
        <w:tab/>
        <w:t>En la República Checa, el derecho a las prestaciones de la seguridad social se basa en los seguros derivados del empleo. El país también tiene acuerdos bilaterales de seguridad social con algunos países para facilitar el reconocimiento y la cooperación mutuos. Las prestaciones sociales no relacionadas con un seguro están igualmente abiertas a la mayoría de las personas con residencia legal en la República Checa. Asimismo, se presta asistencia inmediata extraordinaria puntual a las personas que se encuentran en situación irregular en la República Checa en caso de riesgo de daños graves para la salud. La República Checa proporcionó información sobre el acceso a la atención sanitaria de los nacionales extranjeros en el párrafo 104 de su informe periódico. Todavía no se ha aprobado la nueva normativa legal sobre el seguro de salud de estos.</w:t>
      </w:r>
    </w:p>
    <w:p w14:paraId="13CE0D59" w14:textId="2233947F" w:rsidR="009B22A1" w:rsidRPr="009B22A1" w:rsidRDefault="009B22A1" w:rsidP="009B22A1">
      <w:pPr>
        <w:pStyle w:val="SingleTxtG"/>
        <w:rPr>
          <w:lang w:val="es-ES_tradnl"/>
        </w:rPr>
      </w:pPr>
      <w:r w:rsidRPr="009B22A1">
        <w:rPr>
          <w:lang w:val="es-ES_tradnl"/>
        </w:rPr>
        <w:t>33.</w:t>
      </w:r>
      <w:r w:rsidRPr="009B22A1">
        <w:rPr>
          <w:lang w:val="es-ES_tradnl"/>
        </w:rPr>
        <w:tab/>
        <w:t xml:space="preserve">Los migrantes ilegales se internan en centros de detención para nacionales extranjeros. Las instalaciones para la detención de migrantes incluyen los centros de asilo en virtud de la Ley de Asilo y los centros de detención en virtud de la Ley de Residencia de Nacionales </w:t>
      </w:r>
      <w:r w:rsidRPr="009B22A1">
        <w:rPr>
          <w:lang w:val="es-ES_tradnl"/>
        </w:rPr>
        <w:lastRenderedPageBreak/>
        <w:t>Extranjeros. Estos centros garantizan a sus residentes la igualdad de acceso a todos los derechos consagrados en el Pacto. Son gestionados por la Administración de los Centros de Refugiados del Ministerio del Interior.</w:t>
      </w:r>
    </w:p>
    <w:p w14:paraId="62E2DC5B" w14:textId="2FD48190" w:rsidR="009B22A1" w:rsidRPr="009B22A1" w:rsidRDefault="009B22A1" w:rsidP="009B22A1">
      <w:pPr>
        <w:pStyle w:val="SingleTxtG"/>
        <w:rPr>
          <w:lang w:val="es-ES_tradnl"/>
        </w:rPr>
      </w:pPr>
      <w:r w:rsidRPr="009B22A1">
        <w:rPr>
          <w:lang w:val="es-ES_tradnl"/>
        </w:rPr>
        <w:t>34.</w:t>
      </w:r>
      <w:r w:rsidRPr="009B22A1">
        <w:rPr>
          <w:lang w:val="es-ES_tradnl"/>
        </w:rPr>
        <w:tab/>
        <w:t>En los centros de asilo, los solicitantes de protección internacional reciben asistencia sanitaria en la misma medida y las mismas condiciones que los ciudadanos checos, es decir, servicios sanitarios gratuitos en el marco del seguro médico público. La atención sanitaria para adultos y niños es proporcionada por el Servicio Médico del Ministerio del Interior o por especialistas externos si es necesario. La Ley de Asilo exige explícitamente la igualdad de acceso a la educación, que también se proporciona en el centro o en escuelas cercanas; también se provee el material escolar. La educación se acompaña de actividades extracurriculares en los centros infantiles.</w:t>
      </w:r>
    </w:p>
    <w:p w14:paraId="342C84C6" w14:textId="77777777" w:rsidR="009B22A1" w:rsidRPr="009B22A1" w:rsidRDefault="009B22A1" w:rsidP="009B22A1">
      <w:pPr>
        <w:pStyle w:val="SingleTxtG"/>
        <w:rPr>
          <w:lang w:val="es-ES_tradnl"/>
        </w:rPr>
      </w:pPr>
      <w:r w:rsidRPr="009B22A1">
        <w:rPr>
          <w:lang w:val="es-ES_tradnl"/>
        </w:rPr>
        <w:t>35.</w:t>
      </w:r>
      <w:r w:rsidRPr="009B22A1">
        <w:rPr>
          <w:lang w:val="es-ES_tradnl"/>
        </w:rPr>
        <w:tab/>
        <w:t>Los niños y sus progenitores que se encuentran ilegalmente en la República Checa se internan en el centro de Bela-Jezova, adaptado para la estancia de niños y renovado continuamente. El centro cuenta con una sala para madres con hijos, aulas y un puesto médico con personal médico, incluidos pediatras. Hay dos clases para que los niños asistan a la escolaridad obligatoria. Un centro especial para niños ofrece actividades de ocio y tiempo libre y cuenta con un parque infantil y un gimnasio; además organiza actividades fuera de las instalaciones. Los datos sobre el número de niños no acompañados y acompañados en los centros de detención para extranjeros figuran en el anexo I.</w:t>
      </w:r>
    </w:p>
    <w:p w14:paraId="2AEE611E" w14:textId="3B0E662F" w:rsidR="009B22A1" w:rsidRPr="009B22A1" w:rsidRDefault="009B22A1" w:rsidP="009B22A1">
      <w:pPr>
        <w:pStyle w:val="H1G"/>
        <w:rPr>
          <w:lang w:val="es-ES_tradnl"/>
        </w:rPr>
      </w:pPr>
      <w:r>
        <w:rPr>
          <w:lang w:val="es-ES_tradnl"/>
        </w:rPr>
        <w:tab/>
      </w:r>
      <w:r w:rsidRPr="009B22A1">
        <w:rPr>
          <w:lang w:val="es-ES_tradnl"/>
        </w:rPr>
        <w:tab/>
        <w:t>Respuesta al párrafo 8 de la lista de cuestiones</w:t>
      </w:r>
    </w:p>
    <w:p w14:paraId="161096CA" w14:textId="77777777" w:rsidR="009B22A1" w:rsidRPr="009B22A1" w:rsidRDefault="009B22A1" w:rsidP="009B22A1">
      <w:pPr>
        <w:pStyle w:val="SingleTxtG"/>
        <w:rPr>
          <w:lang w:val="es-ES_tradnl"/>
        </w:rPr>
      </w:pPr>
      <w:r w:rsidRPr="009B22A1">
        <w:rPr>
          <w:lang w:val="es-ES_tradnl"/>
        </w:rPr>
        <w:t>36.</w:t>
      </w:r>
      <w:r w:rsidRPr="009B22A1">
        <w:rPr>
          <w:lang w:val="es-ES_tradnl"/>
        </w:rPr>
        <w:tab/>
        <w:t>Una reciente modificación de la Ley de Residencia de Extranjeros introducirá un procedimiento de determinación de la apatridia para legalizar la estancia de las personas apátridas en el país, así como sus derechos y obligaciones. El procedimiento será similar al procedimiento de asilo. El solicitante puede disponer de interpretación gratuita si es necesario. No hay posibilidades de recurso, pero sí de revisión judicial. La persona apátrida puede obtener un visado para legalizar su estancia en el país, pero también puede optar por cualquier otro permiso de residencia. Además, puede trabajar libremente en el país después de seis meses de residencia, se la adhiere al seguro de salud pública y también tiene derecho a asistir a la educación escolar. Las estadísticas sobre el número de personas apátridas figuran en el anexo I.</w:t>
      </w:r>
    </w:p>
    <w:p w14:paraId="15758386" w14:textId="3A3FC251" w:rsidR="009B22A1" w:rsidRPr="009B22A1" w:rsidRDefault="009B22A1" w:rsidP="009B22A1">
      <w:pPr>
        <w:pStyle w:val="H1G"/>
        <w:rPr>
          <w:lang w:val="es-ES_tradnl"/>
        </w:rPr>
      </w:pPr>
      <w:r>
        <w:rPr>
          <w:lang w:val="es-ES_tradnl"/>
        </w:rPr>
        <w:tab/>
      </w:r>
      <w:r w:rsidRPr="009B22A1">
        <w:rPr>
          <w:lang w:val="es-ES_tradnl"/>
        </w:rPr>
        <w:tab/>
        <w:t>Respuesta al párrafo 9 de la lista de cuestiones</w:t>
      </w:r>
    </w:p>
    <w:p w14:paraId="584371BD" w14:textId="77777777" w:rsidR="009B22A1" w:rsidRPr="009B22A1" w:rsidRDefault="009B22A1" w:rsidP="009B22A1">
      <w:pPr>
        <w:pStyle w:val="SingleTxtG"/>
        <w:rPr>
          <w:lang w:val="es-ES_tradnl"/>
        </w:rPr>
      </w:pPr>
      <w:r w:rsidRPr="009B22A1">
        <w:rPr>
          <w:lang w:val="es-ES_tradnl"/>
        </w:rPr>
        <w:t>37.</w:t>
      </w:r>
      <w:r w:rsidRPr="009B22A1">
        <w:rPr>
          <w:lang w:val="es-ES_tradnl"/>
        </w:rPr>
        <w:tab/>
        <w:t>En la actualidad, el reconocimiento legal del género en la República Checa está sujeto al diagnóstico médico de disforia de género y a las intervenciones quirúrgicas que inhabilitan la reproducción. Posteriormente, se cambia el indicador de género de la persona en el registro civil y la persona recibe un nombre y documentos de identidad nuevos. La propuesta sobre el matrimonio entre personas del mismo sexo sigue debatiéndose en la Cámara de Diputados y aún no ha sido aprobada. La orientación sexual y la identidad de género figuran entre los motivos de odio penalizados y las estrategias anuales del Gobierno contra el extremismo y el odio contienen medidas al respecto. La cuestión también es parte del plan de estudios en todas las escuelas primarias y secundarias. Los programas de prevención escolar incluyen también la prevención de la homofobia mediante orientación para los docentes y el personal escolar del Ministerio de Educación, Juventud y Deportes.</w:t>
      </w:r>
    </w:p>
    <w:p w14:paraId="2E6F3322" w14:textId="5724CFAB" w:rsidR="009B22A1" w:rsidRPr="009B22A1" w:rsidRDefault="009B22A1" w:rsidP="009B22A1">
      <w:pPr>
        <w:pStyle w:val="H1G"/>
        <w:rPr>
          <w:lang w:val="es-ES_tradnl"/>
        </w:rPr>
      </w:pPr>
      <w:r>
        <w:rPr>
          <w:lang w:val="es-ES_tradnl"/>
        </w:rPr>
        <w:tab/>
      </w:r>
      <w:r w:rsidRPr="009B22A1">
        <w:rPr>
          <w:lang w:val="es-ES_tradnl"/>
        </w:rPr>
        <w:tab/>
        <w:t>Respuesta al párrafo 10 de la lista de cuestiones</w:t>
      </w:r>
    </w:p>
    <w:p w14:paraId="7B096029" w14:textId="77777777" w:rsidR="009B22A1" w:rsidRPr="009B22A1" w:rsidRDefault="009B22A1" w:rsidP="009B22A1">
      <w:pPr>
        <w:pStyle w:val="SingleTxtG"/>
        <w:rPr>
          <w:lang w:val="es-ES_tradnl"/>
        </w:rPr>
      </w:pPr>
      <w:r w:rsidRPr="009B22A1">
        <w:rPr>
          <w:lang w:val="es-ES_tradnl"/>
        </w:rPr>
        <w:t>38.</w:t>
      </w:r>
      <w:r w:rsidRPr="009B22A1">
        <w:rPr>
          <w:lang w:val="es-ES_tradnl"/>
        </w:rPr>
        <w:tab/>
        <w:t xml:space="preserve">El Gobierno aprobó el Plan de Acción para una Representación Equilibrada de Mujeres y Hombres en los Puestos de Toma de Decisiones 2016-2018, destinado a promover la presencia de las mujeres en puestos directivos y de toma de decisiones, y la Estrategia +1. Los organismos de la administración pública central adoptan medidas para alcanzar gradualmente una representación de ambos sexos en los puestos directivos del 40 % y deben informar anualmente sobre la aplicación de sus medidas. En sus informes, los ministerios indican que utilizan un lenguaje que tiene en cuenta el género y hacen hincapié en la igualdad </w:t>
      </w:r>
      <w:r w:rsidRPr="009B22A1">
        <w:rPr>
          <w:lang w:val="es-ES_tradnl"/>
        </w:rPr>
        <w:lastRenderedPageBreak/>
        <w:t>y la diversidad de género en los anuncios de empleo, el equilibrio de género en la composición de comités de selección y la facilitación de modalidades de trabajo flexibles para mejorar la conciliación de la vida laboral y personal. También se realizaron auditorías de género en los órganos centrales de la administración estatal. Aunque todavía no se ha alcanzado el 40 % de representación de mujeres y hombres, las medidas adoptadas facilitan un aumento gradual del número de mujeres en puestos directivos. A 31 de diciembre de 2019, las mujeres ocupaban el 32 % de los viceministerios, el 27 % de los ministerios de departamento y el 43 % de las jefaturas de unidad.</w:t>
      </w:r>
    </w:p>
    <w:p w14:paraId="31BB09AB" w14:textId="77777777" w:rsidR="009B22A1" w:rsidRPr="009B22A1" w:rsidRDefault="009B22A1" w:rsidP="009B22A1">
      <w:pPr>
        <w:pStyle w:val="HChG"/>
        <w:rPr>
          <w:lang w:val="es-ES_tradnl"/>
        </w:rPr>
      </w:pPr>
      <w:r w:rsidRPr="009B22A1">
        <w:rPr>
          <w:lang w:val="es-ES_tradnl"/>
        </w:rPr>
        <w:tab/>
        <w:t>III.</w:t>
      </w:r>
      <w:r w:rsidRPr="009B22A1">
        <w:rPr>
          <w:lang w:val="es-ES_tradnl"/>
        </w:rPr>
        <w:tab/>
        <w:t>Cuestiones relativas a disposiciones específicas del Pacto (arts. 6 a 15)</w:t>
      </w:r>
    </w:p>
    <w:p w14:paraId="6F6EB9DD" w14:textId="1C0717B2" w:rsidR="009B22A1" w:rsidRPr="009B22A1" w:rsidRDefault="009B22A1" w:rsidP="009B22A1">
      <w:pPr>
        <w:pStyle w:val="H1G"/>
        <w:rPr>
          <w:lang w:val="es-ES_tradnl"/>
        </w:rPr>
      </w:pPr>
      <w:r>
        <w:rPr>
          <w:lang w:val="es-ES_tradnl"/>
        </w:rPr>
        <w:tab/>
      </w:r>
      <w:r w:rsidRPr="009B22A1">
        <w:rPr>
          <w:lang w:val="es-ES_tradnl"/>
        </w:rPr>
        <w:tab/>
        <w:t>Respuesta al párrafo 11 de la lista de cuestiones</w:t>
      </w:r>
    </w:p>
    <w:p w14:paraId="05DD3DD6" w14:textId="26E630EC" w:rsidR="009B22A1" w:rsidRPr="009B22A1" w:rsidRDefault="009B22A1" w:rsidP="00D13B5F">
      <w:pPr>
        <w:pStyle w:val="SingleTxtG"/>
        <w:spacing w:after="130"/>
        <w:rPr>
          <w:lang w:val="es-ES_tradnl"/>
        </w:rPr>
      </w:pPr>
      <w:r w:rsidRPr="009B22A1">
        <w:rPr>
          <w:lang w:val="es-ES_tradnl"/>
        </w:rPr>
        <w:t>39.</w:t>
      </w:r>
      <w:r w:rsidRPr="009B22A1">
        <w:rPr>
          <w:lang w:val="es-ES_tradnl"/>
        </w:rPr>
        <w:tab/>
        <w:t>Las medidas activas de política de empleo apoyan, en particular, a los solicitantes de empleo que necesitan ayuda especial debido a su salud, edad, el cuidado de los hijos u otras razones que limitan su participación en el mercado laboral (por ejemplo, exclusión social debida al desempleo de larga data). Desde 2019, se ha incentivado financieramente a los empleadores para que ofrezcan puestos de trabajo con fines sociales a los solicitantes de empleo desfavorecidos mediante el aumento de la contribución pública a su remuneración, que aumenta en función de las desventajas del solicitante de empleo.</w:t>
      </w:r>
    </w:p>
    <w:p w14:paraId="1399F99C" w14:textId="67EF9297" w:rsidR="009B22A1" w:rsidRPr="009B22A1" w:rsidRDefault="009B22A1" w:rsidP="00D13B5F">
      <w:pPr>
        <w:pStyle w:val="SingleTxtG"/>
        <w:spacing w:after="130"/>
        <w:rPr>
          <w:lang w:val="es-ES_tradnl"/>
        </w:rPr>
      </w:pPr>
      <w:r w:rsidRPr="009B22A1">
        <w:rPr>
          <w:lang w:val="es-ES_tradnl"/>
        </w:rPr>
        <w:t>40.</w:t>
      </w:r>
      <w:r w:rsidRPr="009B22A1">
        <w:rPr>
          <w:lang w:val="es-ES_tradnl"/>
        </w:rPr>
        <w:tab/>
        <w:t>La tasa de desempleo total disminuyó en 2019. El número de desempleados de larga data (más de 24 meses) ha disminuido rápidamente. Los solicitantes de empleo con niños menores de 15 años a cargo registraron un descenso más lento. Por el contrario, la proporción de jóvenes en el número total de solicitantes de empleo aumentó. El anexo I contiene los datos estadísticos actualizados sobre la tasa de empleo en 2018-2019, la actividad económica de las personas mayores de 15 años en 2019, el número de solicitantes de empleo en 2019 y el uso de instrumentos de política activa en 2019.</w:t>
      </w:r>
    </w:p>
    <w:p w14:paraId="1509985C" w14:textId="7A11E83B" w:rsidR="009B22A1" w:rsidRPr="009B22A1" w:rsidRDefault="009B22A1" w:rsidP="009B22A1">
      <w:pPr>
        <w:pStyle w:val="H1G"/>
        <w:rPr>
          <w:lang w:val="es-ES_tradnl"/>
        </w:rPr>
      </w:pPr>
      <w:r>
        <w:rPr>
          <w:lang w:val="es-ES_tradnl"/>
        </w:rPr>
        <w:tab/>
      </w:r>
      <w:r w:rsidRPr="009B22A1">
        <w:rPr>
          <w:lang w:val="es-ES_tradnl"/>
        </w:rPr>
        <w:tab/>
        <w:t>Respuesta al párrafo 12 de la lista de cuestiones</w:t>
      </w:r>
    </w:p>
    <w:p w14:paraId="2C26CE3A" w14:textId="77777777" w:rsidR="009B22A1" w:rsidRPr="009B22A1" w:rsidRDefault="009B22A1" w:rsidP="00D13B5F">
      <w:pPr>
        <w:pStyle w:val="SingleTxtG"/>
        <w:spacing w:after="130"/>
        <w:rPr>
          <w:lang w:val="es-ES_tradnl"/>
        </w:rPr>
      </w:pPr>
      <w:r w:rsidRPr="009B22A1">
        <w:rPr>
          <w:lang w:val="es-ES_tradnl"/>
        </w:rPr>
        <w:t>41.</w:t>
      </w:r>
      <w:r w:rsidRPr="009B22A1">
        <w:rPr>
          <w:lang w:val="es-ES_tradnl"/>
        </w:rPr>
        <w:tab/>
        <w:t>No hay estimaciones del número de personas empleadas en la economía informal en la República Checa. La Ley de Empleo define el trabajo ilegal y los delitos relacionados con su realización o facilitación. Las autoridades de la inspección del trabajo detectan y combaten el empleo ilegal. La República Checa proporcionó en su informe periódico las estadísticas sobre el número de inspecciones realizadas por las inspecciones del trabajo, el número de infracciones detectadas y el número y la cuantía de las multas impuestas. El anexo I contiene más información al respecto.</w:t>
      </w:r>
    </w:p>
    <w:p w14:paraId="67C24183" w14:textId="77777777" w:rsidR="009B22A1" w:rsidRPr="009B22A1" w:rsidRDefault="009B22A1" w:rsidP="00D13B5F">
      <w:pPr>
        <w:pStyle w:val="SingleTxtG"/>
        <w:spacing w:after="130"/>
        <w:rPr>
          <w:lang w:val="es-ES_tradnl"/>
        </w:rPr>
      </w:pPr>
      <w:r w:rsidRPr="009B22A1">
        <w:rPr>
          <w:lang w:val="es-ES_tradnl"/>
        </w:rPr>
        <w:t>42.</w:t>
      </w:r>
      <w:r w:rsidRPr="009B22A1">
        <w:rPr>
          <w:lang w:val="es-ES_tradnl"/>
        </w:rPr>
        <w:tab/>
        <w:t>El Órgano Interministerial de Lucha contra el Empleo Ilegal de Extranjeros coordina las actividades de las autoridades públicas competentes en la lucha contra el empleo ilegal de extranjeros de terceros países. La República Checa también es miembro de la Plataforma Europea contra el Trabajo No Declarado.</w:t>
      </w:r>
    </w:p>
    <w:p w14:paraId="22583282" w14:textId="795CD986" w:rsidR="009B22A1" w:rsidRPr="009B22A1" w:rsidRDefault="009B22A1" w:rsidP="009B22A1">
      <w:pPr>
        <w:pStyle w:val="H1G"/>
        <w:rPr>
          <w:lang w:val="es-ES_tradnl"/>
        </w:rPr>
      </w:pPr>
      <w:r>
        <w:rPr>
          <w:lang w:val="es-ES_tradnl"/>
        </w:rPr>
        <w:tab/>
      </w:r>
      <w:r w:rsidRPr="009B22A1">
        <w:rPr>
          <w:lang w:val="es-ES_tradnl"/>
        </w:rPr>
        <w:tab/>
        <w:t>Respuesta al párrafo 13 de la lista de cuestiones</w:t>
      </w:r>
    </w:p>
    <w:p w14:paraId="1ED2E332" w14:textId="6CD7A848" w:rsidR="009B22A1" w:rsidRPr="009B22A1" w:rsidRDefault="009B22A1" w:rsidP="00D13B5F">
      <w:pPr>
        <w:pStyle w:val="SingleTxtG"/>
        <w:spacing w:after="130"/>
        <w:rPr>
          <w:lang w:val="es-ES_tradnl"/>
        </w:rPr>
      </w:pPr>
      <w:r w:rsidRPr="009B22A1">
        <w:rPr>
          <w:lang w:val="es-ES_tradnl"/>
        </w:rPr>
        <w:t>43.</w:t>
      </w:r>
      <w:r w:rsidRPr="009B22A1">
        <w:rPr>
          <w:lang w:val="es-ES_tradnl"/>
        </w:rPr>
        <w:tab/>
        <w:t>El ajuste del salario mínimo es competencia exclusiva del Gobierno. Antes de aumentarlo, este celebra un diálogo social con los empleadores y los sindicatos en el seno del Consejo de Acuerdo Económico y Social de la República Checa. Todo aumento del salario mínimo debe ser proporcional al aumento del costo de la vida, de modo que los trabajadores puedan satisfacer sus necesidades básicas con sus propios ingresos.</w:t>
      </w:r>
    </w:p>
    <w:p w14:paraId="1B62AC50" w14:textId="77777777" w:rsidR="009B22A1" w:rsidRPr="009B22A1" w:rsidRDefault="009B22A1" w:rsidP="00D13B5F">
      <w:pPr>
        <w:pStyle w:val="SingleTxtG"/>
        <w:spacing w:after="130"/>
        <w:rPr>
          <w:lang w:val="es-ES_tradnl"/>
        </w:rPr>
      </w:pPr>
      <w:r w:rsidRPr="009B22A1">
        <w:rPr>
          <w:lang w:val="es-ES_tradnl"/>
        </w:rPr>
        <w:t>44.</w:t>
      </w:r>
      <w:r w:rsidRPr="009B22A1">
        <w:rPr>
          <w:lang w:val="es-ES_tradnl"/>
        </w:rPr>
        <w:tab/>
        <w:t>El aumento del salario mínimo también debería incrementar la motivación de las personas para trabajar y no seguir desempleadas y cobrar las prestaciones sociales.</w:t>
      </w:r>
    </w:p>
    <w:p w14:paraId="337946EA" w14:textId="4B6BCA9A" w:rsidR="009B22A1" w:rsidRPr="009B22A1" w:rsidRDefault="009B22A1" w:rsidP="00D13B5F">
      <w:pPr>
        <w:pStyle w:val="SingleTxtG"/>
        <w:keepNext/>
        <w:keepLines/>
        <w:rPr>
          <w:lang w:val="es-ES_tradnl"/>
        </w:rPr>
      </w:pPr>
      <w:r w:rsidRPr="009B22A1">
        <w:rPr>
          <w:lang w:val="es-ES_tradnl"/>
        </w:rPr>
        <w:lastRenderedPageBreak/>
        <w:t>45.</w:t>
      </w:r>
      <w:r w:rsidRPr="009B22A1">
        <w:rPr>
          <w:lang w:val="es-ES_tradnl"/>
        </w:rPr>
        <w:tab/>
        <w:t>De 2013 a 2019, el salario bruto medio aumentó un 24,9 %. En el mismo período, el salario mínimo aumentó un 49,1 % en términos reales. La relación entre el salario mínimo y el salario medio alcanzó el 39,1 %. El último aumento del salario mínimo tuvo lugar el 1 de enero de 2021. Desde entonces es de 15.200 coronas por mes o 90,50 coronas por hora.</w:t>
      </w:r>
    </w:p>
    <w:p w14:paraId="4EA24E48" w14:textId="77777777" w:rsidR="009B22A1" w:rsidRPr="009B22A1" w:rsidRDefault="009B22A1" w:rsidP="009B22A1">
      <w:pPr>
        <w:pStyle w:val="SingleTxtG"/>
        <w:rPr>
          <w:lang w:val="es-ES_tradnl"/>
        </w:rPr>
      </w:pPr>
      <w:r w:rsidRPr="009B22A1">
        <w:rPr>
          <w:lang w:val="es-ES_tradnl"/>
        </w:rPr>
        <w:t>46.</w:t>
      </w:r>
      <w:r w:rsidRPr="009B22A1">
        <w:rPr>
          <w:lang w:val="es-ES_tradnl"/>
        </w:rPr>
        <w:tab/>
        <w:t>El cumplimiento de la normativa laboral en materia de remuneración y su fiscalización es una de las prioridades de las inspecciones del trabajo. En 2019, detectaron 102 infracciones de la normativa sobre el salario mínimo, la mayoría de ellas por parte de pequeños empleadores de los sectores del comercio mayorista y minorista. Impusieron 181 multas por no proporcionar al empleado al menos el salario mínimo.</w:t>
      </w:r>
    </w:p>
    <w:p w14:paraId="43A200BD" w14:textId="1F611FE7" w:rsidR="009B22A1" w:rsidRPr="009B22A1" w:rsidRDefault="009B22A1" w:rsidP="009B22A1">
      <w:pPr>
        <w:pStyle w:val="H1G"/>
        <w:rPr>
          <w:lang w:val="es-ES_tradnl"/>
        </w:rPr>
      </w:pPr>
      <w:r>
        <w:rPr>
          <w:lang w:val="es-ES_tradnl"/>
        </w:rPr>
        <w:tab/>
      </w:r>
      <w:r w:rsidRPr="009B22A1">
        <w:rPr>
          <w:lang w:val="es-ES_tradnl"/>
        </w:rPr>
        <w:tab/>
        <w:t>Respuesta al párrafo 14 de la lista de cuestiones</w:t>
      </w:r>
    </w:p>
    <w:p w14:paraId="390331AC" w14:textId="285FD4E8" w:rsidR="009B22A1" w:rsidRPr="009B22A1" w:rsidRDefault="009B22A1" w:rsidP="009B22A1">
      <w:pPr>
        <w:pStyle w:val="SingleTxtG"/>
        <w:rPr>
          <w:lang w:val="es-ES_tradnl"/>
        </w:rPr>
      </w:pPr>
      <w:r w:rsidRPr="009B22A1">
        <w:rPr>
          <w:lang w:val="es-ES_tradnl"/>
        </w:rPr>
        <w:t>47.</w:t>
      </w:r>
      <w:r w:rsidRPr="009B22A1">
        <w:rPr>
          <w:lang w:val="es-ES_tradnl"/>
        </w:rPr>
        <w:tab/>
        <w:t>En el marco del proyecto Del 22 % a la Igualdad, se elaboraron dos informes analíticos sobre las diferencias de remuneración entre hombres y mujeres. La principal conclusión fue que la diferencia injustificada en la remuneración de mujeres y hombres por el mismo trabajo en el mismo lugar de trabajo era del 11 %. En 2019, se realizó una encuesta de opinión pública sobre la experiencia y las opiniones acerca de la igualdad de remuneración entre mujeres y hombres. Actualmente se está elaborando y probando, en colaboración con la Inspección Estatal del Trabajo, una metodología centrada en un igual salario por trabajo igual. Se formó a 30 inspectores de la Inspección Estatal del Trabajo y de las inspecciones regionales del trabajo, así como a 20 metodólogos y 20 administradores de la Oficina de Empleo sobre la igualdad de oportunidades entre mujeres y hombres y la legislación sobre igualdad de remuneración y no discriminación. Se realizaron 12 inspecciones sobre la igualdad salarial entre mujeres y hombres, pero no se detectó ninguna infracción.</w:t>
      </w:r>
    </w:p>
    <w:p w14:paraId="4A95533F" w14:textId="7F77A0C5" w:rsidR="009B22A1" w:rsidRPr="009B22A1" w:rsidRDefault="009B22A1" w:rsidP="009B22A1">
      <w:pPr>
        <w:pStyle w:val="SingleTxtG"/>
        <w:rPr>
          <w:lang w:val="es-ES_tradnl"/>
        </w:rPr>
      </w:pPr>
      <w:r w:rsidRPr="009B22A1">
        <w:rPr>
          <w:lang w:val="es-ES_tradnl"/>
        </w:rPr>
        <w:t>48.</w:t>
      </w:r>
      <w:r w:rsidRPr="009B22A1">
        <w:rPr>
          <w:lang w:val="es-ES_tradnl"/>
        </w:rPr>
        <w:tab/>
        <w:t>Prosigue la implementación de la herramienta analítica Logib de verificación de la igualdad salarial en relación con el cumplimiento de la legislación laboral. En la actualidad, 15 empleadores están siendo analizados, mientras que las administraciones públicas se están sometiendo a pruebas. Desde 2019, la Agencia de Tecnología de la República Checa da preferencia a los solicitantes de subvenciones que hayan implementado la herramienta.</w:t>
      </w:r>
    </w:p>
    <w:p w14:paraId="5DA787D4" w14:textId="77777777" w:rsidR="009B22A1" w:rsidRPr="009B22A1" w:rsidRDefault="009B22A1" w:rsidP="009B22A1">
      <w:pPr>
        <w:pStyle w:val="SingleTxtG"/>
        <w:rPr>
          <w:lang w:val="es-ES_tradnl"/>
        </w:rPr>
      </w:pPr>
      <w:r w:rsidRPr="009B22A1">
        <w:rPr>
          <w:lang w:val="es-ES_tradnl"/>
        </w:rPr>
        <w:t>49.</w:t>
      </w:r>
      <w:r w:rsidRPr="009B22A1">
        <w:rPr>
          <w:lang w:val="es-ES_tradnl"/>
        </w:rPr>
        <w:tab/>
        <w:t>Los interlocutores sociales elaboraron el documento de posición sobre el diálogo social en relación con la igualdad de remuneración entre mujeres y hombres, que contiene propuestas concretas de disposiciones en los convenios colectivos que deberían contribuir a mejorar la situación de las mujeres en el mercado laboral y lograr su remuneración más justa. La herramienta de cálculo de sueldos y salarios en Internet contribuye a la transparencia de las remuneraciones y proporciona información sobre los niveles de sueldos y salarios en determinados sectores, industrias, puestos y regiones. El equipo del proyecto, en estrecha colaboración con Deloitte, creó un análisis de las posibilidades de beneficios legislativos para las organizaciones de empleadores que aplican las normas de igualdad de género y la igualdad salarial entre mujeres y hombres. Las conclusiones del análisis se tendrán en cuenta en el Plan de Acción para la Igualdad de Remuneración entre Mujeres y Hombres.</w:t>
      </w:r>
    </w:p>
    <w:p w14:paraId="7F12B816" w14:textId="71FDD727" w:rsidR="009B22A1" w:rsidRPr="009B22A1" w:rsidRDefault="009B22A1" w:rsidP="009B22A1">
      <w:pPr>
        <w:pStyle w:val="SingleTxtG"/>
        <w:rPr>
          <w:lang w:val="es-ES_tradnl"/>
        </w:rPr>
      </w:pPr>
      <w:r w:rsidRPr="009B22A1">
        <w:rPr>
          <w:lang w:val="es-ES_tradnl"/>
        </w:rPr>
        <w:t>50.</w:t>
      </w:r>
      <w:r w:rsidRPr="009B22A1">
        <w:rPr>
          <w:lang w:val="es-ES_tradnl"/>
        </w:rPr>
        <w:tab/>
        <w:t xml:space="preserve">La República Checa elabora actividades para superar los estereotipos de género en la educación, ya que la segregación horizontal de género comienza en el sector de la educación. El Instituto Nacional de Formación Técnica y Profesional, dependiente del Ministerio de Educación, Juventud y Deportes, ofrece instrucción y asesoramiento profesional a los alumnos y estudiantes de la enseñanza primaria, secundaria y secundaria especial, a sus progenitores y a los adultos interesados en seguir estudiando. El asesoramiento profesional dispuesto en la Ley de Educación garantiza la igualdad de acceso a la educación para todos. La escasa participación de las mujeres y las niñas en las materias de ciencia, tecnología, ingeniería y matemáticas ha sido señalada por algunas universidades, que se centran en motivar a las mujeres y las niñas para que elijan carreras de estudio no estereotipadas. Por ejemplo, en 2017, la Universidad Tecnológica de Brno puso en marcha la campaña </w:t>
      </w:r>
      <w:r w:rsidR="00646A67">
        <w:rPr>
          <w:lang w:val="es-ES_tradnl"/>
        </w:rPr>
        <w:t>“</w:t>
      </w:r>
      <w:r w:rsidRPr="009B22A1">
        <w:rPr>
          <w:lang w:val="es-ES_tradnl"/>
        </w:rPr>
        <w:t>Yo pertenezco aquí</w:t>
      </w:r>
      <w:r w:rsidR="00646A67">
        <w:rPr>
          <w:lang w:val="es-ES_tradnl"/>
        </w:rPr>
        <w:t>”</w:t>
      </w:r>
      <w:r w:rsidRPr="009B22A1">
        <w:rPr>
          <w:lang w:val="es-ES_tradnl"/>
        </w:rPr>
        <w:t>, que animaba a las mujeres a inscribirse en estudios técnicos y científicos.</w:t>
      </w:r>
    </w:p>
    <w:p w14:paraId="0C2D2FA9" w14:textId="77777777" w:rsidR="009B22A1" w:rsidRPr="009B22A1" w:rsidRDefault="009B22A1" w:rsidP="009B22A1">
      <w:pPr>
        <w:pStyle w:val="SingleTxtG"/>
        <w:rPr>
          <w:lang w:val="es-ES_tradnl"/>
        </w:rPr>
      </w:pPr>
      <w:r w:rsidRPr="009B22A1">
        <w:rPr>
          <w:lang w:val="es-ES_tradnl"/>
        </w:rPr>
        <w:t>51.</w:t>
      </w:r>
      <w:r w:rsidRPr="009B22A1">
        <w:rPr>
          <w:lang w:val="es-ES_tradnl"/>
        </w:rPr>
        <w:tab/>
        <w:t xml:space="preserve">La segregación vertical de género se ha abordado mediante la adopción y aplicación de compromisos estratégicos, entre ellos la Estrategia +1 y el Plan de Acción para una Representación Equilibrada de Mujeres y Hombres en los Puestos de Toma de Decisiones 2016-2018. Las tareas individuales relativas a la representación de las mujeres en la toma de </w:t>
      </w:r>
      <w:r w:rsidRPr="009B22A1">
        <w:rPr>
          <w:lang w:val="es-ES_tradnl"/>
        </w:rPr>
        <w:lastRenderedPageBreak/>
        <w:t>decisiones también se asignaron a los ministerios a través de los planes de acción sobre igualdad de género.</w:t>
      </w:r>
    </w:p>
    <w:p w14:paraId="3C8A300D" w14:textId="79AF51BE" w:rsidR="009B22A1" w:rsidRPr="009B22A1" w:rsidRDefault="009B22A1" w:rsidP="009B22A1">
      <w:pPr>
        <w:pStyle w:val="SingleTxtG"/>
        <w:rPr>
          <w:lang w:val="es-ES_tradnl"/>
        </w:rPr>
      </w:pPr>
      <w:r w:rsidRPr="009B22A1">
        <w:rPr>
          <w:lang w:val="es-ES_tradnl"/>
        </w:rPr>
        <w:t>52.</w:t>
      </w:r>
      <w:r w:rsidRPr="009B22A1">
        <w:rPr>
          <w:lang w:val="es-ES_tradnl"/>
        </w:rPr>
        <w:tab/>
        <w:t>La República Checa describió las medidas que encaran el reparto de las responsabilidades parentales y las opciones de cuidado de los hijos, así como las dificultades de las mujeres para reincorporarse al mercado laboral tras la licencia de maternidad, en los párrafos 54 a 57 de su informe periódico.</w:t>
      </w:r>
    </w:p>
    <w:p w14:paraId="1C622B68" w14:textId="4D88AAEF" w:rsidR="009B22A1" w:rsidRPr="009B22A1" w:rsidRDefault="009B22A1" w:rsidP="009B22A1">
      <w:pPr>
        <w:pStyle w:val="SingleTxtG"/>
        <w:rPr>
          <w:lang w:val="es-ES_tradnl"/>
        </w:rPr>
      </w:pPr>
      <w:r w:rsidRPr="009B22A1">
        <w:rPr>
          <w:lang w:val="es-ES_tradnl"/>
        </w:rPr>
        <w:t>53.</w:t>
      </w:r>
      <w:r w:rsidRPr="009B22A1">
        <w:rPr>
          <w:lang w:val="es-ES_tradnl"/>
        </w:rPr>
        <w:tab/>
        <w:t>En 2014, se introdujo un nuevo grupo infantil en las categorías de cuidado de niños con el objetivo de ampliar la gama y la capacidad de los servicios para los niños en edad preescolar. Se trata de un servicio sin fines de lucro para niños desde que tienen 1 año hasta que inician la escolaridad obligatoria. Los proveedores son organizaciones sin fines de lucro, municipios, regiones, universidades, iglesias o empleadores. En junio de 2020, había 1.082</w:t>
      </w:r>
      <w:r w:rsidR="005C5C78">
        <w:rPr>
          <w:lang w:val="es-ES_tradnl"/>
        </w:rPr>
        <w:t> </w:t>
      </w:r>
      <w:r w:rsidRPr="009B22A1">
        <w:rPr>
          <w:lang w:val="es-ES_tradnl"/>
        </w:rPr>
        <w:t>grupos infantiles registrados con una capacidad total de 14.331 plazas. El Gobierno ha aprobado una enmienda a la Ley de Grupos Infantiles para garantizar su financiación sistemática con cargo al presupuesto público y aumentar la calidad de la atención. Otro tipo de servicio de cuidado de niños son las microguarderías, para grupos pequeños de hasta cuatro niños de edades comprendidas entre los 6 meses y los 4 años. Se propone una regulación legislativa de las microguarderías como parte de la citada modificación de la Ley de Grupos Infantiles. En junio de 2020, funcionaban 98 microguarderías.</w:t>
      </w:r>
    </w:p>
    <w:p w14:paraId="7D27EF99" w14:textId="0D811F35" w:rsidR="009B22A1" w:rsidRPr="009B22A1" w:rsidRDefault="009B22A1" w:rsidP="009B22A1">
      <w:pPr>
        <w:pStyle w:val="SingleTxtG"/>
        <w:rPr>
          <w:lang w:val="es-ES_tradnl"/>
        </w:rPr>
      </w:pPr>
      <w:r w:rsidRPr="009B22A1">
        <w:rPr>
          <w:lang w:val="es-ES_tradnl"/>
        </w:rPr>
        <w:t>54.</w:t>
      </w:r>
      <w:r w:rsidRPr="009B22A1">
        <w:rPr>
          <w:lang w:val="es-ES_tradnl"/>
        </w:rPr>
        <w:tab/>
        <w:t>El subsidio parental es actualmente la prestación social no relacionada con un seguro más importante destinada a los progenitores de niños pequeños. Los ingresos del progenitor no son determinantes ni se controlan a efectos de esta prestación. El concepto es flexible y apoya la conciliación de la vida laboral y familiar. Por ejemplo, es posible trabajar y al mismo tiempo recibir el subsidio parental. Los progenitores de un niño menor de 2 años pueden utilizar los servicios de una guardería durante 92 horas al mes (hasta 2020 el máximo era de</w:t>
      </w:r>
      <w:r w:rsidR="00D13B5F">
        <w:rPr>
          <w:lang w:val="es-ES_tradnl"/>
        </w:rPr>
        <w:t> </w:t>
      </w:r>
      <w:r w:rsidRPr="009B22A1">
        <w:rPr>
          <w:lang w:val="es-ES_tradnl"/>
        </w:rPr>
        <w:t xml:space="preserve">46 horas al mes), y los progenitores pueden turnarse en el cuidado cada </w:t>
      </w:r>
      <w:r w:rsidR="00D13B5F">
        <w:rPr>
          <w:lang w:val="es-ES_tradnl"/>
        </w:rPr>
        <w:t>3</w:t>
      </w:r>
      <w:r w:rsidRPr="009B22A1">
        <w:rPr>
          <w:lang w:val="es-ES_tradnl"/>
        </w:rPr>
        <w:t xml:space="preserve"> meses. En enero de</w:t>
      </w:r>
      <w:r w:rsidR="00D13B5F">
        <w:rPr>
          <w:lang w:val="es-ES_tradnl"/>
        </w:rPr>
        <w:t xml:space="preserve"> </w:t>
      </w:r>
      <w:r w:rsidRPr="009B22A1">
        <w:rPr>
          <w:lang w:val="es-ES_tradnl"/>
        </w:rPr>
        <w:t xml:space="preserve">2020 se ajustó la posibilidad de percibir el subsidio parental, que pasó de 220.000 a 300.000 coronas y en caso de un parto múltiple, de 330.000 a 450.000 coronas. El subsidio se puede percibir hasta que el niño cumpla 4 años. </w:t>
      </w:r>
    </w:p>
    <w:p w14:paraId="001FB0FB" w14:textId="11B31CB6" w:rsidR="009B22A1" w:rsidRPr="009B22A1" w:rsidRDefault="009B22A1" w:rsidP="009B22A1">
      <w:pPr>
        <w:pStyle w:val="H1G"/>
        <w:rPr>
          <w:lang w:val="es-ES_tradnl"/>
        </w:rPr>
      </w:pPr>
      <w:r>
        <w:rPr>
          <w:lang w:val="es-ES_tradnl"/>
        </w:rPr>
        <w:tab/>
      </w:r>
      <w:r w:rsidRPr="009B22A1">
        <w:rPr>
          <w:lang w:val="es-ES_tradnl"/>
        </w:rPr>
        <w:tab/>
        <w:t>Respuesta al párrafo 15 de la lista de cuestiones</w:t>
      </w:r>
    </w:p>
    <w:p w14:paraId="5AD52BFA" w14:textId="4A6C3A1D" w:rsidR="009B22A1" w:rsidRPr="009B22A1" w:rsidRDefault="009B22A1" w:rsidP="009B22A1">
      <w:pPr>
        <w:pStyle w:val="SingleTxtG"/>
        <w:rPr>
          <w:lang w:val="es-ES_tradnl"/>
        </w:rPr>
      </w:pPr>
      <w:r w:rsidRPr="009B22A1">
        <w:rPr>
          <w:lang w:val="es-ES_tradnl"/>
        </w:rPr>
        <w:t>55.</w:t>
      </w:r>
      <w:r w:rsidRPr="009B22A1">
        <w:rPr>
          <w:lang w:val="es-ES_tradnl"/>
        </w:rPr>
        <w:tab/>
        <w:t xml:space="preserve">En 2015-2017, algunos ministerios realizaron encuestas anónimas sobre la prevalencia del acoso sexual en el lugar de trabajo. Aunque los resultados no fueron totalmente representativos, indicaron que en el sector público se producían diversas formas de acoso sexual. En el 90 % de los casos denunciados las víctimas fueron mujeres. Las formas más comunes fueron los comentarios y bromas de carácter sexual, </w:t>
      </w:r>
      <w:r w:rsidR="00646A67">
        <w:rPr>
          <w:lang w:val="es-ES_tradnl"/>
        </w:rPr>
        <w:t>“</w:t>
      </w:r>
      <w:r w:rsidRPr="009B22A1">
        <w:rPr>
          <w:lang w:val="es-ES_tradnl"/>
        </w:rPr>
        <w:t>mirar</w:t>
      </w:r>
      <w:r w:rsidR="00646A67">
        <w:rPr>
          <w:lang w:val="es-ES_tradnl"/>
        </w:rPr>
        <w:t>”</w:t>
      </w:r>
      <w:r w:rsidRPr="009B22A1">
        <w:rPr>
          <w:lang w:val="es-ES_tradnl"/>
        </w:rPr>
        <w:t xml:space="preserve"> a la víctima y el contacto físico inapropiado.</w:t>
      </w:r>
    </w:p>
    <w:p w14:paraId="3F0508C3" w14:textId="14B73AE8" w:rsidR="009B22A1" w:rsidRPr="009B22A1" w:rsidRDefault="009B22A1" w:rsidP="009B22A1">
      <w:pPr>
        <w:pStyle w:val="SingleTxtG"/>
        <w:rPr>
          <w:lang w:val="es-ES_tradnl"/>
        </w:rPr>
      </w:pPr>
      <w:r w:rsidRPr="009B22A1">
        <w:rPr>
          <w:lang w:val="es-ES_tradnl"/>
        </w:rPr>
        <w:t>56.</w:t>
      </w:r>
      <w:r w:rsidRPr="009B22A1">
        <w:rPr>
          <w:lang w:val="es-ES_tradnl"/>
        </w:rPr>
        <w:tab/>
        <w:t>La Oficina del Gobierno y la Defensoría del Pueblo publicaron un manual para las autoridades públicas sobre el trato del acoso sexual en el lugar de trabajo, que se distribuyó a todas las autoridades centrales. Su objetivo es difundir información sobre la prevención del acoso sexual en el lugar de trabajo y abordarlo con sensibilidad y eficacia cuando ocurre. En</w:t>
      </w:r>
      <w:r w:rsidR="00D13B5F">
        <w:rPr>
          <w:lang w:val="es-ES_tradnl"/>
        </w:rPr>
        <w:t> </w:t>
      </w:r>
      <w:r w:rsidRPr="009B22A1">
        <w:rPr>
          <w:lang w:val="es-ES_tradnl"/>
        </w:rPr>
        <w:t>2019 se organizó un seminario sobre prevención del acoso sexual en el sector público para los secretarios de Estado de todos los ministerios. En 2020 se organizaron otros seminarios para el personal de recursos humanos de diversas oficinas públicas. El manual también se ha difundido entre el sector privado.</w:t>
      </w:r>
    </w:p>
    <w:p w14:paraId="3F2DFB21" w14:textId="5C5DB344" w:rsidR="009B22A1" w:rsidRPr="009B22A1" w:rsidRDefault="009B22A1" w:rsidP="009B22A1">
      <w:pPr>
        <w:pStyle w:val="H1G"/>
        <w:rPr>
          <w:lang w:val="es-ES_tradnl"/>
        </w:rPr>
      </w:pPr>
      <w:r>
        <w:rPr>
          <w:lang w:val="es-ES_tradnl"/>
        </w:rPr>
        <w:tab/>
      </w:r>
      <w:r w:rsidRPr="009B22A1">
        <w:rPr>
          <w:lang w:val="es-ES_tradnl"/>
        </w:rPr>
        <w:tab/>
        <w:t>Respuesta al párrafo 16 a) de la lista de cuestiones</w:t>
      </w:r>
    </w:p>
    <w:p w14:paraId="6207F61B" w14:textId="56CF0880" w:rsidR="009B22A1" w:rsidRPr="009B22A1" w:rsidRDefault="009B22A1" w:rsidP="009B22A1">
      <w:pPr>
        <w:pStyle w:val="SingleTxtG"/>
        <w:rPr>
          <w:lang w:val="es-ES_tradnl"/>
        </w:rPr>
      </w:pPr>
      <w:r w:rsidRPr="009B22A1">
        <w:rPr>
          <w:lang w:val="es-ES_tradnl"/>
        </w:rPr>
        <w:t>57.</w:t>
      </w:r>
      <w:r w:rsidRPr="009B22A1">
        <w:rPr>
          <w:lang w:val="es-ES_tradnl"/>
        </w:rPr>
        <w:tab/>
        <w:t>En la actualidad, la República Checa solo regula legalmente las huelgas en un conflicto sobre el convenio colectivo, como se describe en los párrafos 69 y 70 de su informe periódico. La necesidad de una regulación legal del derecho de huelga en otras situaciones fue debatida en repetidas ocasiones con los interlocutores sociales, la última vez en mayo de</w:t>
      </w:r>
      <w:r w:rsidR="00D13B5F">
        <w:rPr>
          <w:lang w:val="es-ES_tradnl"/>
        </w:rPr>
        <w:t> </w:t>
      </w:r>
      <w:r w:rsidRPr="009B22A1">
        <w:rPr>
          <w:lang w:val="es-ES_tradnl"/>
        </w:rPr>
        <w:t>2019, cuando los representantes de los trabajadores y de los empleadores acordaron que no era necesaria en ese momento.</w:t>
      </w:r>
    </w:p>
    <w:p w14:paraId="667950D5" w14:textId="2E24FF2A" w:rsidR="009B22A1" w:rsidRPr="009B22A1" w:rsidRDefault="009B22A1" w:rsidP="009B22A1">
      <w:pPr>
        <w:pStyle w:val="H1G"/>
        <w:rPr>
          <w:lang w:val="es-ES_tradnl"/>
        </w:rPr>
      </w:pPr>
      <w:r>
        <w:rPr>
          <w:lang w:val="es-ES_tradnl"/>
        </w:rPr>
        <w:lastRenderedPageBreak/>
        <w:tab/>
      </w:r>
      <w:r w:rsidRPr="009B22A1">
        <w:rPr>
          <w:lang w:val="es-ES_tradnl"/>
        </w:rPr>
        <w:tab/>
        <w:t>Respuesta al párrafo 16 b) de la lista de cuestiones</w:t>
      </w:r>
    </w:p>
    <w:p w14:paraId="571EF237" w14:textId="59E2DCF6" w:rsidR="009B22A1" w:rsidRPr="009B22A1" w:rsidRDefault="009B22A1" w:rsidP="009B22A1">
      <w:pPr>
        <w:pStyle w:val="SingleTxtG"/>
        <w:rPr>
          <w:lang w:val="es-ES_tradnl"/>
        </w:rPr>
      </w:pPr>
      <w:r w:rsidRPr="009B22A1">
        <w:rPr>
          <w:lang w:val="es-ES_tradnl"/>
        </w:rPr>
        <w:t>58.</w:t>
      </w:r>
      <w:r w:rsidRPr="009B22A1">
        <w:rPr>
          <w:lang w:val="es-ES_tradnl"/>
        </w:rPr>
        <w:tab/>
        <w:t xml:space="preserve">El </w:t>
      </w:r>
      <w:r w:rsidRPr="00D13B5F">
        <w:rPr>
          <w:i/>
          <w:iCs/>
          <w:lang w:val="es-ES_tradnl"/>
        </w:rPr>
        <w:t>qu</w:t>
      </w:r>
      <w:r w:rsidR="00D13B5F" w:rsidRPr="00D13B5F">
        <w:rPr>
          <w:i/>
          <w:iCs/>
          <w:lang w:val="es-ES_tradnl"/>
        </w:rPr>
        <w:t>o</w:t>
      </w:r>
      <w:r w:rsidRPr="00D13B5F">
        <w:rPr>
          <w:i/>
          <w:iCs/>
          <w:lang w:val="es-ES_tradnl"/>
        </w:rPr>
        <w:t>rum</w:t>
      </w:r>
      <w:r w:rsidRPr="009B22A1">
        <w:rPr>
          <w:lang w:val="es-ES_tradnl"/>
        </w:rPr>
        <w:t xml:space="preserve"> actual, que exige el consentimiento de dos tercios de los trabajadores con derecho a voto para iniciar una huelga, se estableció con el acuerdo de los representantes de los interlocutores sociales. Es suficientemente representativo para permitir a los trabajadores declarar una huelga y proteger a los empleadores contra un posible abuso de este derecho. La República Checa no ha recibido ninguna queja de otras partes interesadas en el sentido de que estos valores causen problemas en la práctica. Tampoco ha recibido ninguna sugerencia de que el </w:t>
      </w:r>
      <w:r w:rsidRPr="00D13B5F">
        <w:rPr>
          <w:i/>
          <w:iCs/>
          <w:lang w:val="es-ES_tradnl"/>
        </w:rPr>
        <w:t>qu</w:t>
      </w:r>
      <w:r w:rsidR="00D13B5F" w:rsidRPr="00D13B5F">
        <w:rPr>
          <w:i/>
          <w:iCs/>
          <w:lang w:val="es-ES_tradnl"/>
        </w:rPr>
        <w:t>o</w:t>
      </w:r>
      <w:r w:rsidRPr="00D13B5F">
        <w:rPr>
          <w:i/>
          <w:iCs/>
          <w:lang w:val="es-ES_tradnl"/>
        </w:rPr>
        <w:t>rum</w:t>
      </w:r>
      <w:r w:rsidRPr="009B22A1">
        <w:rPr>
          <w:lang w:val="es-ES_tradnl"/>
        </w:rPr>
        <w:t xml:space="preserve"> sea demasiado alto y, por tanto, sea un obstáculo para una posible huelga en los conflictos relativos a la celebración de convenios colectivos.</w:t>
      </w:r>
    </w:p>
    <w:p w14:paraId="593F04F7" w14:textId="1E9751AC" w:rsidR="009B22A1" w:rsidRPr="009B22A1" w:rsidRDefault="009B22A1" w:rsidP="009B22A1">
      <w:pPr>
        <w:pStyle w:val="H1G"/>
        <w:rPr>
          <w:lang w:val="es-ES_tradnl"/>
        </w:rPr>
      </w:pPr>
      <w:r>
        <w:rPr>
          <w:lang w:val="es-ES_tradnl"/>
        </w:rPr>
        <w:tab/>
      </w:r>
      <w:r w:rsidRPr="009B22A1">
        <w:rPr>
          <w:lang w:val="es-ES_tradnl"/>
        </w:rPr>
        <w:tab/>
        <w:t>Respuesta al párrafo 17 de la lista de cuestiones</w:t>
      </w:r>
    </w:p>
    <w:p w14:paraId="61AE6187" w14:textId="77777777" w:rsidR="009B22A1" w:rsidRPr="009B22A1" w:rsidRDefault="009B22A1" w:rsidP="00D13B5F">
      <w:pPr>
        <w:pStyle w:val="SingleTxtG"/>
        <w:spacing w:after="130"/>
        <w:rPr>
          <w:lang w:val="es-ES_tradnl"/>
        </w:rPr>
      </w:pPr>
      <w:r w:rsidRPr="009B22A1">
        <w:rPr>
          <w:lang w:val="es-ES_tradnl"/>
        </w:rPr>
        <w:t>59.</w:t>
      </w:r>
      <w:r w:rsidRPr="009B22A1">
        <w:rPr>
          <w:lang w:val="es-ES_tradnl"/>
        </w:rPr>
        <w:tab/>
        <w:t>El programa de austeridad de 2011-2012 solo afectó fuertemente a dos prestaciones de apoyo social del Estado no relacionadas con un seguro. El suplemento social se suprimió debido a su uso insuficiente y a su incapacidad para abordar situaciones sociales. El subsidio de natalidad se limitó a los hogares de bajos ingresos. El gasto en prestaciones económicas por hijo a cargo solo registró un ligero descenso, mientras que el número de sus beneficiarios disminuyó más rápidamente debido al aumento de sus ingresos. El gasto en el subsidio parental y el subsidio de vivienda aumentó, mientras que el número de sus beneficiarios se mantuvo estable.</w:t>
      </w:r>
    </w:p>
    <w:p w14:paraId="79E06429" w14:textId="77777777" w:rsidR="009B22A1" w:rsidRPr="009B22A1" w:rsidRDefault="009B22A1" w:rsidP="00D13B5F">
      <w:pPr>
        <w:pStyle w:val="SingleTxtG"/>
        <w:spacing w:after="130"/>
        <w:rPr>
          <w:lang w:val="es-ES_tradnl"/>
        </w:rPr>
      </w:pPr>
      <w:r w:rsidRPr="009B22A1">
        <w:rPr>
          <w:lang w:val="es-ES_tradnl"/>
        </w:rPr>
        <w:t>60.</w:t>
      </w:r>
      <w:r w:rsidRPr="009B22A1">
        <w:rPr>
          <w:lang w:val="es-ES_tradnl"/>
        </w:rPr>
        <w:tab/>
        <w:t>Las prestaciones relacionadas con la salud (subsidio por cuidados, prestaciones de discapacidad) registraron un aumento constante tanto del gasto como del número de beneficiarios. Hasta 2015, se produjo un aumento de la asistencia para las necesidades materiales destinadas a personas y grupos desfavorecidos y marginados. Desde entonces, disminuyó gradualmente debido al crecimiento económico favorable.</w:t>
      </w:r>
    </w:p>
    <w:p w14:paraId="306F7D38" w14:textId="77777777" w:rsidR="009B22A1" w:rsidRPr="009B22A1" w:rsidRDefault="009B22A1" w:rsidP="00D13B5F">
      <w:pPr>
        <w:pStyle w:val="SingleTxtG"/>
        <w:spacing w:after="130"/>
        <w:rPr>
          <w:lang w:val="es-ES_tradnl"/>
        </w:rPr>
      </w:pPr>
      <w:r w:rsidRPr="009B22A1">
        <w:rPr>
          <w:lang w:val="es-ES_tradnl"/>
        </w:rPr>
        <w:t>61.</w:t>
      </w:r>
      <w:r w:rsidRPr="009B22A1">
        <w:rPr>
          <w:lang w:val="es-ES_tradnl"/>
        </w:rPr>
        <w:tab/>
        <w:t xml:space="preserve">En abril de 2020, los valores de los mínimos de subsistencia y de existencia se incrementaron por primera vez desde 2012. Estos determinan el derecho a las prestaciones no relacionadas con un seguro y su cuantía. El aumento del 13,2 % refleja el incremento del índice de precios al consumo pertinente, que excluye a la vivienda, el agua, la energía y los combustibles. </w:t>
      </w:r>
    </w:p>
    <w:p w14:paraId="40239ECB" w14:textId="6F43B915" w:rsidR="009B22A1" w:rsidRPr="009B22A1" w:rsidRDefault="009B22A1" w:rsidP="009B22A1">
      <w:pPr>
        <w:pStyle w:val="H1G"/>
        <w:rPr>
          <w:lang w:val="es-ES_tradnl"/>
        </w:rPr>
      </w:pPr>
      <w:r>
        <w:rPr>
          <w:lang w:val="es-ES_tradnl"/>
        </w:rPr>
        <w:tab/>
      </w:r>
      <w:r w:rsidRPr="009B22A1">
        <w:rPr>
          <w:lang w:val="es-ES_tradnl"/>
        </w:rPr>
        <w:tab/>
        <w:t>Respuesta al párrafo 18 de la lista de cuestiones</w:t>
      </w:r>
    </w:p>
    <w:p w14:paraId="318F963B" w14:textId="77777777" w:rsidR="009B22A1" w:rsidRPr="009B22A1" w:rsidRDefault="009B22A1" w:rsidP="00D13B5F">
      <w:pPr>
        <w:pStyle w:val="SingleTxtG"/>
        <w:spacing w:after="130"/>
        <w:rPr>
          <w:lang w:val="es-ES_tradnl"/>
        </w:rPr>
      </w:pPr>
      <w:r w:rsidRPr="009B22A1">
        <w:rPr>
          <w:lang w:val="es-ES_tradnl"/>
        </w:rPr>
        <w:t>62.</w:t>
      </w:r>
      <w:r w:rsidRPr="009B22A1">
        <w:rPr>
          <w:lang w:val="es-ES_tradnl"/>
        </w:rPr>
        <w:tab/>
        <w:t>Las personas no aseguradas, las personas aseguradas durante un período de tiempo insuficiente y otras personas en ciertas situaciones tienen derecho a las prestaciones sociales no relacionadas con un seguro si cumplen las condiciones establecidas en la ley. El sistema de apoyo social del Estado está destinado a las familias con hijos a cargo y aumenta sus ingresos y les permite cubrir los gastos de crianza y cuidado de los niños. El sistema incluye la prestación económica por hijo a cargo, el subsidio por nacimiento y el subsidio de vivienda, que están sujetos a la prueba de ingresos, y el subsidio parental, que es universal y no depende de los ingresos. Desde 2018, el límite del ingreso para recibir la prestación económica por hijo a cargo y el subsidio por nacimiento es inferior a 2,7 veces el mínimo de subsistencia de la familia.</w:t>
      </w:r>
    </w:p>
    <w:p w14:paraId="6C833005" w14:textId="1420542A" w:rsidR="009B22A1" w:rsidRPr="009B22A1" w:rsidRDefault="009B22A1" w:rsidP="00D13B5F">
      <w:pPr>
        <w:pStyle w:val="SingleTxtG"/>
        <w:spacing w:after="130"/>
        <w:rPr>
          <w:lang w:val="es-ES_tradnl"/>
        </w:rPr>
      </w:pPr>
      <w:r w:rsidRPr="009B22A1">
        <w:rPr>
          <w:lang w:val="es-ES_tradnl"/>
        </w:rPr>
        <w:t>63.</w:t>
      </w:r>
      <w:r w:rsidRPr="009B22A1">
        <w:rPr>
          <w:lang w:val="es-ES_tradnl"/>
        </w:rPr>
        <w:tab/>
        <w:t>Las prestaciones del sistema de ayuda a las necesidades materiales están destinadas a las personas y familias cuyos ingresos y condiciones socioeconómicas no les permiten satisfacer las necesidades vitales básicas a un nivel socialmente aceptable. Estas tienen derecho al subsidio de subsistencia, las ayudas para vivienda y la asistencia extraordinaria inmediata. El objetivo de estas prestaciones es evitar la exclusión social de las personas que se encuentran en una situación social difícil debido a la falta de ingresos, que no pueden incrementar con su propio esfuerzo. La ayuda en caso de necesidades materiales no se proporciona a una persona que no tenga como objetivo aumentar sus ingresos o mejorar su situación socioeconómica. Las excepciones son las personas de edad, las personas con discapacidad, los niños y los cuidadores.</w:t>
      </w:r>
    </w:p>
    <w:p w14:paraId="7FD620CE" w14:textId="77777777" w:rsidR="009B22A1" w:rsidRPr="009B22A1" w:rsidRDefault="009B22A1" w:rsidP="009B22A1">
      <w:pPr>
        <w:pStyle w:val="SingleTxtG"/>
        <w:rPr>
          <w:lang w:val="es-ES_tradnl"/>
        </w:rPr>
      </w:pPr>
      <w:r w:rsidRPr="009B22A1">
        <w:rPr>
          <w:lang w:val="es-ES_tradnl"/>
        </w:rPr>
        <w:lastRenderedPageBreak/>
        <w:t>64.</w:t>
      </w:r>
      <w:r w:rsidRPr="009B22A1">
        <w:rPr>
          <w:lang w:val="es-ES_tradnl"/>
        </w:rPr>
        <w:tab/>
        <w:t>El apoyo por medio de las prestaciones sociales no relacionadas con un seguro también se aplica a las personas con discapacidad y a las personas que dependen de cuidados. Se trata de la prestación por movilidad, el subsidio de ayuda especial, el certificado de discapacidad, así como las consiguientes prestaciones sociales. Estas personas también pueden solicitar la prestación de cuidados si necesitan la asistencia de otra persona para hacer frente a las necesidades vitales básicas debido a un estado de salud desfavorable de larga duración. La cuantía de la prestación se fija en función del grado de dependencia.</w:t>
      </w:r>
    </w:p>
    <w:p w14:paraId="54B57BBE" w14:textId="77777777" w:rsidR="009B22A1" w:rsidRPr="009B22A1" w:rsidRDefault="009B22A1" w:rsidP="009B22A1">
      <w:pPr>
        <w:pStyle w:val="SingleTxtG"/>
        <w:rPr>
          <w:lang w:val="es-ES_tradnl"/>
        </w:rPr>
      </w:pPr>
      <w:r w:rsidRPr="009B22A1">
        <w:rPr>
          <w:lang w:val="es-ES_tradnl"/>
        </w:rPr>
        <w:t>65.</w:t>
      </w:r>
      <w:r w:rsidRPr="009B22A1">
        <w:rPr>
          <w:lang w:val="es-ES_tradnl"/>
        </w:rPr>
        <w:tab/>
        <w:t>Todos los datos sobre los beneficiarios figuran en el anexo del informe periódico (principalmente las partes 8 y 9) y sus actualizaciones específicas en el anexo I.</w:t>
      </w:r>
    </w:p>
    <w:p w14:paraId="5158FA12" w14:textId="7EA668D9" w:rsidR="009B22A1" w:rsidRPr="009B22A1" w:rsidRDefault="009B22A1" w:rsidP="009B22A1">
      <w:pPr>
        <w:pStyle w:val="H1G"/>
        <w:rPr>
          <w:lang w:val="es-ES_tradnl"/>
        </w:rPr>
      </w:pPr>
      <w:r>
        <w:rPr>
          <w:lang w:val="es-ES_tradnl"/>
        </w:rPr>
        <w:tab/>
      </w:r>
      <w:r w:rsidRPr="009B22A1">
        <w:rPr>
          <w:lang w:val="es-ES_tradnl"/>
        </w:rPr>
        <w:tab/>
        <w:t>Respuesta al párrafo 19 de la lista de cuestiones</w:t>
      </w:r>
    </w:p>
    <w:p w14:paraId="5D7E5A68" w14:textId="77777777" w:rsidR="009B22A1" w:rsidRPr="009B22A1" w:rsidRDefault="009B22A1" w:rsidP="009B22A1">
      <w:pPr>
        <w:pStyle w:val="SingleTxtG"/>
        <w:rPr>
          <w:lang w:val="es-ES_tradnl"/>
        </w:rPr>
      </w:pPr>
      <w:r w:rsidRPr="009B22A1">
        <w:rPr>
          <w:lang w:val="es-ES_tradnl"/>
        </w:rPr>
        <w:t>66.</w:t>
      </w:r>
      <w:r w:rsidRPr="009B22A1">
        <w:rPr>
          <w:lang w:val="es-ES_tradnl"/>
        </w:rPr>
        <w:tab/>
        <w:t>La República Checa apoya las medidas que conducen a la reducción del número de niños internados en instituciones. Actualmente se está preparando una nueva enmienda a la Ley de Protección Social y Jurídica del Niño en apoyo del acogimiento familiar e instalaciones para niños que requieren asistencia inmediata y cuidados de seguimiento mediante una mayor asignación económica. Los proyectos que responden a la situación actual del sistema de cuidado de niños y familias vulnerables también contribuyen a su transformación. Este sistema se enfrenta a una fragmentación en la dirección y las responsabilidades y a enfoques y procedimientos incoherentes al tratar las situaciones vitales de los niños y las familias vulnerables.</w:t>
      </w:r>
    </w:p>
    <w:p w14:paraId="535F27C3" w14:textId="77777777" w:rsidR="009B22A1" w:rsidRPr="009B22A1" w:rsidRDefault="009B22A1" w:rsidP="009B22A1">
      <w:pPr>
        <w:pStyle w:val="SingleTxtG"/>
        <w:rPr>
          <w:lang w:val="es-ES_tradnl"/>
        </w:rPr>
      </w:pPr>
      <w:r w:rsidRPr="009B22A1">
        <w:rPr>
          <w:lang w:val="es-ES_tradnl"/>
        </w:rPr>
        <w:t>67.</w:t>
      </w:r>
      <w:r w:rsidRPr="009B22A1">
        <w:rPr>
          <w:lang w:val="es-ES_tradnl"/>
        </w:rPr>
        <w:tab/>
        <w:t>En 2015 se completó el proyecto que tenía por objeto un cambio sistémico integral de la prestación de cuidados a las familias y los niños en riesgo o en situación de exclusión social, y a los niños objeto de protección social y jurídica. El cambio sistémico consistió en la optimización de la gestión y la financiación del sistema de atención de niños vulnerables a nivel nacional, así como a nivel regional y municipal, y en la normalización del sistema y la unificación de los enfoques y procedimientos para trabajar con estos niños. El proyecto incluyó un análisis exhaustivo del sistema de cuidado de niños vulnerables, una propuesta de sistema de gestión y financiación y procedimientos vinculantes para el trabajo de los organismos de protección social y jurídica de los niños y de los proveedores de servicios de asistencia y apoyo.</w:t>
      </w:r>
    </w:p>
    <w:p w14:paraId="048557D5" w14:textId="77777777" w:rsidR="009B22A1" w:rsidRPr="009B22A1" w:rsidRDefault="009B22A1" w:rsidP="009B22A1">
      <w:pPr>
        <w:pStyle w:val="SingleTxtG"/>
        <w:rPr>
          <w:lang w:val="es-ES_tradnl"/>
        </w:rPr>
      </w:pPr>
      <w:r w:rsidRPr="009B22A1">
        <w:rPr>
          <w:lang w:val="es-ES_tradnl"/>
        </w:rPr>
        <w:t>68.</w:t>
      </w:r>
      <w:r w:rsidRPr="009B22A1">
        <w:rPr>
          <w:lang w:val="es-ES_tradnl"/>
        </w:rPr>
        <w:tab/>
        <w:t>En 2018 se completó un proyecto centrado en el desarrollo sistémico y el apoyo a la protección social y jurídica de los niños. El proyecto tenía como objetivo apoyar y mejorar el trabajo de todas las personas implicadas en la protección social y jurídica de los niños a nivel local, aumentando sus capacidades, garantizando la calidad de los datos estadísticos y estableciendo el aprendizaje permanente de sus empleados y el apoyo y desarrollo de la alternativa de acogimiento en un entorno familiar, poniendo el énfasis en el</w:t>
      </w:r>
      <w:r w:rsidRPr="00033243">
        <w:t xml:space="preserve"> </w:t>
      </w:r>
      <w:r w:rsidRPr="009B22A1">
        <w:rPr>
          <w:lang w:val="es-ES_tradnl"/>
        </w:rPr>
        <w:t>acogimiento familiar. El proyecto tenía por objeto reducir aún más el número de niños que viven fuera de sus familias y garantizar el mejor nivel de atención para los niños mediante modalidades alternativas de cuidado.</w:t>
      </w:r>
    </w:p>
    <w:p w14:paraId="0A8740C0" w14:textId="77777777" w:rsidR="009B22A1" w:rsidRPr="009B22A1" w:rsidRDefault="009B22A1" w:rsidP="009B22A1">
      <w:pPr>
        <w:pStyle w:val="SingleTxtG"/>
        <w:rPr>
          <w:lang w:val="es-ES_tradnl"/>
        </w:rPr>
      </w:pPr>
      <w:r w:rsidRPr="009B22A1">
        <w:rPr>
          <w:lang w:val="es-ES_tradnl"/>
        </w:rPr>
        <w:t>69.</w:t>
      </w:r>
      <w:r w:rsidRPr="009B22A1">
        <w:rPr>
          <w:lang w:val="es-ES_tradnl"/>
        </w:rPr>
        <w:tab/>
        <w:t>Un proyecto en curso que apoya los cambios sistémicos en la atención a niños, jóvenes y familias vulnerables comenzó en 2018 y se extenderá hasta 2022. En el marco del proyecto, se revisará la protección social y jurídica de los niños acogidos en instituciones y se describirán los procesos que satisfacen las necesidades de los niños. El proyecto pretende aumentar la calidad y la sostenibilidad del sistema de servicios para niños vulnerables, apoyando a las regiones en el cumplimiento del derecho de los niños a la vida familiar.</w:t>
      </w:r>
    </w:p>
    <w:p w14:paraId="01CBCC56" w14:textId="3990EC45" w:rsidR="009B22A1" w:rsidRPr="009B22A1" w:rsidRDefault="009B22A1" w:rsidP="009B22A1">
      <w:pPr>
        <w:pStyle w:val="SingleTxtG"/>
        <w:rPr>
          <w:lang w:val="es-ES_tradnl"/>
        </w:rPr>
      </w:pPr>
      <w:r w:rsidRPr="009B22A1">
        <w:rPr>
          <w:lang w:val="es-ES_tradnl"/>
        </w:rPr>
        <w:t>70.</w:t>
      </w:r>
      <w:r w:rsidRPr="009B22A1">
        <w:rPr>
          <w:lang w:val="es-ES_tradnl"/>
        </w:rPr>
        <w:tab/>
        <w:t>El sistema de educación institucional se está transformando para racionalizar las actividades y crear un sistema moderno y asequible que haga hincapié en la calidad y la atención profesional de los niños y sus familias teniendo en cuenta el interés superior del niño. La transformación de la educación institucional se basa principalmente en la necesidad de influir en los niños vulnerables antes de que empiecen a tener comportamientos de riesgo para evitar su institucionalización o reducir al máximo la duración de esta. El anexo I contiene las estadísticas sobre el número de niños institucionalizados.</w:t>
      </w:r>
    </w:p>
    <w:p w14:paraId="026AB6C5" w14:textId="19B6389C" w:rsidR="009B22A1" w:rsidRPr="009B22A1" w:rsidRDefault="009B22A1" w:rsidP="009B22A1">
      <w:pPr>
        <w:pStyle w:val="H1G"/>
        <w:rPr>
          <w:lang w:val="es-ES_tradnl"/>
        </w:rPr>
      </w:pPr>
      <w:r>
        <w:rPr>
          <w:lang w:val="es-ES_tradnl"/>
        </w:rPr>
        <w:lastRenderedPageBreak/>
        <w:tab/>
      </w:r>
      <w:r w:rsidRPr="009B22A1">
        <w:rPr>
          <w:lang w:val="es-ES_tradnl"/>
        </w:rPr>
        <w:tab/>
        <w:t>Respuesta al párrafo 20 de la lista de cuestiones</w:t>
      </w:r>
    </w:p>
    <w:p w14:paraId="52F24789" w14:textId="07C4DFCC" w:rsidR="009B22A1" w:rsidRPr="009B22A1" w:rsidRDefault="009B22A1" w:rsidP="009B22A1">
      <w:pPr>
        <w:pStyle w:val="SingleTxtG"/>
        <w:rPr>
          <w:lang w:val="es-ES_tradnl"/>
        </w:rPr>
      </w:pPr>
      <w:bookmarkStart w:id="1" w:name="_Hlk43811077"/>
      <w:r w:rsidRPr="009B22A1">
        <w:rPr>
          <w:lang w:val="es-ES_tradnl"/>
        </w:rPr>
        <w:t>71.</w:t>
      </w:r>
      <w:r w:rsidRPr="009B22A1">
        <w:rPr>
          <w:lang w:val="es-ES_tradnl"/>
        </w:rPr>
        <w:tab/>
        <w:t>En mayo de 2015, se presentó la versión actualizada del Plan de Acción Nacional de Promoción del Envejecimiento Positivo 2013-2017. El objetivo de la versión actualizada era encarar eficazmente la cuestión del envejecimiento de la población, debatir las formas de aplicar las medidas propuestas en los ministerios competentes y actualizar las medidas del Plan. Durante 2015-2017, el Gobierno analizó los informes de evaluación anuales sobre la aplicación del Plan de Acción Nacional. A este Plan de Acción le seguirá el Marco Estratégico para la Preparación de una Sociedad que Envejece 2020-2025, que actualmente está a la espera de aprobación por el Gobierno. Su elaboración fue ampliamente debatida con el público en cinco mesas redondas y conferencias y con el Consejo Gubernamental para las Personas Mayores y el Envejecimiento de la Población, los ministerios y otras partes interesadas. El Marco Estratégico 2020-2025 incluye los Diez Principios de Preparación de la Sociedad para el Envejecimiento, que resumen las esferas que deben abordarse en el contexto de una sociedad que envejece. Tras su aprobación por el Gobierno, se preparará el plan de acción del Marco Estratégico en el plazo de un año, que profundizará la elaboración de las medidas concretas de los Diez Principios especificando sus indicadores, los requisitos financieros, los ministerios competentes y los plazos.</w:t>
      </w:r>
    </w:p>
    <w:bookmarkEnd w:id="1"/>
    <w:p w14:paraId="33AF2470" w14:textId="6C7D3063" w:rsidR="009B22A1" w:rsidRPr="009B22A1" w:rsidRDefault="009B22A1" w:rsidP="009B22A1">
      <w:pPr>
        <w:pStyle w:val="H1G"/>
        <w:rPr>
          <w:lang w:val="es-ES_tradnl"/>
        </w:rPr>
      </w:pPr>
      <w:r>
        <w:rPr>
          <w:lang w:val="es-ES_tradnl"/>
        </w:rPr>
        <w:tab/>
      </w:r>
      <w:r w:rsidRPr="009B22A1">
        <w:rPr>
          <w:lang w:val="es-ES_tradnl"/>
        </w:rPr>
        <w:tab/>
        <w:t>Respuesta al párrafo 21 de la lista de cuestiones</w:t>
      </w:r>
    </w:p>
    <w:p w14:paraId="6115AE6F" w14:textId="77777777" w:rsidR="009B22A1" w:rsidRPr="009B22A1" w:rsidRDefault="009B22A1" w:rsidP="009B22A1">
      <w:pPr>
        <w:pStyle w:val="SingleTxtG"/>
        <w:rPr>
          <w:lang w:val="es-ES_tradnl"/>
        </w:rPr>
      </w:pPr>
      <w:r w:rsidRPr="009B22A1">
        <w:rPr>
          <w:lang w:val="es-ES_tradnl"/>
        </w:rPr>
        <w:t>72.</w:t>
      </w:r>
      <w:r w:rsidRPr="009B22A1">
        <w:rPr>
          <w:lang w:val="es-ES_tradnl"/>
        </w:rPr>
        <w:tab/>
        <w:t>Los objetivos del Marco Conceptual de Vivienda Social 2015-2025 se basaron principalmente en la elaboración y aprobación de la Ley de Vivienda Social. Sin embargo, el proyecto de ley correspondiente no fue aprobado, por lo que el cumplimiento de los objetivos del Concepto se ha visto limitado considerablemente. El resultado de mayor éxito es el proyecto Vivienda Social: Apoyo Metodológico e Informativo a los Programas Sociales. Las actividades del proyecto incluyen la planificación, elaboración y actualización de conceptos locales de vivienda social, la verificación de los conceptos locales de vivienda social mediante pruebas piloto, la educación y la evaluación de los proyectos y las campañas de información. En virtud del proyecto se elaboraron y publicaron varias metodologías. En 2019 se publicó la Metodología del Trabajo Social en la Vivienda Social y se distribuyó a todas las regiones y municipios. Describe las herramientas de trabajo social con las personas que necesitan una vivienda, como la búsqueda de vivienda para las personas sin hogar o en riesgo de perderla, el apoyo a las personas que se benefician por primera vez de la vivienda social, el apoyo mientras viven en este tipo de vivienda y el apoyo para mantener la vivienda posterior. Los municipios que ejecutaron el proyecto lograron ampliar las herramientas de trabajo social y el apoyo a las personas en viviendas sociales y a las que tenían necesidad de vivienda. Actualmente el Proyecto coopera con 16 municipios.</w:t>
      </w:r>
    </w:p>
    <w:p w14:paraId="17D1B8AF" w14:textId="72AE021E" w:rsidR="009B22A1" w:rsidRPr="009B22A1" w:rsidRDefault="009B22A1" w:rsidP="009B22A1">
      <w:pPr>
        <w:pStyle w:val="SingleTxtG"/>
        <w:rPr>
          <w:lang w:val="es-ES_tradnl"/>
        </w:rPr>
      </w:pPr>
      <w:r w:rsidRPr="009B22A1">
        <w:rPr>
          <w:lang w:val="es-ES_tradnl"/>
        </w:rPr>
        <w:t>73.</w:t>
      </w:r>
      <w:r w:rsidRPr="009B22A1">
        <w:rPr>
          <w:lang w:val="es-ES_tradnl"/>
        </w:rPr>
        <w:tab/>
        <w:t xml:space="preserve">La vivienda en momentos de crisis es una herramienta de apoyo integral que se ofrece en los sistemas locales de vivienda social. Se investigan las posibilidades de este tipo de vivienda en el marco legislativo actual y se ponen a prueba varios enfoques al respecto. Los municipios utilizan la capacidad de alojamiento de determinados centros de servicios sociales (centros de acogida, casas de transición, viviendas protegidas), o apartamentos del parque de viviendas. A finales de 2018, se creó un equipo de proyecto dedicado al apoyo metodológico y de información intensivo para los proyectos centrados en el enfoque </w:t>
      </w:r>
      <w:r w:rsidR="00646A67">
        <w:rPr>
          <w:lang w:val="es-ES_tradnl"/>
        </w:rPr>
        <w:t>“</w:t>
      </w:r>
      <w:r w:rsidRPr="009B22A1">
        <w:rPr>
          <w:lang w:val="es-ES_tradnl"/>
        </w:rPr>
        <w:t>primero la vivienda</w:t>
      </w:r>
      <w:r w:rsidR="00646A67">
        <w:rPr>
          <w:lang w:val="es-ES_tradnl"/>
        </w:rPr>
        <w:t>”</w:t>
      </w:r>
      <w:r w:rsidRPr="009B22A1">
        <w:rPr>
          <w:lang w:val="es-ES_tradnl"/>
        </w:rPr>
        <w:t>. El proyecto coopera con 15 municipios y organizaciones, que se dedican al trabajo social en los sistemas locales de vivienda social que utilizan este enfoque.</w:t>
      </w:r>
    </w:p>
    <w:p w14:paraId="63A6DBAD" w14:textId="505BCABA" w:rsidR="009B22A1" w:rsidRPr="009B22A1" w:rsidRDefault="009B22A1" w:rsidP="009B22A1">
      <w:pPr>
        <w:pStyle w:val="H1G"/>
        <w:rPr>
          <w:lang w:val="es-ES_tradnl"/>
        </w:rPr>
      </w:pPr>
      <w:r>
        <w:rPr>
          <w:lang w:val="es-ES_tradnl"/>
        </w:rPr>
        <w:tab/>
      </w:r>
      <w:r w:rsidRPr="009B22A1">
        <w:rPr>
          <w:lang w:val="es-ES_tradnl"/>
        </w:rPr>
        <w:tab/>
        <w:t>Respuesta al párrafo 21 a) de la lista de cuestiones</w:t>
      </w:r>
    </w:p>
    <w:p w14:paraId="13466E57" w14:textId="77777777" w:rsidR="009B22A1" w:rsidRPr="009B22A1" w:rsidRDefault="009B22A1" w:rsidP="009B22A1">
      <w:pPr>
        <w:pStyle w:val="SingleTxtG"/>
        <w:rPr>
          <w:lang w:val="es-ES_tradnl"/>
        </w:rPr>
      </w:pPr>
      <w:r w:rsidRPr="009B22A1">
        <w:rPr>
          <w:lang w:val="es-ES_tradnl"/>
        </w:rPr>
        <w:t>74.</w:t>
      </w:r>
      <w:r w:rsidRPr="009B22A1">
        <w:rPr>
          <w:lang w:val="es-ES_tradnl"/>
        </w:rPr>
        <w:tab/>
        <w:t>En la actualidad, una serie de subvenciones e instrumentos financieros respaldan la vivienda y su construcción. Por ejemplo, la construcción de apartamentos y de hogares comunitarios para personas de edad tenía por objeto principal la adquisición de apartamentos de alquiler reducido destinados a albergar a personas de edad y a personas con discapacidad. Los inquilinos no pueden tener ingresos superiores a un umbral determinado. Los datos estadísticos sobre los beneficiarios figuran en el anexo I.</w:t>
      </w:r>
    </w:p>
    <w:p w14:paraId="1003C810" w14:textId="77777777" w:rsidR="009B22A1" w:rsidRPr="009B22A1" w:rsidRDefault="009B22A1" w:rsidP="009B22A1">
      <w:pPr>
        <w:pStyle w:val="SingleTxtG"/>
        <w:rPr>
          <w:lang w:val="es-ES_tradnl"/>
        </w:rPr>
      </w:pPr>
      <w:r w:rsidRPr="009B22A1">
        <w:rPr>
          <w:lang w:val="es-ES_tradnl"/>
        </w:rPr>
        <w:lastRenderedPageBreak/>
        <w:t>75.</w:t>
      </w:r>
      <w:r w:rsidRPr="009B22A1">
        <w:rPr>
          <w:lang w:val="es-ES_tradnl"/>
        </w:rPr>
        <w:tab/>
        <w:t>La subvención de apartamentos para personas de edad está destinada a la adquisición de apartamentos para personas mayores de 65 años o con discapacidad. La subvención de hogares comunitarios para personas de edad se utiliza para la compra de apartamentos para personas mayores de 60 años. En 2019, el presupuesto nacional asignó 260 millones de coronas a estas subvenciones. En 2020 se prevé la financiación de 32 proyectos y el importe total de las subvenciones que se concederán será de 244,8 millones de coronas.</w:t>
      </w:r>
    </w:p>
    <w:p w14:paraId="7C1EDA16" w14:textId="77777777" w:rsidR="009B22A1" w:rsidRPr="009B22A1" w:rsidRDefault="009B22A1" w:rsidP="009B22A1">
      <w:pPr>
        <w:pStyle w:val="SingleTxtG"/>
        <w:rPr>
          <w:lang w:val="es-ES_tradnl"/>
        </w:rPr>
      </w:pPr>
      <w:r w:rsidRPr="009B22A1">
        <w:rPr>
          <w:lang w:val="es-ES_tradnl"/>
        </w:rPr>
        <w:t>76.</w:t>
      </w:r>
      <w:r w:rsidRPr="009B22A1">
        <w:rPr>
          <w:lang w:val="es-ES_tradnl"/>
        </w:rPr>
        <w:tab/>
        <w:t>La subvención de viviendas sin barreras está destinada a los propietarios de edificios de apartamentos de cuatro o más plantas que no tienen acceso sin barreras. Pueden recibir una subvención de hasta 1 millón de coronas para hacer los apartamentos accesibles a las personas con movilidad reducida. La subvención está limitada a un máximo del 50 % de los costos subvencionables. En 2019, el presupuesto nacional asignó 195 millones de coronas a esta subvención. En 2020 se prevé la financiación de 157 proyectos y el importe total de las subvenciones que se concederán será de 214,4 millones de coronas.</w:t>
      </w:r>
    </w:p>
    <w:p w14:paraId="46A17ABF" w14:textId="77777777" w:rsidR="009B22A1" w:rsidRPr="009B22A1" w:rsidRDefault="009B22A1" w:rsidP="009B22A1">
      <w:pPr>
        <w:pStyle w:val="SingleTxtG"/>
        <w:rPr>
          <w:lang w:val="es-ES_tradnl"/>
        </w:rPr>
      </w:pPr>
      <w:r w:rsidRPr="009B22A1">
        <w:rPr>
          <w:lang w:val="es-ES_tradnl"/>
        </w:rPr>
        <w:t>77.</w:t>
      </w:r>
      <w:r w:rsidRPr="009B22A1">
        <w:rPr>
          <w:lang w:val="es-ES_tradnl"/>
        </w:rPr>
        <w:tab/>
        <w:t>En el período de programación 2014-2020, las inversiones en vivienda social son cofinanciadas por el Fondo Europeo de Desarrollo Regional (FEDER) a través del Programa Operativo Regional Integrado. El importe total para viviendas sociales en el Programa asciende a unos 4.000 millones de coronas y hasta finales de 2023 se deberían completar 5.000 apartamentos sociales.</w:t>
      </w:r>
    </w:p>
    <w:p w14:paraId="3BEEDBDC" w14:textId="77777777" w:rsidR="009B22A1" w:rsidRPr="009B22A1" w:rsidRDefault="009B22A1" w:rsidP="009B22A1">
      <w:pPr>
        <w:pStyle w:val="SingleTxtG"/>
        <w:rPr>
          <w:lang w:val="es-ES_tradnl"/>
        </w:rPr>
      </w:pPr>
      <w:r w:rsidRPr="009B22A1">
        <w:rPr>
          <w:lang w:val="es-ES_tradnl"/>
        </w:rPr>
        <w:t>78.</w:t>
      </w:r>
      <w:r w:rsidRPr="009B22A1">
        <w:rPr>
          <w:lang w:val="es-ES_tradnl"/>
        </w:rPr>
        <w:tab/>
        <w:t>El Programa de Construcción de Viviendas de Alquiler es un instrumento de préstamos destinados a la construcción de viviendas de alquiler para personas con discapacidad, afectadas por desastres naturales, de 65 años o más, menores de 30 años o con ingresos limitados. El plazo de vencimiento del préstamo es de 30 años y el importe de la ayuda puede llegar hasta el 90 % de los gastos subvencionables. El tipo de interés se rige por el tipo básico de la Unión Europea. Los beneficiarios de la ayuda son los proveedores de vivienda, es decir, municipios y personas jurídicas o físicas. A nivel central no se llevan registros más detallados de los inquilinos.</w:t>
      </w:r>
    </w:p>
    <w:p w14:paraId="55756508" w14:textId="69BE9B61" w:rsidR="009B22A1" w:rsidRPr="009B22A1" w:rsidRDefault="009B22A1" w:rsidP="009B22A1">
      <w:pPr>
        <w:pStyle w:val="H1G"/>
        <w:rPr>
          <w:lang w:val="es-ES_tradnl"/>
        </w:rPr>
      </w:pPr>
      <w:r>
        <w:rPr>
          <w:lang w:val="es-ES_tradnl"/>
        </w:rPr>
        <w:tab/>
      </w:r>
      <w:r w:rsidRPr="009B22A1">
        <w:rPr>
          <w:lang w:val="es-ES_tradnl"/>
        </w:rPr>
        <w:tab/>
        <w:t>Respuesta al párrafo 21 b) de la lista de cuestiones</w:t>
      </w:r>
    </w:p>
    <w:p w14:paraId="13B1C325" w14:textId="77777777" w:rsidR="009B22A1" w:rsidRPr="009B22A1" w:rsidRDefault="009B22A1" w:rsidP="009B22A1">
      <w:pPr>
        <w:pStyle w:val="SingleTxtG"/>
        <w:rPr>
          <w:lang w:val="es-ES_tradnl"/>
        </w:rPr>
      </w:pPr>
      <w:r w:rsidRPr="009B22A1">
        <w:rPr>
          <w:lang w:val="es-ES_tradnl"/>
        </w:rPr>
        <w:t>79.</w:t>
      </w:r>
      <w:r w:rsidRPr="009B22A1">
        <w:rPr>
          <w:lang w:val="es-ES_tradnl"/>
        </w:rPr>
        <w:tab/>
        <w:t>El proyecto de ley de vivienda social se preparó y presentó al Parlamento; sin embargo, no se aprobó. En 2018, el Ministerio de Desarrollo Regional decidió no continuar con la formulación de un nuevo proyecto de ley. En cambio, en junio de 2019, el Ministerio introdujo el programa Construcción, que combina una subvención con un instrumento financiero. El programa apoya la adquisición de viviendas sociales para los hogares con dificultades de acceso al mercado inmobiliario y viviendas asequibles para los hogares ordinarios.</w:t>
      </w:r>
    </w:p>
    <w:p w14:paraId="259810C0" w14:textId="77777777" w:rsidR="009B22A1" w:rsidRPr="009B22A1" w:rsidRDefault="009B22A1" w:rsidP="009B22A1">
      <w:pPr>
        <w:pStyle w:val="SingleTxtG"/>
        <w:rPr>
          <w:lang w:val="es-ES_tradnl"/>
        </w:rPr>
      </w:pPr>
      <w:r w:rsidRPr="009B22A1">
        <w:rPr>
          <w:lang w:val="es-ES_tradnl"/>
        </w:rPr>
        <w:t>80.</w:t>
      </w:r>
      <w:r w:rsidRPr="009B22A1">
        <w:rPr>
          <w:lang w:val="es-ES_tradnl"/>
        </w:rPr>
        <w:tab/>
        <w:t>El Fondo Estatal de Fomento de la Vivienda proporciona una subvención para el apoyo a la vivienda social, que puede alcanzar hasta el 100 % de los gastos subvencionables. Se pueden proporcionar más de 33.000 coronas por m</w:t>
      </w:r>
      <w:r w:rsidRPr="009B22A1">
        <w:rPr>
          <w:vertAlign w:val="superscript"/>
          <w:lang w:val="es-ES_tradnl"/>
        </w:rPr>
        <w:t>2</w:t>
      </w:r>
      <w:r w:rsidRPr="009B22A1">
        <w:rPr>
          <w:lang w:val="es-ES_tradnl"/>
        </w:rPr>
        <w:t xml:space="preserve"> de superficie habitable. En el caso de modernización de una vivienda, el umbral es el 50 % del límite de construcción. En el caso de los apartamentos disponibles, se ofrece un préstamo en condiciones favorables de hasta 30 años con un tipo de interés fijo y sin importe máximo. El alquiler de las viviendas sociales es limitado y los inquilinos tienen que participar en trabajos sociales para mejorar su situación. Se determina en función del alquiler habitual en esa zona. La superficie habitable máxima del apartamento es de 120 m</w:t>
      </w:r>
      <w:r w:rsidRPr="009B22A1">
        <w:rPr>
          <w:vertAlign w:val="superscript"/>
          <w:lang w:val="es-ES_tradnl"/>
        </w:rPr>
        <w:t>2</w:t>
      </w:r>
      <w:r w:rsidRPr="009B22A1">
        <w:rPr>
          <w:lang w:val="es-ES_tradnl"/>
        </w:rPr>
        <w:t>. Las viviendas sociales pueden estar integradas en casas sociales (de 4 a 12 pisos) o mixtas (con un porcentaje máximo de apartamentos sociales del 20 %). Las viviendas asequibles pueden construirse sin ninguna restricción y su construcción está respaldada por un préstamo con tipos de interés bajos. En la actualidad, se están preparando el Concepto de Vivienda de la República Checa 2021+ y la Ley de Vivienda Asequible.</w:t>
      </w:r>
    </w:p>
    <w:p w14:paraId="55C752F7" w14:textId="463E93F3" w:rsidR="009B22A1" w:rsidRPr="009B22A1" w:rsidRDefault="009B22A1" w:rsidP="009B22A1">
      <w:pPr>
        <w:pStyle w:val="H1G"/>
        <w:rPr>
          <w:lang w:val="es-ES_tradnl"/>
        </w:rPr>
      </w:pPr>
      <w:r>
        <w:rPr>
          <w:lang w:val="es-ES_tradnl"/>
        </w:rPr>
        <w:tab/>
      </w:r>
      <w:r w:rsidRPr="009B22A1">
        <w:rPr>
          <w:lang w:val="es-ES_tradnl"/>
        </w:rPr>
        <w:tab/>
        <w:t>Respuesta al párrafo 21 c) de la lista de cuestiones</w:t>
      </w:r>
    </w:p>
    <w:p w14:paraId="5AC6B6EE" w14:textId="77777777" w:rsidR="009B22A1" w:rsidRPr="009B22A1" w:rsidRDefault="009B22A1" w:rsidP="009B22A1">
      <w:pPr>
        <w:pStyle w:val="SingleTxtG"/>
        <w:rPr>
          <w:lang w:val="es-ES_tradnl"/>
        </w:rPr>
      </w:pPr>
      <w:r w:rsidRPr="009B22A1">
        <w:rPr>
          <w:lang w:val="es-ES_tradnl"/>
        </w:rPr>
        <w:t>81.</w:t>
      </w:r>
      <w:r w:rsidRPr="009B22A1">
        <w:rPr>
          <w:lang w:val="es-ES_tradnl"/>
        </w:rPr>
        <w:tab/>
        <w:t xml:space="preserve">La prestación social de vivienda y las ayudas para vivienda no relacionadas con un seguro están destinadas a dar apoyo a los grupos de bajos ingresos y vulnerables. Estas prestaciones se incrementan anualmente mediante la normativa gubernamental en función </w:t>
      </w:r>
      <w:r w:rsidRPr="009B22A1">
        <w:rPr>
          <w:lang w:val="es-ES_tradnl"/>
        </w:rPr>
        <w:lastRenderedPageBreak/>
        <w:t>del aumento del costo oficial de la vivienda. El sistema se ha descrito con más detalle en los párrafos 138 y 121 del informe periódico.</w:t>
      </w:r>
    </w:p>
    <w:p w14:paraId="1464A334" w14:textId="12B64F16" w:rsidR="009B22A1" w:rsidRPr="009B22A1" w:rsidRDefault="009B22A1" w:rsidP="009B22A1">
      <w:pPr>
        <w:pStyle w:val="SingleTxtG"/>
        <w:rPr>
          <w:lang w:val="es-ES_tradnl"/>
        </w:rPr>
      </w:pPr>
      <w:r w:rsidRPr="009B22A1">
        <w:rPr>
          <w:lang w:val="es-ES_tradnl"/>
        </w:rPr>
        <w:t>82.</w:t>
      </w:r>
      <w:r w:rsidRPr="009B22A1">
        <w:rPr>
          <w:lang w:val="es-ES_tradnl"/>
        </w:rPr>
        <w:tab/>
        <w:t>El Estado delega el trabajo social en los municipios. De conformidad con la recomendación del Ministerio de Trabajo y Asuntos Sociales, el objetivo del trabajo social es apoyar la reintegración del beneficiario en la vida del municipio. La principal prioridad de los municipios es abordar la situación social desfavorable de las personas en riesgo de exclusión social. Desde 2015, el Ministerio les proporciona una contribución por el trabajo social. En 2019, la asignación de fondos se redujo drásticamente a un mínimo histórico de</w:t>
      </w:r>
      <w:r w:rsidR="00C57EC9">
        <w:rPr>
          <w:lang w:val="es-ES_tradnl"/>
        </w:rPr>
        <w:t> </w:t>
      </w:r>
      <w:r w:rsidRPr="009B22A1">
        <w:rPr>
          <w:lang w:val="es-ES_tradnl"/>
        </w:rPr>
        <w:t>200 millones de coronas. Se distribuyó una subvención adicional de 400 millones de coronas; sin embargo, la demanda de los municipios y las regiones fue mucho mayor y solo se satisfizo en un 58 %. Para 2020, se han asignado nuevamente 400 millones de coronas del presupuesto estatal.</w:t>
      </w:r>
    </w:p>
    <w:p w14:paraId="73D5B417" w14:textId="0B513A84" w:rsidR="009B22A1" w:rsidRPr="009B22A1" w:rsidRDefault="009B22A1" w:rsidP="009B22A1">
      <w:pPr>
        <w:pStyle w:val="H1G"/>
        <w:rPr>
          <w:lang w:val="es-ES_tradnl"/>
        </w:rPr>
      </w:pPr>
      <w:r>
        <w:rPr>
          <w:lang w:val="es-ES_tradnl"/>
        </w:rPr>
        <w:tab/>
      </w:r>
      <w:r w:rsidRPr="009B22A1">
        <w:rPr>
          <w:lang w:val="es-ES_tradnl"/>
        </w:rPr>
        <w:tab/>
        <w:t>Respuesta al párrafo 21 d) de la lista de cuestiones</w:t>
      </w:r>
    </w:p>
    <w:p w14:paraId="686ACB04" w14:textId="77777777" w:rsidR="009B22A1" w:rsidRPr="009B22A1" w:rsidRDefault="009B22A1" w:rsidP="009B22A1">
      <w:pPr>
        <w:pStyle w:val="SingleTxtG"/>
        <w:rPr>
          <w:lang w:val="es-ES_tradnl"/>
        </w:rPr>
      </w:pPr>
      <w:r w:rsidRPr="009B22A1">
        <w:rPr>
          <w:lang w:val="es-ES_tradnl"/>
        </w:rPr>
        <w:t>83.</w:t>
      </w:r>
      <w:r w:rsidRPr="009B22A1">
        <w:rPr>
          <w:lang w:val="es-ES_tradnl"/>
        </w:rPr>
        <w:tab/>
        <w:t xml:space="preserve">La República Checa describió el sistema de protección de la vivienda contra los desalojos ilegales en los párrafos 143 a 145 de su informe periódico. Los inquilinos pueden solicitar la revisión del tribunal y, si la rescisión es ilegal, el contrato continúa y el inquilino deberá ser indemnizado por los gastos ocasionados. Si el contrato se da por terminado debido al estado ruinoso del edificio, el propietario o el inquilino pueden reclamar una indemnización por daños, aunque no haya otras alternativas de vivienda. </w:t>
      </w:r>
    </w:p>
    <w:p w14:paraId="63FB519C" w14:textId="202D7794" w:rsidR="009B22A1" w:rsidRPr="009B22A1" w:rsidRDefault="009B22A1" w:rsidP="001C3D0C">
      <w:pPr>
        <w:pStyle w:val="H1G"/>
        <w:rPr>
          <w:lang w:val="es-ES_tradnl"/>
        </w:rPr>
      </w:pPr>
      <w:r>
        <w:rPr>
          <w:lang w:val="es-ES_tradnl"/>
        </w:rPr>
        <w:tab/>
      </w:r>
      <w:r w:rsidRPr="009B22A1">
        <w:rPr>
          <w:lang w:val="es-ES_tradnl"/>
        </w:rPr>
        <w:tab/>
        <w:t>Respuesta al párrafo 21 e) de la lista de cuestiones</w:t>
      </w:r>
    </w:p>
    <w:p w14:paraId="3B76C2DC" w14:textId="77777777" w:rsidR="009B22A1" w:rsidRPr="009B22A1" w:rsidRDefault="009B22A1" w:rsidP="009B22A1">
      <w:pPr>
        <w:pStyle w:val="SingleTxtG"/>
        <w:rPr>
          <w:lang w:val="es-ES_tradnl"/>
        </w:rPr>
      </w:pPr>
      <w:r w:rsidRPr="009B22A1">
        <w:rPr>
          <w:lang w:val="es-ES_tradnl"/>
        </w:rPr>
        <w:t>84.</w:t>
      </w:r>
      <w:r w:rsidRPr="009B22A1">
        <w:rPr>
          <w:lang w:val="es-ES_tradnl"/>
        </w:rPr>
        <w:tab/>
        <w:t>El anexo del informe periódico (párrs. 9 2) y 3)) contiene el número de beneficiarios del subsidio de vivienda y de las ayudas para vivienda y el anexo I sus actualizaciones.</w:t>
      </w:r>
    </w:p>
    <w:p w14:paraId="561E4F0F" w14:textId="7A801EE0" w:rsidR="009B22A1" w:rsidRPr="009B22A1" w:rsidRDefault="009B22A1" w:rsidP="001C3D0C">
      <w:pPr>
        <w:pStyle w:val="H1G"/>
        <w:rPr>
          <w:lang w:val="es-ES_tradnl"/>
        </w:rPr>
      </w:pPr>
      <w:r>
        <w:rPr>
          <w:lang w:val="es-ES_tradnl"/>
        </w:rPr>
        <w:tab/>
      </w:r>
      <w:r w:rsidRPr="009B22A1">
        <w:rPr>
          <w:lang w:val="es-ES_tradnl"/>
        </w:rPr>
        <w:tab/>
        <w:t>Respuesta al párrafo 22 de la lista de cuestiones</w:t>
      </w:r>
    </w:p>
    <w:p w14:paraId="63CBC3D2" w14:textId="43C121F0" w:rsidR="009B22A1" w:rsidRPr="009B22A1" w:rsidRDefault="009B22A1" w:rsidP="009B22A1">
      <w:pPr>
        <w:pStyle w:val="SingleTxtG"/>
        <w:rPr>
          <w:lang w:val="es-ES_tradnl"/>
        </w:rPr>
      </w:pPr>
      <w:r w:rsidRPr="009B22A1">
        <w:rPr>
          <w:lang w:val="es-ES_tradnl"/>
        </w:rPr>
        <w:t>85.</w:t>
      </w:r>
      <w:r w:rsidRPr="009B22A1">
        <w:rPr>
          <w:lang w:val="es-ES_tradnl"/>
        </w:rPr>
        <w:tab/>
        <w:t xml:space="preserve">Se prevé la evaluación de la Estrategia de Inclusión Social 2014-2020 en 2021. La Comisión de Inclusión Social, integrada por representantes de la administración pública, las regiones y los municipios, el sector académico, </w:t>
      </w:r>
      <w:r w:rsidR="007F731D">
        <w:rPr>
          <w:lang w:val="es-ES_tradnl"/>
        </w:rPr>
        <w:t>ONG</w:t>
      </w:r>
      <w:r w:rsidR="007F731D" w:rsidRPr="009B22A1">
        <w:rPr>
          <w:lang w:val="es-ES_tradnl"/>
        </w:rPr>
        <w:t xml:space="preserve"> </w:t>
      </w:r>
      <w:r w:rsidRPr="009B22A1">
        <w:rPr>
          <w:lang w:val="es-ES_tradnl"/>
        </w:rPr>
        <w:t>y sindicatos, la evalúa anualmente. Los informes de evaluación muestran que la mayoría de las medidas previstas se están poniendo en práctica. La razón principal por la que no se implementan ciertas medidas es su dependencia de legislación que aún no se ha aprobado, como el proyecto de ley sobre los trabajadores sociales y el proyecto de ley sobre la vivienda social, que han sido aplazados o revisados.</w:t>
      </w:r>
    </w:p>
    <w:p w14:paraId="1B24332C" w14:textId="4059800E" w:rsidR="009B22A1" w:rsidRPr="009B22A1" w:rsidRDefault="009B22A1" w:rsidP="009B22A1">
      <w:pPr>
        <w:pStyle w:val="SingleTxtG"/>
        <w:rPr>
          <w:lang w:val="es-ES_tradnl"/>
        </w:rPr>
      </w:pPr>
      <w:r w:rsidRPr="009B22A1">
        <w:rPr>
          <w:lang w:val="es-ES_tradnl"/>
        </w:rPr>
        <w:t>86.</w:t>
      </w:r>
      <w:r w:rsidRPr="009B22A1">
        <w:rPr>
          <w:lang w:val="es-ES_tradnl"/>
        </w:rPr>
        <w:tab/>
        <w:t xml:space="preserve">La Agencia de Inclusión Social es una de las entidades gubernamental que promueven la inclusión social; ayuda a los municipios a responder a los problemas de las zonas excluidas socialmente. En 2019, la Agencia pasó de depender de la Oficina del Gobierno al Ministerio de Desarrollo Regional, sin que se produjeran cambios en sus facultades y mandato. La Agencia pone en contacto a las autoridades locales, las </w:t>
      </w:r>
      <w:r w:rsidR="007F731D">
        <w:rPr>
          <w:lang w:val="es-ES_tradnl"/>
        </w:rPr>
        <w:t>ONG</w:t>
      </w:r>
      <w:r w:rsidR="007F731D" w:rsidRPr="009B22A1">
        <w:rPr>
          <w:lang w:val="es-ES_tradnl"/>
        </w:rPr>
        <w:t xml:space="preserve"> </w:t>
      </w:r>
      <w:r w:rsidRPr="009B22A1">
        <w:rPr>
          <w:lang w:val="es-ES_tradnl"/>
        </w:rPr>
        <w:t>y la población local, coopera con los ministerios, transmite información de los municipios a la administración estatal y participa en la formación y coordinación de la política de inclusión social del Estado. En 2020 la Agencia cooperó con 169 municipios.</w:t>
      </w:r>
    </w:p>
    <w:p w14:paraId="56CBD754" w14:textId="77777777" w:rsidR="009B22A1" w:rsidRPr="009B22A1" w:rsidRDefault="009B22A1" w:rsidP="009B22A1">
      <w:pPr>
        <w:pStyle w:val="SingleTxtG"/>
        <w:rPr>
          <w:lang w:val="es-ES_tradnl"/>
        </w:rPr>
      </w:pPr>
      <w:r w:rsidRPr="009B22A1">
        <w:rPr>
          <w:lang w:val="es-ES_tradnl"/>
        </w:rPr>
        <w:t>87.</w:t>
      </w:r>
      <w:r w:rsidRPr="009B22A1">
        <w:rPr>
          <w:lang w:val="es-ES_tradnl"/>
        </w:rPr>
        <w:tab/>
        <w:t>En junio de 2017, la modificación de la Ley de Asistencia para Atender Necesidades Materiales y de la Ley de Apoyo Social del Estado introdujo las denominadas zonas sin subsidio de vivienda. Con arreglo a ello, las autoridades municipales pueden dictar una medida general que declare una zona sin subsidio de vivienda si experimenta un aumento de hechos socialmente indeseables. En consecuencia, las personas que se mudan a esa zona no tienen derecho a las ayudas para vivienda. La Oficina de Empleo de la República Checa supervisa las medidas generales emitidas, su eficacia y los casos en los que descalifica a una persona para una prestación de vivienda. En diciembre de 2017, un grupo de senadores presentó un recurso contra estas disposiciones ante el Tribunal Constitucional, que aún no se ha pronunciado al respecto.</w:t>
      </w:r>
    </w:p>
    <w:p w14:paraId="6510A222" w14:textId="7A3C6874" w:rsidR="009B22A1" w:rsidRPr="009B22A1" w:rsidRDefault="009B22A1" w:rsidP="009B22A1">
      <w:pPr>
        <w:pStyle w:val="H1G"/>
        <w:rPr>
          <w:lang w:val="es-ES_tradnl"/>
        </w:rPr>
      </w:pPr>
      <w:r>
        <w:rPr>
          <w:lang w:val="es-ES_tradnl"/>
        </w:rPr>
        <w:lastRenderedPageBreak/>
        <w:tab/>
      </w:r>
      <w:r w:rsidRPr="009B22A1">
        <w:rPr>
          <w:lang w:val="es-ES_tradnl"/>
        </w:rPr>
        <w:tab/>
        <w:t>Respuesta al párrafo 23 de la lista de cuestiones</w:t>
      </w:r>
    </w:p>
    <w:p w14:paraId="4A28CC6A" w14:textId="50ADF9E5" w:rsidR="009B22A1" w:rsidRPr="009B22A1" w:rsidRDefault="009B22A1" w:rsidP="009B22A1">
      <w:pPr>
        <w:pStyle w:val="SingleTxtG"/>
        <w:rPr>
          <w:lang w:val="es-ES_tradnl"/>
        </w:rPr>
      </w:pPr>
      <w:r w:rsidRPr="009B22A1">
        <w:rPr>
          <w:lang w:val="es-ES_tradnl"/>
        </w:rPr>
        <w:t>88.</w:t>
      </w:r>
      <w:r w:rsidRPr="009B22A1">
        <w:rPr>
          <w:lang w:val="es-ES_tradnl"/>
        </w:rPr>
        <w:tab/>
        <w:t>La República Checa describió las medidas adoptadas para garantizar que los servicios de atención de la salud sean accesibles y asequibles para todas las personas y grupos en los párrafos 149 a 152 del informe periódico. En la República Checa, las personas con residencia permanente o las personas empleadas por un nacional checo están aseguradas, independientemente de su nacionalidad.</w:t>
      </w:r>
    </w:p>
    <w:p w14:paraId="1A36E516" w14:textId="2E4A7A23" w:rsidR="009B22A1" w:rsidRPr="009B22A1" w:rsidRDefault="009B22A1" w:rsidP="009B22A1">
      <w:pPr>
        <w:pStyle w:val="H1G"/>
        <w:rPr>
          <w:lang w:val="es-ES_tradnl"/>
        </w:rPr>
      </w:pPr>
      <w:r>
        <w:rPr>
          <w:lang w:val="es-ES_tradnl"/>
        </w:rPr>
        <w:tab/>
      </w:r>
      <w:r w:rsidRPr="009B22A1">
        <w:rPr>
          <w:lang w:val="es-ES_tradnl"/>
        </w:rPr>
        <w:tab/>
        <w:t>Respuesta al párrafo 23 a) de la lista de cuestiones</w:t>
      </w:r>
    </w:p>
    <w:p w14:paraId="46FF4A05" w14:textId="0ED483FE" w:rsidR="009B22A1" w:rsidRPr="009B22A1" w:rsidRDefault="009B22A1" w:rsidP="009B22A1">
      <w:pPr>
        <w:pStyle w:val="SingleTxtG"/>
        <w:rPr>
          <w:lang w:val="es-ES_tradnl"/>
        </w:rPr>
      </w:pPr>
      <w:r w:rsidRPr="009B22A1">
        <w:rPr>
          <w:lang w:val="es-ES_tradnl"/>
        </w:rPr>
        <w:t>89.</w:t>
      </w:r>
      <w:r w:rsidRPr="009B22A1">
        <w:rPr>
          <w:lang w:val="es-ES_tradnl"/>
        </w:rPr>
        <w:tab/>
        <w:t>En 2014, el Gobierno aprobó la puesta en marcha del programa Salud 2020, destinado a cumplir la Estrategia Nacional de Protección y Promoción de la Salud y de Prevención de la Enfermedad 2020. A la Estrategia le siguieron 13 planes de acción con prioridades específicas, que desarrollaron en mayor profundidad los subámbitos de la política sanitaria. En septiembre de 2017, el Ministerio de Salud puso en marcha la revisión de esos planes de acción y sus prioridades, que reveló importantes disparidades en el cumplimiento de los objetivos de los diversos planes de acción. La revitalización del programa Salud 2020 comenzó en enero de 2018. El nuevo Comité Directivo para la Coordinación del Programa Salud 2020 comenzó a trabajar con los garantes y administradores de los planes de acción y formuló propuestas para su revitalización a partir de los informes sobre su puesta en práctica. Estas hacen hincapié en la prevención de los comportamientos de riesgo, la implicación personal en la protección de la salud, la gestión de las enfermedades infecciosas y la estrategia de vacunación, el apoyo y la protección de la salud mental, la mejora del acceso a la atención sanitaria y a los cuidados de largo plazo, y otros temas con el objetivo de reforzar la prevención primaria y secundaria y la calidad y eficacia de la asistencia sanitaria. Todas las lecciones extraídas se han reflejado también en la nueva Estrategia Salud 2030, aprobada en</w:t>
      </w:r>
      <w:r w:rsidR="001C3D0C">
        <w:rPr>
          <w:lang w:val="es-ES_tradnl"/>
        </w:rPr>
        <w:t> </w:t>
      </w:r>
      <w:r w:rsidRPr="009B22A1">
        <w:rPr>
          <w:lang w:val="es-ES_tradnl"/>
        </w:rPr>
        <w:t>2019.</w:t>
      </w:r>
    </w:p>
    <w:p w14:paraId="4AC7712A" w14:textId="446D4059" w:rsidR="009B22A1" w:rsidRPr="009B22A1" w:rsidRDefault="009B22A1" w:rsidP="009B22A1">
      <w:pPr>
        <w:pStyle w:val="H1G"/>
        <w:rPr>
          <w:lang w:val="es-ES_tradnl"/>
        </w:rPr>
      </w:pPr>
      <w:r>
        <w:rPr>
          <w:lang w:val="es-ES_tradnl"/>
        </w:rPr>
        <w:tab/>
      </w:r>
      <w:r w:rsidRPr="009B22A1">
        <w:rPr>
          <w:lang w:val="es-ES_tradnl"/>
        </w:rPr>
        <w:tab/>
        <w:t>Respuesta al párrafo 23 b) de la lista de cuestiones</w:t>
      </w:r>
    </w:p>
    <w:p w14:paraId="604D3FCF" w14:textId="444B2164" w:rsidR="009B22A1" w:rsidRPr="009B22A1" w:rsidRDefault="009B22A1" w:rsidP="001C3D0C">
      <w:pPr>
        <w:pStyle w:val="SingleTxtG"/>
        <w:rPr>
          <w:lang w:val="es-ES_tradnl"/>
        </w:rPr>
      </w:pPr>
      <w:r w:rsidRPr="009B22A1">
        <w:rPr>
          <w:lang w:val="es-ES_tradnl"/>
        </w:rPr>
        <w:t>90.</w:t>
      </w:r>
      <w:r w:rsidRPr="009B22A1">
        <w:rPr>
          <w:lang w:val="es-ES_tradnl"/>
        </w:rPr>
        <w:tab/>
        <w:t xml:space="preserve">El proyecto para la promoción efectiva de la salud de las personas en riesgo de pobreza y exclusión social responde a las conclusiones de estudios checos e internacionales (por ejemplo, FRA 2011, Equi-Health </w:t>
      </w:r>
      <w:r w:rsidR="001C3D0C" w:rsidRPr="001C3D0C">
        <w:t>−</w:t>
      </w:r>
      <w:r w:rsidRPr="009B22A1">
        <w:rPr>
          <w:lang w:val="es-ES_tradnl"/>
        </w:rPr>
        <w:t xml:space="preserve"> OIM 2014) y se centra en la reducción de las desigualdades en materia de salud en la República Checa y el aumento de la alfabetización sanitaria de los grupos desfavorecidos. El objetivo principal del proyecto es aumentar dicha alfabetización y las competencias de los pacientes en la toma de decisiones. Esto ayudará a reducir las desigualdades en el acceso a los servicios sanitarios y la incidencia de los comportamientos de riesgo que causan problemas de salud. El beneficio previsto a largo plazo del proyecto es la prolongación de la vida saludable de las poblaciones vulnerables, el apoyo a la inclusión social y la creación de redes de asociados clave para la igualdad de acceso a la atención sanitaria.</w:t>
      </w:r>
    </w:p>
    <w:p w14:paraId="0E95C317" w14:textId="4A766AFF" w:rsidR="009B22A1" w:rsidRPr="009B22A1" w:rsidRDefault="009B22A1" w:rsidP="009B22A1">
      <w:pPr>
        <w:pStyle w:val="SingleTxtG"/>
        <w:rPr>
          <w:lang w:val="es-ES_tradnl"/>
        </w:rPr>
      </w:pPr>
      <w:r w:rsidRPr="009B22A1">
        <w:rPr>
          <w:lang w:val="es-ES_tradnl"/>
        </w:rPr>
        <w:t>91.</w:t>
      </w:r>
      <w:r w:rsidRPr="009B22A1">
        <w:rPr>
          <w:lang w:val="es-ES_tradnl"/>
        </w:rPr>
        <w:tab/>
        <w:t>En el marco del proyecto, en 2019 se celebraron 14 conferencias regionales y 1</w:t>
      </w:r>
      <w:r w:rsidR="001C3D0C">
        <w:rPr>
          <w:lang w:val="es-ES_tradnl"/>
        </w:rPr>
        <w:t> </w:t>
      </w:r>
      <w:r w:rsidRPr="009B22A1">
        <w:rPr>
          <w:lang w:val="es-ES_tradnl"/>
        </w:rPr>
        <w:t>conferencia nacional sobre la promoción de la salud de los grupos vulnerables de la población. Se crearon 14 centros de promoción de la salud, 1 por región, como base de expertos para la ejecución del proyecto. Se han elaborado 68 programas de incentivos para respaldar la toma de decisiones en favor de una vida saludable, que se están aplicando. Los trabajadores comunitarios sobre el terreno, que a menudo proceden de poblaciones socialmente excluidas, han recibido formación profesional en el marco del proyecto y pueden desempeñar un papel fundamental como mediadores entre el grupo destinatario y el sistema sanitario.</w:t>
      </w:r>
    </w:p>
    <w:p w14:paraId="226A097F" w14:textId="4DA81653" w:rsidR="009B22A1" w:rsidRPr="009B22A1" w:rsidRDefault="009B22A1" w:rsidP="009B22A1">
      <w:pPr>
        <w:pStyle w:val="H1G"/>
        <w:rPr>
          <w:lang w:val="es-ES_tradnl"/>
        </w:rPr>
      </w:pPr>
      <w:r>
        <w:rPr>
          <w:lang w:val="es-ES_tradnl"/>
        </w:rPr>
        <w:tab/>
      </w:r>
      <w:r w:rsidRPr="009B22A1">
        <w:rPr>
          <w:lang w:val="es-ES_tradnl"/>
        </w:rPr>
        <w:tab/>
        <w:t>Respuesta al párrafo 23 c) de la lista de cuestiones</w:t>
      </w:r>
    </w:p>
    <w:p w14:paraId="58FB1332" w14:textId="3BF38B22" w:rsidR="009B22A1" w:rsidRPr="009B22A1" w:rsidRDefault="009B22A1" w:rsidP="009B22A1">
      <w:pPr>
        <w:pStyle w:val="SingleTxtG"/>
        <w:rPr>
          <w:lang w:val="es-ES_tradnl"/>
        </w:rPr>
      </w:pPr>
      <w:r w:rsidRPr="009B22A1">
        <w:rPr>
          <w:lang w:val="es-ES_tradnl"/>
        </w:rPr>
        <w:t>92.</w:t>
      </w:r>
      <w:r w:rsidRPr="009B22A1">
        <w:rPr>
          <w:lang w:val="es-ES_tradnl"/>
        </w:rPr>
        <w:tab/>
        <w:t xml:space="preserve">La información sobre el acceso de los migrantes en situación irregular a servicios de atención de la salud sin discriminación por razón de su situación migratoria figura en los párrafos 149 a 152. La Ley de Residencia de Extranjeros regula parcialmente el acceso a la asistencia sanitaria de los migrantes ilegales internados en centros. Esta, pagada por el </w:t>
      </w:r>
      <w:r w:rsidRPr="009B22A1">
        <w:rPr>
          <w:lang w:val="es-ES_tradnl"/>
        </w:rPr>
        <w:lastRenderedPageBreak/>
        <w:t>Estado, incluye la atención urgente en situaciones potencialmente mortales, el alivio del dolor u otras amenazas graves para la salud, así como el embarazo y el parto.</w:t>
      </w:r>
    </w:p>
    <w:p w14:paraId="331C38A3" w14:textId="44E98535" w:rsidR="009B22A1" w:rsidRPr="009B22A1" w:rsidRDefault="009B22A1" w:rsidP="009B22A1">
      <w:pPr>
        <w:pStyle w:val="H1G"/>
        <w:rPr>
          <w:lang w:val="es-ES_tradnl"/>
        </w:rPr>
      </w:pPr>
      <w:r>
        <w:rPr>
          <w:lang w:val="es-ES_tradnl"/>
        </w:rPr>
        <w:tab/>
      </w:r>
      <w:r w:rsidRPr="009B22A1">
        <w:rPr>
          <w:lang w:val="es-ES_tradnl"/>
        </w:rPr>
        <w:tab/>
        <w:t>Respuesta al párrafo 23 d) de la lista de cuestiones</w:t>
      </w:r>
    </w:p>
    <w:p w14:paraId="5CB58607" w14:textId="77777777" w:rsidR="009B22A1" w:rsidRPr="009B22A1" w:rsidRDefault="009B22A1" w:rsidP="009B22A1">
      <w:pPr>
        <w:pStyle w:val="SingleTxtG"/>
        <w:rPr>
          <w:lang w:val="es-ES_tradnl"/>
        </w:rPr>
      </w:pPr>
      <w:r w:rsidRPr="009B22A1">
        <w:rPr>
          <w:lang w:val="es-ES_tradnl"/>
        </w:rPr>
        <w:t>93.</w:t>
      </w:r>
      <w:r w:rsidRPr="009B22A1">
        <w:rPr>
          <w:lang w:val="es-ES_tradnl"/>
        </w:rPr>
        <w:tab/>
        <w:t>La Estrategia Nacional de Prevención y Reducción de los Daños Ocasionados por los Comportamientos Adictivos 2019-2027 incluye medidas para prevenir y reducir los daños ocasionados por el consumo de sustancias adictivas, la ludopatía y el uso excesivo de tecnologías contemporáneas en la sociedad checa. La Estrategia se basa en estrategias anteriores y refleja la evaluación final de su aplicación, así como el estado actual de los conocimientos científicos en el ámbito de las conductas adictivas. Los objetivos de la Estrategia son prevenir y reducir los daños sanitarios, sociales, económicos y morales derivados del abuso de sustancias, el juego y otros comportamientos adictivos, así como de la distribución y comercialización de esas sustancias. Los planes de acción trienales incluyen una definición más detallada de los objetivos, las actividades y las herramientas.</w:t>
      </w:r>
    </w:p>
    <w:p w14:paraId="3AE398F4" w14:textId="0CFC44D6" w:rsidR="009B22A1" w:rsidRPr="009B22A1" w:rsidRDefault="009B22A1" w:rsidP="009B22A1">
      <w:pPr>
        <w:pStyle w:val="H1G"/>
        <w:rPr>
          <w:lang w:val="es-ES_tradnl"/>
        </w:rPr>
      </w:pPr>
      <w:r>
        <w:rPr>
          <w:lang w:val="es-ES_tradnl"/>
        </w:rPr>
        <w:tab/>
      </w:r>
      <w:r w:rsidRPr="009B22A1">
        <w:rPr>
          <w:lang w:val="es-ES_tradnl"/>
        </w:rPr>
        <w:tab/>
        <w:t>Respuesta al párrafo 24 de la lista de cuestiones</w:t>
      </w:r>
    </w:p>
    <w:p w14:paraId="486F9D62" w14:textId="092D70AB" w:rsidR="009B22A1" w:rsidRPr="009B22A1" w:rsidRDefault="009B22A1" w:rsidP="009B22A1">
      <w:pPr>
        <w:pStyle w:val="SingleTxtG"/>
        <w:rPr>
          <w:lang w:val="es-ES_tradnl"/>
        </w:rPr>
      </w:pPr>
      <w:r w:rsidRPr="009B22A1">
        <w:rPr>
          <w:lang w:val="es-ES_tradnl"/>
        </w:rPr>
        <w:t>94.</w:t>
      </w:r>
      <w:r w:rsidRPr="009B22A1">
        <w:rPr>
          <w:lang w:val="es-ES_tradnl"/>
        </w:rPr>
        <w:tab/>
        <w:t>La República Checa proporcionó información sobre la desinstitucionalización de los servicios de salud mental en los párrafos 169 y 170 de su tercer informe periódico. Dicha desinstitucionalización forma parte de la aplicación de la Estrategia de Reforma de la Atención Psiquiátrica, bajo la responsabilidad del Ministerio de Salud. El Gobierno checo preparó y aprobó el Plan de Acción Nacional de Salud Mental 2020-2030 para garantizar la continuación del proceso y la finalización de la desinstitucionalización de todos los grupos destinatarios.</w:t>
      </w:r>
    </w:p>
    <w:p w14:paraId="7CF5A325" w14:textId="2F481761" w:rsidR="009B22A1" w:rsidRPr="009B22A1" w:rsidRDefault="009B22A1" w:rsidP="009B22A1">
      <w:pPr>
        <w:pStyle w:val="SingleTxtG"/>
        <w:rPr>
          <w:lang w:val="es-ES_tradnl"/>
        </w:rPr>
      </w:pPr>
      <w:r w:rsidRPr="009B22A1">
        <w:rPr>
          <w:lang w:val="es-ES_tradnl"/>
        </w:rPr>
        <w:t>95.</w:t>
      </w:r>
      <w:r w:rsidRPr="009B22A1">
        <w:rPr>
          <w:lang w:val="es-ES_tradnl"/>
        </w:rPr>
        <w:tab/>
        <w:t>Según la última encuesta de internaciones de 2018, 250 pacientes con deficiencia mental fueron internados durante períodos largos (más de medio año) en hospitales psiquiátricos. Estos evalúan a todos sus pacientes a fin de determinar la necesidad de cuidados intensivos en sus planes de transformación. También recurren a servicios de seguimiento comunitario para los pacientes cuyas condición médica permite la atención sanitaria ambulatoria. En 2019, 319 pacientes hospitalizados fueron dados de alta de hospitales psiquiátricos para seguir recibiendo atención en su entorno social.</w:t>
      </w:r>
    </w:p>
    <w:p w14:paraId="7680CDE1" w14:textId="7BB5B41C" w:rsidR="009B22A1" w:rsidRPr="009B22A1" w:rsidRDefault="009B22A1" w:rsidP="009B22A1">
      <w:pPr>
        <w:pStyle w:val="SingleTxtG"/>
        <w:rPr>
          <w:lang w:val="es-ES_tradnl"/>
        </w:rPr>
      </w:pPr>
      <w:r w:rsidRPr="009B22A1">
        <w:rPr>
          <w:lang w:val="es-ES_tradnl"/>
        </w:rPr>
        <w:t>96.</w:t>
      </w:r>
      <w:r w:rsidRPr="009B22A1">
        <w:rPr>
          <w:lang w:val="es-ES_tradnl"/>
        </w:rPr>
        <w:tab/>
        <w:t>El proceso de desinstitucionalización de las personas con discapacidad mental depende en gran medida del desarrollo de los servicios sociales comunitarios residenciales y ambulatorios. Las ambulancias psiquiátricas y los médicos de cabecera prestan la atención médica ambulatoria. Los equipos multidisciplinarios sociosanitarios de la comunidad trabajan regularmente con los pacientes hospitalizados e intentan acompañarlos en el proceso de desinstitucionalización. Los pacientes hospitalizados durante períodos largos en los hospitales psiquiátricos son objeto de un seguimiento periódico, que incluye la evaluación de la gravedad de sus síntomas. A partir de este seguimiento, se definen los cuidados necesarios para el paciente en su entorno social y los coordinadores regionales transmiten la información a los grupos de dirección de todas las regiones de la República Checa para que desarrollen los servicios necesarios.</w:t>
      </w:r>
    </w:p>
    <w:p w14:paraId="4667324A" w14:textId="45180315" w:rsidR="009B22A1" w:rsidRPr="009B22A1" w:rsidRDefault="009B22A1" w:rsidP="009B22A1">
      <w:pPr>
        <w:pStyle w:val="SingleTxtG"/>
        <w:rPr>
          <w:lang w:val="es-ES_tradnl"/>
        </w:rPr>
      </w:pPr>
      <w:r w:rsidRPr="009B22A1">
        <w:rPr>
          <w:lang w:val="es-ES_tradnl"/>
        </w:rPr>
        <w:t>97.</w:t>
      </w:r>
      <w:r w:rsidRPr="009B22A1">
        <w:rPr>
          <w:lang w:val="es-ES_tradnl"/>
        </w:rPr>
        <w:tab/>
        <w:t>Desde agosto de 2019, funcionan 21 centros de salud mental (es decir, equipos multidisciplinarios sanitarios y sociales para las personas con discapacidad mental grave). En junio de 2020, el Ministerio de Salud seleccionó otros ocho centros para proveerles mayor financiación e impulsar su desarrollo. Los últimos centros de salud mental se seleccionarán a finales de 2020. Los costos de funcionamiento de los equipos multidisciplinarios de los centros de salud mental se sufragarán con fondos de la Unión Europea durante un período de</w:t>
      </w:r>
      <w:r w:rsidR="001C3D0C">
        <w:rPr>
          <w:lang w:val="es-ES_tradnl"/>
        </w:rPr>
        <w:t> </w:t>
      </w:r>
      <w:r w:rsidRPr="009B22A1">
        <w:rPr>
          <w:lang w:val="es-ES_tradnl"/>
        </w:rPr>
        <w:t>18 meses. Mientras tanto, se asignará una financiación sostenible con cargo al seguro de salud pública y los presupuestos regionales. Parte del costo ya se sufraga con cargo a los recursos nacionales. Se está ultimando la regulación jurídica de los centros de salud mental. Además de estos centros, se está ensayando un método de atención multidisciplinaria para grupos selectivos como niños, pacientes con adicción, pacientes con demencia y pacientes en tratamiento de protección.</w:t>
      </w:r>
    </w:p>
    <w:p w14:paraId="00011CF9" w14:textId="77777777" w:rsidR="009B22A1" w:rsidRPr="009B22A1" w:rsidRDefault="009B22A1" w:rsidP="009B22A1">
      <w:pPr>
        <w:pStyle w:val="SingleTxtG"/>
        <w:rPr>
          <w:lang w:val="es-ES_tradnl"/>
        </w:rPr>
      </w:pPr>
      <w:r w:rsidRPr="009B22A1">
        <w:rPr>
          <w:lang w:val="es-ES_tradnl"/>
        </w:rPr>
        <w:lastRenderedPageBreak/>
        <w:t>98.</w:t>
      </w:r>
      <w:r w:rsidRPr="009B22A1">
        <w:rPr>
          <w:lang w:val="es-ES_tradnl"/>
        </w:rPr>
        <w:tab/>
        <w:t>La Estrategia de Reforma de la Atención Psiquiátrica se pone en práctica mediante proyectos financiados por los Fondos Estructurales y de Inversión Europeos. En 2017 se puso en marcha la ejecución de proyectos de reforma para apoyar la transformación y la desinstitucionalización de los servicios de salud mental financiados con cargo al Programa Operacional de Empleo. Los beneficiarios de la subvención son el Ministerio de Salud, el Instituto Nacional de Salud Mental y el Instituto de Información y Estadística Sanitaria. Los fondos se distribuyen para sufragar los salarios y los gastos de funcionamiento o por medio de la contratación pública. Los proyectos ejecutados por el Ministerio de Salud emplean actualmente a 381 expertos que trabajan en el Ministerio, en alguna de las regiones y en las instituciones psiquiátricas de la República Checa. El anexo I contiene la lista de proyectos y beneficiarios de la subvención con cargo al Programa Operacional de Empleo.</w:t>
      </w:r>
    </w:p>
    <w:p w14:paraId="45C13900" w14:textId="453B0BD4" w:rsidR="009B22A1" w:rsidRPr="009B22A1" w:rsidRDefault="009B22A1" w:rsidP="009B22A1">
      <w:pPr>
        <w:pStyle w:val="SingleTxtG"/>
        <w:rPr>
          <w:lang w:val="es-ES_tradnl"/>
        </w:rPr>
      </w:pPr>
      <w:r w:rsidRPr="009B22A1">
        <w:rPr>
          <w:lang w:val="es-ES_tradnl"/>
        </w:rPr>
        <w:t>99.</w:t>
      </w:r>
      <w:r w:rsidRPr="009B22A1">
        <w:rPr>
          <w:lang w:val="es-ES_tradnl"/>
        </w:rPr>
        <w:tab/>
        <w:t>El proceso de transformación y desinstitucionalización de los servicios sociales para las personas de edad y las personas con discapacidad está en marcha. En el marco de este proceso se ejecutaron los siguientes proyectos: Apoyo a la Transformación de los Servicios Sociales 2009-2013 y 2013-2015 y Una Vida como Cualquier Otra 2016-2019. Este último incluyó actividades centradas en el análisis y la evaluación sistémicos, el apoyo a los cambios sistémicos, el apoyo metodológico, la educación y la sensibilización. Además, se publican convocatorias para proyectos comunitarios. El Ministerio de Trabajo y Asuntos Sociales creó el Centro Nacional de Apoyo a la Transformación de los Servicios Sociales, que respalda la transformación de los servicios sociales y la desinstitucionalización. Sin embargo, la desinstitucionalización de los servicios sociales está lejos de finalizar. En particular, la insuficiente provisión de servicios de divulgación adecuados dirigidos a determinados grupos de personas vulnerables (por ejemplo, las personas con autismo) puede seguir siendo problemática. Los datos sobre la disponibilidad de servicios sociales comunitarios y sobre el número de beneficiarios figuran en el anexo I.</w:t>
      </w:r>
    </w:p>
    <w:p w14:paraId="20B485DA" w14:textId="0FCED634" w:rsidR="009B22A1" w:rsidRPr="009B22A1" w:rsidRDefault="009B22A1" w:rsidP="009B22A1">
      <w:pPr>
        <w:pStyle w:val="H1G"/>
        <w:rPr>
          <w:lang w:val="es-ES_tradnl"/>
        </w:rPr>
      </w:pPr>
      <w:r>
        <w:rPr>
          <w:lang w:val="es-ES_tradnl"/>
        </w:rPr>
        <w:tab/>
      </w:r>
      <w:r w:rsidRPr="009B22A1">
        <w:rPr>
          <w:lang w:val="es-ES_tradnl"/>
        </w:rPr>
        <w:tab/>
        <w:t>Respuesta al párrafo 25 de la lista de cuestiones</w:t>
      </w:r>
    </w:p>
    <w:p w14:paraId="487FBD28" w14:textId="77777777" w:rsidR="009B22A1" w:rsidRPr="009B22A1" w:rsidRDefault="009B22A1" w:rsidP="009B22A1">
      <w:pPr>
        <w:pStyle w:val="SingleTxtG"/>
        <w:rPr>
          <w:lang w:val="es-ES_tradnl"/>
        </w:rPr>
      </w:pPr>
      <w:r w:rsidRPr="009B22A1">
        <w:rPr>
          <w:lang w:val="es-ES_tradnl"/>
        </w:rPr>
        <w:t>100.</w:t>
      </w:r>
      <w:r w:rsidRPr="009B22A1">
        <w:rPr>
          <w:lang w:val="es-ES_tradnl"/>
        </w:rPr>
        <w:tab/>
        <w:t>El Plan de Largo Plazo de Desarrollo del Sistema Educativo 2019-2020 tiene como objetivo racionalizar el sistema de servicios de asesoramiento escolar mediante la introducción de procedimientos de asesoramiento unificados para identificar las necesidades educativas especiales y recomendar medidas de apoyo.</w:t>
      </w:r>
    </w:p>
    <w:p w14:paraId="678893E0" w14:textId="05419DA2" w:rsidR="009B22A1" w:rsidRPr="009B22A1" w:rsidRDefault="009B22A1" w:rsidP="009B22A1">
      <w:pPr>
        <w:pStyle w:val="SingleTxtG"/>
        <w:rPr>
          <w:lang w:val="es-ES_tradnl"/>
        </w:rPr>
      </w:pPr>
      <w:r w:rsidRPr="009B22A1">
        <w:rPr>
          <w:lang w:val="es-ES_tradnl"/>
        </w:rPr>
        <w:t>101.</w:t>
      </w:r>
      <w:r w:rsidRPr="009B22A1">
        <w:rPr>
          <w:lang w:val="es-ES_tradnl"/>
        </w:rPr>
        <w:tab/>
        <w:t>Se evalúa periódicamente la aplicación de las medidas del Plan de Acción para la Educación Inclusiva 2019-2020, entre las que figuran la mejora y unificación del asesoramiento escolar, el refuerzo de las competencias del personal pedagógico, el desarrollo profesional a los docentes y el apoyo metodológico a estos. En 2019, dos convocatorias en el marco del Programa Operacional de Investigación, Desarrollo y Educación, con una asignación total de 1.200 millones de coronas, se centraron en el apoyo a los docentes de los programas que trabajan con niños con problemas de conducta y en el aumento de la calidad de la educación de los niños de zonas socialmente excluidas.</w:t>
      </w:r>
    </w:p>
    <w:p w14:paraId="7D9DEB3D" w14:textId="0AF68A24" w:rsidR="009B22A1" w:rsidRPr="009B22A1" w:rsidRDefault="009B22A1" w:rsidP="009B22A1">
      <w:pPr>
        <w:pStyle w:val="SingleTxtG"/>
        <w:rPr>
          <w:lang w:val="es-ES_tradnl"/>
        </w:rPr>
      </w:pPr>
      <w:r w:rsidRPr="009B22A1">
        <w:rPr>
          <w:lang w:val="es-ES_tradnl"/>
        </w:rPr>
        <w:t>102.</w:t>
      </w:r>
      <w:r w:rsidRPr="009B22A1">
        <w:rPr>
          <w:lang w:val="es-ES_tradnl"/>
        </w:rPr>
        <w:tab/>
        <w:t>En 2019, se equipó a los servicios de asesoramiento escolar con herramientas de diagnóstico para unificar y mejorar estos servicios. El Ministerio de Educación, Juventud y Deportes financió los servicios de asesoramiento escolar con unos 9,2 millones de coronas para la adquisición de modernas herramientas de diagnóstico estandarizadas destinadas a determinar las necesidades educativas y las medidas de apoyo adecuadas. Los fondos de apoyo disponibles para los estudiantes universitarios con necesidades especiales aumentaron en más de 7,5 millones de coronas anuales, hasta alcanzar los 97 millones de coronas en</w:t>
      </w:r>
      <w:r w:rsidR="008A7B81">
        <w:rPr>
          <w:lang w:val="es-ES_tradnl"/>
        </w:rPr>
        <w:t> </w:t>
      </w:r>
      <w:r w:rsidRPr="009B22A1">
        <w:rPr>
          <w:lang w:val="es-ES_tradnl"/>
        </w:rPr>
        <w:t>2019. El programa de subvenciones Desarrollo y Renovación de la Base Material y Técnica de las Universidades Públicas, que se ejecutó entre 2011 y 2019, proporcionó inversiones en infraestructura por más de 13.000 millones de coronas, lo que permitió el acceso de las personas con discapacidad a las universidades públicas.</w:t>
      </w:r>
    </w:p>
    <w:p w14:paraId="2E566E75" w14:textId="65739601" w:rsidR="009B22A1" w:rsidRPr="009B22A1" w:rsidRDefault="009B22A1" w:rsidP="008A7B81">
      <w:pPr>
        <w:pStyle w:val="SingleTxtG"/>
        <w:rPr>
          <w:lang w:val="es-ES_tradnl"/>
        </w:rPr>
      </w:pPr>
      <w:r w:rsidRPr="009B22A1">
        <w:rPr>
          <w:lang w:val="es-ES_tradnl"/>
        </w:rPr>
        <w:t>103.</w:t>
      </w:r>
      <w:r w:rsidRPr="009B22A1">
        <w:rPr>
          <w:lang w:val="es-ES_tradnl"/>
        </w:rPr>
        <w:tab/>
        <w:t xml:space="preserve">El Anuario Estadístico de la Educación </w:t>
      </w:r>
      <w:r w:rsidR="008A7B81" w:rsidRPr="008A7B81">
        <w:t>−</w:t>
      </w:r>
      <w:r w:rsidRPr="009B22A1">
        <w:rPr>
          <w:lang w:val="es-ES_tradnl"/>
        </w:rPr>
        <w:t xml:space="preserve"> Indicadores del Desempeño muestra que el número de alumnos con discapacidad escolarizados en escuelas primarias ordinarias aumentó en 8.017 entre los años escolares 2018/19 y 2019/20. Según el informe de la Inspección Escolar Checa sobre la calidad y eficiencia de la educación y el sistema educativo en 2018/19, se había logrado la igualdad de oportunidades en la educación y el desarrollo de la infancia </w:t>
      </w:r>
      <w:r w:rsidRPr="009B22A1">
        <w:rPr>
          <w:lang w:val="es-ES_tradnl"/>
        </w:rPr>
        <w:lastRenderedPageBreak/>
        <w:t>en el 98,2 % de los jardines de infancia inspeccionados. El 85,8 % de las escuelas primarias inspeccionadas aplicaban medidas de apoyo de conformidad con la recomendación del servicio de asesoramiento escolar y el 82,5 % de estas escuelas proporcionaban apoyo efectivo a todos los alumnos que necesitaban medidas de apoyo. Entre 2015 y 2019, el número de estudiantes universitarios con necesidades especiales aumentó en 1.000.</w:t>
      </w:r>
    </w:p>
    <w:p w14:paraId="44D85C8A" w14:textId="1B60DED6" w:rsidR="009B22A1" w:rsidRPr="009B22A1" w:rsidRDefault="009B22A1" w:rsidP="009B22A1">
      <w:pPr>
        <w:pStyle w:val="SingleTxtG"/>
        <w:rPr>
          <w:lang w:val="es-ES_tradnl"/>
        </w:rPr>
      </w:pPr>
      <w:r w:rsidRPr="009B22A1">
        <w:rPr>
          <w:lang w:val="es-ES_tradnl"/>
        </w:rPr>
        <w:t>104.</w:t>
      </w:r>
      <w:r w:rsidRPr="009B22A1">
        <w:rPr>
          <w:lang w:val="es-ES_tradnl"/>
        </w:rPr>
        <w:tab/>
        <w:t>Según el informe sobre el número estimado de alumnos romaníes en las escuelas primarias en 2019/20, el porcentaje de alumnos romaníes escolarizados en virtud del anexo del Programa Educativo Marco para Alumnos con Discapacidad Mental Leve estaba disminuyendo significativamente. Al final del año escolar 2019/20, se completó la ejecución de este Programa, que fue sustituido por el Programa Educativo Marco de Exigencias Reducidas en los Resultados del Aprendizaje debido a la Discapacidad Mental, que permite a los alumnos con discapacidad mental leve obtener resultados ajustados solo en aquellas asignaturas en las que sea necesario según las recomendaciones del servicio de asesoramiento escolar. Los cambios en la educación de alumnos con discapacidad mental leve se aplican en el plan educativo individual como medida de apoyo. En otras asignaturas, el aprendizaje del estudiante se ajusta a los resultados previstos de los demás estudiantes.</w:t>
      </w:r>
    </w:p>
    <w:p w14:paraId="3B62F266" w14:textId="77777777" w:rsidR="009B22A1" w:rsidRPr="009B22A1" w:rsidRDefault="009B22A1" w:rsidP="009B22A1">
      <w:pPr>
        <w:pStyle w:val="SingleTxtG"/>
        <w:rPr>
          <w:lang w:val="es-ES_tradnl"/>
        </w:rPr>
      </w:pPr>
      <w:r w:rsidRPr="009B22A1">
        <w:rPr>
          <w:lang w:val="es-ES_tradnl"/>
        </w:rPr>
        <w:t>105.</w:t>
      </w:r>
      <w:r w:rsidRPr="009B22A1">
        <w:rPr>
          <w:lang w:val="es-ES_tradnl"/>
        </w:rPr>
        <w:tab/>
        <w:t>La modificación del Decreto de Educación de los Alumnos con Necesidades Educativas Especiales y de los Alumnos Dotados, que entrará en vigor el 1 de enero de 2020, tiene por objeto racionalizar la implementación de la educación inclusiva y reducir la carga administrativa del personal pedagógico para aumentar las oportunidades de trabajo pedagógico. Los cambios se basan en un examen exhaustivo del Ministerio de Educación, Juventud y Deportes junto profesional de la educación y el sector no gubernamental. Las condiciones de la educación de los niños, alumnos y estudiantes con necesidades educativas especiales se evalúan periódicamente mediante análisis y datos estadísticos. Desde el 1 de enero de 2020, el trabajo de los auxiliares docentes se financia como trabajo estándar, teniendo en cuenta el tipo de escuela y la discapacidad de los niños y alumnos. Se publicó una guía metodológica para facilitar su aplicación.</w:t>
      </w:r>
    </w:p>
    <w:p w14:paraId="5DFA0BD8" w14:textId="53BCDF49" w:rsidR="009B22A1" w:rsidRPr="009B22A1" w:rsidRDefault="009B22A1" w:rsidP="009B22A1">
      <w:pPr>
        <w:pStyle w:val="H1G"/>
        <w:rPr>
          <w:lang w:val="es-ES_tradnl"/>
        </w:rPr>
      </w:pPr>
      <w:r>
        <w:rPr>
          <w:lang w:val="es-ES_tradnl"/>
        </w:rPr>
        <w:tab/>
      </w:r>
      <w:r w:rsidRPr="009B22A1">
        <w:rPr>
          <w:lang w:val="es-ES_tradnl"/>
        </w:rPr>
        <w:tab/>
        <w:t>Respuesta al párrafo 26 de la lista de cuestiones</w:t>
      </w:r>
    </w:p>
    <w:p w14:paraId="5CA540AC" w14:textId="77777777" w:rsidR="009B22A1" w:rsidRPr="009B22A1" w:rsidRDefault="009B22A1" w:rsidP="009B22A1">
      <w:pPr>
        <w:pStyle w:val="SingleTxtG"/>
        <w:rPr>
          <w:lang w:val="es-ES_tradnl"/>
        </w:rPr>
      </w:pPr>
      <w:r w:rsidRPr="009B22A1">
        <w:rPr>
          <w:lang w:val="es-ES_tradnl"/>
        </w:rPr>
        <w:t>106.</w:t>
      </w:r>
      <w:r w:rsidRPr="009B22A1">
        <w:rPr>
          <w:lang w:val="es-ES_tradnl"/>
        </w:rPr>
        <w:tab/>
        <w:t>La República Checa proporcionó información sobre la igualdad del acceso a la educación de los hijos de nacionales extranjeros en los párrafos 191 a 193 del tercer informe periódico.</w:t>
      </w:r>
    </w:p>
    <w:p w14:paraId="4AAEF334" w14:textId="75555F84" w:rsidR="009B22A1" w:rsidRPr="009B22A1" w:rsidRDefault="009B22A1" w:rsidP="009B22A1">
      <w:pPr>
        <w:pStyle w:val="SingleTxtG"/>
        <w:rPr>
          <w:lang w:val="es-ES_tradnl"/>
        </w:rPr>
      </w:pPr>
      <w:r w:rsidRPr="009B22A1">
        <w:rPr>
          <w:lang w:val="es-ES_tradnl"/>
        </w:rPr>
        <w:t>107.</w:t>
      </w:r>
      <w:r w:rsidRPr="009B22A1">
        <w:rPr>
          <w:lang w:val="es-ES_tradnl"/>
        </w:rPr>
        <w:tab/>
        <w:t xml:space="preserve">Los alumnos que hayan completado su educación escolar anterior fuera de la República Checa pueden quedar exentos del examen de idioma checo para el ingreso a la educación en centros de enseñanza secundaria o de formación profesional superior. En cambio, la escuela verifica mediante una entrevista si tienen los conocimientos del idioma checo necesarios para sus estudios. Para mantener la igualdad de acceso a la educación, los solicitantes que hayan estudiado al menos </w:t>
      </w:r>
      <w:r w:rsidR="00DC2755">
        <w:rPr>
          <w:lang w:val="es-ES_tradnl"/>
        </w:rPr>
        <w:t>cuatro</w:t>
      </w:r>
      <w:r w:rsidRPr="009B22A1">
        <w:rPr>
          <w:lang w:val="es-ES_tradnl"/>
        </w:rPr>
        <w:t xml:space="preserve"> años de los últimos </w:t>
      </w:r>
      <w:r w:rsidR="00DC2755">
        <w:rPr>
          <w:lang w:val="es-ES_tradnl"/>
        </w:rPr>
        <w:t>ocho</w:t>
      </w:r>
      <w:r w:rsidRPr="009B22A1">
        <w:rPr>
          <w:lang w:val="es-ES_tradnl"/>
        </w:rPr>
        <w:t xml:space="preserve"> años en una escuela fuera de la República Checa tienen derecho a tomar un examen de idioma y literatura checos adaptado en el examen final del bachillerato.</w:t>
      </w:r>
    </w:p>
    <w:p w14:paraId="34B5013C" w14:textId="77777777" w:rsidR="009B22A1" w:rsidRPr="009B22A1" w:rsidRDefault="009B22A1" w:rsidP="009B22A1">
      <w:pPr>
        <w:pStyle w:val="SingleTxtG"/>
        <w:rPr>
          <w:lang w:val="es-ES_tradnl"/>
        </w:rPr>
      </w:pPr>
      <w:r w:rsidRPr="009B22A1">
        <w:rPr>
          <w:lang w:val="es-ES_tradnl"/>
        </w:rPr>
        <w:t>108.</w:t>
      </w:r>
      <w:r w:rsidRPr="009B22A1">
        <w:rPr>
          <w:lang w:val="es-ES_tradnl"/>
        </w:rPr>
        <w:tab/>
        <w:t>Las autoridades y las escuelas regionales ofrecen preparación gratuita para la enseñanza primaria a los ciudadanos extranjeros, entre otras cosas, de idioma checo. Cada año, el Ministerio de Educación, Juventud y Deportes anuncia los programas de subvención Apoyo a la Educación de los Extranjeros en las Escuelas y Apoyo a las Actividades de Integración de los Nacionales Extranjeros en la República Checa, que cubren, por ejemplo, los gastos escolares de estos cursos y las actividades extraescolares. Además, la promoción del acceso a la educación es una parte fundamental del Programa de Integración Estatal que presta ayuda a los beneficiarios de protección internacional. El programa ofrece, por ejemplo, asistencia con los requisitos de admisión a la educación, tutoría, la compra de material de aprendizaje y hasta 400 lecciones de idioma checo.</w:t>
      </w:r>
    </w:p>
    <w:p w14:paraId="1EFD317E" w14:textId="673E3D5E" w:rsidR="009B22A1" w:rsidRPr="009B22A1" w:rsidRDefault="009B22A1" w:rsidP="009B22A1">
      <w:pPr>
        <w:pStyle w:val="SingleTxtG"/>
        <w:rPr>
          <w:lang w:val="es-ES_tradnl"/>
        </w:rPr>
      </w:pPr>
      <w:r w:rsidRPr="009B22A1">
        <w:rPr>
          <w:lang w:val="es-ES_tradnl"/>
        </w:rPr>
        <w:t>109.</w:t>
      </w:r>
      <w:r w:rsidRPr="009B22A1">
        <w:rPr>
          <w:lang w:val="es-ES_tradnl"/>
        </w:rPr>
        <w:tab/>
        <w:t>Los Centros Regionales de Apoyo del Instituto Pedagógico Nacional prestan apoyo a los docentes mediante material metodológico, documentos multilingües y programas educativos. Los coordinadores de adaptación ofrecen asistencia gratuita a los alumnos extranjeros durante las primeras cuatro semanas de su presencia en la escuela, ayudándolos a adaptarse al entorno escolar y a comprender los principios del idioma checo.</w:t>
      </w:r>
    </w:p>
    <w:p w14:paraId="72606851" w14:textId="228B4403" w:rsidR="009B22A1" w:rsidRPr="009B22A1" w:rsidRDefault="009B22A1" w:rsidP="009B22A1">
      <w:pPr>
        <w:pStyle w:val="H1G"/>
        <w:rPr>
          <w:lang w:val="es-ES_tradnl"/>
        </w:rPr>
      </w:pPr>
      <w:r>
        <w:rPr>
          <w:lang w:val="es-ES_tradnl"/>
        </w:rPr>
        <w:lastRenderedPageBreak/>
        <w:tab/>
      </w:r>
      <w:r w:rsidRPr="009B22A1">
        <w:rPr>
          <w:lang w:val="es-ES_tradnl"/>
        </w:rPr>
        <w:tab/>
        <w:t>Respuesta al párrafo 27 de la lista de cuestiones</w:t>
      </w:r>
    </w:p>
    <w:p w14:paraId="778ED872" w14:textId="125A7645" w:rsidR="009B22A1" w:rsidRPr="009B22A1" w:rsidRDefault="009B22A1" w:rsidP="009B22A1">
      <w:pPr>
        <w:pStyle w:val="SingleTxtG"/>
        <w:rPr>
          <w:lang w:val="es-ES_tradnl"/>
        </w:rPr>
      </w:pPr>
      <w:r w:rsidRPr="009B22A1">
        <w:rPr>
          <w:lang w:val="es-ES_tradnl"/>
        </w:rPr>
        <w:t>110.</w:t>
      </w:r>
      <w:r w:rsidRPr="009B22A1">
        <w:rPr>
          <w:lang w:val="es-ES_tradnl"/>
        </w:rPr>
        <w:tab/>
        <w:t>La Política Cultural del Estado 2015-2020 se ha implementado mediante documentos estratégicos posteriores más pormenorizados. La Estrategia de Apoyo a las Artes tiene como objetivo fomentar la creación de obras de arte y su potencial para contribuir al desarrollo social a través de un marco institucional, fondos públicos, patrocinio privado, planificación estratégica y conciencia social. Se reforzarán los programas de donaciones para la literatura, las artes, las artes escénicas, los medios de comunicación y el patrimonio cultural intangible. Los Conceptos de Desarrollo de Museos permitirán a los museos y galerías desarrollar y presentar sus colecciones, en función de las demandas sociales presentes y futuras. El Concepto de Apoyo a las Bibliotecas promueve el papel de la biblioteca como centro comunitario abierto, educativo, cultural y creativo. Se respaldará una red de más de 6.000</w:t>
      </w:r>
      <w:r w:rsidR="007F731D">
        <w:rPr>
          <w:lang w:val="es-ES_tradnl"/>
        </w:rPr>
        <w:t> </w:t>
      </w:r>
      <w:r w:rsidRPr="009B22A1">
        <w:rPr>
          <w:lang w:val="es-ES_tradnl"/>
        </w:rPr>
        <w:t>bibliotecas municipales para facilitar el acceso a la literatura, la educación y la cultura, así como el acceso por Internet a fuentes de información de todo el mundo, incluida la información científica. El Concepto de Preservación del Patrimonio tiene la finalidad de fomentar la protección de monumentos, su restauración, la mejora de los datos y la presentación de sus colecciones. El Concepto de Cuidado de la Cultura Popular Tradicional se centra en su documentación, preservación y presentación al público en general como parte valiosa del patrimonio cultural nacional a fin de mejorar la tolerancia y la igualdad de género y prevenir el racismo y la xenofobia.</w:t>
      </w:r>
    </w:p>
    <w:p w14:paraId="3E127258" w14:textId="77777777" w:rsidR="009B22A1" w:rsidRPr="009B22A1" w:rsidRDefault="009B22A1" w:rsidP="009B22A1">
      <w:pPr>
        <w:pStyle w:val="SingleTxtG"/>
        <w:rPr>
          <w:lang w:val="es-ES_tradnl"/>
        </w:rPr>
      </w:pPr>
      <w:r w:rsidRPr="009B22A1">
        <w:rPr>
          <w:lang w:val="es-ES_tradnl"/>
        </w:rPr>
        <w:t>111.</w:t>
      </w:r>
      <w:r w:rsidRPr="009B22A1">
        <w:rPr>
          <w:lang w:val="es-ES_tradnl"/>
        </w:rPr>
        <w:tab/>
        <w:t>La identidad y la diversidad cultural checas son respaldadas mediante eventos y exposiciones sobre temas importantes y conmemoraciones que presentan la cultura checa en el interior y en el extranjero o mediante proyectos de investigación científica. También se reforzará la educación cultural formal e informal. Se prestará apoyo al acceso a las instituciones culturales mediante el acceso gratuito, tarifas de entrada reducidas o el acceso en Internet a las bibliotecas públicas. La participación de los grupos marginados y vulnerables, como las personas de edad, las personas con discapacidad y las minorías étnicas y nacionales, se fomentará con entradas gratuitas, donaciones, la mejora del acceso sin barreras a las bibliotecas o a la tecnología de la información, bibliotecas para minorías o educación universitaria para las personas de edad. Los eventos y festivales públicos promoverán los conocimientos culturales de la población, así como su identificación con el patrimonio cultural nacional y su preservación y desarrollo.</w:t>
      </w:r>
    </w:p>
    <w:p w14:paraId="64B96738" w14:textId="77777777" w:rsidR="009B22A1" w:rsidRPr="009B22A1" w:rsidRDefault="009B22A1" w:rsidP="009B22A1">
      <w:pPr>
        <w:pStyle w:val="SingleTxtG"/>
        <w:rPr>
          <w:lang w:val="es-ES_tradnl"/>
        </w:rPr>
      </w:pPr>
      <w:r w:rsidRPr="009B22A1">
        <w:rPr>
          <w:lang w:val="es-ES_tradnl"/>
        </w:rPr>
        <w:t>112.</w:t>
      </w:r>
      <w:r w:rsidRPr="009B22A1">
        <w:rPr>
          <w:lang w:val="es-ES_tradnl"/>
        </w:rPr>
        <w:tab/>
        <w:t>La preservación y el desarrollo de la cultura, las tradiciones y los idiomas de las minorías nacionales se fomentan mediante programas de subvención financiados con arreglo al presupuesto público. El apoyo del Ministerio de Cultura, el Ministerio de Educación, Juventud y Deportes y la Oficina del Gobierno contribuye principalmente a la preservación y el desarrollo de la cultura, las tradiciones y los idiomas minoritarios. Una de las prioridades será el apoyo a la cultura tradicional romaní, como el Museo de la Cultura Romaní en Brno o los monumentos al Holocausto Romaní en Lety u Písku y Hodonín u Kunštátu. El anexo I contiene un panorama general de los programas y fondos de subvención para las actividades de las minorías nacionales.</w:t>
      </w:r>
    </w:p>
    <w:p w14:paraId="37B9B399" w14:textId="1DEF6254" w:rsidR="009B22A1" w:rsidRPr="009B22A1" w:rsidRDefault="009B22A1" w:rsidP="009B22A1">
      <w:pPr>
        <w:pStyle w:val="SingleTxtG"/>
        <w:rPr>
          <w:lang w:val="es-ES_tradnl"/>
        </w:rPr>
      </w:pPr>
      <w:r w:rsidRPr="009B22A1">
        <w:rPr>
          <w:lang w:val="es-ES_tradnl"/>
        </w:rPr>
        <w:t>113.</w:t>
      </w:r>
      <w:r w:rsidRPr="009B22A1">
        <w:rPr>
          <w:lang w:val="es-ES_tradnl"/>
        </w:rPr>
        <w:tab/>
        <w:t>La Ley de Minorías garantiza a los miembros de las minorías nacionales el derecho a la educación en su lengua materna en las escuelas, los centros preescolares y los servicios escolares. Los miembros de las minorías nacionales también pueden, si cumplen ciertas condiciones jurídicas, establecer escuelas privadas en las que se imparte la enseñanza o se dictan cursos en la lengua minoritaria. La educación de las minorías financiada con cargo a los presupuestos públicos se limita a la minoría nacional polaca en la región de Moravia</w:t>
      </w:r>
      <w:r w:rsidR="007F731D">
        <w:rPr>
          <w:lang w:val="es-ES_tradnl"/>
        </w:rPr>
        <w:noBreakHyphen/>
      </w:r>
      <w:r w:rsidRPr="009B22A1">
        <w:rPr>
          <w:lang w:val="es-ES_tradnl"/>
        </w:rPr>
        <w:t>Silesia.</w:t>
      </w:r>
    </w:p>
    <w:p w14:paraId="6A2BCFC4" w14:textId="039BF9F3" w:rsidR="009B22A1" w:rsidRPr="009B22A1" w:rsidRDefault="009B22A1" w:rsidP="009B22A1">
      <w:pPr>
        <w:pStyle w:val="SingleTxtG"/>
        <w:rPr>
          <w:lang w:val="es-ES_tradnl"/>
        </w:rPr>
      </w:pPr>
      <w:r w:rsidRPr="009B22A1">
        <w:rPr>
          <w:lang w:val="es-ES_tradnl"/>
        </w:rPr>
        <w:t>114.</w:t>
      </w:r>
      <w:r w:rsidRPr="009B22A1">
        <w:rPr>
          <w:lang w:val="es-ES_tradnl"/>
        </w:rPr>
        <w:tab/>
        <w:t>Según la Ley de Minorías, estas tienen derecho a difundir y recibir información en su idioma. El Grupo de Trabajo para la Radiodifusión de las Minorías Nacionales del Consejo Gubernamental para las Minorías Nacionales coopera con la Radio Checa y la Televisión Checa en la creación de programas para las minorías nacionales y sobre estas. Las minorías nacionales también reciben información en su idioma a través de su prensa, que recibe apoyo mediante subvenciones financiadas con cargo al presupuesto público. Los miembros de las minorías nacionales participan en la administración pública. Están representados principalmente en los grupos de trabajo que se ocupan de la inclusión e integración social de los romaníes y en las comisiones ministeriales relacionadas con subvenciones.</w:t>
      </w:r>
    </w:p>
    <w:p w14:paraId="2DCE9494" w14:textId="2E9B9AB8" w:rsidR="009B22A1" w:rsidRPr="009B22A1" w:rsidRDefault="009B22A1" w:rsidP="009B22A1">
      <w:pPr>
        <w:pStyle w:val="H1G"/>
        <w:rPr>
          <w:lang w:val="es-ES_tradnl"/>
        </w:rPr>
      </w:pPr>
      <w:r>
        <w:rPr>
          <w:lang w:val="es-ES_tradnl"/>
        </w:rPr>
        <w:lastRenderedPageBreak/>
        <w:tab/>
      </w:r>
      <w:r w:rsidRPr="009B22A1">
        <w:rPr>
          <w:lang w:val="es-ES_tradnl"/>
        </w:rPr>
        <w:tab/>
        <w:t>Respuesta al párrafo 28 de la lista de cuestiones</w:t>
      </w:r>
    </w:p>
    <w:p w14:paraId="4D2D4595" w14:textId="6EC129E6" w:rsidR="009B22A1" w:rsidRDefault="009B22A1" w:rsidP="009B22A1">
      <w:pPr>
        <w:pStyle w:val="SingleTxtG"/>
        <w:rPr>
          <w:lang w:val="es-ES_tradnl"/>
        </w:rPr>
      </w:pPr>
      <w:r w:rsidRPr="009B22A1">
        <w:rPr>
          <w:lang w:val="es-ES_tradnl"/>
        </w:rPr>
        <w:t>115.</w:t>
      </w:r>
      <w:r w:rsidRPr="009B22A1">
        <w:rPr>
          <w:lang w:val="es-ES_tradnl"/>
        </w:rPr>
        <w:tab/>
        <w:t xml:space="preserve">La Estrategia Nacional de Libre Acceso a la Información Científica 2017-2020 pone en práctica el acceso libre e igualitario a la información científica en la República Checa. Define </w:t>
      </w:r>
      <w:r w:rsidR="00646A67">
        <w:rPr>
          <w:lang w:val="es-ES_tradnl"/>
        </w:rPr>
        <w:t>“</w:t>
      </w:r>
      <w:r w:rsidRPr="009B22A1">
        <w:rPr>
          <w:lang w:val="es-ES_tradnl"/>
        </w:rPr>
        <w:t>acceso abierto</w:t>
      </w:r>
      <w:r w:rsidR="00646A67">
        <w:rPr>
          <w:lang w:val="es-ES_tradnl"/>
        </w:rPr>
        <w:t>”</w:t>
      </w:r>
      <w:r w:rsidRPr="009B22A1">
        <w:rPr>
          <w:lang w:val="es-ES_tradnl"/>
        </w:rPr>
        <w:t xml:space="preserve"> como el acceso gratuito y sin restricciones en Internet a la información científica, incluida la posibilidad de su posterior reutilización. Pone en contacto a las instituciones científicas y a los científicos con instituciones culturales como museos, archivos y bibliotecas, editores de revistas y publicaciones científicas, y usuarios finales, incluido el público en general. Todos los subsidios públicos de investigación deberán incluir el acceso gratuito en Internet a la información y las publicaciones científicas obtenidas. Se han presentado al Parlamento los cambios legislativos necesarios y se están adaptando los sistemas de información. La red de bibliotecas públicas descrita anteriormente desempeña un papel fundamental en el acceso a la información científica de la población en general. Los datos sobre los gastos en investigación científica figuran en el anexo I.</w:t>
      </w:r>
    </w:p>
    <w:p w14:paraId="209E9943" w14:textId="7F6A5DC0" w:rsidR="009B22A1" w:rsidRPr="009B22A1" w:rsidRDefault="009B22A1" w:rsidP="009B22A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B22A1" w:rsidRPr="009B22A1" w:rsidSect="009B22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06EF8C" w14:textId="77777777" w:rsidR="00DF4ACB" w:rsidRPr="00093664" w:rsidRDefault="00DF4ACB" w:rsidP="00093664">
      <w:pPr>
        <w:pStyle w:val="Footer"/>
      </w:pPr>
    </w:p>
  </w:endnote>
  <w:endnote w:type="continuationSeparator" w:id="0">
    <w:p w14:paraId="22C8E6FB" w14:textId="77777777" w:rsidR="00DF4ACB" w:rsidRPr="00093664" w:rsidRDefault="00DF4ACB"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DDBD8" w14:textId="759415D2" w:rsidR="009B22A1" w:rsidRPr="009B22A1" w:rsidRDefault="009B22A1" w:rsidP="009B22A1">
    <w:pPr>
      <w:pStyle w:val="Footer"/>
      <w:tabs>
        <w:tab w:val="right" w:pos="9638"/>
      </w:tabs>
    </w:pPr>
    <w:r w:rsidRPr="009B22A1">
      <w:rPr>
        <w:b/>
        <w:sz w:val="18"/>
      </w:rPr>
      <w:fldChar w:fldCharType="begin"/>
    </w:r>
    <w:r w:rsidRPr="009B22A1">
      <w:rPr>
        <w:b/>
        <w:sz w:val="18"/>
      </w:rPr>
      <w:instrText xml:space="preserve"> PAGE  \* MERGEFORMAT </w:instrText>
    </w:r>
    <w:r w:rsidRPr="009B22A1">
      <w:rPr>
        <w:b/>
        <w:sz w:val="18"/>
      </w:rPr>
      <w:fldChar w:fldCharType="separate"/>
    </w:r>
    <w:r w:rsidRPr="009B22A1">
      <w:rPr>
        <w:b/>
        <w:noProof/>
        <w:sz w:val="18"/>
      </w:rPr>
      <w:t>2</w:t>
    </w:r>
    <w:r w:rsidRPr="009B22A1">
      <w:rPr>
        <w:b/>
        <w:sz w:val="18"/>
      </w:rPr>
      <w:fldChar w:fldCharType="end"/>
    </w:r>
    <w:r>
      <w:rPr>
        <w:b/>
        <w:sz w:val="18"/>
      </w:rPr>
      <w:tab/>
    </w:r>
    <w:r>
      <w:t>GE.21-07082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B5196" w14:textId="2856C351" w:rsidR="009B22A1" w:rsidRPr="009B22A1" w:rsidRDefault="009B22A1" w:rsidP="009B22A1">
    <w:pPr>
      <w:pStyle w:val="Footer"/>
      <w:tabs>
        <w:tab w:val="right" w:pos="9638"/>
      </w:tabs>
      <w:rPr>
        <w:b/>
        <w:sz w:val="18"/>
      </w:rPr>
    </w:pPr>
    <w:r>
      <w:t>GE.21-07082</w:t>
    </w:r>
    <w:r>
      <w:tab/>
    </w:r>
    <w:r w:rsidRPr="009B22A1">
      <w:rPr>
        <w:b/>
        <w:sz w:val="18"/>
      </w:rPr>
      <w:fldChar w:fldCharType="begin"/>
    </w:r>
    <w:r w:rsidRPr="009B22A1">
      <w:rPr>
        <w:b/>
        <w:sz w:val="18"/>
      </w:rPr>
      <w:instrText xml:space="preserve"> PAGE  \* MERGEFORMAT </w:instrText>
    </w:r>
    <w:r w:rsidRPr="009B22A1">
      <w:rPr>
        <w:b/>
        <w:sz w:val="18"/>
      </w:rPr>
      <w:fldChar w:fldCharType="separate"/>
    </w:r>
    <w:r w:rsidRPr="009B22A1">
      <w:rPr>
        <w:b/>
        <w:noProof/>
        <w:sz w:val="18"/>
      </w:rPr>
      <w:t>3</w:t>
    </w:r>
    <w:r w:rsidRPr="009B22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B4F599" w14:textId="1FF0E6BA" w:rsidR="005016AF" w:rsidRPr="009B22A1" w:rsidRDefault="009B22A1" w:rsidP="009B22A1">
    <w:pPr>
      <w:pStyle w:val="Footer"/>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1ACBCED" wp14:editId="16C716B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21-07082  (S)</w:t>
    </w:r>
    <w:r>
      <w:rPr>
        <w:noProof/>
        <w:sz w:val="20"/>
      </w:rPr>
      <w:drawing>
        <wp:anchor distT="0" distB="0" distL="114300" distR="114300" simplePos="0" relativeHeight="251658752" behindDoc="0" locked="0" layoutInCell="1" allowOverlap="1" wp14:anchorId="2D212EC1" wp14:editId="7A09A30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290721    200821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22FAD5" w14:textId="77777777" w:rsidR="00DF4ACB" w:rsidRPr="001075E9" w:rsidRDefault="00DF4ACB" w:rsidP="001075E9">
      <w:pPr>
        <w:tabs>
          <w:tab w:val="right" w:pos="2155"/>
        </w:tabs>
        <w:spacing w:after="80" w:line="240" w:lineRule="auto"/>
        <w:ind w:left="680"/>
        <w:rPr>
          <w:u w:val="single"/>
        </w:rPr>
      </w:pPr>
      <w:r>
        <w:rPr>
          <w:u w:val="single"/>
        </w:rPr>
        <w:tab/>
      </w:r>
    </w:p>
  </w:footnote>
  <w:footnote w:type="continuationSeparator" w:id="0">
    <w:p w14:paraId="308662C0" w14:textId="77777777" w:rsidR="00DF4ACB" w:rsidRDefault="00DF4ACB" w:rsidP="00093664">
      <w:pPr>
        <w:tabs>
          <w:tab w:val="right" w:pos="2155"/>
        </w:tabs>
        <w:spacing w:after="80" w:line="240" w:lineRule="auto"/>
        <w:ind w:left="680"/>
        <w:rPr>
          <w:u w:val="single"/>
        </w:rPr>
      </w:pPr>
      <w:r>
        <w:rPr>
          <w:u w:val="single"/>
        </w:rPr>
        <w:tab/>
      </w:r>
    </w:p>
  </w:footnote>
  <w:footnote w:id="1">
    <w:p w14:paraId="7BF48919" w14:textId="2D848266" w:rsidR="009B22A1" w:rsidRPr="009B22A1" w:rsidRDefault="009B22A1" w:rsidP="009B22A1">
      <w:pPr>
        <w:pStyle w:val="FootnoteText"/>
        <w:rPr>
          <w:sz w:val="20"/>
        </w:rPr>
      </w:pPr>
      <w:r>
        <w:tab/>
      </w:r>
      <w:r w:rsidRPr="009B22A1">
        <w:rPr>
          <w:rStyle w:val="FootnoteReference"/>
          <w:sz w:val="20"/>
          <w:vertAlign w:val="baseline"/>
        </w:rPr>
        <w:t>*</w:t>
      </w:r>
      <w:r w:rsidRPr="009B22A1">
        <w:rPr>
          <w:rStyle w:val="FootnoteReference"/>
          <w:vertAlign w:val="baseline"/>
        </w:rPr>
        <w:tab/>
      </w:r>
      <w:r w:rsidRPr="009B22A1">
        <w:t>El presente documento se publica sin haber sido objeto de revisión editorial oficial.</w:t>
      </w:r>
    </w:p>
  </w:footnote>
  <w:footnote w:id="2">
    <w:p w14:paraId="7F79F33D" w14:textId="166F5CC7" w:rsidR="009B22A1" w:rsidRPr="009B22A1" w:rsidRDefault="009B22A1" w:rsidP="009B22A1">
      <w:pPr>
        <w:pStyle w:val="FootnoteText"/>
        <w:rPr>
          <w:sz w:val="20"/>
        </w:rPr>
      </w:pPr>
      <w:r>
        <w:tab/>
      </w:r>
      <w:r w:rsidRPr="009B22A1">
        <w:rPr>
          <w:rStyle w:val="FootnoteReference"/>
          <w:sz w:val="20"/>
          <w:vertAlign w:val="baseline"/>
        </w:rPr>
        <w:t>**</w:t>
      </w:r>
      <w:r w:rsidRPr="009B22A1">
        <w:rPr>
          <w:rStyle w:val="FootnoteReference"/>
          <w:vertAlign w:val="baseline"/>
        </w:rPr>
        <w:tab/>
      </w:r>
      <w:r w:rsidRPr="009B22A1">
        <w:t>Los anexos del presente documento pueden consultarse en la página web del Comité.</w:t>
      </w:r>
    </w:p>
  </w:footnote>
  <w:footnote w:id="3">
    <w:p w14:paraId="5D5598E1" w14:textId="6708F74A" w:rsidR="009B22A1" w:rsidRPr="00033243" w:rsidRDefault="009B22A1" w:rsidP="009B22A1">
      <w:pPr>
        <w:pStyle w:val="FootnoteText"/>
        <w:rPr>
          <w:lang w:val="fr-CH"/>
        </w:rPr>
      </w:pPr>
      <w:r w:rsidRPr="00012A3E">
        <w:tab/>
      </w:r>
      <w:r w:rsidRPr="00012A3E">
        <w:rPr>
          <w:rStyle w:val="FootnoteReference"/>
        </w:rPr>
        <w:footnoteRef/>
      </w:r>
      <w:r w:rsidRPr="00033243">
        <w:rPr>
          <w:lang w:val="fr-CH"/>
        </w:rPr>
        <w:tab/>
        <w:t xml:space="preserve">Véase </w:t>
      </w:r>
      <w:hyperlink r:id="rId1" w:history="1">
        <w:r w:rsidRPr="00033243">
          <w:rPr>
            <w:rStyle w:val="Hyperlink"/>
            <w:lang w:val="fr-CH"/>
          </w:rPr>
          <w:t>https://www.ochrance.cz/en/discrimination/assistance-to-victims-of-discrimination/</w:t>
        </w:r>
      </w:hyperlink>
      <w:r w:rsidRPr="00033243">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FA4B8" w14:textId="32F89147" w:rsidR="009B22A1" w:rsidRPr="009B22A1" w:rsidRDefault="00033243">
    <w:pPr>
      <w:pStyle w:val="Header"/>
    </w:pPr>
    <w:r>
      <w:fldChar w:fldCharType="begin"/>
    </w:r>
    <w:r>
      <w:instrText xml:space="preserve"> TITLE  \* MERGEFORMAT </w:instrText>
    </w:r>
    <w:r>
      <w:fldChar w:fldCharType="separate"/>
    </w:r>
    <w:r>
      <w:t>E/C.12/CZE/RQ/3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69863" w14:textId="25FF5FB3" w:rsidR="009B22A1" w:rsidRPr="009B22A1" w:rsidRDefault="00033243" w:rsidP="009B22A1">
    <w:pPr>
      <w:pStyle w:val="Header"/>
      <w:jc w:val="right"/>
    </w:pPr>
    <w:r>
      <w:fldChar w:fldCharType="begin"/>
    </w:r>
    <w:r>
      <w:instrText xml:space="preserve"> TITLE  \* MERGEFORMAT </w:instrText>
    </w:r>
    <w:r>
      <w:fldChar w:fldCharType="separate"/>
    </w:r>
    <w:r>
      <w:t>E/C.12/CZE/RQ/3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ACB"/>
    <w:rsid w:val="00010F3B"/>
    <w:rsid w:val="00032D03"/>
    <w:rsid w:val="00033243"/>
    <w:rsid w:val="00060246"/>
    <w:rsid w:val="0008650D"/>
    <w:rsid w:val="00093664"/>
    <w:rsid w:val="000B57E7"/>
    <w:rsid w:val="000D359E"/>
    <w:rsid w:val="000F09DF"/>
    <w:rsid w:val="000F61B2"/>
    <w:rsid w:val="001075E9"/>
    <w:rsid w:val="00143FE5"/>
    <w:rsid w:val="00180183"/>
    <w:rsid w:val="00196389"/>
    <w:rsid w:val="001C3D0C"/>
    <w:rsid w:val="001C7A89"/>
    <w:rsid w:val="001D0417"/>
    <w:rsid w:val="001E551F"/>
    <w:rsid w:val="001F3EC3"/>
    <w:rsid w:val="00205748"/>
    <w:rsid w:val="0023338B"/>
    <w:rsid w:val="002967E3"/>
    <w:rsid w:val="002A2EFC"/>
    <w:rsid w:val="002D16F0"/>
    <w:rsid w:val="002D529D"/>
    <w:rsid w:val="002D5AAC"/>
    <w:rsid w:val="00301299"/>
    <w:rsid w:val="00313431"/>
    <w:rsid w:val="00322004"/>
    <w:rsid w:val="003402C2"/>
    <w:rsid w:val="003465AF"/>
    <w:rsid w:val="003538EB"/>
    <w:rsid w:val="003770A4"/>
    <w:rsid w:val="00381C24"/>
    <w:rsid w:val="003958D0"/>
    <w:rsid w:val="003D064D"/>
    <w:rsid w:val="0041031F"/>
    <w:rsid w:val="00454E07"/>
    <w:rsid w:val="0046219E"/>
    <w:rsid w:val="004B19F2"/>
    <w:rsid w:val="004B305E"/>
    <w:rsid w:val="0050108D"/>
    <w:rsid w:val="005016AF"/>
    <w:rsid w:val="005076AF"/>
    <w:rsid w:val="0052159C"/>
    <w:rsid w:val="00572E19"/>
    <w:rsid w:val="00581F67"/>
    <w:rsid w:val="005C5C78"/>
    <w:rsid w:val="005D622E"/>
    <w:rsid w:val="005F0B42"/>
    <w:rsid w:val="00632A31"/>
    <w:rsid w:val="0064421C"/>
    <w:rsid w:val="00646A67"/>
    <w:rsid w:val="00696E37"/>
    <w:rsid w:val="006E27AD"/>
    <w:rsid w:val="006F35EE"/>
    <w:rsid w:val="00710CF8"/>
    <w:rsid w:val="00716C6F"/>
    <w:rsid w:val="0074042C"/>
    <w:rsid w:val="007464CC"/>
    <w:rsid w:val="007D6339"/>
    <w:rsid w:val="007F731D"/>
    <w:rsid w:val="00802199"/>
    <w:rsid w:val="00830923"/>
    <w:rsid w:val="00834B71"/>
    <w:rsid w:val="0086445C"/>
    <w:rsid w:val="0088570D"/>
    <w:rsid w:val="008A08D7"/>
    <w:rsid w:val="008A7B81"/>
    <w:rsid w:val="00906890"/>
    <w:rsid w:val="00915B6C"/>
    <w:rsid w:val="009179A3"/>
    <w:rsid w:val="00951972"/>
    <w:rsid w:val="009748AE"/>
    <w:rsid w:val="00987051"/>
    <w:rsid w:val="009B22A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57EC9"/>
    <w:rsid w:val="00C60F0C"/>
    <w:rsid w:val="00C7700B"/>
    <w:rsid w:val="00C805C9"/>
    <w:rsid w:val="00CA1679"/>
    <w:rsid w:val="00CE34F5"/>
    <w:rsid w:val="00CF0CF6"/>
    <w:rsid w:val="00D13B5F"/>
    <w:rsid w:val="00D738F9"/>
    <w:rsid w:val="00D759B3"/>
    <w:rsid w:val="00D90138"/>
    <w:rsid w:val="00D97076"/>
    <w:rsid w:val="00DC2755"/>
    <w:rsid w:val="00DC6544"/>
    <w:rsid w:val="00DF4ACB"/>
    <w:rsid w:val="00E30AD9"/>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607B982"/>
  <w15:docId w15:val="{43EA0C71-6B94-4203-A573-7100C6A8C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Heading1">
    <w:name w:val="heading 1"/>
    <w:aliases w:val="Cuadro_G,Table_G"/>
    <w:basedOn w:val="SingleTxtG"/>
    <w:next w:val="SingleTxtG"/>
    <w:link w:val="Heading1Ch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semiHidden/>
    <w:rsid w:val="00696E37"/>
    <w:pPr>
      <w:keepNext/>
      <w:outlineLvl w:val="1"/>
    </w:pPr>
    <w:rPr>
      <w:rFonts w:cs="Arial"/>
      <w:bCs/>
      <w:iCs/>
      <w:szCs w:val="28"/>
    </w:rPr>
  </w:style>
  <w:style w:type="paragraph" w:styleId="Heading3">
    <w:name w:val="heading 3"/>
    <w:basedOn w:val="Normal"/>
    <w:next w:val="Normal"/>
    <w:link w:val="Heading3Char"/>
    <w:semiHidden/>
    <w:rsid w:val="00696E37"/>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696E37"/>
    <w:pPr>
      <w:keepNext/>
      <w:spacing w:before="240" w:after="60"/>
      <w:outlineLvl w:val="3"/>
    </w:pPr>
    <w:rPr>
      <w:b/>
      <w:bCs/>
      <w:sz w:val="28"/>
      <w:szCs w:val="28"/>
    </w:rPr>
  </w:style>
  <w:style w:type="paragraph" w:styleId="Heading5">
    <w:name w:val="heading 5"/>
    <w:basedOn w:val="Normal"/>
    <w:next w:val="Normal"/>
    <w:link w:val="Heading5Char"/>
    <w:semiHidden/>
    <w:rsid w:val="00696E37"/>
    <w:pPr>
      <w:spacing w:before="240" w:after="60"/>
      <w:outlineLvl w:val="4"/>
    </w:pPr>
    <w:rPr>
      <w:b/>
      <w:bCs/>
      <w:i/>
      <w:iCs/>
      <w:sz w:val="26"/>
      <w:szCs w:val="26"/>
    </w:rPr>
  </w:style>
  <w:style w:type="paragraph" w:styleId="Heading6">
    <w:name w:val="heading 6"/>
    <w:basedOn w:val="Normal"/>
    <w:next w:val="Normal"/>
    <w:link w:val="Heading6Char"/>
    <w:semiHidden/>
    <w:rsid w:val="00696E37"/>
    <w:pPr>
      <w:spacing w:before="240" w:after="60"/>
      <w:outlineLvl w:val="5"/>
    </w:pPr>
    <w:rPr>
      <w:b/>
      <w:bCs/>
      <w:sz w:val="22"/>
      <w:szCs w:val="22"/>
    </w:rPr>
  </w:style>
  <w:style w:type="paragraph" w:styleId="Heading7">
    <w:name w:val="heading 7"/>
    <w:basedOn w:val="Normal"/>
    <w:next w:val="Normal"/>
    <w:link w:val="Heading7Char"/>
    <w:semiHidden/>
    <w:rsid w:val="00696E37"/>
    <w:pPr>
      <w:spacing w:before="240" w:after="60"/>
      <w:outlineLvl w:val="6"/>
    </w:pPr>
    <w:rPr>
      <w:sz w:val="24"/>
      <w:szCs w:val="24"/>
    </w:rPr>
  </w:style>
  <w:style w:type="paragraph" w:styleId="Heading8">
    <w:name w:val="heading 8"/>
    <w:basedOn w:val="Normal"/>
    <w:next w:val="Normal"/>
    <w:link w:val="Heading8Char"/>
    <w:semiHidden/>
    <w:rsid w:val="00696E37"/>
    <w:pPr>
      <w:spacing w:before="240" w:after="60"/>
      <w:outlineLvl w:val="7"/>
    </w:pPr>
    <w:rPr>
      <w:i/>
      <w:iCs/>
      <w:sz w:val="24"/>
      <w:szCs w:val="24"/>
    </w:rPr>
  </w:style>
  <w:style w:type="paragraph" w:styleId="Heading9">
    <w:name w:val="heading 9"/>
    <w:basedOn w:val="Normal"/>
    <w:next w:val="Normal"/>
    <w:link w:val="Heading9Char"/>
    <w:semiHidden/>
    <w:rsid w:val="00696E3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696E37"/>
    <w:pPr>
      <w:tabs>
        <w:tab w:val="right" w:pos="1021"/>
      </w:tabs>
      <w:spacing w:line="220" w:lineRule="exact"/>
      <w:ind w:left="1134" w:right="1134" w:hanging="1134"/>
    </w:pPr>
    <w:rPr>
      <w:sz w:val="18"/>
    </w:rPr>
  </w:style>
  <w:style w:type="table" w:styleId="TableGrid">
    <w:name w:val="Table Grid"/>
    <w:basedOn w:val="Table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96E37"/>
    <w:pPr>
      <w:numPr>
        <w:numId w:val="1"/>
      </w:numPr>
    </w:pPr>
  </w:style>
  <w:style w:type="numbering" w:styleId="1ai">
    <w:name w:val="Outline List 1"/>
    <w:basedOn w:val="NoList"/>
    <w:rsid w:val="00696E37"/>
    <w:pPr>
      <w:numPr>
        <w:numId w:val="2"/>
      </w:numPr>
    </w:pPr>
  </w:style>
  <w:style w:type="character" w:styleId="HTMLAcronym">
    <w:name w:val="HTML Acronym"/>
    <w:basedOn w:val="DefaultParagraphFont"/>
    <w:semiHidden/>
    <w:rsid w:val="00696E37"/>
  </w:style>
  <w:style w:type="numbering" w:styleId="ArticleSection">
    <w:name w:val="Outline List 3"/>
    <w:basedOn w:val="NoList"/>
    <w:rsid w:val="00696E37"/>
    <w:pPr>
      <w:numPr>
        <w:numId w:val="3"/>
      </w:numPr>
    </w:pPr>
  </w:style>
  <w:style w:type="paragraph" w:styleId="Closing">
    <w:name w:val="Closing"/>
    <w:basedOn w:val="Normal"/>
    <w:link w:val="ClosingChar"/>
    <w:semiHidden/>
    <w:rsid w:val="00696E37"/>
    <w:pPr>
      <w:ind w:left="4252"/>
    </w:pPr>
  </w:style>
  <w:style w:type="character" w:styleId="HTMLCite">
    <w:name w:val="HTML Cite"/>
    <w:semiHidden/>
    <w:rsid w:val="00696E37"/>
    <w:rPr>
      <w:i/>
      <w:iCs/>
    </w:rPr>
  </w:style>
  <w:style w:type="character" w:styleId="HTMLCode">
    <w:name w:val="HTML Code"/>
    <w:semiHidden/>
    <w:rsid w:val="00696E37"/>
    <w:rPr>
      <w:rFonts w:ascii="Courier New" w:hAnsi="Courier New" w:cs="Courier New"/>
      <w:sz w:val="20"/>
      <w:szCs w:val="20"/>
    </w:rPr>
  </w:style>
  <w:style w:type="paragraph" w:styleId="ListContinue">
    <w:name w:val="List Continue"/>
    <w:basedOn w:val="Normal"/>
    <w:semiHidden/>
    <w:rsid w:val="00696E37"/>
    <w:pPr>
      <w:spacing w:after="120"/>
      <w:ind w:left="283"/>
    </w:pPr>
  </w:style>
  <w:style w:type="paragraph" w:styleId="ListContinue2">
    <w:name w:val="List Continue 2"/>
    <w:basedOn w:val="Normal"/>
    <w:semiHidden/>
    <w:rsid w:val="00696E37"/>
    <w:pPr>
      <w:spacing w:after="120"/>
      <w:ind w:left="566"/>
    </w:pPr>
  </w:style>
  <w:style w:type="paragraph" w:styleId="ListContinue3">
    <w:name w:val="List Continue 3"/>
    <w:basedOn w:val="Normal"/>
    <w:semiHidden/>
    <w:rsid w:val="00696E37"/>
    <w:pPr>
      <w:spacing w:after="120"/>
      <w:ind w:left="849"/>
    </w:pPr>
  </w:style>
  <w:style w:type="paragraph" w:styleId="ListContinue4">
    <w:name w:val="List Continue 4"/>
    <w:basedOn w:val="Normal"/>
    <w:semiHidden/>
    <w:rsid w:val="00696E37"/>
    <w:pPr>
      <w:spacing w:after="120"/>
      <w:ind w:left="1132"/>
    </w:pPr>
  </w:style>
  <w:style w:type="paragraph" w:styleId="ListContinue5">
    <w:name w:val="List Continue 5"/>
    <w:basedOn w:val="Normal"/>
    <w:semiHidden/>
    <w:rsid w:val="00696E37"/>
    <w:pPr>
      <w:spacing w:after="120"/>
      <w:ind w:left="1415"/>
    </w:pPr>
  </w:style>
  <w:style w:type="character" w:styleId="HTMLDefinition">
    <w:name w:val="HTML Definition"/>
    <w:semiHidden/>
    <w:rsid w:val="00696E37"/>
    <w:rPr>
      <w:i/>
      <w:iCs/>
    </w:rPr>
  </w:style>
  <w:style w:type="paragraph" w:styleId="HTMLAddress">
    <w:name w:val="HTML Address"/>
    <w:basedOn w:val="Normal"/>
    <w:link w:val="HTMLAddressChar"/>
    <w:semiHidden/>
    <w:rsid w:val="00696E37"/>
    <w:rPr>
      <w:i/>
      <w:iCs/>
    </w:rPr>
  </w:style>
  <w:style w:type="paragraph" w:styleId="EnvelopeAddress">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96E37"/>
    <w:rPr>
      <w:rFonts w:ascii="Courier New" w:hAnsi="Courier New" w:cs="Courier New"/>
    </w:rPr>
  </w:style>
  <w:style w:type="paragraph" w:styleId="MessageHeader">
    <w:name w:val="Message Header"/>
    <w:basedOn w:val="Normal"/>
    <w:link w:val="MessageHeaderCh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96E37"/>
  </w:style>
  <w:style w:type="character" w:styleId="Emphasis">
    <w:name w:val="Emphasis"/>
    <w:rsid w:val="00696E37"/>
    <w:rPr>
      <w:i/>
      <w:iCs/>
    </w:rPr>
  </w:style>
  <w:style w:type="paragraph" w:styleId="Date">
    <w:name w:val="Date"/>
    <w:basedOn w:val="Normal"/>
    <w:next w:val="Normal"/>
    <w:link w:val="DateChar"/>
    <w:semiHidden/>
    <w:rsid w:val="00696E37"/>
  </w:style>
  <w:style w:type="paragraph" w:styleId="Signature">
    <w:name w:val="Signature"/>
    <w:basedOn w:val="Normal"/>
    <w:link w:val="SignatureChar"/>
    <w:semiHidden/>
    <w:rsid w:val="00696E37"/>
    <w:pPr>
      <w:ind w:left="4252"/>
    </w:pPr>
  </w:style>
  <w:style w:type="paragraph" w:styleId="E-mailSignature">
    <w:name w:val="E-mail Signature"/>
    <w:basedOn w:val="Normal"/>
    <w:link w:val="E-mailSignatureChar"/>
    <w:semiHidden/>
    <w:rsid w:val="00696E37"/>
  </w:style>
  <w:style w:type="character" w:styleId="Hyperlink">
    <w:name w:val="Hyperlink"/>
    <w:uiPriority w:val="4"/>
    <w:rsid w:val="00696E37"/>
    <w:rPr>
      <w:color w:val="0000FF"/>
      <w:u w:val="none"/>
    </w:rPr>
  </w:style>
  <w:style w:type="character" w:styleId="FollowedHyperlink">
    <w:name w:val="FollowedHyperlink"/>
    <w:uiPriority w:val="4"/>
    <w:rsid w:val="00696E37"/>
    <w:rPr>
      <w:color w:val="0000FF"/>
      <w:u w:val="none"/>
    </w:rPr>
  </w:style>
  <w:style w:type="paragraph" w:styleId="HTMLPreformatted">
    <w:name w:val="HTML Preformatted"/>
    <w:basedOn w:val="Normal"/>
    <w:link w:val="HTMLPreformattedChar"/>
    <w:semiHidden/>
    <w:rsid w:val="00696E37"/>
    <w:rPr>
      <w:rFonts w:ascii="Courier New" w:hAnsi="Courier New" w:cs="Courier New"/>
    </w:rPr>
  </w:style>
  <w:style w:type="paragraph" w:styleId="List">
    <w:name w:val="List"/>
    <w:basedOn w:val="Normal"/>
    <w:semiHidden/>
    <w:rsid w:val="00696E37"/>
    <w:pPr>
      <w:ind w:left="283" w:hanging="283"/>
    </w:pPr>
  </w:style>
  <w:style w:type="paragraph" w:styleId="List2">
    <w:name w:val="List 2"/>
    <w:basedOn w:val="Normal"/>
    <w:semiHidden/>
    <w:rsid w:val="00696E37"/>
    <w:pPr>
      <w:ind w:left="566" w:hanging="283"/>
    </w:pPr>
  </w:style>
  <w:style w:type="paragraph" w:styleId="List3">
    <w:name w:val="List 3"/>
    <w:basedOn w:val="Normal"/>
    <w:semiHidden/>
    <w:rsid w:val="00696E37"/>
    <w:pPr>
      <w:ind w:left="849" w:hanging="283"/>
    </w:pPr>
  </w:style>
  <w:style w:type="paragraph" w:styleId="List4">
    <w:name w:val="List 4"/>
    <w:basedOn w:val="Normal"/>
    <w:semiHidden/>
    <w:rsid w:val="00696E37"/>
    <w:pPr>
      <w:ind w:left="1132" w:hanging="283"/>
    </w:pPr>
  </w:style>
  <w:style w:type="paragraph" w:styleId="List5">
    <w:name w:val="List 5"/>
    <w:basedOn w:val="Normal"/>
    <w:semiHidden/>
    <w:rsid w:val="00696E37"/>
    <w:pPr>
      <w:ind w:left="1415" w:hanging="283"/>
    </w:pPr>
  </w:style>
  <w:style w:type="paragraph" w:styleId="ListNumber">
    <w:name w:val="List Number"/>
    <w:basedOn w:val="Normal"/>
    <w:semiHidden/>
    <w:rsid w:val="00696E37"/>
    <w:pPr>
      <w:numPr>
        <w:numId w:val="13"/>
      </w:numPr>
    </w:pPr>
  </w:style>
  <w:style w:type="paragraph" w:styleId="ListNumber2">
    <w:name w:val="List Number 2"/>
    <w:basedOn w:val="Normal"/>
    <w:semiHidden/>
    <w:rsid w:val="00696E37"/>
    <w:pPr>
      <w:numPr>
        <w:numId w:val="14"/>
      </w:numPr>
    </w:pPr>
  </w:style>
  <w:style w:type="paragraph" w:styleId="ListNumber3">
    <w:name w:val="List Number 3"/>
    <w:basedOn w:val="Normal"/>
    <w:semiHidden/>
    <w:rsid w:val="00696E37"/>
    <w:pPr>
      <w:numPr>
        <w:numId w:val="15"/>
      </w:numPr>
    </w:pPr>
  </w:style>
  <w:style w:type="paragraph" w:styleId="ListNumber4">
    <w:name w:val="List Number 4"/>
    <w:basedOn w:val="Normal"/>
    <w:semiHidden/>
    <w:rsid w:val="00696E37"/>
    <w:pPr>
      <w:numPr>
        <w:numId w:val="16"/>
      </w:numPr>
    </w:pPr>
  </w:style>
  <w:style w:type="paragraph" w:styleId="ListNumber5">
    <w:name w:val="List Number 5"/>
    <w:basedOn w:val="Normal"/>
    <w:semiHidden/>
    <w:rsid w:val="00696E37"/>
    <w:pPr>
      <w:numPr>
        <w:numId w:val="17"/>
      </w:numPr>
    </w:pPr>
  </w:style>
  <w:style w:type="paragraph" w:styleId="ListBullet">
    <w:name w:val="List Bullet"/>
    <w:basedOn w:val="Normal"/>
    <w:semiHidden/>
    <w:rsid w:val="00696E37"/>
    <w:pPr>
      <w:numPr>
        <w:numId w:val="8"/>
      </w:numPr>
    </w:pPr>
  </w:style>
  <w:style w:type="paragraph" w:styleId="ListBullet2">
    <w:name w:val="List Bullet 2"/>
    <w:basedOn w:val="Normal"/>
    <w:semiHidden/>
    <w:rsid w:val="00696E37"/>
    <w:pPr>
      <w:numPr>
        <w:numId w:val="9"/>
      </w:numPr>
    </w:pPr>
  </w:style>
  <w:style w:type="paragraph" w:styleId="ListBullet3">
    <w:name w:val="List Bullet 3"/>
    <w:basedOn w:val="Normal"/>
    <w:semiHidden/>
    <w:rsid w:val="00696E37"/>
    <w:pPr>
      <w:numPr>
        <w:numId w:val="10"/>
      </w:numPr>
    </w:pPr>
  </w:style>
  <w:style w:type="paragraph" w:styleId="ListBullet4">
    <w:name w:val="List Bullet 4"/>
    <w:basedOn w:val="Normal"/>
    <w:semiHidden/>
    <w:rsid w:val="00696E37"/>
    <w:pPr>
      <w:numPr>
        <w:numId w:val="11"/>
      </w:numPr>
    </w:pPr>
  </w:style>
  <w:style w:type="paragraph" w:styleId="ListBullet5">
    <w:name w:val="List Bullet 5"/>
    <w:basedOn w:val="Normal"/>
    <w:semiHidden/>
    <w:rsid w:val="00696E37"/>
    <w:pPr>
      <w:numPr>
        <w:numId w:val="12"/>
      </w:numPr>
    </w:pPr>
  </w:style>
  <w:style w:type="character" w:styleId="HTMLTypewriter">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LineNumber">
    <w:name w:val="line number"/>
    <w:basedOn w:val="DefaultParagraphFont"/>
    <w:semiHidden/>
    <w:rsid w:val="00696E37"/>
  </w:style>
  <w:style w:type="character" w:styleId="PageNumber">
    <w:name w:val="page number"/>
    <w:aliases w:val="7_G"/>
    <w:uiPriority w:val="3"/>
    <w:qFormat/>
    <w:rsid w:val="00696E37"/>
    <w:rPr>
      <w:b/>
      <w:sz w:val="18"/>
    </w:rPr>
  </w:style>
  <w:style w:type="character" w:styleId="EndnoteReference">
    <w:name w:val="endnote reference"/>
    <w:aliases w:val="1_G"/>
    <w:uiPriority w:val="3"/>
    <w:qFormat/>
    <w:rsid w:val="00696E37"/>
    <w:rPr>
      <w:rFonts w:ascii="Times New Roman" w:hAnsi="Times New Roman"/>
      <w:sz w:val="18"/>
      <w:vertAlign w:val="superscript"/>
    </w:rPr>
  </w:style>
  <w:style w:type="paragraph" w:styleId="EnvelopeReturn">
    <w:name w:val="envelope return"/>
    <w:basedOn w:val="Normal"/>
    <w:semiHidden/>
    <w:rsid w:val="00696E37"/>
    <w:rPr>
      <w:rFonts w:ascii="Arial" w:hAnsi="Arial" w:cs="Arial"/>
    </w:rPr>
  </w:style>
  <w:style w:type="paragraph" w:styleId="Salutation">
    <w:name w:val="Salutation"/>
    <w:basedOn w:val="Normal"/>
    <w:next w:val="Normal"/>
    <w:link w:val="SalutationChar"/>
    <w:semiHidden/>
    <w:rsid w:val="00696E37"/>
  </w:style>
  <w:style w:type="paragraph" w:styleId="BodyTextIndent2">
    <w:name w:val="Body Text Indent 2"/>
    <w:basedOn w:val="Normal"/>
    <w:link w:val="BodyTextIndent2Char"/>
    <w:semiHidden/>
    <w:rsid w:val="00696E37"/>
    <w:pPr>
      <w:spacing w:after="120" w:line="480" w:lineRule="auto"/>
      <w:ind w:left="283"/>
    </w:pPr>
  </w:style>
  <w:style w:type="paragraph" w:styleId="BodyTextIndent3">
    <w:name w:val="Body Text Indent 3"/>
    <w:basedOn w:val="Normal"/>
    <w:link w:val="BodyTextIndent3Char"/>
    <w:semiHidden/>
    <w:rsid w:val="00696E37"/>
    <w:pPr>
      <w:spacing w:after="120"/>
      <w:ind w:left="283"/>
    </w:pPr>
    <w:rPr>
      <w:sz w:val="16"/>
      <w:szCs w:val="16"/>
    </w:rPr>
  </w:style>
  <w:style w:type="paragraph" w:styleId="BodyTextIndent">
    <w:name w:val="Body Text Indent"/>
    <w:basedOn w:val="Normal"/>
    <w:link w:val="BodyTextIndentChar"/>
    <w:semiHidden/>
    <w:rsid w:val="00696E37"/>
    <w:pPr>
      <w:spacing w:after="120"/>
      <w:ind w:left="283"/>
    </w:pPr>
  </w:style>
  <w:style w:type="paragraph" w:styleId="NormalIndent">
    <w:name w:val="Normal Indent"/>
    <w:basedOn w:val="Normal"/>
    <w:semiHidden/>
    <w:rsid w:val="00696E37"/>
    <w:pPr>
      <w:ind w:left="567"/>
    </w:pPr>
  </w:style>
  <w:style w:type="paragraph" w:styleId="Subtitle">
    <w:name w:val="Subtitle"/>
    <w:basedOn w:val="Normal"/>
    <w:link w:val="SubtitleChar"/>
    <w:rsid w:val="00696E37"/>
    <w:pPr>
      <w:spacing w:after="60"/>
      <w:jc w:val="center"/>
      <w:outlineLvl w:val="1"/>
    </w:pPr>
    <w:rPr>
      <w:rFonts w:ascii="Arial" w:hAnsi="Arial" w:cs="Arial"/>
      <w:sz w:val="24"/>
      <w:szCs w:val="24"/>
    </w:rPr>
  </w:style>
  <w:style w:type="table" w:styleId="TableSimple1">
    <w:name w:val="Table Simple 1"/>
    <w:basedOn w:val="Table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96E37"/>
    <w:rPr>
      <w:rFonts w:ascii="Courier New" w:hAnsi="Courier New" w:cs="Courier New"/>
      <w:sz w:val="20"/>
      <w:szCs w:val="20"/>
    </w:rPr>
  </w:style>
  <w:style w:type="paragraph" w:styleId="BlockText">
    <w:name w:val="Block Text"/>
    <w:basedOn w:val="Normal"/>
    <w:semiHidden/>
    <w:rsid w:val="00696E37"/>
    <w:pPr>
      <w:spacing w:after="120"/>
      <w:ind w:left="1440" w:right="1440"/>
    </w:pPr>
  </w:style>
  <w:style w:type="character" w:styleId="Strong">
    <w:name w:val="Strong"/>
    <w:rsid w:val="00696E37"/>
    <w:rPr>
      <w:b/>
      <w:bCs/>
    </w:rPr>
  </w:style>
  <w:style w:type="paragraph" w:styleId="BodyText">
    <w:name w:val="Body Text"/>
    <w:basedOn w:val="Normal"/>
    <w:link w:val="BodyTextChar"/>
    <w:semiHidden/>
    <w:rsid w:val="00696E37"/>
    <w:pPr>
      <w:spacing w:after="120"/>
    </w:pPr>
  </w:style>
  <w:style w:type="paragraph" w:styleId="BodyText2">
    <w:name w:val="Body Text 2"/>
    <w:basedOn w:val="Normal"/>
    <w:link w:val="BodyText2Char"/>
    <w:semiHidden/>
    <w:rsid w:val="00696E37"/>
    <w:pPr>
      <w:spacing w:after="120" w:line="480" w:lineRule="auto"/>
    </w:pPr>
  </w:style>
  <w:style w:type="paragraph" w:styleId="BodyText3">
    <w:name w:val="Body Text 3"/>
    <w:basedOn w:val="Normal"/>
    <w:link w:val="BodyText3Char"/>
    <w:semiHidden/>
    <w:rsid w:val="00696E37"/>
    <w:pPr>
      <w:spacing w:after="120"/>
    </w:pPr>
    <w:rPr>
      <w:sz w:val="16"/>
      <w:szCs w:val="16"/>
    </w:rPr>
  </w:style>
  <w:style w:type="paragraph" w:styleId="BodyTextFirstIndent">
    <w:name w:val="Body Text First Indent"/>
    <w:basedOn w:val="BodyText"/>
    <w:link w:val="BodyTextFirstIndentChar"/>
    <w:semiHidden/>
    <w:rsid w:val="00696E37"/>
    <w:pPr>
      <w:ind w:firstLine="210"/>
    </w:pPr>
  </w:style>
  <w:style w:type="paragraph" w:styleId="BodyTextFirstIndent2">
    <w:name w:val="Body Text First Indent 2"/>
    <w:basedOn w:val="BodyTextIndent"/>
    <w:link w:val="BodyTextFirstIndent2Char"/>
    <w:semiHidden/>
    <w:rsid w:val="00696E37"/>
    <w:pPr>
      <w:ind w:firstLine="210"/>
    </w:pPr>
  </w:style>
  <w:style w:type="paragraph" w:styleId="EndnoteText">
    <w:name w:val="endnote text"/>
    <w:aliases w:val="2_G"/>
    <w:basedOn w:val="FootnoteText"/>
    <w:link w:val="EndnoteTextChar"/>
    <w:uiPriority w:val="3"/>
    <w:qFormat/>
    <w:rsid w:val="00696E37"/>
  </w:style>
  <w:style w:type="paragraph" w:styleId="PlainText">
    <w:name w:val="Plain Text"/>
    <w:basedOn w:val="Normal"/>
    <w:link w:val="PlainTextChar"/>
    <w:semiHidden/>
    <w:rsid w:val="00696E37"/>
    <w:rPr>
      <w:rFonts w:ascii="Courier New" w:hAnsi="Courier New" w:cs="Courier New"/>
    </w:rPr>
  </w:style>
  <w:style w:type="paragraph" w:styleId="Title">
    <w:name w:val="Title"/>
    <w:basedOn w:val="Normal"/>
    <w:link w:val="TitleChar"/>
    <w:rsid w:val="00696E37"/>
    <w:pPr>
      <w:spacing w:before="240" w:after="60"/>
      <w:jc w:val="center"/>
      <w:outlineLvl w:val="0"/>
    </w:pPr>
    <w:rPr>
      <w:rFonts w:ascii="Arial" w:hAnsi="Arial" w:cs="Arial"/>
      <w:b/>
      <w:bCs/>
      <w:kern w:val="28"/>
      <w:sz w:val="32"/>
      <w:szCs w:val="32"/>
    </w:rPr>
  </w:style>
  <w:style w:type="character" w:styleId="HTMLVariable">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BalloonText">
    <w:name w:val="Balloon Text"/>
    <w:basedOn w:val="Normal"/>
    <w:link w:val="BalloonTextChar"/>
    <w:semiHidden/>
    <w:unhideWhenUsed/>
    <w:rsid w:val="00696E3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696E37"/>
    <w:rPr>
      <w:lang w:val="es-ES" w:eastAsia="es-ES"/>
    </w:rPr>
  </w:style>
  <w:style w:type="character" w:customStyle="1" w:styleId="BodyText2Char">
    <w:name w:val="Body Text 2 Char"/>
    <w:basedOn w:val="DefaultParagraphFont"/>
    <w:link w:val="BodyText2"/>
    <w:semiHidden/>
    <w:rsid w:val="00696E37"/>
    <w:rPr>
      <w:lang w:val="es-ES" w:eastAsia="es-ES"/>
    </w:rPr>
  </w:style>
  <w:style w:type="character" w:customStyle="1" w:styleId="BodyText3Char">
    <w:name w:val="Body Text 3 Char"/>
    <w:basedOn w:val="DefaultParagraphFont"/>
    <w:link w:val="BodyText3"/>
    <w:semiHidden/>
    <w:rsid w:val="00696E37"/>
    <w:rPr>
      <w:sz w:val="16"/>
      <w:szCs w:val="16"/>
      <w:lang w:val="es-ES" w:eastAsia="es-ES"/>
    </w:rPr>
  </w:style>
  <w:style w:type="character" w:customStyle="1" w:styleId="BodyTextFirstIndentChar">
    <w:name w:val="Body Text First Indent Char"/>
    <w:basedOn w:val="BodyTextChar"/>
    <w:link w:val="BodyTextFirstIndent"/>
    <w:semiHidden/>
    <w:rsid w:val="00696E37"/>
    <w:rPr>
      <w:lang w:val="es-ES" w:eastAsia="es-ES"/>
    </w:rPr>
  </w:style>
  <w:style w:type="character" w:customStyle="1" w:styleId="BodyTextIndentChar">
    <w:name w:val="Body Text Indent Char"/>
    <w:basedOn w:val="DefaultParagraphFont"/>
    <w:link w:val="BodyTextIndent"/>
    <w:semiHidden/>
    <w:rsid w:val="00696E37"/>
    <w:rPr>
      <w:lang w:val="es-ES" w:eastAsia="es-ES"/>
    </w:rPr>
  </w:style>
  <w:style w:type="character" w:customStyle="1" w:styleId="BodyTextFirstIndent2Char">
    <w:name w:val="Body Text First Indent 2 Char"/>
    <w:basedOn w:val="BodyTextIndentChar"/>
    <w:link w:val="BodyTextFirstIndent2"/>
    <w:semiHidden/>
    <w:rsid w:val="00696E37"/>
    <w:rPr>
      <w:lang w:val="es-ES" w:eastAsia="es-ES"/>
    </w:rPr>
  </w:style>
  <w:style w:type="character" w:customStyle="1" w:styleId="BodyTextIndent2Char">
    <w:name w:val="Body Text Indent 2 Char"/>
    <w:basedOn w:val="DefaultParagraphFont"/>
    <w:link w:val="BodyTextIndent2"/>
    <w:semiHidden/>
    <w:rsid w:val="00696E37"/>
    <w:rPr>
      <w:lang w:val="es-ES" w:eastAsia="es-ES"/>
    </w:rPr>
  </w:style>
  <w:style w:type="character" w:customStyle="1" w:styleId="BodyTextIndent3Char">
    <w:name w:val="Body Text Indent 3 Char"/>
    <w:basedOn w:val="DefaultParagraphFont"/>
    <w:link w:val="BodyTextIndent3"/>
    <w:semiHidden/>
    <w:rsid w:val="00696E37"/>
    <w:rPr>
      <w:sz w:val="16"/>
      <w:szCs w:val="16"/>
      <w:lang w:val="es-ES" w:eastAsia="es-ES"/>
    </w:rPr>
  </w:style>
  <w:style w:type="character" w:customStyle="1" w:styleId="ClosingChar">
    <w:name w:val="Closing Char"/>
    <w:basedOn w:val="DefaultParagraphFont"/>
    <w:link w:val="Closing"/>
    <w:semiHidden/>
    <w:rsid w:val="00696E37"/>
    <w:rPr>
      <w:lang w:val="es-ES" w:eastAsia="es-ES"/>
    </w:rPr>
  </w:style>
  <w:style w:type="character" w:customStyle="1" w:styleId="DateChar">
    <w:name w:val="Date Char"/>
    <w:basedOn w:val="DefaultParagraphFont"/>
    <w:link w:val="Date"/>
    <w:semiHidden/>
    <w:rsid w:val="00696E37"/>
    <w:rPr>
      <w:lang w:val="es-ES" w:eastAsia="es-ES"/>
    </w:rPr>
  </w:style>
  <w:style w:type="character" w:customStyle="1" w:styleId="E-mailSignatureChar">
    <w:name w:val="E-mail Signature Char"/>
    <w:basedOn w:val="DefaultParagraphFont"/>
    <w:link w:val="E-mailSignature"/>
    <w:semiHidden/>
    <w:rsid w:val="00696E37"/>
    <w:rPr>
      <w:lang w:val="es-ES" w:eastAsia="es-ES"/>
    </w:rPr>
  </w:style>
  <w:style w:type="character" w:customStyle="1" w:styleId="FootnoteTextChar">
    <w:name w:val="Footnote Text Char"/>
    <w:aliases w:val="5_G Char"/>
    <w:basedOn w:val="DefaultParagraphFont"/>
    <w:link w:val="FootnoteText"/>
    <w:uiPriority w:val="3"/>
    <w:rsid w:val="00696E37"/>
    <w:rPr>
      <w:sz w:val="18"/>
      <w:lang w:val="es-ES" w:eastAsia="es-ES"/>
    </w:rPr>
  </w:style>
  <w:style w:type="character" w:customStyle="1" w:styleId="EndnoteTextChar">
    <w:name w:val="Endnote Text Char"/>
    <w:aliases w:val="2_G Char"/>
    <w:basedOn w:val="DefaultParagraphFont"/>
    <w:link w:val="EndnoteText"/>
    <w:uiPriority w:val="3"/>
    <w:rsid w:val="00696E37"/>
    <w:rPr>
      <w:sz w:val="18"/>
      <w:lang w:val="es-ES" w:eastAsia="es-ES"/>
    </w:rPr>
  </w:style>
  <w:style w:type="character" w:customStyle="1" w:styleId="FooterChar">
    <w:name w:val="Footer Char"/>
    <w:aliases w:val="3_G Char"/>
    <w:basedOn w:val="DefaultParagraphFont"/>
    <w:link w:val="Footer"/>
    <w:uiPriority w:val="3"/>
    <w:rsid w:val="00696E37"/>
    <w:rPr>
      <w:sz w:val="16"/>
      <w:lang w:val="es-ES" w:eastAsia="es-ES"/>
    </w:rPr>
  </w:style>
  <w:style w:type="character" w:customStyle="1" w:styleId="HeaderChar">
    <w:name w:val="Header Char"/>
    <w:aliases w:val="6_G Char"/>
    <w:basedOn w:val="DefaultParagraphFont"/>
    <w:link w:val="Header"/>
    <w:uiPriority w:val="3"/>
    <w:rsid w:val="00696E37"/>
    <w:rPr>
      <w:b/>
      <w:sz w:val="18"/>
      <w:lang w:val="es-ES" w:eastAsia="es-ES"/>
    </w:rPr>
  </w:style>
  <w:style w:type="character" w:customStyle="1" w:styleId="Heading1Char">
    <w:name w:val="Heading 1 Char"/>
    <w:aliases w:val="Cuadro_G Char,Table_G Char"/>
    <w:basedOn w:val="DefaultParagraphFont"/>
    <w:link w:val="Heading1"/>
    <w:uiPriority w:val="9"/>
    <w:rsid w:val="00696E37"/>
    <w:rPr>
      <w:lang w:val="fr-CH" w:eastAsia="en-US"/>
    </w:rPr>
  </w:style>
  <w:style w:type="character" w:customStyle="1" w:styleId="HTMLAddressChar">
    <w:name w:val="HTML Address Char"/>
    <w:basedOn w:val="DefaultParagraphFont"/>
    <w:link w:val="HTMLAddress"/>
    <w:semiHidden/>
    <w:rsid w:val="00696E37"/>
    <w:rPr>
      <w:i/>
      <w:iCs/>
      <w:lang w:val="es-ES" w:eastAsia="es-ES"/>
    </w:rPr>
  </w:style>
  <w:style w:type="character" w:customStyle="1" w:styleId="HTMLPreformattedChar">
    <w:name w:val="HTML Preformatted Char"/>
    <w:basedOn w:val="DefaultParagraphFont"/>
    <w:link w:val="HTMLPreformatted"/>
    <w:semiHidden/>
    <w:rsid w:val="00696E37"/>
    <w:rPr>
      <w:rFonts w:ascii="Courier New" w:hAnsi="Courier New" w:cs="Courier New"/>
      <w:lang w:val="es-ES" w:eastAsia="es-ES"/>
    </w:rPr>
  </w:style>
  <w:style w:type="character" w:styleId="IntenseEmphasis">
    <w:name w:val="Intense Emphasis"/>
    <w:uiPriority w:val="21"/>
    <w:rsid w:val="00696E37"/>
    <w:rPr>
      <w:b/>
      <w:bCs/>
      <w:i/>
      <w:iCs/>
      <w:color w:val="4F81BD"/>
    </w:rPr>
  </w:style>
  <w:style w:type="paragraph" w:styleId="IntenseQuote">
    <w:name w:val="Intense Quote"/>
    <w:basedOn w:val="Normal"/>
    <w:next w:val="Normal"/>
    <w:link w:val="IntenseQuoteChar"/>
    <w:uiPriority w:val="30"/>
    <w:rsid w:val="00696E3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96E37"/>
    <w:rPr>
      <w:b/>
      <w:bCs/>
      <w:i/>
      <w:iCs/>
      <w:color w:val="4F81BD"/>
      <w:lang w:val="es-ES" w:eastAsia="es-ES"/>
    </w:rPr>
  </w:style>
  <w:style w:type="character" w:customStyle="1" w:styleId="MessageHeaderChar">
    <w:name w:val="Message Header Char"/>
    <w:basedOn w:val="DefaultParagraphFont"/>
    <w:link w:val="MessageHeader"/>
    <w:semiHidden/>
    <w:rsid w:val="00696E37"/>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696E37"/>
    <w:rPr>
      <w:lang w:val="es-ES" w:eastAsia="es-ES"/>
    </w:rPr>
  </w:style>
  <w:style w:type="character" w:customStyle="1" w:styleId="PlainTextChar">
    <w:name w:val="Plain Text Char"/>
    <w:basedOn w:val="DefaultParagraphFont"/>
    <w:link w:val="PlainText"/>
    <w:semiHidden/>
    <w:rsid w:val="00696E37"/>
    <w:rPr>
      <w:rFonts w:ascii="Courier New" w:hAnsi="Courier New" w:cs="Courier New"/>
      <w:lang w:val="es-ES" w:eastAsia="es-ES"/>
    </w:rPr>
  </w:style>
  <w:style w:type="character" w:customStyle="1" w:styleId="SalutationChar">
    <w:name w:val="Salutation Char"/>
    <w:basedOn w:val="DefaultParagraphFont"/>
    <w:link w:val="Salutation"/>
    <w:semiHidden/>
    <w:rsid w:val="00696E37"/>
    <w:rPr>
      <w:lang w:val="es-ES" w:eastAsia="es-ES"/>
    </w:rPr>
  </w:style>
  <w:style w:type="character" w:customStyle="1" w:styleId="SignatureChar">
    <w:name w:val="Signature Char"/>
    <w:basedOn w:val="DefaultParagraphFont"/>
    <w:link w:val="Signature"/>
    <w:semiHidden/>
    <w:rsid w:val="00696E37"/>
    <w:rPr>
      <w:lang w:val="es-ES" w:eastAsia="es-ES"/>
    </w:rPr>
  </w:style>
  <w:style w:type="character" w:customStyle="1" w:styleId="SubtitleChar">
    <w:name w:val="Subtitle Char"/>
    <w:basedOn w:val="DefaultParagraphFont"/>
    <w:link w:val="Subtitle"/>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rsid w:val="00696E37"/>
    <w:rPr>
      <w:rFonts w:ascii="Arial" w:hAnsi="Arial" w:cs="Arial"/>
      <w:b/>
      <w:bCs/>
      <w:kern w:val="28"/>
      <w:sz w:val="32"/>
      <w:szCs w:val="32"/>
      <w:lang w:val="es-ES" w:eastAsia="es-ES"/>
    </w:rPr>
  </w:style>
  <w:style w:type="paragraph" w:styleId="TO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696E37"/>
    <w:pPr>
      <w:tabs>
        <w:tab w:val="clear" w:pos="851"/>
      </w:tabs>
      <w:ind w:left="1559" w:hanging="425"/>
    </w:pPr>
  </w:style>
  <w:style w:type="paragraph" w:styleId="TOC3">
    <w:name w:val="toc 3"/>
    <w:basedOn w:val="TOC2"/>
    <w:next w:val="Normal"/>
    <w:uiPriority w:val="5"/>
    <w:unhideWhenUsed/>
    <w:rsid w:val="00696E37"/>
    <w:pPr>
      <w:tabs>
        <w:tab w:val="left" w:pos="1985"/>
      </w:tabs>
      <w:ind w:left="1984"/>
    </w:pPr>
  </w:style>
  <w:style w:type="paragraph" w:styleId="TOC4">
    <w:name w:val="toc 4"/>
    <w:basedOn w:val="TOC1"/>
    <w:next w:val="Normal"/>
    <w:uiPriority w:val="5"/>
    <w:unhideWhenUsed/>
    <w:rsid w:val="00696E37"/>
    <w:pPr>
      <w:tabs>
        <w:tab w:val="clear" w:pos="9072"/>
        <w:tab w:val="left" w:leader="dot" w:pos="7938"/>
        <w:tab w:val="right" w:pos="8930"/>
      </w:tabs>
      <w:ind w:right="1701"/>
    </w:pPr>
  </w:style>
  <w:style w:type="paragraph" w:styleId="TOC5">
    <w:name w:val="toc 5"/>
    <w:basedOn w:val="TOC4"/>
    <w:next w:val="Normal"/>
    <w:uiPriority w:val="5"/>
    <w:unhideWhenUsed/>
    <w:rsid w:val="00696E37"/>
    <w:pPr>
      <w:tabs>
        <w:tab w:val="clear" w:pos="851"/>
      </w:tabs>
      <w:ind w:left="1559" w:hanging="425"/>
    </w:pPr>
  </w:style>
  <w:style w:type="paragraph" w:styleId="TOC6">
    <w:name w:val="toc 6"/>
    <w:basedOn w:val="TOC5"/>
    <w:next w:val="Normal"/>
    <w:uiPriority w:val="5"/>
    <w:unhideWhenUsed/>
    <w:rsid w:val="00696E37"/>
    <w:pPr>
      <w:tabs>
        <w:tab w:val="left" w:pos="1985"/>
      </w:tabs>
      <w:ind w:left="1984"/>
    </w:pPr>
  </w:style>
  <w:style w:type="character" w:customStyle="1" w:styleId="Heading2Char">
    <w:name w:val="Heading 2 Char"/>
    <w:basedOn w:val="DefaultParagraphFont"/>
    <w:link w:val="Heading2"/>
    <w:semiHidden/>
    <w:rsid w:val="009B22A1"/>
    <w:rPr>
      <w:rFonts w:cs="Arial"/>
      <w:bCs/>
      <w:iCs/>
      <w:szCs w:val="28"/>
      <w:lang w:val="es-ES" w:eastAsia="es-ES"/>
    </w:rPr>
  </w:style>
  <w:style w:type="character" w:customStyle="1" w:styleId="Heading3Char">
    <w:name w:val="Heading 3 Char"/>
    <w:basedOn w:val="DefaultParagraphFont"/>
    <w:link w:val="Heading3"/>
    <w:semiHidden/>
    <w:rsid w:val="009B22A1"/>
    <w:rPr>
      <w:rFonts w:ascii="Arial" w:hAnsi="Arial" w:cs="Arial"/>
      <w:b/>
      <w:bCs/>
      <w:sz w:val="26"/>
      <w:szCs w:val="26"/>
      <w:lang w:val="es-ES" w:eastAsia="es-ES"/>
    </w:rPr>
  </w:style>
  <w:style w:type="character" w:customStyle="1" w:styleId="Heading4Char">
    <w:name w:val="Heading 4 Char"/>
    <w:basedOn w:val="DefaultParagraphFont"/>
    <w:link w:val="Heading4"/>
    <w:semiHidden/>
    <w:rsid w:val="009B22A1"/>
    <w:rPr>
      <w:b/>
      <w:bCs/>
      <w:sz w:val="28"/>
      <w:szCs w:val="28"/>
      <w:lang w:val="es-ES" w:eastAsia="es-ES"/>
    </w:rPr>
  </w:style>
  <w:style w:type="character" w:customStyle="1" w:styleId="Heading5Char">
    <w:name w:val="Heading 5 Char"/>
    <w:basedOn w:val="DefaultParagraphFont"/>
    <w:link w:val="Heading5"/>
    <w:semiHidden/>
    <w:rsid w:val="009B22A1"/>
    <w:rPr>
      <w:b/>
      <w:bCs/>
      <w:i/>
      <w:iCs/>
      <w:sz w:val="26"/>
      <w:szCs w:val="26"/>
      <w:lang w:val="es-ES" w:eastAsia="es-ES"/>
    </w:rPr>
  </w:style>
  <w:style w:type="character" w:customStyle="1" w:styleId="Heading6Char">
    <w:name w:val="Heading 6 Char"/>
    <w:basedOn w:val="DefaultParagraphFont"/>
    <w:link w:val="Heading6"/>
    <w:semiHidden/>
    <w:rsid w:val="009B22A1"/>
    <w:rPr>
      <w:b/>
      <w:bCs/>
      <w:sz w:val="22"/>
      <w:szCs w:val="22"/>
      <w:lang w:val="es-ES" w:eastAsia="es-ES"/>
    </w:rPr>
  </w:style>
  <w:style w:type="character" w:customStyle="1" w:styleId="Heading7Char">
    <w:name w:val="Heading 7 Char"/>
    <w:basedOn w:val="DefaultParagraphFont"/>
    <w:link w:val="Heading7"/>
    <w:semiHidden/>
    <w:rsid w:val="009B22A1"/>
    <w:rPr>
      <w:sz w:val="24"/>
      <w:szCs w:val="24"/>
      <w:lang w:val="es-ES" w:eastAsia="es-ES"/>
    </w:rPr>
  </w:style>
  <w:style w:type="character" w:customStyle="1" w:styleId="Heading8Char">
    <w:name w:val="Heading 8 Char"/>
    <w:basedOn w:val="DefaultParagraphFont"/>
    <w:link w:val="Heading8"/>
    <w:semiHidden/>
    <w:rsid w:val="009B22A1"/>
    <w:rPr>
      <w:i/>
      <w:iCs/>
      <w:sz w:val="24"/>
      <w:szCs w:val="24"/>
      <w:lang w:val="es-ES" w:eastAsia="es-ES"/>
    </w:rPr>
  </w:style>
  <w:style w:type="character" w:customStyle="1" w:styleId="Heading9Char">
    <w:name w:val="Heading 9 Char"/>
    <w:basedOn w:val="DefaultParagraphFont"/>
    <w:link w:val="Heading9"/>
    <w:semiHidden/>
    <w:rsid w:val="009B22A1"/>
    <w:rPr>
      <w:rFonts w:ascii="Arial" w:hAnsi="Arial" w:cs="Arial"/>
      <w:sz w:val="22"/>
      <w:szCs w:val="22"/>
      <w:lang w:val="es-ES" w:eastAsia="es-ES"/>
    </w:rPr>
  </w:style>
  <w:style w:type="character" w:styleId="BookTitle">
    <w:name w:val="Book Title"/>
    <w:basedOn w:val="DefaultParagraphFont"/>
    <w:uiPriority w:val="33"/>
    <w:rsid w:val="009B22A1"/>
    <w:rPr>
      <w:b/>
      <w:bCs/>
      <w:smallCaps/>
      <w:spacing w:val="5"/>
    </w:rPr>
  </w:style>
  <w:style w:type="character" w:styleId="CommentReference">
    <w:name w:val="annotation reference"/>
    <w:basedOn w:val="DefaultParagraphFont"/>
    <w:uiPriority w:val="99"/>
    <w:semiHidden/>
    <w:unhideWhenUsed/>
    <w:rsid w:val="009B22A1"/>
    <w:rPr>
      <w:sz w:val="16"/>
      <w:szCs w:val="16"/>
    </w:rPr>
  </w:style>
  <w:style w:type="paragraph" w:styleId="CommentText">
    <w:name w:val="annotation text"/>
    <w:basedOn w:val="Normal"/>
    <w:link w:val="CommentTextChar"/>
    <w:uiPriority w:val="99"/>
    <w:semiHidden/>
    <w:unhideWhenUsed/>
    <w:rsid w:val="009B22A1"/>
    <w:pPr>
      <w:spacing w:line="240" w:lineRule="auto"/>
    </w:pPr>
    <w:rPr>
      <w:rFonts w:eastAsia="SimSun"/>
      <w:lang w:val="en-GB" w:eastAsia="zh-CN"/>
    </w:rPr>
  </w:style>
  <w:style w:type="character" w:customStyle="1" w:styleId="CommentTextChar">
    <w:name w:val="Comment Text Char"/>
    <w:basedOn w:val="DefaultParagraphFont"/>
    <w:link w:val="CommentText"/>
    <w:uiPriority w:val="99"/>
    <w:semiHidden/>
    <w:rsid w:val="009B22A1"/>
    <w:rPr>
      <w:rFonts w:eastAsia="SimSun"/>
      <w:lang w:val="en-GB"/>
    </w:rPr>
  </w:style>
  <w:style w:type="paragraph" w:styleId="CommentSubject">
    <w:name w:val="annotation subject"/>
    <w:basedOn w:val="CommentText"/>
    <w:next w:val="CommentText"/>
    <w:link w:val="CommentSubjectChar"/>
    <w:uiPriority w:val="99"/>
    <w:semiHidden/>
    <w:unhideWhenUsed/>
    <w:rsid w:val="009B22A1"/>
    <w:rPr>
      <w:b/>
      <w:bCs/>
    </w:rPr>
  </w:style>
  <w:style w:type="character" w:customStyle="1" w:styleId="CommentSubjectChar">
    <w:name w:val="Comment Subject Char"/>
    <w:basedOn w:val="CommentTextChar"/>
    <w:link w:val="CommentSubject"/>
    <w:uiPriority w:val="99"/>
    <w:semiHidden/>
    <w:rsid w:val="009B22A1"/>
    <w:rPr>
      <w:rFonts w:eastAsia="SimSun"/>
      <w:b/>
      <w:bCs/>
      <w:lang w:val="en-GB"/>
    </w:rPr>
  </w:style>
  <w:style w:type="character" w:styleId="UnresolvedMention">
    <w:name w:val="Unresolved Mention"/>
    <w:basedOn w:val="DefaultParagraphFont"/>
    <w:uiPriority w:val="99"/>
    <w:semiHidden/>
    <w:unhideWhenUsed/>
    <w:rsid w:val="009B22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chrance.cz/en/discrimination/assistance-to-victims-of-discrimin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21</Pages>
  <Words>12173</Words>
  <Characters>69390</Characters>
  <Application>Microsoft Office Word</Application>
  <DocSecurity>0</DocSecurity>
  <Lines>578</Lines>
  <Paragraphs>162</Paragraphs>
  <ScaleCrop>false</ScaleCrop>
  <HeadingPairs>
    <vt:vector size="2" baseType="variant">
      <vt:variant>
        <vt:lpstr>Título</vt:lpstr>
      </vt:variant>
      <vt:variant>
        <vt:i4>1</vt:i4>
      </vt:variant>
    </vt:vector>
  </HeadingPairs>
  <TitlesOfParts>
    <vt:vector size="1" baseType="lpstr">
      <vt:lpstr>E/C.12/CZE/RQ/3</vt:lpstr>
    </vt:vector>
  </TitlesOfParts>
  <Company/>
  <LinksUpToDate>false</LinksUpToDate>
  <CharactersWithSpaces>81401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E/C.12/CZE/RQ/3</dc:title>
  <dc:subject/>
  <dc:creator>Angel ANGEL-MORENO-TORRES</dc:creator>
  <cp:keywords/>
  <cp:lastModifiedBy>Maria Luisa Zeballos Moreno</cp:lastModifiedBy>
  <cp:revision>3</cp:revision>
  <cp:lastPrinted>2021-08-20T12:32:00Z</cp:lastPrinted>
  <dcterms:created xsi:type="dcterms:W3CDTF">2021-08-20T12:32:00Z</dcterms:created>
  <dcterms:modified xsi:type="dcterms:W3CDTF">2021-08-20T12:33:00Z</dcterms:modified>
</cp:coreProperties>
</file>