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B66CB9" w:rsidTr="005D3846">
        <w:trPr>
          <w:trHeight w:hRule="exact" w:val="851"/>
        </w:trPr>
        <w:tc>
          <w:tcPr>
            <w:tcW w:w="1280" w:type="dxa"/>
            <w:tcBorders>
              <w:bottom w:val="single" w:sz="4" w:space="0" w:color="auto"/>
            </w:tcBorders>
          </w:tcPr>
          <w:p w:rsidR="00816936" w:rsidRPr="00B66CB9" w:rsidRDefault="00816936" w:rsidP="005D3846">
            <w:pPr>
              <w:pStyle w:val="H23GC"/>
            </w:pPr>
          </w:p>
        </w:tc>
        <w:tc>
          <w:tcPr>
            <w:tcW w:w="2273" w:type="dxa"/>
            <w:tcBorders>
              <w:bottom w:val="single" w:sz="4" w:space="0" w:color="auto"/>
            </w:tcBorders>
            <w:vAlign w:val="bottom"/>
          </w:tcPr>
          <w:p w:rsidR="00816936" w:rsidRPr="00B66CB9" w:rsidRDefault="00816936" w:rsidP="005D3846">
            <w:pPr>
              <w:spacing w:after="80" w:line="300" w:lineRule="exact"/>
              <w:rPr>
                <w:rFonts w:ascii="Time New Roman" w:eastAsia="黑体" w:hAnsi="Time New Roman" w:hint="eastAsia"/>
                <w:sz w:val="28"/>
              </w:rPr>
            </w:pPr>
            <w:r w:rsidRPr="00B66CB9">
              <w:rPr>
                <w:rFonts w:ascii="宋体" w:eastAsia="黑体" w:hAnsi="宋体" w:cs="宋体" w:hint="eastAsia"/>
                <w:sz w:val="28"/>
              </w:rPr>
              <w:t>联</w:t>
            </w:r>
            <w:r w:rsidRPr="00B66CB9">
              <w:rPr>
                <w:rFonts w:ascii="Time New Roman" w:eastAsia="黑体" w:hAnsi="Time New Roman" w:hint="eastAsia"/>
                <w:sz w:val="28"/>
              </w:rPr>
              <w:t xml:space="preserve"> </w:t>
            </w:r>
            <w:r w:rsidRPr="00B66CB9">
              <w:rPr>
                <w:rFonts w:ascii="宋体" w:eastAsia="黑体" w:hAnsi="宋体" w:cs="宋体" w:hint="eastAsia"/>
                <w:sz w:val="28"/>
              </w:rPr>
              <w:t>合</w:t>
            </w:r>
            <w:r w:rsidRPr="00B66CB9">
              <w:rPr>
                <w:rFonts w:ascii="Time New Roman" w:eastAsia="黑体" w:hAnsi="Time New Roman" w:hint="eastAsia"/>
                <w:sz w:val="28"/>
              </w:rPr>
              <w:t xml:space="preserve"> </w:t>
            </w:r>
            <w:r w:rsidRPr="00B66CB9">
              <w:rPr>
                <w:rFonts w:ascii="宋体" w:eastAsia="黑体" w:hAnsi="宋体" w:cs="宋体" w:hint="eastAsia"/>
                <w:sz w:val="28"/>
              </w:rPr>
              <w:t>国</w:t>
            </w:r>
          </w:p>
        </w:tc>
        <w:tc>
          <w:tcPr>
            <w:tcW w:w="6086" w:type="dxa"/>
            <w:gridSpan w:val="2"/>
            <w:tcBorders>
              <w:bottom w:val="single" w:sz="4" w:space="0" w:color="auto"/>
            </w:tcBorders>
            <w:vAlign w:val="bottom"/>
          </w:tcPr>
          <w:p w:rsidR="00816936" w:rsidRPr="00B66CB9" w:rsidRDefault="00AF2786" w:rsidP="005D3846">
            <w:pPr>
              <w:spacing w:line="240" w:lineRule="atLeast"/>
              <w:jc w:val="right"/>
              <w:rPr>
                <w:sz w:val="20"/>
                <w:szCs w:val="21"/>
              </w:rPr>
            </w:pPr>
            <w:r w:rsidRPr="00B66CB9">
              <w:rPr>
                <w:sz w:val="40"/>
                <w:szCs w:val="21"/>
              </w:rPr>
              <w:t>CRPD</w:t>
            </w:r>
            <w:r w:rsidRPr="00B66CB9">
              <w:rPr>
                <w:sz w:val="20"/>
                <w:szCs w:val="21"/>
              </w:rPr>
              <w:t>/C/SLV/CO/2-3</w:t>
            </w:r>
          </w:p>
        </w:tc>
      </w:tr>
      <w:tr w:rsidR="00816936" w:rsidRPr="00B66CB9" w:rsidTr="005D3846">
        <w:trPr>
          <w:trHeight w:hRule="exact" w:val="2835"/>
        </w:trPr>
        <w:tc>
          <w:tcPr>
            <w:tcW w:w="1280" w:type="dxa"/>
            <w:tcBorders>
              <w:top w:val="single" w:sz="4" w:space="0" w:color="auto"/>
              <w:bottom w:val="single" w:sz="12" w:space="0" w:color="auto"/>
            </w:tcBorders>
          </w:tcPr>
          <w:p w:rsidR="00816936" w:rsidRPr="00B66CB9" w:rsidRDefault="00816936" w:rsidP="005D3846">
            <w:pPr>
              <w:spacing w:line="120" w:lineRule="atLeast"/>
              <w:rPr>
                <w:sz w:val="10"/>
                <w:szCs w:val="10"/>
              </w:rPr>
            </w:pPr>
          </w:p>
          <w:p w:rsidR="00816936" w:rsidRPr="00B66CB9" w:rsidRDefault="00816936" w:rsidP="005D3846">
            <w:pPr>
              <w:spacing w:line="120" w:lineRule="atLeast"/>
              <w:rPr>
                <w:sz w:val="10"/>
                <w:szCs w:val="10"/>
              </w:rPr>
            </w:pPr>
            <w:r w:rsidRPr="00B66CB9">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B66CB9" w:rsidRDefault="00816936" w:rsidP="005D3846">
            <w:pPr>
              <w:spacing w:before="160" w:line="240" w:lineRule="auto"/>
              <w:rPr>
                <w:rFonts w:eastAsia="黑体"/>
                <w:spacing w:val="10"/>
                <w:sz w:val="36"/>
                <w:szCs w:val="36"/>
              </w:rPr>
            </w:pPr>
            <w:r w:rsidRPr="00B66CB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B66CB9" w:rsidRDefault="00816936" w:rsidP="005D3846">
            <w:pPr>
              <w:spacing w:before="240" w:line="240" w:lineRule="atLeast"/>
              <w:rPr>
                <w:sz w:val="20"/>
              </w:rPr>
            </w:pPr>
            <w:r w:rsidRPr="00B66CB9">
              <w:rPr>
                <w:sz w:val="20"/>
              </w:rPr>
              <w:t>Distr.: General</w:t>
            </w:r>
          </w:p>
          <w:p w:rsidR="00816936" w:rsidRPr="00B66CB9" w:rsidRDefault="00643CFA" w:rsidP="005D3846">
            <w:pPr>
              <w:spacing w:line="240" w:lineRule="atLeast"/>
              <w:rPr>
                <w:sz w:val="20"/>
              </w:rPr>
            </w:pPr>
            <w:r w:rsidRPr="00B66CB9">
              <w:rPr>
                <w:sz w:val="20"/>
              </w:rPr>
              <w:t xml:space="preserve">1 October </w:t>
            </w:r>
            <w:r w:rsidR="00B44B82" w:rsidRPr="00B66CB9">
              <w:rPr>
                <w:sz w:val="20"/>
              </w:rPr>
              <w:t>201</w:t>
            </w:r>
            <w:r w:rsidR="000B4967" w:rsidRPr="00B66CB9">
              <w:rPr>
                <w:sz w:val="20"/>
              </w:rPr>
              <w:t>9</w:t>
            </w:r>
          </w:p>
          <w:p w:rsidR="00816936" w:rsidRPr="00B66CB9" w:rsidRDefault="00816936" w:rsidP="005D3846">
            <w:pPr>
              <w:spacing w:line="240" w:lineRule="atLeast"/>
              <w:rPr>
                <w:sz w:val="20"/>
              </w:rPr>
            </w:pPr>
            <w:r w:rsidRPr="00B66CB9">
              <w:rPr>
                <w:sz w:val="20"/>
              </w:rPr>
              <w:t xml:space="preserve">Chinese </w:t>
            </w:r>
          </w:p>
          <w:p w:rsidR="00816936" w:rsidRPr="00B66CB9" w:rsidRDefault="00816936" w:rsidP="005D3846">
            <w:pPr>
              <w:spacing w:line="240" w:lineRule="atLeast"/>
            </w:pPr>
            <w:r w:rsidRPr="00B66CB9">
              <w:rPr>
                <w:sz w:val="20"/>
              </w:rPr>
              <w:t>Original: English</w:t>
            </w:r>
          </w:p>
        </w:tc>
      </w:tr>
    </w:tbl>
    <w:p w:rsidR="00816936" w:rsidRPr="00B66CB9" w:rsidRDefault="00816936" w:rsidP="00816936">
      <w:pPr>
        <w:spacing w:before="120"/>
        <w:rPr>
          <w:rFonts w:eastAsia="黑体"/>
          <w:sz w:val="24"/>
          <w:szCs w:val="24"/>
          <w:lang w:val="fr-CH"/>
        </w:rPr>
      </w:pPr>
      <w:r w:rsidRPr="00B66CB9">
        <w:rPr>
          <w:rFonts w:eastAsia="黑体" w:hint="eastAsia"/>
          <w:sz w:val="24"/>
          <w:szCs w:val="24"/>
          <w:lang w:val="fr-CH"/>
        </w:rPr>
        <w:t>残疾人权利委员会</w:t>
      </w:r>
    </w:p>
    <w:p w:rsidR="003B600B" w:rsidRPr="00B66CB9" w:rsidRDefault="003B600B" w:rsidP="00B54951">
      <w:pPr>
        <w:pStyle w:val="HChGC"/>
      </w:pPr>
      <w:r w:rsidRPr="00B66CB9">
        <w:tab/>
      </w:r>
      <w:r w:rsidRPr="00B66CB9">
        <w:tab/>
      </w:r>
      <w:r w:rsidRPr="00B66CB9">
        <w:t>关于萨尔瓦多第二次和第三次合并定期报告的结论性意见</w:t>
      </w:r>
      <w:r w:rsidRPr="00B66CB9">
        <w:rPr>
          <w:bCs/>
        </w:rPr>
        <w:footnoteReference w:customMarkFollows="1" w:id="2"/>
        <w:t>*</w:t>
      </w:r>
    </w:p>
    <w:p w:rsidR="003B600B" w:rsidRPr="00B66CB9" w:rsidRDefault="003B600B" w:rsidP="00B54951">
      <w:pPr>
        <w:pStyle w:val="HChGC"/>
      </w:pPr>
      <w:r w:rsidRPr="00B66CB9">
        <w:tab/>
      </w:r>
      <w:r w:rsidRPr="00B66CB9">
        <w:t>一</w:t>
      </w:r>
      <w:r w:rsidR="00B54951" w:rsidRPr="00B66CB9">
        <w:rPr>
          <w:rFonts w:hint="eastAsia"/>
        </w:rPr>
        <w:t>.</w:t>
      </w:r>
      <w:r w:rsidR="00B54951" w:rsidRPr="00B66CB9">
        <w:tab/>
      </w:r>
      <w:r w:rsidRPr="00B66CB9">
        <w:t>导言</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委员会在</w:t>
      </w:r>
      <w:r w:rsidRPr="00B66CB9">
        <w:rPr>
          <w:rFonts w:asciiTheme="majorBidi" w:eastAsiaTheme="minorEastAsia" w:hAnsiTheme="majorBidi" w:cstheme="majorBidi"/>
          <w:szCs w:val="21"/>
        </w:rPr>
        <w:t>2019</w:t>
      </w:r>
      <w:r w:rsidRPr="00B66CB9">
        <w:rPr>
          <w:rFonts w:asciiTheme="majorBidi" w:eastAsiaTheme="minorEastAsia" w:hAnsiTheme="majorBidi" w:cstheme="majorBidi"/>
          <w:szCs w:val="21"/>
        </w:rPr>
        <w:t>年</w:t>
      </w:r>
      <w:r w:rsidRPr="00B66CB9">
        <w:rPr>
          <w:rFonts w:asciiTheme="majorBidi" w:eastAsiaTheme="minorEastAsia" w:hAnsiTheme="majorBidi" w:cstheme="majorBidi"/>
          <w:szCs w:val="21"/>
        </w:rPr>
        <w:t>9</w:t>
      </w:r>
      <w:r w:rsidRPr="00B66CB9">
        <w:rPr>
          <w:rFonts w:asciiTheme="majorBidi" w:eastAsiaTheme="minorEastAsia" w:hAnsiTheme="majorBidi" w:cstheme="majorBidi"/>
          <w:szCs w:val="21"/>
        </w:rPr>
        <w:t>月</w:t>
      </w:r>
      <w:r w:rsidRPr="00B66CB9">
        <w:rPr>
          <w:rFonts w:asciiTheme="majorBidi" w:eastAsiaTheme="minorEastAsia" w:hAnsiTheme="majorBidi" w:cstheme="majorBidi"/>
          <w:szCs w:val="21"/>
        </w:rPr>
        <w:t>11</w:t>
      </w:r>
      <w:r w:rsidRPr="00B66CB9">
        <w:rPr>
          <w:rFonts w:asciiTheme="majorBidi" w:eastAsiaTheme="minorEastAsia" w:hAnsiTheme="majorBidi" w:cstheme="majorBidi"/>
          <w:szCs w:val="21"/>
        </w:rPr>
        <w:t>日和</w:t>
      </w:r>
      <w:r w:rsidRPr="00B66CB9">
        <w:rPr>
          <w:rFonts w:asciiTheme="majorBidi" w:eastAsiaTheme="minorEastAsia" w:hAnsiTheme="majorBidi" w:cstheme="majorBidi"/>
          <w:szCs w:val="21"/>
        </w:rPr>
        <w:t>12</w:t>
      </w:r>
      <w:r w:rsidRPr="00B66CB9">
        <w:rPr>
          <w:rFonts w:asciiTheme="majorBidi" w:eastAsiaTheme="minorEastAsia" w:hAnsiTheme="majorBidi" w:cstheme="majorBidi"/>
          <w:szCs w:val="21"/>
        </w:rPr>
        <w:t>日举行的第</w:t>
      </w:r>
      <w:r w:rsidRPr="00B66CB9">
        <w:rPr>
          <w:rFonts w:asciiTheme="majorBidi" w:eastAsiaTheme="minorEastAsia" w:hAnsiTheme="majorBidi" w:cstheme="majorBidi"/>
          <w:szCs w:val="21"/>
        </w:rPr>
        <w:t>497</w:t>
      </w:r>
      <w:r w:rsidRPr="00B66CB9">
        <w:rPr>
          <w:rFonts w:asciiTheme="majorBidi" w:eastAsiaTheme="minorEastAsia" w:hAnsiTheme="majorBidi" w:cstheme="majorBidi"/>
          <w:szCs w:val="21"/>
        </w:rPr>
        <w:t>和</w:t>
      </w:r>
      <w:r w:rsidRPr="00B66CB9">
        <w:rPr>
          <w:rFonts w:asciiTheme="majorBidi" w:eastAsiaTheme="minorEastAsia" w:hAnsiTheme="majorBidi" w:cstheme="majorBidi"/>
          <w:szCs w:val="21"/>
        </w:rPr>
        <w:t>498</w:t>
      </w:r>
      <w:r w:rsidRPr="00B66CB9">
        <w:rPr>
          <w:rFonts w:asciiTheme="majorBidi" w:eastAsiaTheme="minorEastAsia" w:hAnsiTheme="majorBidi" w:cstheme="majorBidi"/>
          <w:szCs w:val="21"/>
        </w:rPr>
        <w:t>次会议</w:t>
      </w:r>
      <w:r w:rsidRPr="00B66CB9">
        <w:rPr>
          <w:rFonts w:asciiTheme="majorBidi" w:eastAsiaTheme="minorEastAsia" w:hAnsiTheme="majorBidi" w:cstheme="majorBidi"/>
          <w:szCs w:val="21"/>
        </w:rPr>
        <w:t>(</w:t>
      </w:r>
      <w:r w:rsidRPr="00B66CB9">
        <w:rPr>
          <w:rFonts w:asciiTheme="majorBidi" w:eastAsiaTheme="minorEastAsia" w:hAnsiTheme="majorBidi" w:cstheme="majorBidi"/>
          <w:szCs w:val="21"/>
        </w:rPr>
        <w:t>见</w:t>
      </w:r>
      <w:proofErr w:type="spellStart"/>
      <w:r w:rsidRPr="00B66CB9">
        <w:rPr>
          <w:rFonts w:asciiTheme="majorBidi" w:eastAsiaTheme="minorEastAsia" w:hAnsiTheme="majorBidi" w:cstheme="majorBidi"/>
          <w:szCs w:val="21"/>
        </w:rPr>
        <w:t>CRPD</w:t>
      </w:r>
      <w:proofErr w:type="spellEnd"/>
      <w:r w:rsidRPr="00B66CB9">
        <w:rPr>
          <w:rFonts w:asciiTheme="majorBidi" w:eastAsiaTheme="minorEastAsia" w:hAnsiTheme="majorBidi" w:cstheme="majorBidi"/>
          <w:szCs w:val="21"/>
        </w:rPr>
        <w:t>/C/</w:t>
      </w:r>
      <w:r w:rsidR="00B218F1">
        <w:rPr>
          <w:rFonts w:asciiTheme="majorBidi" w:eastAsiaTheme="minorEastAsia" w:hAnsiTheme="majorBidi" w:cstheme="majorBidi"/>
          <w:szCs w:val="21"/>
        </w:rPr>
        <w:t xml:space="preserve"> </w:t>
      </w:r>
      <w:proofErr w:type="spellStart"/>
      <w:r w:rsidRPr="00B66CB9">
        <w:rPr>
          <w:rFonts w:asciiTheme="majorBidi" w:eastAsiaTheme="minorEastAsia" w:hAnsiTheme="majorBidi" w:cstheme="majorBidi"/>
          <w:szCs w:val="21"/>
        </w:rPr>
        <w:t>SR.497</w:t>
      </w:r>
      <w:proofErr w:type="spellEnd"/>
      <w:r w:rsidRPr="00B66CB9">
        <w:rPr>
          <w:rFonts w:asciiTheme="majorBidi" w:eastAsiaTheme="minorEastAsia" w:hAnsiTheme="majorBidi" w:cstheme="majorBidi"/>
          <w:szCs w:val="21"/>
        </w:rPr>
        <w:t>和</w:t>
      </w:r>
      <w:r w:rsidRPr="00B66CB9">
        <w:rPr>
          <w:rFonts w:asciiTheme="majorBidi" w:eastAsiaTheme="minorEastAsia" w:hAnsiTheme="majorBidi" w:cstheme="majorBidi"/>
          <w:szCs w:val="21"/>
        </w:rPr>
        <w:t>498)</w:t>
      </w:r>
      <w:r w:rsidRPr="00B66CB9">
        <w:rPr>
          <w:rFonts w:asciiTheme="majorBidi" w:eastAsiaTheme="minorEastAsia" w:hAnsiTheme="majorBidi" w:cstheme="majorBidi"/>
          <w:szCs w:val="21"/>
        </w:rPr>
        <w:t>上审议了萨尔瓦多的第二和第三次合并定期报告。委员会在</w:t>
      </w:r>
      <w:r w:rsidRPr="00B66CB9">
        <w:rPr>
          <w:rFonts w:asciiTheme="majorBidi" w:eastAsiaTheme="minorEastAsia" w:hAnsiTheme="majorBidi" w:cstheme="majorBidi"/>
          <w:szCs w:val="21"/>
        </w:rPr>
        <w:t>2019</w:t>
      </w:r>
      <w:r w:rsidRPr="00B66CB9">
        <w:rPr>
          <w:rFonts w:asciiTheme="majorBidi" w:eastAsiaTheme="minorEastAsia" w:hAnsiTheme="majorBidi" w:cstheme="majorBidi"/>
          <w:szCs w:val="21"/>
        </w:rPr>
        <w:t>年</w:t>
      </w:r>
      <w:r w:rsidRPr="00B66CB9">
        <w:rPr>
          <w:rFonts w:asciiTheme="majorBidi" w:eastAsiaTheme="minorEastAsia" w:hAnsiTheme="majorBidi" w:cstheme="majorBidi"/>
          <w:szCs w:val="21"/>
        </w:rPr>
        <w:t>9</w:t>
      </w:r>
      <w:r w:rsidRPr="00B66CB9">
        <w:rPr>
          <w:rFonts w:asciiTheme="majorBidi" w:eastAsiaTheme="minorEastAsia" w:hAnsiTheme="majorBidi" w:cstheme="majorBidi"/>
          <w:szCs w:val="21"/>
        </w:rPr>
        <w:t>月</w:t>
      </w:r>
      <w:r w:rsidRPr="00B66CB9">
        <w:rPr>
          <w:rFonts w:asciiTheme="majorBidi" w:eastAsiaTheme="minorEastAsia" w:hAnsiTheme="majorBidi" w:cstheme="majorBidi"/>
          <w:szCs w:val="21"/>
        </w:rPr>
        <w:t>20</w:t>
      </w:r>
      <w:r w:rsidRPr="00B66CB9">
        <w:rPr>
          <w:rFonts w:asciiTheme="majorBidi" w:eastAsiaTheme="minorEastAsia" w:hAnsiTheme="majorBidi" w:cstheme="majorBidi"/>
          <w:szCs w:val="21"/>
        </w:rPr>
        <w:t>日举行的第</w:t>
      </w:r>
      <w:r w:rsidRPr="00B66CB9">
        <w:rPr>
          <w:rFonts w:asciiTheme="majorBidi" w:eastAsiaTheme="minorEastAsia" w:hAnsiTheme="majorBidi" w:cstheme="majorBidi"/>
          <w:szCs w:val="21"/>
        </w:rPr>
        <w:t>510</w:t>
      </w:r>
      <w:r w:rsidRPr="00B66CB9">
        <w:rPr>
          <w:rFonts w:asciiTheme="majorBidi" w:eastAsiaTheme="minorEastAsia" w:hAnsiTheme="majorBidi" w:cstheme="majorBidi"/>
          <w:szCs w:val="21"/>
        </w:rPr>
        <w:t>次会议上通过了本结论性意见。</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2.</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委员会欢迎萨尔瓦多的第二次和第三次合并定期报告，该报告根据委员会报告准则和报告前问题单</w:t>
      </w:r>
      <w:r w:rsidRPr="00B66CB9">
        <w:rPr>
          <w:rFonts w:asciiTheme="majorBidi" w:eastAsiaTheme="minorEastAsia" w:hAnsiTheme="majorBidi" w:cstheme="majorBidi"/>
          <w:szCs w:val="21"/>
        </w:rPr>
        <w:t>(CRPD/C/SLV/QPR/2-3)</w:t>
      </w:r>
      <w:r w:rsidRPr="00B66CB9">
        <w:rPr>
          <w:rFonts w:asciiTheme="majorBidi" w:eastAsiaTheme="minorEastAsia" w:hAnsiTheme="majorBidi" w:cstheme="majorBidi"/>
          <w:szCs w:val="21"/>
        </w:rPr>
        <w:t>编写。</w:t>
      </w:r>
    </w:p>
    <w:p w:rsidR="003B600B" w:rsidRPr="00B66CB9" w:rsidRDefault="003B600B" w:rsidP="00B54951">
      <w:pPr>
        <w:pStyle w:val="HChGC"/>
      </w:pPr>
      <w:r w:rsidRPr="00B66CB9">
        <w:tab/>
      </w:r>
      <w:r w:rsidRPr="00B66CB9">
        <w:t>二</w:t>
      </w:r>
      <w:r w:rsidR="00B54951" w:rsidRPr="00B66CB9">
        <w:rPr>
          <w:rFonts w:hint="eastAsia"/>
        </w:rPr>
        <w:t>.</w:t>
      </w:r>
      <w:r w:rsidR="00B54951" w:rsidRPr="00B66CB9">
        <w:tab/>
      </w:r>
      <w:r w:rsidRPr="00B66CB9">
        <w:t>积极方面</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3.</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委员会欢迎缔约国撤销在签署时对《公约》所作及在批准时予以确认的保留，这项保留于</w:t>
      </w:r>
      <w:r w:rsidRPr="00B66CB9">
        <w:rPr>
          <w:rFonts w:asciiTheme="majorBidi" w:eastAsiaTheme="minorEastAsia" w:hAnsiTheme="majorBidi" w:cstheme="majorBidi"/>
          <w:color w:val="333333"/>
          <w:szCs w:val="21"/>
        </w:rPr>
        <w:t>2015</w:t>
      </w:r>
      <w:r w:rsidRPr="00B66CB9">
        <w:rPr>
          <w:rFonts w:asciiTheme="majorBidi" w:eastAsiaTheme="minorEastAsia" w:hAnsiTheme="majorBidi" w:cstheme="majorBidi"/>
          <w:color w:val="333333"/>
          <w:szCs w:val="21"/>
        </w:rPr>
        <w:t>年</w:t>
      </w:r>
      <w:r w:rsidRPr="00B66CB9">
        <w:rPr>
          <w:rFonts w:asciiTheme="majorBidi" w:eastAsiaTheme="minorEastAsia" w:hAnsiTheme="majorBidi" w:cstheme="majorBidi"/>
          <w:color w:val="333333"/>
          <w:szCs w:val="21"/>
        </w:rPr>
        <w:t>1</w:t>
      </w:r>
      <w:r w:rsidRPr="00B66CB9">
        <w:rPr>
          <w:rFonts w:asciiTheme="majorBidi" w:eastAsiaTheme="minorEastAsia" w:hAnsiTheme="majorBidi" w:cstheme="majorBidi"/>
          <w:color w:val="333333"/>
          <w:szCs w:val="21"/>
        </w:rPr>
        <w:t>月</w:t>
      </w:r>
      <w:r w:rsidRPr="00B66CB9">
        <w:rPr>
          <w:rFonts w:asciiTheme="majorBidi" w:eastAsiaTheme="minorEastAsia" w:hAnsiTheme="majorBidi" w:cstheme="majorBidi"/>
          <w:color w:val="333333"/>
          <w:szCs w:val="21"/>
        </w:rPr>
        <w:t>8</w:t>
      </w:r>
      <w:r w:rsidRPr="00B66CB9">
        <w:rPr>
          <w:rFonts w:asciiTheme="majorBidi" w:eastAsiaTheme="minorEastAsia" w:hAnsiTheme="majorBidi" w:cstheme="majorBidi"/>
          <w:color w:val="333333"/>
          <w:szCs w:val="21"/>
        </w:rPr>
        <w:t>日在《政府公报》上公布。委员会还欢迎通过包括关于残疾人权利的规定的立法和政策，尤其是：</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修改</w:t>
      </w:r>
      <w:r w:rsidRPr="00B66CB9">
        <w:rPr>
          <w:rFonts w:asciiTheme="majorBidi" w:eastAsiaTheme="minorEastAsia" w:hAnsiTheme="majorBidi" w:cstheme="majorBidi"/>
          <w:color w:val="333333"/>
          <w:szCs w:val="21"/>
        </w:rPr>
        <w:t>《保护萨尔瓦多文化遗产特别法》，承认萨尔瓦多手语为</w:t>
      </w:r>
      <w:r w:rsidRPr="00B66CB9">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自然和官方语言</w:t>
      </w:r>
      <w:r w:rsidRPr="00B66CB9">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设立</w:t>
      </w:r>
      <w:r w:rsidRPr="00B66CB9">
        <w:rPr>
          <w:rFonts w:asciiTheme="majorBidi" w:eastAsiaTheme="minorEastAsia" w:hAnsiTheme="majorBidi" w:cstheme="majorBidi"/>
          <w:color w:val="333333"/>
          <w:szCs w:val="21"/>
        </w:rPr>
        <w:t>社会包容秘书处；</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对</w:t>
      </w:r>
      <w:r w:rsidRPr="00B66CB9">
        <w:rPr>
          <w:rFonts w:asciiTheme="majorBidi" w:eastAsiaTheme="minorEastAsia" w:hAnsiTheme="majorBidi" w:cstheme="majorBidi"/>
          <w:color w:val="333333"/>
          <w:szCs w:val="21"/>
        </w:rPr>
        <w:t>《陆运、中转和道路安全法》作出修正，规定设置残疾人专用车位；通过</w:t>
      </w:r>
      <w:r w:rsidRPr="00B66CB9">
        <w:rPr>
          <w:rFonts w:asciiTheme="majorBidi" w:eastAsiaTheme="minorEastAsia" w:hAnsiTheme="majorBidi" w:cstheme="majorBidi"/>
          <w:color w:val="333333"/>
          <w:szCs w:val="21"/>
        </w:rPr>
        <w:t>2014</w:t>
      </w:r>
      <w:r w:rsidRPr="00B66CB9">
        <w:rPr>
          <w:rFonts w:asciiTheme="majorBidi" w:eastAsiaTheme="minorEastAsia" w:hAnsiTheme="majorBidi" w:cstheme="majorBidi"/>
          <w:color w:val="333333"/>
          <w:szCs w:val="21"/>
        </w:rPr>
        <w:t>年《陆运一般管理办法》，规定公交车须配备升降平台或折叠坡道，以方便使用轮椅的乘客乘坐；</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(d)</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2015</w:t>
      </w:r>
      <w:r w:rsidRPr="00B66CB9">
        <w:rPr>
          <w:rFonts w:asciiTheme="majorBidi" w:eastAsiaTheme="minorEastAsia" w:hAnsiTheme="majorBidi" w:cstheme="majorBidi"/>
          <w:color w:val="333333"/>
          <w:szCs w:val="21"/>
        </w:rPr>
        <w:t>年进行了首次全国残疾人调查，此次调查可确保建立身份证发放服务中心，以便利农村地区的残疾人获取相关服务。</w:t>
      </w:r>
    </w:p>
    <w:p w:rsidR="003B600B" w:rsidRPr="00B66CB9" w:rsidRDefault="003B600B" w:rsidP="002B2134">
      <w:pPr>
        <w:pStyle w:val="HChGC"/>
      </w:pPr>
      <w:r w:rsidRPr="00B66CB9">
        <w:lastRenderedPageBreak/>
        <w:tab/>
      </w:r>
      <w:r w:rsidRPr="00B66CB9">
        <w:t>三</w:t>
      </w:r>
      <w:r w:rsidR="002B2134">
        <w:rPr>
          <w:rFonts w:hint="eastAsia"/>
        </w:rPr>
        <w:t>.</w:t>
      </w:r>
      <w:r w:rsidR="002B2134">
        <w:tab/>
      </w:r>
      <w:r w:rsidRPr="00B66CB9">
        <w:t>关切的主要问题和建议</w:t>
      </w:r>
    </w:p>
    <w:p w:rsidR="003B600B" w:rsidRPr="00B66CB9" w:rsidRDefault="003B600B" w:rsidP="002B2134">
      <w:pPr>
        <w:pStyle w:val="H1GC"/>
      </w:pPr>
      <w:r w:rsidRPr="00B66CB9">
        <w:tab/>
        <w:t>A.</w:t>
      </w:r>
      <w:r w:rsidRPr="00B66CB9">
        <w:tab/>
      </w:r>
      <w:r w:rsidRPr="00B66CB9">
        <w:t>一般原则和义务</w:t>
      </w:r>
      <w:r w:rsidRPr="00B66CB9">
        <w:t>(</w:t>
      </w:r>
      <w:r w:rsidRPr="00B66CB9">
        <w:t>第一至第四条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4.</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委员会关切地注意到，若干法律特别是《刑法》第</w:t>
      </w:r>
      <w:r w:rsidRPr="00B66CB9">
        <w:rPr>
          <w:rFonts w:asciiTheme="majorBidi" w:eastAsiaTheme="minorEastAsia" w:hAnsiTheme="majorBidi" w:cstheme="majorBidi"/>
          <w:color w:val="333333"/>
          <w:szCs w:val="21"/>
        </w:rPr>
        <w:t>367-A</w:t>
      </w:r>
      <w:r w:rsidRPr="00B66CB9">
        <w:rPr>
          <w:rFonts w:asciiTheme="majorBidi" w:eastAsiaTheme="minorEastAsia" w:hAnsiTheme="majorBidi" w:cstheme="majorBidi"/>
          <w:color w:val="333333"/>
          <w:szCs w:val="21"/>
        </w:rPr>
        <w:t>条和新的《家庭法》，与《公约》不一致，因而使残疾人特别是社会心理或智力残疾人士遭受排斥和歧视。委员会还关切地注意到：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关于对</w:t>
      </w:r>
      <w:r w:rsidRPr="00B66CB9">
        <w:rPr>
          <w:rFonts w:asciiTheme="majorBidi" w:eastAsiaTheme="minorEastAsia" w:hAnsiTheme="majorBidi" w:cstheme="majorBidi"/>
          <w:color w:val="333333"/>
          <w:szCs w:val="21"/>
        </w:rPr>
        <w:t>残疾人实行包容的法律的颁布缺乏进展，该法将废除《残疾人机会均等法》</w:t>
      </w:r>
      <w:r w:rsidRPr="00B66CB9">
        <w:rPr>
          <w:rFonts w:asciiTheme="majorBidi" w:eastAsiaTheme="minorEastAsia" w:hAnsiTheme="majorBidi" w:cstheme="majorBidi"/>
          <w:szCs w:val="21"/>
        </w:rPr>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使</w:t>
      </w:r>
      <w:r w:rsidRPr="00B66CB9">
        <w:rPr>
          <w:rFonts w:asciiTheme="majorBidi" w:eastAsiaTheme="minorEastAsia" w:hAnsiTheme="majorBidi" w:cstheme="majorBidi"/>
          <w:color w:val="333333"/>
          <w:szCs w:val="21"/>
        </w:rPr>
        <w:t>残疾认证机制的标准与《公约》相一致的措施缺乏；</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《残疾人机会均等法》使用含贬义的措辞提及残疾人。</w:t>
      </w:r>
    </w:p>
    <w:p w:rsidR="003B600B" w:rsidRPr="00B07F55"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5.</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委员会建议缔约国：</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(a)</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审查和修改所有法律，特别是《家庭法》和《刑法》，以剔除</w:t>
      </w:r>
      <w:r w:rsidR="00B07F55">
        <w:rPr>
          <w:rFonts w:ascii="Time New Roman" w:eastAsia="黑体" w:hAnsi="Time New Roman" w:cstheme="majorBidi" w:hint="eastAsia"/>
          <w:color w:val="333333"/>
          <w:szCs w:val="21"/>
        </w:rPr>
        <w:t>“</w:t>
      </w:r>
      <w:r w:rsidRPr="00B07F55">
        <w:rPr>
          <w:rFonts w:ascii="Time New Roman" w:eastAsia="黑体" w:hAnsi="Time New Roman" w:cstheme="majorBidi"/>
          <w:color w:val="333333"/>
          <w:szCs w:val="21"/>
        </w:rPr>
        <w:t>宣布无行为能力</w:t>
      </w:r>
      <w:r w:rsidR="00B07F55">
        <w:rPr>
          <w:rFonts w:ascii="Time New Roman" w:eastAsia="黑体" w:hAnsi="Time New Roman" w:cstheme="majorBidi" w:hint="eastAsia"/>
          <w:color w:val="333333"/>
          <w:szCs w:val="21"/>
        </w:rPr>
        <w:t>”</w:t>
      </w:r>
      <w:r w:rsidRPr="00B07F55">
        <w:rPr>
          <w:rFonts w:ascii="Time New Roman" w:eastAsia="黑体" w:hAnsi="Time New Roman" w:cstheme="majorBidi"/>
          <w:color w:val="333333"/>
          <w:szCs w:val="21"/>
        </w:rPr>
        <w:t>概念，从而充分承认和尊重残疾人的所有权利；</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(b)</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加快通过关于对残疾人实行包容的法律，确保该法律包含残疾的人权模式，并废除《残疾人机会均等法》；</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(c)</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确保立法不使用含贬义的措辞提及社会心理或智力残疾人士。</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6.</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委员会关切地注意到，国家和市两级执行保护残疾人权利的计划和方案所需的预算拨款缺乏。</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t>7.</w:t>
      </w:r>
      <w:r w:rsidRPr="00B66CB9">
        <w:rPr>
          <w:rFonts w:asciiTheme="majorBidi" w:eastAsiaTheme="minorEastAsia" w:hAnsiTheme="majorBidi" w:cstheme="majorBidi"/>
          <w:szCs w:val="21"/>
        </w:rPr>
        <w:tab/>
      </w:r>
      <w:r w:rsidRPr="00072F9B">
        <w:rPr>
          <w:rFonts w:ascii="Time New Roman" w:eastAsia="黑体" w:hAnsi="Time New Roman" w:cstheme="majorBidi"/>
          <w:color w:val="333333"/>
          <w:szCs w:val="21"/>
        </w:rPr>
        <w:t>委员会建议缔约国为在城市和农村地区执行保护残疾人权利的计划和方案调拨和指定充足的预算。</w:t>
      </w:r>
    </w:p>
    <w:p w:rsidR="003B600B" w:rsidRPr="00B66CB9" w:rsidRDefault="003B600B" w:rsidP="003840DD">
      <w:pPr>
        <w:pStyle w:val="H1GC"/>
      </w:pPr>
      <w:r w:rsidRPr="00B66CB9">
        <w:tab/>
        <w:t>B.</w:t>
      </w:r>
      <w:r w:rsidRPr="00B66CB9">
        <w:tab/>
      </w:r>
      <w:r w:rsidRPr="00B66CB9">
        <w:t>特定权利</w:t>
      </w:r>
      <w:r w:rsidRPr="00B66CB9">
        <w:t>(</w:t>
      </w:r>
      <w:r w:rsidRPr="00B66CB9">
        <w:t>第五至第三十条</w:t>
      </w:r>
      <w:r w:rsidRPr="00B66CB9">
        <w:t>)</w:t>
      </w:r>
    </w:p>
    <w:p w:rsidR="003B600B" w:rsidRPr="00B66CB9" w:rsidRDefault="003840DD" w:rsidP="003840DD">
      <w:pPr>
        <w:pStyle w:val="H23GC"/>
      </w:pPr>
      <w:r>
        <w:tab/>
      </w:r>
      <w:r>
        <w:tab/>
      </w:r>
      <w:r w:rsidR="003B600B" w:rsidRPr="00B66CB9">
        <w:t>平等和不歧视</w:t>
      </w:r>
      <w:r w:rsidR="003B600B" w:rsidRPr="00B66CB9">
        <w:t>(</w:t>
      </w:r>
      <w:r w:rsidR="003B600B" w:rsidRPr="00B66CB9">
        <w:t>第五条</w:t>
      </w:r>
      <w:r w:rsidR="003B600B"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8.</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多重和交叉歧视，特别是对妇女、土著人和非洲裔残疾人的歧视，没有得到承认，也没有受到禁止。委员会还关切地注意到，《平等、公平和消除对妇女歧视法》和《妇女免遭暴力侵害特别综合法》等立法没有纳入或考虑残疾妇女和女童的观点，特别是社会心理或智力残疾妇女和女童的观点。委员会关切地注意到，在将拒绝提供合理便利视为法律之下的一种基于残疾的歧视方面，没有取得进展。</w:t>
      </w:r>
    </w:p>
    <w:p w:rsidR="003B600B" w:rsidRPr="00B07F55"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9.</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委员会回顾其关于平等和不歧视的第</w:t>
      </w:r>
      <w:r w:rsidRPr="00B07F55">
        <w:rPr>
          <w:rFonts w:ascii="Time New Roman" w:eastAsia="黑体" w:hAnsi="Time New Roman" w:cstheme="majorBidi"/>
          <w:color w:val="333333"/>
          <w:szCs w:val="21"/>
        </w:rPr>
        <w:t>6</w:t>
      </w:r>
      <w:r w:rsidRPr="00B07F55">
        <w:rPr>
          <w:rFonts w:ascii="Time New Roman" w:eastAsia="黑体" w:hAnsi="Time New Roman" w:cstheme="majorBidi"/>
          <w:color w:val="333333"/>
          <w:szCs w:val="21"/>
        </w:rPr>
        <w:t>号一般性意见</w:t>
      </w:r>
      <w:r w:rsidRPr="00B07F55">
        <w:rPr>
          <w:rFonts w:ascii="Time New Roman" w:eastAsia="黑体" w:hAnsi="Time New Roman" w:cstheme="majorBidi"/>
          <w:color w:val="333333"/>
          <w:szCs w:val="21"/>
        </w:rPr>
        <w:t>(2018</w:t>
      </w:r>
      <w:r w:rsidRPr="00B07F55">
        <w:rPr>
          <w:rFonts w:ascii="Time New Roman" w:eastAsia="黑体" w:hAnsi="Time New Roman" w:cstheme="majorBidi"/>
          <w:color w:val="333333"/>
          <w:szCs w:val="21"/>
        </w:rPr>
        <w:t>年</w:t>
      </w:r>
      <w:r w:rsidRPr="00B07F55">
        <w:rPr>
          <w:rFonts w:ascii="Time New Roman" w:eastAsia="黑体" w:hAnsi="Time New Roman" w:cstheme="majorBidi"/>
          <w:color w:val="333333"/>
          <w:szCs w:val="21"/>
        </w:rPr>
        <w:t>)</w:t>
      </w:r>
      <w:r w:rsidRPr="00B07F55">
        <w:rPr>
          <w:rFonts w:ascii="Time New Roman" w:eastAsia="黑体" w:hAnsi="Time New Roman" w:cstheme="majorBidi"/>
          <w:color w:val="333333"/>
          <w:szCs w:val="21"/>
        </w:rPr>
        <w:t>，建议缔约国采取有效的法律和政策措施，包括规定不得对残疾人实行任何形式的歧视，尤其不得以残疾、性别、年龄、族裔和性别认同为由实行歧视。委员会还建议将拒绝提供合理便利视为法律之下的一种基于残疾的歧视。</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10.</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委员会关切地注意到，残疾人遭受歧视的申诉由公安总局和国家民警署人权股等政府实体负责受理。</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lastRenderedPageBreak/>
        <w:t>11.</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委员会建议缔约国指定一个独立和公正的机制，负责受理残疾人遭受歧视的申诉，并维持一个收集分类数据，包括按年龄、性别和投诉原因分类的数据的系统。</w:t>
      </w:r>
    </w:p>
    <w:p w:rsidR="003B600B" w:rsidRPr="00B66CB9" w:rsidRDefault="003B600B" w:rsidP="003840DD">
      <w:pPr>
        <w:pStyle w:val="H23GC"/>
      </w:pPr>
      <w:r w:rsidRPr="00B66CB9">
        <w:tab/>
      </w:r>
      <w:r w:rsidRPr="00B66CB9">
        <w:tab/>
      </w:r>
      <w:r w:rsidRPr="00B66CB9">
        <w:t>残疾妇女</w:t>
      </w:r>
      <w:r w:rsidRPr="00B66CB9">
        <w:t>(</w:t>
      </w:r>
      <w:r w:rsidRPr="00B66CB9">
        <w:t>第六条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12.</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性别平等政策和某些妇女方案不对残疾妇女和女童实行包容；</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残疾妇女组织参与处理影响到残疾妇女的所有事项，特别是参与应对与基于性别的暴力有关的犯罪的比率较低。</w:t>
      </w:r>
    </w:p>
    <w:p w:rsidR="003B600B" w:rsidRPr="00B07F55"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13.</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委员会参照其关于残疾妇女和女童的第</w:t>
      </w:r>
      <w:r w:rsidRPr="00B07F55">
        <w:rPr>
          <w:rFonts w:ascii="Time New Roman" w:eastAsia="黑体" w:hAnsi="Time New Roman" w:cstheme="majorBidi"/>
          <w:color w:val="333333"/>
          <w:szCs w:val="21"/>
        </w:rPr>
        <w:t>3</w:t>
      </w:r>
      <w:r w:rsidRPr="00B07F55">
        <w:rPr>
          <w:rFonts w:ascii="Time New Roman" w:eastAsia="黑体" w:hAnsi="Time New Roman" w:cstheme="majorBidi"/>
          <w:color w:val="333333"/>
          <w:szCs w:val="21"/>
        </w:rPr>
        <w:t>号一般性意见</w:t>
      </w:r>
      <w:r w:rsidRPr="00B07F55">
        <w:rPr>
          <w:rFonts w:ascii="Time New Roman" w:eastAsia="黑体" w:hAnsi="Time New Roman" w:cstheme="majorBidi"/>
          <w:color w:val="333333"/>
          <w:szCs w:val="21"/>
        </w:rPr>
        <w:t>(2016</w:t>
      </w:r>
      <w:r w:rsidRPr="00B07F55">
        <w:rPr>
          <w:rFonts w:ascii="Time New Roman" w:eastAsia="黑体" w:hAnsi="Time New Roman" w:cstheme="majorBidi"/>
          <w:color w:val="333333"/>
          <w:szCs w:val="21"/>
        </w:rPr>
        <w:t>年</w:t>
      </w:r>
      <w:r w:rsidRPr="00B07F55">
        <w:rPr>
          <w:rFonts w:ascii="Time New Roman" w:eastAsia="黑体" w:hAnsi="Time New Roman" w:cstheme="majorBidi"/>
          <w:color w:val="333333"/>
          <w:szCs w:val="21"/>
        </w:rPr>
        <w:t>)</w:t>
      </w:r>
      <w:r w:rsidRPr="00B07F55">
        <w:rPr>
          <w:rFonts w:ascii="Time New Roman" w:eastAsia="黑体" w:hAnsi="Time New Roman" w:cstheme="majorBidi"/>
          <w:color w:val="333333"/>
          <w:szCs w:val="21"/>
        </w:rPr>
        <w:t>，建议缔约国：</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(a)</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采取有效措施，确保将残疾妇女和女孩纳入性别平等政策和方案，并确保负责残疾妇女事务的公共和私营服务提供者将性别和残疾观点纳入其工作主流；</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(b)</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确保在制定城市和农村两级的政策和方案，包括与处理基于性别的暴力有关的政策和方案时，与残疾妇女和女童组织密切协商。</w:t>
      </w:r>
    </w:p>
    <w:p w:rsidR="003B600B" w:rsidRPr="00B66CB9" w:rsidRDefault="003B600B" w:rsidP="003840DD">
      <w:pPr>
        <w:pStyle w:val="H23GC"/>
      </w:pPr>
      <w:r w:rsidRPr="00B66CB9">
        <w:tab/>
      </w:r>
      <w:r w:rsidRPr="00B66CB9">
        <w:tab/>
      </w:r>
      <w:r w:rsidRPr="00B66CB9">
        <w:t>残疾儿童</w:t>
      </w:r>
      <w:r w:rsidRPr="00B66CB9">
        <w:t>(</w:t>
      </w:r>
      <w:r w:rsidRPr="00B66CB9">
        <w:t>第七条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14.</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委员会关切地注意到，残疾儿童因残疾而安排由机构照料，缔约国仍在投资于寄宿机构，而没有采取措施实行去机构化或投资于社区独立生活方案。委员会还关切地注意到：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关于农村和土著社区残疾儿童数目以及为消除农村和城市地区贫困所采取措施的信息和分类数据缺乏；</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缔约国没有采取措施确保残疾儿童能够在影响到他们的所有事项上自由表达意见，并确保在与其他儿童平等的基础上，根据他们不断发展的能力对其意见给予应有的重视；另外，缔约国没有采取措施与包括残疾儿童组织在内的残疾人组织密切协商并使其积极参与；</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涉及</w:t>
      </w:r>
      <w:r w:rsidRPr="00B66CB9">
        <w:rPr>
          <w:rFonts w:asciiTheme="majorBidi" w:eastAsiaTheme="minorEastAsia" w:hAnsiTheme="majorBidi" w:cstheme="majorBidi"/>
          <w:color w:val="333333"/>
          <w:szCs w:val="21"/>
        </w:rPr>
        <w:t>残疾儿童的诉讼缺乏透明度。</w:t>
      </w:r>
    </w:p>
    <w:p w:rsidR="003B600B" w:rsidRPr="00B07F55"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15.</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建议缔约国与包括残疾儿童组织在内的残疾人组织密切协商，立即采取措施，通过制定和实施有充足预算的、全面的社区支助服务计划及社会包容方案，将寄宿机构中的残疾儿童安置到机构之外。委员会还建议缔约国：</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(a)</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加强关于农村和土著社区残疾儿童人数的分类数据的收集工作，以期制定处理残疾儿童及其家庭的边缘化和贫困现象的适当的公共政策；</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(b)</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确保所有残疾儿童都能够在影响到他们的所有事项上自由表达自己的意见，在与其他儿童平等的基础上，根据他们不断发展的能力对其意见给予应有的重视，并确保与残疾儿童组织进行协商及使其积极参与；</w:t>
      </w:r>
    </w:p>
    <w:p w:rsidR="003B600B" w:rsidRPr="00B07F55" w:rsidRDefault="003B600B" w:rsidP="003B600B">
      <w:pPr>
        <w:pStyle w:val="SingleTxtGC"/>
        <w:rPr>
          <w:rFonts w:ascii="Time New Roman" w:eastAsia="黑体" w:hAnsi="Time New Roman" w:cstheme="majorBidi"/>
          <w:color w:val="333333"/>
          <w:szCs w:val="21"/>
        </w:rPr>
      </w:pPr>
      <w:r w:rsidRPr="00B07F55">
        <w:rPr>
          <w:rFonts w:ascii="Time New Roman" w:eastAsia="黑体" w:hAnsi="Time New Roman" w:cstheme="majorBidi"/>
          <w:color w:val="333333"/>
          <w:szCs w:val="21"/>
        </w:rPr>
        <w:tab/>
        <w:t>(c)</w:t>
      </w:r>
      <w:r w:rsidRPr="00B07F55">
        <w:rPr>
          <w:rFonts w:ascii="Time New Roman" w:eastAsia="黑体" w:hAnsi="Time New Roman" w:cstheme="majorBidi"/>
          <w:color w:val="333333"/>
          <w:szCs w:val="21"/>
        </w:rPr>
        <w:tab/>
      </w:r>
      <w:r w:rsidRPr="00B07F55">
        <w:rPr>
          <w:rFonts w:ascii="Time New Roman" w:eastAsia="黑体" w:hAnsi="Time New Roman" w:cstheme="majorBidi"/>
          <w:color w:val="333333"/>
          <w:szCs w:val="21"/>
        </w:rPr>
        <w:t>采取一切必要措施，确保诉讼透明，并在与残疾儿童相关的决定中落实儿童的最大利益原则。</w:t>
      </w:r>
    </w:p>
    <w:p w:rsidR="003B600B" w:rsidRPr="00B66CB9" w:rsidRDefault="003B600B" w:rsidP="003840DD">
      <w:pPr>
        <w:pStyle w:val="H23GC"/>
      </w:pPr>
      <w:r w:rsidRPr="00B66CB9">
        <w:lastRenderedPageBreak/>
        <w:tab/>
      </w:r>
      <w:r w:rsidRPr="00B66CB9">
        <w:tab/>
      </w:r>
      <w:r w:rsidRPr="00B66CB9">
        <w:t>提高认识</w:t>
      </w:r>
      <w:r w:rsidRPr="00B66CB9">
        <w:t>(</w:t>
      </w:r>
      <w:r w:rsidRPr="00B66CB9">
        <w:t>第八条</w:t>
      </w:r>
      <w:r w:rsidRPr="00B66CB9">
        <w:t>)</w:t>
      </w:r>
    </w:p>
    <w:p w:rsidR="003B600B" w:rsidRPr="00B66CB9" w:rsidRDefault="003B600B" w:rsidP="003840DD">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16.</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缔约国的提高认识努力仍然局限于孤立和零星的运动和培训方案，缺乏在所有领域，包括对教育人员、司法人员、执法人员、卫生部门工作人员以及在家庭和社区两级提高对尊重残疾人权利的认识的重点计划。</w:t>
      </w:r>
    </w:p>
    <w:p w:rsidR="003B600B" w:rsidRPr="00B07F55"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17.</w:t>
      </w:r>
      <w:r w:rsidRPr="00B66CB9">
        <w:rPr>
          <w:rFonts w:asciiTheme="majorBidi" w:eastAsiaTheme="minorEastAsia" w:hAnsiTheme="majorBidi" w:cstheme="majorBidi"/>
          <w:szCs w:val="21"/>
        </w:rPr>
        <w:tab/>
      </w:r>
      <w:r w:rsidRPr="00B07F55">
        <w:rPr>
          <w:rFonts w:ascii="Time New Roman" w:eastAsia="黑体" w:hAnsi="Time New Roman" w:cstheme="majorBidi"/>
          <w:color w:val="333333"/>
          <w:szCs w:val="21"/>
        </w:rPr>
        <w:t>委员会建议缔约国启动一项强化的提高认识战略，这项战略包括以法官、议员、执法官员以及卫生和教育人员为对象的立足于残疾人权模式的培训方案和媒体宣传运动，目的是消除对残疾人，特别是社会心理或智力残疾人士持有的偏见、成见和采取的有害做法，并提倡社会承认他们的权利。</w:t>
      </w:r>
    </w:p>
    <w:p w:rsidR="003B600B" w:rsidRPr="00B66CB9" w:rsidRDefault="003B600B" w:rsidP="003840DD">
      <w:pPr>
        <w:pStyle w:val="H23GC"/>
      </w:pPr>
      <w:r w:rsidRPr="00B66CB9">
        <w:tab/>
      </w:r>
      <w:r w:rsidRPr="00B66CB9">
        <w:tab/>
      </w:r>
      <w:r w:rsidRPr="00B66CB9">
        <w:t>无障碍</w:t>
      </w:r>
      <w:r w:rsidRPr="00B66CB9">
        <w:t>(</w:t>
      </w:r>
      <w:r w:rsidRPr="00B66CB9">
        <w:t>第九条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18.</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为</w:t>
      </w:r>
      <w:r w:rsidRPr="00B66CB9">
        <w:rPr>
          <w:rFonts w:asciiTheme="majorBidi" w:eastAsiaTheme="minorEastAsia" w:hAnsiTheme="majorBidi" w:cstheme="majorBidi"/>
          <w:color w:val="333333"/>
          <w:szCs w:val="21"/>
        </w:rPr>
        <w:t>改善实际无障碍和通信无障碍状况包括交通无障碍状况而采取的措施不充分，导致偏远和农村地区的无障碍公共交通缺乏；对运输运营商的培训缺乏，对违规行为的处罚有限；</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《萨尔瓦多物质环境无障碍、城市化和建筑技术标准》与《公约》原则不一致。</w:t>
      </w:r>
    </w:p>
    <w:p w:rsidR="003B600B" w:rsidRPr="00CB656F"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19.</w:t>
      </w:r>
      <w:r w:rsidRPr="00B66CB9">
        <w:rPr>
          <w:rFonts w:asciiTheme="majorBidi" w:eastAsiaTheme="minorEastAsia" w:hAnsiTheme="majorBidi" w:cstheme="majorBidi"/>
          <w:szCs w:val="21"/>
        </w:rPr>
        <w:tab/>
      </w:r>
      <w:r w:rsidRPr="00CB656F">
        <w:rPr>
          <w:rFonts w:ascii="Time New Roman" w:eastAsia="黑体" w:hAnsi="Time New Roman" w:cstheme="majorBidi"/>
          <w:color w:val="333333"/>
          <w:szCs w:val="21"/>
        </w:rPr>
        <w:t>委员会参照其关于无障碍的第</w:t>
      </w:r>
      <w:r w:rsidRPr="00CB656F">
        <w:rPr>
          <w:rFonts w:ascii="Time New Roman" w:eastAsia="黑体" w:hAnsi="Time New Roman" w:cstheme="majorBidi"/>
          <w:color w:val="333333"/>
          <w:szCs w:val="21"/>
        </w:rPr>
        <w:t>2</w:t>
      </w:r>
      <w:r w:rsidRPr="00CB656F">
        <w:rPr>
          <w:rFonts w:ascii="Time New Roman" w:eastAsia="黑体" w:hAnsi="Time New Roman" w:cstheme="majorBidi"/>
          <w:color w:val="333333"/>
          <w:szCs w:val="21"/>
        </w:rPr>
        <w:t>号一般性意见</w:t>
      </w:r>
      <w:r w:rsidRPr="00CB656F">
        <w:rPr>
          <w:rFonts w:ascii="Time New Roman" w:eastAsia="黑体" w:hAnsi="Time New Roman" w:cstheme="majorBidi"/>
          <w:color w:val="333333"/>
          <w:szCs w:val="21"/>
        </w:rPr>
        <w:t>(2014</w:t>
      </w:r>
      <w:r w:rsidRPr="00CB656F">
        <w:rPr>
          <w:rFonts w:ascii="Time New Roman" w:eastAsia="黑体" w:hAnsi="Time New Roman" w:cstheme="majorBidi"/>
          <w:color w:val="333333"/>
          <w:szCs w:val="21"/>
        </w:rPr>
        <w:t>年</w:t>
      </w:r>
      <w:r w:rsidRPr="00CB656F">
        <w:rPr>
          <w:rFonts w:ascii="Time New Roman" w:eastAsia="黑体" w:hAnsi="Time New Roman" w:cstheme="majorBidi"/>
          <w:color w:val="333333"/>
          <w:szCs w:val="21"/>
        </w:rPr>
        <w:t>)</w:t>
      </w:r>
      <w:r w:rsidRPr="00CB656F">
        <w:rPr>
          <w:rFonts w:ascii="Time New Roman" w:eastAsia="黑体" w:hAnsi="Time New Roman" w:cstheme="majorBidi"/>
          <w:color w:val="333333"/>
          <w:szCs w:val="21"/>
        </w:rPr>
        <w:t>，并考虑到可持续发展目标</w:t>
      </w:r>
      <w:r w:rsidRPr="00CB656F">
        <w:rPr>
          <w:rFonts w:ascii="Time New Roman" w:eastAsia="黑体" w:hAnsi="Time New Roman" w:cstheme="majorBidi"/>
          <w:color w:val="333333"/>
          <w:szCs w:val="21"/>
        </w:rPr>
        <w:t>9</w:t>
      </w:r>
      <w:r w:rsidRPr="00CB656F">
        <w:rPr>
          <w:rFonts w:ascii="Time New Roman" w:eastAsia="黑体" w:hAnsi="Time New Roman" w:cstheme="majorBidi"/>
          <w:color w:val="333333"/>
          <w:szCs w:val="21"/>
        </w:rPr>
        <w:t>以及具体目标</w:t>
      </w:r>
      <w:r w:rsidRPr="00CB656F">
        <w:rPr>
          <w:rFonts w:ascii="Time New Roman" w:eastAsia="黑体" w:hAnsi="Time New Roman" w:cstheme="majorBidi"/>
          <w:color w:val="333333"/>
          <w:szCs w:val="21"/>
        </w:rPr>
        <w:t>11.2</w:t>
      </w:r>
      <w:r w:rsidRPr="00CB656F">
        <w:rPr>
          <w:rFonts w:ascii="Time New Roman" w:eastAsia="黑体" w:hAnsi="Time New Roman" w:cstheme="majorBidi"/>
          <w:color w:val="333333"/>
          <w:szCs w:val="21"/>
        </w:rPr>
        <w:t>和</w:t>
      </w:r>
      <w:r w:rsidRPr="00CB656F">
        <w:rPr>
          <w:rFonts w:ascii="Time New Roman" w:eastAsia="黑体" w:hAnsi="Time New Roman" w:cstheme="majorBidi"/>
          <w:color w:val="333333"/>
          <w:szCs w:val="21"/>
        </w:rPr>
        <w:t>11.7,</w:t>
      </w:r>
      <w:r w:rsidR="00B07F55">
        <w:rPr>
          <w:rFonts w:ascii="Time New Roman" w:eastAsia="黑体" w:hAnsi="Time New Roman" w:cstheme="majorBidi"/>
          <w:color w:val="333333"/>
          <w:szCs w:val="21"/>
        </w:rPr>
        <w:t xml:space="preserve"> </w:t>
      </w:r>
      <w:r w:rsidRPr="00CB656F">
        <w:rPr>
          <w:rFonts w:ascii="Time New Roman" w:eastAsia="黑体" w:hAnsi="Time New Roman" w:cstheme="majorBidi"/>
          <w:color w:val="333333"/>
          <w:szCs w:val="21"/>
        </w:rPr>
        <w:t>建议缔约国建立一个全面的监测机制，以确保严格执行无障碍标准，并建议加强和执行对不遵守标准行为的处罚。委员会还建议缔约国：</w:t>
      </w:r>
    </w:p>
    <w:p w:rsidR="003B600B" w:rsidRPr="00CB656F" w:rsidRDefault="003B600B"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color w:val="333333"/>
          <w:szCs w:val="21"/>
        </w:rPr>
        <w:tab/>
        <w:t>(a)</w:t>
      </w:r>
      <w:r w:rsidRPr="00CB656F">
        <w:rPr>
          <w:rFonts w:ascii="Time New Roman" w:eastAsia="黑体" w:hAnsi="Time New Roman" w:cstheme="majorBidi"/>
          <w:color w:val="333333"/>
          <w:szCs w:val="21"/>
        </w:rPr>
        <w:tab/>
      </w:r>
      <w:r w:rsidRPr="00CB656F">
        <w:rPr>
          <w:rFonts w:ascii="Time New Roman" w:eastAsia="黑体" w:hAnsi="Time New Roman" w:cstheme="majorBidi"/>
          <w:color w:val="333333"/>
          <w:szCs w:val="21"/>
        </w:rPr>
        <w:t>增加无障碍交通线路，特别是农村地区的无障碍交通线路，并划拨充足的预算，为公交系统配备无障碍设施；</w:t>
      </w:r>
    </w:p>
    <w:p w:rsidR="003B600B" w:rsidRPr="00CB656F" w:rsidRDefault="003B600B"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color w:val="333333"/>
          <w:szCs w:val="21"/>
        </w:rPr>
        <w:tab/>
        <w:t>(b)</w:t>
      </w:r>
      <w:r w:rsidRPr="00CB656F">
        <w:rPr>
          <w:rFonts w:ascii="Time New Roman" w:eastAsia="黑体" w:hAnsi="Time New Roman" w:cstheme="majorBidi"/>
          <w:color w:val="333333"/>
          <w:szCs w:val="21"/>
        </w:rPr>
        <w:tab/>
      </w:r>
      <w:r w:rsidRPr="00CB656F">
        <w:rPr>
          <w:rFonts w:ascii="Time New Roman" w:eastAsia="黑体" w:hAnsi="Time New Roman" w:cstheme="majorBidi"/>
          <w:color w:val="333333"/>
          <w:szCs w:val="21"/>
        </w:rPr>
        <w:t>制定、颁布关于向公众开放或提供的设施和服务的无障碍最低标准和准则，并监测这些标准和准则的执行情况。</w:t>
      </w:r>
    </w:p>
    <w:p w:rsidR="003B600B" w:rsidRPr="00B66CB9" w:rsidRDefault="003B600B" w:rsidP="003840DD">
      <w:pPr>
        <w:pStyle w:val="H23GC"/>
      </w:pPr>
      <w:r w:rsidRPr="00B66CB9">
        <w:tab/>
      </w:r>
      <w:r w:rsidRPr="00B66CB9">
        <w:tab/>
      </w:r>
      <w:r w:rsidRPr="00B66CB9">
        <w:t>生命权</w:t>
      </w:r>
      <w:r w:rsidRPr="00B66CB9">
        <w:t>(</w:t>
      </w:r>
      <w:r w:rsidRPr="00B66CB9">
        <w:t>第十条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20.</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深为关切地注意到残疾人遭到杀害，实施杀人行为的往往是犯罪团伙；委员会还深为关切地注意到：杀害妇女的行为以令人震惊的速度上升，这些行为也影响到残疾妇女和女童；而且对犯罪者的起诉和定罪率很低。</w:t>
      </w:r>
    </w:p>
    <w:p w:rsidR="003B600B" w:rsidRPr="00CB656F"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21.</w:t>
      </w:r>
      <w:r w:rsidRPr="00B66CB9">
        <w:rPr>
          <w:rFonts w:asciiTheme="majorBidi" w:eastAsiaTheme="minorEastAsia" w:hAnsiTheme="majorBidi" w:cstheme="majorBidi"/>
          <w:szCs w:val="21"/>
        </w:rPr>
        <w:tab/>
      </w:r>
      <w:r w:rsidRPr="00CB656F">
        <w:rPr>
          <w:rFonts w:ascii="Time New Roman" w:eastAsia="黑体" w:hAnsi="Time New Roman" w:cstheme="majorBidi"/>
          <w:color w:val="333333"/>
          <w:szCs w:val="21"/>
        </w:rPr>
        <w:t>委员会建议缔约国立即采取措施，切实处理犯罪团伙杀害残疾人特别是杀害残疾妇女和女童的问题，并确保起诉行为人，将其定罪。</w:t>
      </w:r>
    </w:p>
    <w:p w:rsidR="003B600B" w:rsidRPr="00B66CB9" w:rsidRDefault="003B600B" w:rsidP="003840DD">
      <w:pPr>
        <w:pStyle w:val="H23GC"/>
      </w:pPr>
      <w:r w:rsidRPr="00B66CB9">
        <w:tab/>
      </w:r>
      <w:r w:rsidRPr="00B66CB9">
        <w:tab/>
      </w:r>
      <w:r w:rsidRPr="00B66CB9">
        <w:t>危难情况和人道主义紧急情况</w:t>
      </w:r>
      <w:r w:rsidRPr="00B66CB9">
        <w:t>(</w:t>
      </w:r>
      <w:r w:rsidRPr="00B66CB9">
        <w:t>第十一条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22.</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只有少数残疾人通过其组织为《发生紧急情况和灾害时包容、保护和关注残疾人路线图》提供了投入。考虑到缔约国遭遇自然灾害的风险较大，委员会还关切地注意到，没有为该路线图和定于</w:t>
      </w:r>
      <w:r w:rsidRPr="00B66CB9">
        <w:rPr>
          <w:rFonts w:asciiTheme="majorBidi" w:eastAsiaTheme="minorEastAsia" w:hAnsiTheme="majorBidi" w:cstheme="majorBidi"/>
          <w:color w:val="333333"/>
          <w:szCs w:val="21"/>
        </w:rPr>
        <w:t>2020</w:t>
      </w:r>
      <w:r w:rsidRPr="00B66CB9">
        <w:rPr>
          <w:rFonts w:asciiTheme="majorBidi" w:eastAsiaTheme="minorEastAsia" w:hAnsiTheme="majorBidi" w:cstheme="majorBidi"/>
          <w:color w:val="333333"/>
          <w:szCs w:val="21"/>
        </w:rPr>
        <w:t>年启动的《战略行动计划》的执行划拨预算。</w:t>
      </w:r>
    </w:p>
    <w:p w:rsidR="003B600B" w:rsidRPr="00CB656F"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23.</w:t>
      </w:r>
      <w:r w:rsidRPr="00B66CB9">
        <w:rPr>
          <w:rFonts w:asciiTheme="majorBidi" w:eastAsiaTheme="minorEastAsia" w:hAnsiTheme="majorBidi" w:cstheme="majorBidi"/>
          <w:szCs w:val="21"/>
        </w:rPr>
        <w:tab/>
      </w:r>
      <w:r w:rsidRPr="00CB656F">
        <w:rPr>
          <w:rFonts w:ascii="Time New Roman" w:eastAsia="黑体" w:hAnsi="Time New Roman" w:cstheme="majorBidi"/>
          <w:color w:val="333333"/>
          <w:szCs w:val="21"/>
        </w:rPr>
        <w:t>委员会建议缔约国与残疾人协商：</w:t>
      </w:r>
    </w:p>
    <w:p w:rsidR="003B600B" w:rsidRPr="00CB656F" w:rsidRDefault="003B600B" w:rsidP="003B600B">
      <w:pPr>
        <w:pStyle w:val="SingleTxtGC"/>
        <w:rPr>
          <w:rFonts w:ascii="Time New Roman" w:eastAsia="黑体" w:hAnsi="Time New Roman" w:cstheme="majorBidi"/>
          <w:szCs w:val="21"/>
        </w:rPr>
      </w:pPr>
      <w:r w:rsidRPr="00CB656F">
        <w:rPr>
          <w:rFonts w:ascii="Time New Roman" w:eastAsia="黑体" w:hAnsi="Time New Roman" w:cstheme="majorBidi"/>
          <w:szCs w:val="21"/>
        </w:rPr>
        <w:tab/>
        <w:t>(a)</w:t>
      </w:r>
      <w:r w:rsidRPr="00CB656F">
        <w:rPr>
          <w:rFonts w:ascii="Time New Roman" w:eastAsia="黑体" w:hAnsi="Time New Roman" w:cstheme="majorBidi"/>
          <w:szCs w:val="21"/>
        </w:rPr>
        <w:tab/>
      </w:r>
      <w:r w:rsidRPr="00CB656F">
        <w:rPr>
          <w:rFonts w:ascii="Time New Roman" w:eastAsia="黑体" w:hAnsi="Time New Roman" w:cstheme="majorBidi"/>
          <w:color w:val="333333"/>
          <w:szCs w:val="21"/>
        </w:rPr>
        <w:t>确保为上述路线图和定于</w:t>
      </w:r>
      <w:r w:rsidRPr="00CB656F">
        <w:rPr>
          <w:rFonts w:ascii="Time New Roman" w:eastAsia="黑体" w:hAnsi="Time New Roman" w:cstheme="majorBidi"/>
          <w:color w:val="333333"/>
          <w:szCs w:val="21"/>
        </w:rPr>
        <w:t>2020</w:t>
      </w:r>
      <w:r w:rsidRPr="00CB656F">
        <w:rPr>
          <w:rFonts w:ascii="Time New Roman" w:eastAsia="黑体" w:hAnsi="Time New Roman" w:cstheme="majorBidi"/>
          <w:color w:val="333333"/>
          <w:szCs w:val="21"/>
        </w:rPr>
        <w:t>年启动的《战略行动计划》的执行划拨预算，并编制人道主义紧急情况和灾害应急预算；</w:t>
      </w:r>
    </w:p>
    <w:p w:rsidR="003B600B" w:rsidRPr="00CB656F" w:rsidRDefault="003B600B"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szCs w:val="21"/>
        </w:rPr>
        <w:lastRenderedPageBreak/>
        <w:tab/>
        <w:t>(b)</w:t>
      </w:r>
      <w:r w:rsidRPr="00CB656F">
        <w:rPr>
          <w:rFonts w:ascii="Time New Roman" w:eastAsia="黑体" w:hAnsi="Time New Roman" w:cstheme="majorBidi"/>
          <w:szCs w:val="21"/>
        </w:rPr>
        <w:tab/>
      </w:r>
      <w:r w:rsidRPr="00CB656F">
        <w:rPr>
          <w:rFonts w:ascii="Time New Roman" w:eastAsia="黑体" w:hAnsi="Time New Roman" w:cstheme="majorBidi"/>
          <w:color w:val="333333"/>
          <w:szCs w:val="21"/>
        </w:rPr>
        <w:t>实施《战略行动计划》，并监测通常在紧急情况下设立的庇护所的无障碍情况；</w:t>
      </w:r>
    </w:p>
    <w:p w:rsidR="003B600B" w:rsidRPr="00CB656F" w:rsidRDefault="003840DD"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szCs w:val="21"/>
        </w:rPr>
        <w:tab/>
      </w:r>
      <w:r w:rsidR="003B600B" w:rsidRPr="00CB656F">
        <w:rPr>
          <w:rFonts w:ascii="Time New Roman" w:eastAsia="黑体" w:hAnsi="Time New Roman" w:cstheme="majorBidi"/>
          <w:szCs w:val="21"/>
        </w:rPr>
        <w:t>(c)</w:t>
      </w:r>
      <w:r w:rsidR="003B600B" w:rsidRPr="00CB656F">
        <w:rPr>
          <w:rFonts w:ascii="Time New Roman" w:eastAsia="黑体" w:hAnsi="Time New Roman" w:cstheme="majorBidi"/>
          <w:szCs w:val="21"/>
        </w:rPr>
        <w:tab/>
      </w:r>
      <w:r w:rsidR="003B600B" w:rsidRPr="00CB656F">
        <w:rPr>
          <w:rFonts w:ascii="Time New Roman" w:eastAsia="黑体" w:hAnsi="Time New Roman" w:cstheme="majorBidi"/>
          <w:color w:val="333333"/>
          <w:szCs w:val="21"/>
        </w:rPr>
        <w:t>确保考虑到所有残疾人的具体要求，并以无障碍形式向残疾人提供信息。</w:t>
      </w:r>
    </w:p>
    <w:p w:rsidR="003B600B" w:rsidRPr="00B66CB9" w:rsidRDefault="003B600B" w:rsidP="00F42A2F">
      <w:pPr>
        <w:pStyle w:val="H23GC"/>
      </w:pPr>
      <w:r w:rsidRPr="00B66CB9">
        <w:tab/>
      </w:r>
      <w:r w:rsidRPr="00B66CB9">
        <w:tab/>
      </w:r>
      <w:r w:rsidRPr="00B66CB9">
        <w:t>法律面前获得平等承认</w:t>
      </w:r>
      <w:r w:rsidRPr="00B66CB9">
        <w:t>(</w:t>
      </w:r>
      <w:r w:rsidRPr="00B66CB9">
        <w:t>第十二条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24.</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委员会关切地注意到，在废除《宪法》第</w:t>
      </w:r>
      <w:r w:rsidRPr="00B66CB9">
        <w:rPr>
          <w:rFonts w:asciiTheme="majorBidi" w:eastAsiaTheme="minorEastAsia" w:hAnsiTheme="majorBidi" w:cstheme="majorBidi"/>
          <w:color w:val="333333"/>
          <w:szCs w:val="21"/>
        </w:rPr>
        <w:t>74</w:t>
      </w:r>
      <w:r w:rsidRPr="00B66CB9">
        <w:rPr>
          <w:rFonts w:asciiTheme="majorBidi" w:eastAsiaTheme="minorEastAsia" w:hAnsiTheme="majorBidi" w:cstheme="majorBidi"/>
          <w:color w:val="333333"/>
          <w:szCs w:val="21"/>
        </w:rPr>
        <w:t>条方面没有取得进展。该条规定，公民权利可因</w:t>
      </w:r>
      <w:r w:rsidR="00CB656F">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精神异化</w:t>
      </w:r>
      <w:r w:rsidR="00CB656F">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和</w:t>
      </w:r>
      <w:r w:rsidR="00CB656F">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司法禁止令</w:t>
      </w:r>
      <w:r w:rsidR="00CB656F">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而中止；该条严重限制残疾人特别是智力或社会心理残疾人士和有听力障碍人士的权利，这些人士在法律面前的平等承认受到限制。</w:t>
      </w:r>
    </w:p>
    <w:p w:rsidR="003B600B" w:rsidRPr="00CB656F"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25.</w:t>
      </w:r>
      <w:r w:rsidRPr="00B66CB9">
        <w:rPr>
          <w:rFonts w:asciiTheme="majorBidi" w:eastAsiaTheme="minorEastAsia" w:hAnsiTheme="majorBidi" w:cstheme="majorBidi"/>
          <w:szCs w:val="21"/>
        </w:rPr>
        <w:tab/>
      </w:r>
      <w:r w:rsidRPr="00CB656F">
        <w:rPr>
          <w:rFonts w:ascii="Time New Roman" w:eastAsia="黑体" w:hAnsi="Time New Roman" w:cstheme="majorBidi"/>
          <w:color w:val="333333"/>
          <w:szCs w:val="21"/>
        </w:rPr>
        <w:t>委员会回顾其关于法律面前平等承认的第</w:t>
      </w:r>
      <w:r w:rsidRPr="00CB656F">
        <w:rPr>
          <w:rFonts w:ascii="Time New Roman" w:eastAsia="黑体" w:hAnsi="Time New Roman" w:cstheme="majorBidi"/>
          <w:color w:val="333333"/>
          <w:szCs w:val="21"/>
        </w:rPr>
        <w:t>1</w:t>
      </w:r>
      <w:r w:rsidRPr="00CB656F">
        <w:rPr>
          <w:rFonts w:ascii="Time New Roman" w:eastAsia="黑体" w:hAnsi="Time New Roman" w:cstheme="majorBidi"/>
          <w:color w:val="333333"/>
          <w:szCs w:val="21"/>
        </w:rPr>
        <w:t>号一般性意见</w:t>
      </w:r>
      <w:r w:rsidRPr="00CB656F">
        <w:rPr>
          <w:rFonts w:ascii="Time New Roman" w:eastAsia="黑体" w:hAnsi="Time New Roman" w:cstheme="majorBidi"/>
          <w:color w:val="333333"/>
          <w:szCs w:val="21"/>
        </w:rPr>
        <w:t>(2014</w:t>
      </w:r>
      <w:r w:rsidRPr="00CB656F">
        <w:rPr>
          <w:rFonts w:ascii="Time New Roman" w:eastAsia="黑体" w:hAnsi="Time New Roman" w:cstheme="majorBidi"/>
          <w:color w:val="333333"/>
          <w:szCs w:val="21"/>
        </w:rPr>
        <w:t>年</w:t>
      </w:r>
      <w:r w:rsidRPr="00CB656F">
        <w:rPr>
          <w:rFonts w:ascii="Time New Roman" w:eastAsia="黑体" w:hAnsi="Time New Roman" w:cstheme="majorBidi"/>
          <w:color w:val="333333"/>
          <w:szCs w:val="21"/>
        </w:rPr>
        <w:t>)</w:t>
      </w:r>
      <w:r w:rsidRPr="00CB656F">
        <w:rPr>
          <w:rFonts w:ascii="Time New Roman" w:eastAsia="黑体" w:hAnsi="Time New Roman" w:cstheme="majorBidi"/>
          <w:color w:val="333333"/>
          <w:szCs w:val="21"/>
        </w:rPr>
        <w:t>，建议缔约国废除立法特别是《宪法》和《家庭法》中宣布无行为能力的制度。委员会还建议缔约国分配人力和预算资源，将对残疾人特别是社会心理、智力或听力残疾人士实行的替代决策制度改为辅助决策制度。</w:t>
      </w:r>
    </w:p>
    <w:p w:rsidR="003B600B" w:rsidRPr="00B66CB9" w:rsidRDefault="003B600B" w:rsidP="00F42A2F">
      <w:pPr>
        <w:pStyle w:val="H23GC"/>
      </w:pPr>
      <w:r w:rsidRPr="00B66CB9">
        <w:tab/>
      </w:r>
      <w:r w:rsidRPr="00B66CB9">
        <w:tab/>
      </w:r>
      <w:r w:rsidRPr="00B66CB9">
        <w:t>获得司法保护</w:t>
      </w:r>
      <w:r w:rsidRPr="00B66CB9">
        <w:t>(</w:t>
      </w:r>
      <w:r w:rsidRPr="00B66CB9">
        <w:t>第十三条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26.</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委员会仍然关切地注意到，缔约国没有采取措施作出程序调整，包括根据性别和年龄提供便利，以确保农村和城市地区的残疾人能够诉诸司法。</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t>27.</w:t>
      </w:r>
      <w:r w:rsidRPr="00B66CB9">
        <w:rPr>
          <w:rFonts w:asciiTheme="majorBidi" w:eastAsiaTheme="minorEastAsia" w:hAnsiTheme="majorBidi" w:cstheme="majorBidi"/>
          <w:szCs w:val="21"/>
        </w:rPr>
        <w:tab/>
      </w:r>
      <w:r w:rsidRPr="00CB656F">
        <w:rPr>
          <w:rFonts w:ascii="Time New Roman" w:eastAsia="黑体" w:hAnsi="Time New Roman" w:cstheme="majorBidi"/>
          <w:szCs w:val="21"/>
        </w:rPr>
        <w:t>委员会</w:t>
      </w:r>
      <w:r w:rsidRPr="00CB656F">
        <w:rPr>
          <w:rFonts w:ascii="Time New Roman" w:eastAsia="黑体" w:hAnsi="Time New Roman" w:cstheme="majorBidi"/>
          <w:color w:val="333333"/>
          <w:szCs w:val="21"/>
        </w:rPr>
        <w:t>考虑到可持续发展目标的具体目标</w:t>
      </w:r>
      <w:r w:rsidRPr="00CB656F">
        <w:rPr>
          <w:rFonts w:ascii="Time New Roman" w:eastAsia="黑体" w:hAnsi="Time New Roman" w:cstheme="majorBidi"/>
          <w:color w:val="333333"/>
          <w:szCs w:val="21"/>
        </w:rPr>
        <w:t>16.3,</w:t>
      </w:r>
      <w:r w:rsidR="000E6FA4">
        <w:rPr>
          <w:rFonts w:ascii="Time New Roman" w:eastAsia="黑体" w:hAnsi="Time New Roman" w:cstheme="majorBidi"/>
          <w:color w:val="333333"/>
          <w:szCs w:val="21"/>
        </w:rPr>
        <w:t xml:space="preserve"> </w:t>
      </w:r>
      <w:r w:rsidRPr="00CB656F">
        <w:rPr>
          <w:rFonts w:ascii="Time New Roman" w:eastAsia="黑体" w:hAnsi="Time New Roman" w:cstheme="majorBidi"/>
          <w:color w:val="333333"/>
          <w:szCs w:val="21"/>
        </w:rPr>
        <w:t>建议缔约国废除任何对残疾人诉诸司法构成障碍的立法，并规定必要的保障措施，以保证残疾人在与其他人平等的基础上参与所有诉讼，包括侧重性别和年龄，以及提供个性化便利，例如无障碍交流模式和格式</w:t>
      </w:r>
      <w:r w:rsidR="00CB656F" w:rsidRPr="00CB656F">
        <w:rPr>
          <w:rFonts w:ascii="Time New Roman" w:eastAsia="黑体" w:hAnsi="Time New Roman" w:cstheme="majorBidi" w:hint="eastAsia"/>
          <w:color w:val="333333"/>
          <w:spacing w:val="-50"/>
          <w:szCs w:val="21"/>
        </w:rPr>
        <w:t>―</w:t>
      </w:r>
      <w:r w:rsidR="00CB656F" w:rsidRPr="00CB656F">
        <w:rPr>
          <w:rFonts w:ascii="Time New Roman" w:eastAsia="黑体" w:hAnsi="Time New Roman" w:cstheme="majorBidi" w:hint="eastAsia"/>
          <w:color w:val="333333"/>
          <w:szCs w:val="21"/>
        </w:rPr>
        <w:t>―</w:t>
      </w:r>
      <w:r w:rsidRPr="00CB656F">
        <w:rPr>
          <w:rFonts w:ascii="Time New Roman" w:eastAsia="黑体" w:hAnsi="Time New Roman" w:cstheme="majorBidi"/>
          <w:color w:val="333333"/>
          <w:szCs w:val="21"/>
        </w:rPr>
        <w:t>盲文、易读、字幕、替代通信设备和专业手语翻译等。</w:t>
      </w:r>
    </w:p>
    <w:p w:rsidR="003B600B" w:rsidRPr="00B66CB9" w:rsidRDefault="003B600B" w:rsidP="00F42A2F">
      <w:pPr>
        <w:pStyle w:val="H23GC"/>
      </w:pPr>
      <w:r w:rsidRPr="00B66CB9">
        <w:tab/>
      </w:r>
      <w:r w:rsidRPr="00B66CB9">
        <w:tab/>
      </w:r>
      <w:r w:rsidRPr="00B66CB9">
        <w:t>人身自由和安全</w:t>
      </w:r>
      <w:r w:rsidRPr="00B66CB9">
        <w:t>(</w:t>
      </w:r>
      <w:r w:rsidRPr="00B66CB9">
        <w:t>第十四条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28.</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2017</w:t>
      </w:r>
      <w:r w:rsidRPr="00B66CB9">
        <w:rPr>
          <w:rFonts w:asciiTheme="majorBidi" w:eastAsiaTheme="minorEastAsia" w:hAnsiTheme="majorBidi" w:cstheme="majorBidi"/>
          <w:color w:val="333333"/>
          <w:szCs w:val="21"/>
        </w:rPr>
        <w:t>年《精神健康法》和《刑事诉讼法》第</w:t>
      </w:r>
      <w:r w:rsidRPr="00B66CB9">
        <w:rPr>
          <w:rFonts w:asciiTheme="majorBidi" w:eastAsiaTheme="minorEastAsia" w:hAnsiTheme="majorBidi" w:cstheme="majorBidi"/>
          <w:color w:val="333333"/>
          <w:szCs w:val="21"/>
        </w:rPr>
        <w:t>436</w:t>
      </w:r>
      <w:r w:rsidRPr="00B66CB9">
        <w:rPr>
          <w:rFonts w:asciiTheme="majorBidi" w:eastAsiaTheme="minorEastAsia" w:hAnsiTheme="majorBidi" w:cstheme="majorBidi"/>
          <w:color w:val="333333"/>
          <w:szCs w:val="21"/>
        </w:rPr>
        <w:t>和</w:t>
      </w:r>
      <w:r w:rsidRPr="00B66CB9">
        <w:rPr>
          <w:rFonts w:asciiTheme="majorBidi" w:eastAsiaTheme="minorEastAsia" w:hAnsiTheme="majorBidi" w:cstheme="majorBidi"/>
          <w:color w:val="333333"/>
          <w:szCs w:val="21"/>
        </w:rPr>
        <w:t>437</w:t>
      </w:r>
      <w:r w:rsidRPr="00B66CB9">
        <w:rPr>
          <w:rFonts w:asciiTheme="majorBidi" w:eastAsiaTheme="minorEastAsia" w:hAnsiTheme="majorBidi" w:cstheme="majorBidi"/>
          <w:color w:val="333333"/>
          <w:szCs w:val="21"/>
        </w:rPr>
        <w:t>条等立法，这些立法规定，可以对社会心理或智力残疾人士强制用药，约束其身体并强行将其送入机构；</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《家庭法》，该法规定，社会心理或智力残疾人士的亲属或监护人，如推定受照料者患有</w:t>
      </w:r>
      <w:r w:rsidR="000E6FA4">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精神病</w:t>
      </w:r>
      <w:r w:rsidR="000E6FA4">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，可在无需征得相关人士同意的情况下将其送入医院；</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拘留所和警察局没有为残疾人提供足够的无障碍和个性化便利。</w:t>
      </w:r>
    </w:p>
    <w:p w:rsidR="003B600B" w:rsidRPr="00CB656F" w:rsidRDefault="003B600B" w:rsidP="003B600B">
      <w:pPr>
        <w:pStyle w:val="SingleTxtGC"/>
        <w:rPr>
          <w:rFonts w:ascii="Time New Roman" w:eastAsia="黑体" w:hAnsi="Time New Roman" w:cstheme="majorBidi"/>
          <w:szCs w:val="21"/>
        </w:rPr>
      </w:pPr>
      <w:r w:rsidRPr="00B66CB9">
        <w:rPr>
          <w:rFonts w:asciiTheme="majorBidi" w:eastAsiaTheme="minorEastAsia" w:hAnsiTheme="majorBidi" w:cstheme="majorBidi"/>
          <w:szCs w:val="21"/>
        </w:rPr>
        <w:t>29.</w:t>
      </w:r>
      <w:r w:rsidRPr="00B66CB9">
        <w:rPr>
          <w:rFonts w:asciiTheme="majorBidi" w:eastAsiaTheme="minorEastAsia" w:hAnsiTheme="majorBidi" w:cstheme="majorBidi"/>
          <w:szCs w:val="21"/>
        </w:rPr>
        <w:tab/>
      </w:r>
      <w:r w:rsidRPr="00CB656F">
        <w:rPr>
          <w:rFonts w:ascii="Time New Roman" w:eastAsia="黑体" w:hAnsi="Time New Roman" w:cstheme="majorBidi"/>
          <w:szCs w:val="21"/>
        </w:rPr>
        <w:t>委员会建议缔约国：</w:t>
      </w:r>
    </w:p>
    <w:p w:rsidR="003B600B" w:rsidRPr="00CB656F" w:rsidRDefault="003B600B"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szCs w:val="21"/>
        </w:rPr>
        <w:tab/>
        <w:t>(a)</w:t>
      </w:r>
      <w:r w:rsidRPr="00CB656F">
        <w:rPr>
          <w:rFonts w:ascii="Time New Roman" w:eastAsia="黑体" w:hAnsi="Time New Roman" w:cstheme="majorBidi"/>
          <w:szCs w:val="21"/>
        </w:rPr>
        <w:tab/>
      </w:r>
      <w:r w:rsidRPr="00CB656F">
        <w:rPr>
          <w:rFonts w:ascii="Time New Roman" w:eastAsia="黑体" w:hAnsi="Time New Roman" w:cstheme="majorBidi"/>
          <w:color w:val="333333"/>
          <w:szCs w:val="21"/>
        </w:rPr>
        <w:t>立即采取措施废除或修订所有法律条款，以规定不得以</w:t>
      </w:r>
      <w:r w:rsidRPr="00CB656F">
        <w:rPr>
          <w:rFonts w:ascii="Time New Roman" w:eastAsia="黑体" w:hAnsi="Time New Roman" w:cstheme="majorBidi" w:hint="eastAsia"/>
          <w:color w:val="333333"/>
          <w:szCs w:val="21"/>
        </w:rPr>
        <w:t>“</w:t>
      </w:r>
      <w:r w:rsidRPr="00CB656F">
        <w:rPr>
          <w:rFonts w:ascii="Time New Roman" w:eastAsia="黑体" w:hAnsi="Time New Roman" w:cstheme="majorBidi"/>
          <w:color w:val="333333"/>
          <w:szCs w:val="21"/>
        </w:rPr>
        <w:t>不适合受审</w:t>
      </w:r>
      <w:r w:rsidRPr="00CB656F">
        <w:rPr>
          <w:rFonts w:ascii="Time New Roman" w:eastAsia="黑体" w:hAnsi="Time New Roman" w:cstheme="majorBidi" w:hint="eastAsia"/>
          <w:color w:val="333333"/>
          <w:szCs w:val="21"/>
        </w:rPr>
        <w:t>”</w:t>
      </w:r>
      <w:r w:rsidRPr="00CB656F">
        <w:rPr>
          <w:rFonts w:ascii="Time New Roman" w:eastAsia="黑体" w:hAnsi="Time New Roman" w:cstheme="majorBidi"/>
          <w:color w:val="333333"/>
          <w:szCs w:val="21"/>
        </w:rPr>
        <w:t>为由提供治疗和强行将人送入机构；</w:t>
      </w:r>
    </w:p>
    <w:p w:rsidR="003B600B" w:rsidRPr="00CB656F" w:rsidRDefault="003B600B" w:rsidP="003B600B">
      <w:pPr>
        <w:pStyle w:val="SingleTxtGC"/>
        <w:rPr>
          <w:rFonts w:ascii="Time New Roman" w:eastAsia="黑体" w:hAnsi="Time New Roman" w:cstheme="majorBidi"/>
          <w:szCs w:val="21"/>
        </w:rPr>
      </w:pPr>
      <w:r w:rsidRPr="00CB656F">
        <w:rPr>
          <w:rFonts w:ascii="Time New Roman" w:eastAsia="黑体" w:hAnsi="Time New Roman" w:cstheme="majorBidi"/>
          <w:szCs w:val="21"/>
        </w:rPr>
        <w:tab/>
        <w:t>(b)</w:t>
      </w:r>
      <w:r w:rsidRPr="00CB656F">
        <w:rPr>
          <w:rFonts w:ascii="Time New Roman" w:eastAsia="黑体" w:hAnsi="Time New Roman" w:cstheme="majorBidi"/>
          <w:szCs w:val="21"/>
        </w:rPr>
        <w:tab/>
      </w:r>
      <w:r w:rsidRPr="00CB656F">
        <w:rPr>
          <w:rFonts w:ascii="Time New Roman" w:eastAsia="黑体" w:hAnsi="Time New Roman" w:cstheme="majorBidi"/>
          <w:color w:val="333333"/>
          <w:szCs w:val="21"/>
        </w:rPr>
        <w:t>确保残疾人在与其相关的事项上享有尊严、自主权和独立，并建立一个负责对拘留所进行监测和提出申诉的机制；</w:t>
      </w:r>
    </w:p>
    <w:p w:rsidR="003B600B" w:rsidRPr="00CB656F" w:rsidRDefault="003B600B" w:rsidP="003B600B">
      <w:pPr>
        <w:pStyle w:val="SingleTxtGC"/>
        <w:rPr>
          <w:rFonts w:ascii="Time New Roman" w:eastAsia="黑体" w:hAnsi="Time New Roman" w:cstheme="majorBidi"/>
          <w:color w:val="333333"/>
          <w:szCs w:val="21"/>
        </w:rPr>
      </w:pPr>
      <w:r w:rsidRPr="00CB656F">
        <w:rPr>
          <w:rFonts w:ascii="Time New Roman" w:eastAsia="黑体" w:hAnsi="Time New Roman" w:cstheme="majorBidi"/>
          <w:szCs w:val="21"/>
        </w:rPr>
        <w:tab/>
        <w:t>(c)</w:t>
      </w:r>
      <w:r w:rsidRPr="00CB656F">
        <w:rPr>
          <w:rFonts w:ascii="Time New Roman" w:eastAsia="黑体" w:hAnsi="Time New Roman" w:cstheme="majorBidi"/>
          <w:szCs w:val="21"/>
        </w:rPr>
        <w:tab/>
      </w:r>
      <w:r w:rsidRPr="00CB656F">
        <w:rPr>
          <w:rFonts w:ascii="Time New Roman" w:eastAsia="黑体" w:hAnsi="Time New Roman" w:cstheme="majorBidi"/>
          <w:color w:val="333333"/>
          <w:szCs w:val="21"/>
        </w:rPr>
        <w:t>消除使警察局和拘留所无法提供实际无障碍和交流无障碍便利的因素。</w:t>
      </w:r>
    </w:p>
    <w:p w:rsidR="003B600B" w:rsidRPr="00B66CB9" w:rsidRDefault="003B600B" w:rsidP="00EE5230">
      <w:pPr>
        <w:pStyle w:val="H23GC"/>
      </w:pPr>
      <w:r w:rsidRPr="00B66CB9">
        <w:lastRenderedPageBreak/>
        <w:tab/>
      </w:r>
      <w:r w:rsidRPr="00B66CB9">
        <w:tab/>
      </w:r>
      <w:r w:rsidRPr="00B66CB9">
        <w:t>免于酷刑和残忍、不人道或有辱人格的待遇或处罚</w:t>
      </w:r>
      <w:r w:rsidRPr="00B66CB9">
        <w:t>(</w:t>
      </w:r>
      <w:r w:rsidRPr="00B66CB9">
        <w:t>第十五条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30.</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委员会深为关切地注意到，缔约国的立法仍然没有禁止精神病院和其他机构虐待残疾人，也没有禁止在未经残疾人自由和知情同意的情况下约束残疾人身体、并对其采用电击和药物镇静方法。</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31.</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委员会回顾其关于包括残疾儿童在内的残疾人通过其代表组织参与执行和监测《公约》的第</w:t>
      </w:r>
      <w:r w:rsidRPr="001E3AC6">
        <w:rPr>
          <w:rFonts w:ascii="Time New Roman" w:eastAsia="黑体" w:hAnsi="Time New Roman" w:cstheme="majorBidi"/>
          <w:color w:val="333333"/>
          <w:szCs w:val="21"/>
        </w:rPr>
        <w:t>7</w:t>
      </w:r>
      <w:r w:rsidRPr="001E3AC6">
        <w:rPr>
          <w:rFonts w:ascii="Time New Roman" w:eastAsia="黑体" w:hAnsi="Time New Roman" w:cstheme="majorBidi"/>
          <w:color w:val="333333"/>
          <w:szCs w:val="21"/>
        </w:rPr>
        <w:t>号一般性意见</w:t>
      </w:r>
      <w:r w:rsidRPr="001E3AC6">
        <w:rPr>
          <w:rFonts w:ascii="Time New Roman" w:eastAsia="黑体" w:hAnsi="Time New Roman" w:cstheme="majorBidi"/>
          <w:color w:val="333333"/>
          <w:szCs w:val="21"/>
        </w:rPr>
        <w:t>(2018</w:t>
      </w:r>
      <w:r w:rsidRPr="001E3AC6">
        <w:rPr>
          <w:rFonts w:ascii="Time New Roman" w:eastAsia="黑体" w:hAnsi="Time New Roman" w:cstheme="majorBidi"/>
          <w:color w:val="333333"/>
          <w:szCs w:val="21"/>
        </w:rPr>
        <w:t>年</w:t>
      </w:r>
      <w:r w:rsidRPr="001E3AC6">
        <w:rPr>
          <w:rFonts w:ascii="Time New Roman" w:eastAsia="黑体" w:hAnsi="Time New Roman" w:cstheme="majorBidi"/>
          <w:color w:val="333333"/>
          <w:szCs w:val="21"/>
        </w:rPr>
        <w:t>)</w:t>
      </w:r>
      <w:r w:rsidRPr="001E3AC6">
        <w:rPr>
          <w:rFonts w:ascii="Time New Roman" w:eastAsia="黑体" w:hAnsi="Time New Roman" w:cstheme="majorBidi"/>
          <w:color w:val="333333"/>
          <w:szCs w:val="21"/>
        </w:rPr>
        <w:t>，并考虑到《可持续发展目标》的具体目标</w:t>
      </w:r>
      <w:r w:rsidRPr="001E3AC6">
        <w:rPr>
          <w:rFonts w:ascii="Time New Roman" w:eastAsia="黑体" w:hAnsi="Time New Roman" w:cstheme="majorBidi"/>
          <w:color w:val="333333"/>
          <w:szCs w:val="21"/>
        </w:rPr>
        <w:t>16.1,</w:t>
      </w:r>
      <w:r w:rsidR="00CB656F">
        <w:rPr>
          <w:rFonts w:ascii="Time New Roman" w:eastAsia="黑体" w:hAnsi="Time New Roman" w:cstheme="majorBidi"/>
          <w:color w:val="333333"/>
          <w:szCs w:val="21"/>
        </w:rPr>
        <w:t xml:space="preserve"> </w:t>
      </w:r>
      <w:r w:rsidRPr="001E3AC6">
        <w:rPr>
          <w:rFonts w:ascii="Time New Roman" w:eastAsia="黑体" w:hAnsi="Time New Roman" w:cstheme="majorBidi"/>
          <w:color w:val="333333"/>
          <w:szCs w:val="21"/>
        </w:rPr>
        <w:t>建议缔约国与残疾人组织协商：</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修改《精神健康法》和精神健康政策，以便规定不得采取体罚、隔离做法和约束措施，不得采用抗癫痫疗法，并使残疾人免遭任何残忍、不人道或有辱人格的待遇；</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与残疾人组织协商，建立独立的监测机制，以便调查、监测和受理虐待申诉，并对在未经残疾人自由和知情的情况下采取任何做法的行为进行处罚。</w:t>
      </w:r>
    </w:p>
    <w:p w:rsidR="003B600B" w:rsidRPr="00B66CB9" w:rsidRDefault="003B600B" w:rsidP="00EE5230">
      <w:pPr>
        <w:pStyle w:val="H23GC"/>
      </w:pPr>
      <w:r w:rsidRPr="00B66CB9">
        <w:tab/>
      </w:r>
      <w:r w:rsidRPr="00B66CB9">
        <w:tab/>
      </w:r>
      <w:r w:rsidRPr="00B66CB9">
        <w:t>免于剥削、暴力和凌虐</w:t>
      </w:r>
      <w:r w:rsidRPr="00B66CB9">
        <w:t>(</w:t>
      </w:r>
      <w:r w:rsidRPr="00B66CB9">
        <w:t>第十六条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32.</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在家中和机构中，</w:t>
      </w:r>
      <w:r w:rsidRPr="00B66CB9">
        <w:rPr>
          <w:rFonts w:asciiTheme="majorBidi" w:eastAsiaTheme="minorEastAsia" w:hAnsiTheme="majorBidi" w:cstheme="majorBidi"/>
          <w:color w:val="333333"/>
          <w:szCs w:val="21"/>
        </w:rPr>
        <w:t>残疾人依然遭受暴力侵害，有社会心理或智力残疾的妇女和女童遭受性暴力和基于性别的暴力侵害的情况突出，老年残疾人、非洲裔残疾人以及生活在农村或偏远地区艰苦条件下的残疾人遭受暴力侵害的现象仍未消除；</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为</w:t>
      </w:r>
      <w:r w:rsidRPr="00B66CB9">
        <w:rPr>
          <w:rFonts w:asciiTheme="majorBidi" w:eastAsiaTheme="minorEastAsia" w:hAnsiTheme="majorBidi" w:cstheme="majorBidi"/>
          <w:color w:val="333333"/>
          <w:szCs w:val="21"/>
        </w:rPr>
        <w:t>暴力受害者提供的康复服务不足，为其建立的申诉和补救机制未能奏效；没有提供保护，以防止遭受暴力侵害和人口及器官贩运活动侵害的残疾人可能由于对行为人提出申诉而遭到报复；</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为打击</w:t>
      </w:r>
      <w:r w:rsidRPr="00B66CB9">
        <w:rPr>
          <w:rFonts w:asciiTheme="majorBidi" w:eastAsiaTheme="minorEastAsia" w:hAnsiTheme="majorBidi" w:cstheme="majorBidi"/>
          <w:color w:val="333333"/>
          <w:szCs w:val="21"/>
        </w:rPr>
        <w:t>贩运残疾人和器官活动而采取的预防措施未能奏效；</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(d)</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关于残疾人在精神病院、拘留所和家中遭受性暴力和基于性别的暴力侵害的案件的数据，以及关于贩运残疾人和器官方面报告的申诉和裁定的案件的数据缺乏。</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33.</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委员会建议缔约国根据委员会关于残疾妇女和女童的第</w:t>
      </w:r>
      <w:r w:rsidRPr="001E3AC6">
        <w:rPr>
          <w:rFonts w:ascii="Time New Roman" w:eastAsia="黑体" w:hAnsi="Time New Roman" w:cstheme="majorBidi"/>
          <w:color w:val="333333"/>
          <w:szCs w:val="21"/>
        </w:rPr>
        <w:t>3</w:t>
      </w:r>
      <w:r w:rsidRPr="001E3AC6">
        <w:rPr>
          <w:rFonts w:ascii="Time New Roman" w:eastAsia="黑体" w:hAnsi="Time New Roman" w:cstheme="majorBidi"/>
          <w:color w:val="333333"/>
          <w:szCs w:val="21"/>
        </w:rPr>
        <w:t>号一般性意见</w:t>
      </w:r>
      <w:r w:rsidRPr="001E3AC6">
        <w:rPr>
          <w:rFonts w:ascii="Time New Roman" w:eastAsia="黑体" w:hAnsi="Time New Roman" w:cstheme="majorBidi"/>
          <w:color w:val="333333"/>
          <w:szCs w:val="21"/>
        </w:rPr>
        <w:t>(2016</w:t>
      </w:r>
      <w:r w:rsidRPr="001E3AC6">
        <w:rPr>
          <w:rFonts w:ascii="Time New Roman" w:eastAsia="黑体" w:hAnsi="Time New Roman" w:cstheme="majorBidi"/>
          <w:color w:val="333333"/>
          <w:szCs w:val="21"/>
        </w:rPr>
        <w:t>年</w:t>
      </w:r>
      <w:r w:rsidRPr="001E3AC6">
        <w:rPr>
          <w:rFonts w:ascii="Time New Roman" w:eastAsia="黑体" w:hAnsi="Time New Roman" w:cstheme="majorBidi"/>
          <w:color w:val="333333"/>
          <w:szCs w:val="21"/>
        </w:rPr>
        <w:t>)</w:t>
      </w:r>
      <w:r w:rsidRPr="001E3AC6">
        <w:rPr>
          <w:rFonts w:ascii="Time New Roman" w:eastAsia="黑体" w:hAnsi="Time New Roman" w:cstheme="majorBidi"/>
          <w:color w:val="333333"/>
          <w:szCs w:val="21"/>
        </w:rPr>
        <w:t>，并考虑到《可持续发展目标》所列具体目标</w:t>
      </w:r>
      <w:r w:rsidRPr="001E3AC6">
        <w:rPr>
          <w:rFonts w:ascii="Time New Roman" w:eastAsia="黑体" w:hAnsi="Time New Roman" w:cstheme="majorBidi"/>
          <w:color w:val="333333"/>
          <w:szCs w:val="21"/>
        </w:rPr>
        <w:t>16.2,</w:t>
      </w:r>
      <w:r w:rsidR="005969AE">
        <w:rPr>
          <w:rFonts w:ascii="Time New Roman" w:eastAsia="黑体" w:hAnsi="Time New Roman" w:cstheme="majorBidi"/>
          <w:color w:val="333333"/>
          <w:szCs w:val="21"/>
        </w:rPr>
        <w:t xml:space="preserve"> </w:t>
      </w:r>
      <w:r w:rsidRPr="001E3AC6">
        <w:rPr>
          <w:rFonts w:ascii="Time New Roman" w:eastAsia="黑体" w:hAnsi="Time New Roman" w:cstheme="majorBidi"/>
          <w:color w:val="333333"/>
          <w:szCs w:val="21"/>
        </w:rPr>
        <w:t>采取措施，以便：</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保护家中和机构中的残疾人，尤其是残疾妇女和女童、老年残疾人、非洲裔残疾人、社会心理或智力残疾人士以及生活在农村或偏远地区艰苦条件下的残疾人，使其免遭一切形式的暴力包括性暴力和基于性别的暴力侵害；</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向遭受暴力及人口和器官贩运活动侵害的残疾人提供康复服务，包括紧急庇护及医疗和心理援助，为其建立有效的申诉和补救机制，并对其实行保护，以防因对行为人提出申诉而遭到报复；</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(c)</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向公职人员，包括国家民警署、司法机关及卫生和社会工作者提供关于预防和识别贩运残疾人和器官的性别敏感培训，从而防止贩运残疾人和器官现象发生；</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lastRenderedPageBreak/>
        <w:tab/>
        <w:t>(d)</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收集关于残疾人在精神病院、拘留所和家中遭受暴力侵害，以及关于贩运残疾人和器官方面报告的申诉和裁定的案件数目的数据，这些数据应按年龄、性别、暴力形式和残疾分列。</w:t>
      </w:r>
    </w:p>
    <w:p w:rsidR="003B600B" w:rsidRPr="00B66CB9" w:rsidRDefault="003B600B" w:rsidP="00EE5230">
      <w:pPr>
        <w:pStyle w:val="H23GC"/>
      </w:pPr>
      <w:r w:rsidRPr="00B66CB9">
        <w:tab/>
      </w:r>
      <w:r w:rsidRPr="00B66CB9">
        <w:tab/>
      </w:r>
      <w:r w:rsidRPr="00B66CB9">
        <w:t>保护人身完整性</w:t>
      </w:r>
      <w:r w:rsidRPr="00B66CB9">
        <w:t>(</w:t>
      </w:r>
      <w:r w:rsidRPr="00B66CB9">
        <w:t>第十七条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34.</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医院仍然在未经残疾妇女和女童同意的情况下强行对其施行绝育和堕胎手术，法律总顾问办公室在未经相关人员同意但经第三方同意的情况下，向医院发布关于医疗包括强迫绝育的意见。委员会还关切地注意到，医院没有报告强迫绝育案件。</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35.</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委员会敦促缔约国：</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废除《刑法》第</w:t>
      </w:r>
      <w:r w:rsidRPr="001E3AC6">
        <w:rPr>
          <w:rFonts w:ascii="Time New Roman" w:eastAsia="黑体" w:hAnsi="Time New Roman" w:cstheme="majorBidi"/>
          <w:color w:val="333333"/>
          <w:szCs w:val="21"/>
        </w:rPr>
        <w:t>147</w:t>
      </w:r>
      <w:r w:rsidRPr="001E3AC6">
        <w:rPr>
          <w:rFonts w:ascii="Time New Roman" w:eastAsia="黑体" w:hAnsi="Time New Roman" w:cstheme="majorBidi"/>
          <w:color w:val="333333"/>
          <w:szCs w:val="21"/>
        </w:rPr>
        <w:t>条第</w:t>
      </w:r>
      <w:r w:rsidRPr="001E3AC6">
        <w:rPr>
          <w:rFonts w:ascii="Time New Roman" w:eastAsia="黑体" w:hAnsi="Time New Roman" w:cstheme="majorBidi"/>
          <w:color w:val="333333"/>
          <w:szCs w:val="21"/>
        </w:rPr>
        <w:t>(3)</w:t>
      </w:r>
      <w:r w:rsidRPr="001E3AC6">
        <w:rPr>
          <w:rFonts w:ascii="Time New Roman" w:eastAsia="黑体" w:hAnsi="Time New Roman" w:cstheme="majorBidi"/>
          <w:color w:val="333333"/>
          <w:szCs w:val="21"/>
        </w:rPr>
        <w:t>款，废除强行对残疾妇女和女童施行绝育的做法，并确保关于医疗程序的决定在残疾人自由和知情同意的情况下做出，而不是根据法律总顾问办公室发布的意见做出；</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建立一个独立机制，以便监测、登记和调查医院和私人诊所的强制绝育案件。</w:t>
      </w:r>
    </w:p>
    <w:p w:rsidR="003B600B" w:rsidRPr="00B66CB9" w:rsidRDefault="003B600B" w:rsidP="00EE5230">
      <w:pPr>
        <w:pStyle w:val="H23GC"/>
      </w:pPr>
      <w:r w:rsidRPr="00B66CB9">
        <w:tab/>
      </w:r>
      <w:r w:rsidRPr="00B66CB9">
        <w:tab/>
      </w:r>
      <w:r w:rsidRPr="00B66CB9">
        <w:t>迁徙自由和国籍</w:t>
      </w:r>
      <w:r w:rsidRPr="00B66CB9">
        <w:t>(</w:t>
      </w:r>
      <w:r w:rsidRPr="00B66CB9">
        <w:t>第十八条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36.</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委员会关切地注意到，新的《移民法》和《护照签发和重新验证法》对有听力障碍人士和智力或社会心理残疾人士出国构成法律障碍。委员会还关切地注意到，一些残疾人仍然无法获得身份证。</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37.</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委员会建议缔约国审查和改革移民立法，以消除歧视性限制，并确保所有希望离开或进入该国的残疾人都能在与其他人平等的基础上利用程序。委员会还建议缔约国采取措施，确保所有残疾人都能获得出生证或身份证。</w:t>
      </w:r>
    </w:p>
    <w:p w:rsidR="003B600B" w:rsidRPr="00B66CB9" w:rsidRDefault="003B600B" w:rsidP="00EE5230">
      <w:pPr>
        <w:pStyle w:val="H23GC"/>
      </w:pPr>
      <w:r w:rsidRPr="00B66CB9">
        <w:tab/>
      </w:r>
      <w:r w:rsidRPr="00B66CB9">
        <w:tab/>
      </w:r>
      <w:r w:rsidRPr="00B66CB9">
        <w:t>独立生活和融入社区</w:t>
      </w:r>
      <w:r w:rsidRPr="00B66CB9">
        <w:t>(</w:t>
      </w:r>
      <w:r w:rsidRPr="00B66CB9">
        <w:t>第十九条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38.</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为目前</w:t>
      </w:r>
      <w:r w:rsidRPr="00B66CB9">
        <w:rPr>
          <w:rFonts w:asciiTheme="majorBidi" w:eastAsiaTheme="minorEastAsia" w:hAnsiTheme="majorBidi" w:cstheme="majorBidi"/>
          <w:color w:val="333333"/>
          <w:szCs w:val="21"/>
        </w:rPr>
        <w:t>主要由接待中心或精神病医院收容的残疾人作出去机构化安排的战略缺乏，而且残疾人组织在这方面缺乏参与；</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寄养方案存在欠缺，难以确保残疾儿童的家庭生活权；</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向</w:t>
      </w:r>
      <w:r w:rsidRPr="00B66CB9">
        <w:rPr>
          <w:rFonts w:asciiTheme="majorBidi" w:eastAsiaTheme="minorEastAsia" w:hAnsiTheme="majorBidi" w:cstheme="majorBidi"/>
          <w:color w:val="333333"/>
          <w:szCs w:val="21"/>
        </w:rPr>
        <w:t>残疾人提供的住房贷款不足，属于社会住房方案的一部分的个人住房缺乏无障碍环境。</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39.</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委员会根据其关于独立生活和融入社区的第</w:t>
      </w:r>
      <w:r w:rsidRPr="001E3AC6">
        <w:rPr>
          <w:rFonts w:ascii="Time New Roman" w:eastAsia="黑体" w:hAnsi="Time New Roman" w:cstheme="majorBidi"/>
          <w:color w:val="333333"/>
          <w:szCs w:val="21"/>
        </w:rPr>
        <w:t>5</w:t>
      </w:r>
      <w:r w:rsidRPr="001E3AC6">
        <w:rPr>
          <w:rFonts w:ascii="Time New Roman" w:eastAsia="黑体" w:hAnsi="Time New Roman" w:cstheme="majorBidi"/>
          <w:color w:val="333333"/>
          <w:szCs w:val="21"/>
        </w:rPr>
        <w:t>号一般性意见</w:t>
      </w:r>
      <w:r w:rsidRPr="001E3AC6">
        <w:rPr>
          <w:rFonts w:ascii="Time New Roman" w:eastAsia="黑体" w:hAnsi="Time New Roman" w:cstheme="majorBidi"/>
          <w:color w:val="333333"/>
          <w:szCs w:val="21"/>
        </w:rPr>
        <w:t>(2017</w:t>
      </w:r>
      <w:r w:rsidRPr="001E3AC6">
        <w:rPr>
          <w:rFonts w:ascii="Time New Roman" w:eastAsia="黑体" w:hAnsi="Time New Roman" w:cstheme="majorBidi"/>
          <w:color w:val="333333"/>
          <w:szCs w:val="21"/>
        </w:rPr>
        <w:t>年</w:t>
      </w:r>
      <w:r w:rsidRPr="001E3AC6">
        <w:rPr>
          <w:rFonts w:ascii="Time New Roman" w:eastAsia="黑体" w:hAnsi="Time New Roman" w:cstheme="majorBidi"/>
          <w:color w:val="333333"/>
          <w:szCs w:val="21"/>
        </w:rPr>
        <w:t>)</w:t>
      </w:r>
      <w:r w:rsidRPr="001E3AC6">
        <w:rPr>
          <w:rFonts w:ascii="Time New Roman" w:eastAsia="黑体" w:hAnsi="Time New Roman" w:cstheme="majorBidi"/>
          <w:color w:val="333333"/>
          <w:szCs w:val="21"/>
        </w:rPr>
        <w:t>，建议缔约国与残疾人组织密切协商，并在残疾人组织的积极参与下，通过和实施一项全面的国家战略，该战略应含有明确的有时限的措施、基准，为各级有效的去机构化划拨充足资金，并应包括社区方案、社区家庭和社会支持网络以及个人和家庭援助。</w:t>
      </w:r>
    </w:p>
    <w:p w:rsidR="003B600B" w:rsidRPr="00B66CB9" w:rsidRDefault="00EE5230" w:rsidP="00EE5230">
      <w:pPr>
        <w:pStyle w:val="H23GC"/>
      </w:pPr>
      <w:r>
        <w:tab/>
      </w:r>
      <w:r>
        <w:tab/>
      </w:r>
      <w:r w:rsidR="003B600B" w:rsidRPr="00B66CB9">
        <w:t>个人行动能力</w:t>
      </w:r>
      <w:r w:rsidR="003B600B" w:rsidRPr="00B66CB9">
        <w:t>(</w:t>
      </w:r>
      <w:r w:rsidR="003B600B" w:rsidRPr="00B66CB9">
        <w:t>第二十条</w:t>
      </w:r>
      <w:r w:rsidR="003B600B"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40.</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委员会注意到，包括技术助行器具、为此种器具的修理和维护提供补贴及轮椅的单独制造所涉人体工程学的全面的行动能力计划缺乏，特别是就没有受益于任何社会保障方案或计划的人而言。</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lastRenderedPageBreak/>
        <w:t>41.</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委员会建议缔约国为城市和农村地区制定一项全面的行动能力计划，该计划考虑到残疾人包括没有受益于任何社会保障方案或计划者的个人技术援助需求。</w:t>
      </w:r>
    </w:p>
    <w:p w:rsidR="003B600B" w:rsidRPr="00B66CB9" w:rsidRDefault="00EE5230" w:rsidP="00EE5230">
      <w:pPr>
        <w:pStyle w:val="H23GC"/>
      </w:pPr>
      <w:r>
        <w:tab/>
      </w:r>
      <w:r>
        <w:tab/>
      </w:r>
      <w:r w:rsidR="003B600B" w:rsidRPr="00B66CB9">
        <w:t>言论和见解自由和获取信息的机会</w:t>
      </w:r>
      <w:r w:rsidR="003B600B" w:rsidRPr="00B66CB9">
        <w:t>(</w:t>
      </w:r>
      <w:r w:rsidR="003B600B" w:rsidRPr="00B66CB9">
        <w:t>第二十一条</w:t>
      </w:r>
      <w:r w:rsidR="003B600B"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42.</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若干政府网站的访问仍然存在障碍，而且确保以无障碍格式提供信息的法规缺乏；</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萨尔瓦多手语专业翻译人员有限，萨尔瓦多手语翻译人员的官方登记册缺乏，聋人或有听力障碍者的助听器具缺乏。</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43.</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确保所有政府网站都做到无障碍，并采取措施提倡向公众提供或开放的网站及电视和广播节目等媒体部门使用无障碍通信格式；</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增加合格萨尔瓦多手语翻译人员的培训课程，并设置萨尔瓦多手语翻译人员登记册。</w:t>
      </w:r>
    </w:p>
    <w:p w:rsidR="003B600B" w:rsidRPr="00B66CB9" w:rsidRDefault="003B600B" w:rsidP="00EE5230">
      <w:pPr>
        <w:pStyle w:val="H23GC"/>
      </w:pPr>
      <w:r w:rsidRPr="00B66CB9">
        <w:tab/>
      </w:r>
      <w:r w:rsidRPr="00B66CB9">
        <w:tab/>
      </w:r>
      <w:r w:rsidRPr="00B66CB9">
        <w:t>尊重家居和家庭</w:t>
      </w:r>
      <w:r w:rsidRPr="00B66CB9">
        <w:t>(</w:t>
      </w:r>
      <w:r w:rsidRPr="00B66CB9">
        <w:t>第二十三条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44.</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一些</w:t>
      </w:r>
      <w:r w:rsidRPr="00B66CB9">
        <w:rPr>
          <w:rFonts w:asciiTheme="majorBidi" w:eastAsiaTheme="minorEastAsia" w:hAnsiTheme="majorBidi" w:cstheme="majorBidi"/>
          <w:color w:val="333333"/>
          <w:szCs w:val="21"/>
        </w:rPr>
        <w:t>法律，特别是《家庭法》第</w:t>
      </w:r>
      <w:r w:rsidRPr="00B66CB9">
        <w:rPr>
          <w:rFonts w:asciiTheme="majorBidi" w:eastAsiaTheme="minorEastAsia" w:hAnsiTheme="majorBidi" w:cstheme="majorBidi"/>
          <w:color w:val="333333"/>
          <w:szCs w:val="21"/>
        </w:rPr>
        <w:t>171</w:t>
      </w:r>
      <w:r w:rsidRPr="00B66CB9">
        <w:rPr>
          <w:rFonts w:asciiTheme="majorBidi" w:eastAsiaTheme="minorEastAsia" w:hAnsiTheme="majorBidi" w:cstheme="majorBidi"/>
          <w:color w:val="333333"/>
          <w:szCs w:val="21"/>
        </w:rPr>
        <w:t>、</w:t>
      </w:r>
      <w:r w:rsidRPr="00B66CB9">
        <w:rPr>
          <w:rFonts w:asciiTheme="majorBidi" w:eastAsiaTheme="minorEastAsia" w:hAnsiTheme="majorBidi" w:cstheme="majorBidi"/>
          <w:color w:val="333333"/>
          <w:szCs w:val="21"/>
        </w:rPr>
        <w:t>292</w:t>
      </w:r>
      <w:r w:rsidRPr="00B66CB9">
        <w:rPr>
          <w:rFonts w:asciiTheme="majorBidi" w:eastAsiaTheme="minorEastAsia" w:hAnsiTheme="majorBidi" w:cstheme="majorBidi"/>
          <w:color w:val="333333"/>
          <w:szCs w:val="21"/>
        </w:rPr>
        <w:t>和</w:t>
      </w:r>
      <w:r w:rsidRPr="00B66CB9">
        <w:rPr>
          <w:rFonts w:asciiTheme="majorBidi" w:eastAsiaTheme="minorEastAsia" w:hAnsiTheme="majorBidi" w:cstheme="majorBidi"/>
          <w:color w:val="333333"/>
          <w:szCs w:val="21"/>
        </w:rPr>
        <w:t>301</w:t>
      </w:r>
      <w:r w:rsidRPr="00B66CB9">
        <w:rPr>
          <w:rFonts w:asciiTheme="majorBidi" w:eastAsiaTheme="minorEastAsia" w:hAnsiTheme="majorBidi" w:cstheme="majorBidi"/>
          <w:color w:val="333333"/>
          <w:szCs w:val="21"/>
        </w:rPr>
        <w:t>条以及《民法》第</w:t>
      </w:r>
      <w:r w:rsidRPr="00B66CB9">
        <w:rPr>
          <w:rFonts w:asciiTheme="majorBidi" w:eastAsiaTheme="minorEastAsia" w:hAnsiTheme="majorBidi" w:cstheme="majorBidi"/>
          <w:color w:val="333333"/>
          <w:szCs w:val="21"/>
        </w:rPr>
        <w:t>1317</w:t>
      </w:r>
      <w:r w:rsidRPr="00B66CB9">
        <w:rPr>
          <w:rFonts w:asciiTheme="majorBidi" w:eastAsiaTheme="minorEastAsia" w:hAnsiTheme="majorBidi" w:cstheme="majorBidi"/>
          <w:color w:val="333333"/>
          <w:szCs w:val="21"/>
        </w:rPr>
        <w:t>和</w:t>
      </w:r>
      <w:r w:rsidRPr="00B66CB9">
        <w:rPr>
          <w:rFonts w:asciiTheme="majorBidi" w:eastAsiaTheme="minorEastAsia" w:hAnsiTheme="majorBidi" w:cstheme="majorBidi"/>
          <w:color w:val="333333"/>
          <w:szCs w:val="21"/>
        </w:rPr>
        <w:t>1318</w:t>
      </w:r>
      <w:r w:rsidRPr="00B66CB9">
        <w:rPr>
          <w:rFonts w:asciiTheme="majorBidi" w:eastAsiaTheme="minorEastAsia" w:hAnsiTheme="majorBidi" w:cstheme="majorBidi"/>
          <w:color w:val="333333"/>
          <w:szCs w:val="21"/>
        </w:rPr>
        <w:t>条，仍然对权利实行限制，宣布残疾人不具备在与其他人平等基础上结婚、组成家庭和为人父母的能力；</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关于残疾人保留父母责任的权利以及在与他人平等基础上收养的权利的资料缺乏。</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45.</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委员会建议缔约国审查和废除任何对残疾人结婚、组建家庭和为人父母的权利，包括在与其他人平等的基础上收养的权利实行限制的立法或政策，尤其是审查和废除《家庭法》和《民法》中的某些条款。</w:t>
      </w:r>
    </w:p>
    <w:p w:rsidR="003B600B" w:rsidRPr="00B66CB9" w:rsidRDefault="003B600B" w:rsidP="00EE5230">
      <w:pPr>
        <w:pStyle w:val="H23GC"/>
      </w:pPr>
      <w:r w:rsidRPr="00B66CB9">
        <w:tab/>
      </w:r>
      <w:r w:rsidRPr="00B66CB9">
        <w:tab/>
      </w:r>
      <w:r w:rsidRPr="00B66CB9">
        <w:t>教育</w:t>
      </w:r>
      <w:r w:rsidRPr="00B66CB9">
        <w:t>(</w:t>
      </w:r>
      <w:r w:rsidRPr="00B66CB9">
        <w:t>第二十四条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46.</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残疾人接受包容性教育的权利方面取得的进展有限；</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关于在隔离学校和主流学校入学的残疾儿童数目的资料缺乏；</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教育部的《全面性教育战略》没有以多层面和交叉的方式涵盖残疾人。</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47.</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委员会回顾其关于包容性教育权利的第</w:t>
      </w:r>
      <w:r w:rsidRPr="001E3AC6">
        <w:rPr>
          <w:rFonts w:ascii="Time New Roman" w:eastAsia="黑体" w:hAnsi="Time New Roman" w:cstheme="majorBidi"/>
          <w:color w:val="333333"/>
          <w:szCs w:val="21"/>
        </w:rPr>
        <w:t>4</w:t>
      </w:r>
      <w:r w:rsidRPr="001E3AC6">
        <w:rPr>
          <w:rFonts w:ascii="Time New Roman" w:eastAsia="黑体" w:hAnsi="Time New Roman" w:cstheme="majorBidi"/>
          <w:color w:val="333333"/>
          <w:szCs w:val="21"/>
        </w:rPr>
        <w:t>号一般性意见</w:t>
      </w:r>
      <w:r w:rsidRPr="001E3AC6">
        <w:rPr>
          <w:rFonts w:ascii="Time New Roman" w:eastAsia="黑体" w:hAnsi="Time New Roman" w:cstheme="majorBidi"/>
          <w:color w:val="333333"/>
          <w:szCs w:val="21"/>
        </w:rPr>
        <w:t>(2016</w:t>
      </w:r>
      <w:r w:rsidRPr="001E3AC6">
        <w:rPr>
          <w:rFonts w:ascii="Time New Roman" w:eastAsia="黑体" w:hAnsi="Time New Roman" w:cstheme="majorBidi"/>
          <w:color w:val="333333"/>
          <w:szCs w:val="21"/>
        </w:rPr>
        <w:t>年</w:t>
      </w:r>
      <w:r w:rsidRPr="001E3AC6">
        <w:rPr>
          <w:rFonts w:ascii="Time New Roman" w:eastAsia="黑体" w:hAnsi="Time New Roman" w:cstheme="majorBidi"/>
          <w:color w:val="333333"/>
          <w:szCs w:val="21"/>
        </w:rPr>
        <w:t>)</w:t>
      </w:r>
      <w:r w:rsidRPr="001E3AC6">
        <w:rPr>
          <w:rFonts w:ascii="Time New Roman" w:eastAsia="黑体" w:hAnsi="Time New Roman" w:cstheme="majorBidi"/>
          <w:color w:val="333333"/>
          <w:szCs w:val="21"/>
        </w:rPr>
        <w:t>，以及《可持续发展目标》之下的具体目标</w:t>
      </w:r>
      <w:r w:rsidRPr="001E3AC6">
        <w:rPr>
          <w:rFonts w:ascii="Time New Roman" w:eastAsia="黑体" w:hAnsi="Time New Roman" w:cstheme="majorBidi"/>
          <w:color w:val="333333"/>
          <w:szCs w:val="21"/>
        </w:rPr>
        <w:t>4.5</w:t>
      </w:r>
      <w:r w:rsidRPr="001E3AC6">
        <w:rPr>
          <w:rFonts w:ascii="Time New Roman" w:eastAsia="黑体" w:hAnsi="Time New Roman" w:cstheme="majorBidi"/>
          <w:color w:val="333333"/>
          <w:szCs w:val="21"/>
        </w:rPr>
        <w:t>和</w:t>
      </w:r>
      <w:r w:rsidRPr="001E3AC6">
        <w:rPr>
          <w:rFonts w:ascii="Time New Roman" w:eastAsia="黑体" w:hAnsi="Time New Roman" w:cstheme="majorBidi"/>
          <w:color w:val="333333"/>
          <w:szCs w:val="21"/>
        </w:rPr>
        <w:t xml:space="preserve">4.A, </w:t>
      </w:r>
      <w:r w:rsidRPr="001E3AC6">
        <w:rPr>
          <w:rFonts w:ascii="Time New Roman" w:eastAsia="黑体" w:hAnsi="Time New Roman" w:cstheme="majorBidi"/>
          <w:color w:val="333333"/>
          <w:szCs w:val="21"/>
        </w:rPr>
        <w:t>建议缔约国：</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制定将残疾儿童纳入主流教育的国家战略，由向隔离教室和学校划拨预算资金改为向主流教室和学校划拨资金，确保校舍完全无障碍，采取措施消除建筑和通信障碍，确保教学和非教学人员得到培训，并确保提供易读和盲文格式的无障碍学习材料以及手语翻译；</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lastRenderedPageBreak/>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建立一个系统，收集关于残疾儿童特别是仍在隔离学校入学和在主流学校入学的智力或社会心理残疾儿童的数目，以及关于向这些儿童提供的支助的类型的分类数据，以期制定恰当的公共政策；</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(c)</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确保所有针对普通民众的教育政策和战略包括《全面的性教育战略》，都适用于残疾人。</w:t>
      </w:r>
    </w:p>
    <w:p w:rsidR="003B600B" w:rsidRPr="00B66CB9" w:rsidRDefault="003B600B" w:rsidP="00EE5230">
      <w:pPr>
        <w:pStyle w:val="H23GC"/>
      </w:pPr>
      <w:r w:rsidRPr="00B66CB9">
        <w:tab/>
      </w:r>
      <w:r w:rsidRPr="00B66CB9">
        <w:tab/>
      </w:r>
      <w:r w:rsidRPr="00B66CB9">
        <w:t>健康</w:t>
      </w:r>
      <w:r w:rsidRPr="00B66CB9">
        <w:t>(</w:t>
      </w:r>
      <w:r w:rsidRPr="00B66CB9">
        <w:t>第二十五条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48.</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委员会关切地注意到，缔约国强调了各项促进妇女健康的方案，但没有具体提及残疾女童和妇女、社会心理或智力残疾者以及</w:t>
      </w:r>
      <w:r w:rsidRPr="00B66CB9">
        <w:rPr>
          <w:rFonts w:asciiTheme="majorBidi" w:eastAsiaTheme="minorEastAsia" w:hAnsiTheme="majorBidi" w:cstheme="majorBidi"/>
          <w:szCs w:val="21"/>
        </w:rPr>
        <w:t>聋人、盲人和</w:t>
      </w:r>
      <w:r w:rsidRPr="00B66CB9">
        <w:rPr>
          <w:rFonts w:asciiTheme="majorBidi" w:eastAsiaTheme="minorEastAsia" w:hAnsiTheme="majorBidi" w:cstheme="majorBidi"/>
          <w:color w:val="333333"/>
          <w:szCs w:val="21"/>
        </w:rPr>
        <w:t>聋盲人在与其他人平等基础上获得医疗保险、获取性健康和生殖健康服务。委员会仍然对保健基础设施和设备没有得到改造和改装感到关切。</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49.</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确保将残疾人特别是残疾妇女和女童、社会心理或智力残疾人士及聋人、盲人和聋盲人纳入全国卫生方案，包括性健康和生殖健康方案。委员会还建议残疾人能够在与其他人平等的基础上获得医疗保险。委员会建议缔约国划拨资源，确保医疗服务和设备的无障碍性，并建议对医疗专业人员进行培训，以便使其在城市和农村地区为残疾人提供治疗和咨询时知晓残疾人的权利。</w:t>
      </w:r>
    </w:p>
    <w:p w:rsidR="003B600B" w:rsidRPr="00B66CB9" w:rsidRDefault="003B600B" w:rsidP="00EE5230">
      <w:pPr>
        <w:pStyle w:val="H23GC"/>
      </w:pPr>
      <w:r w:rsidRPr="00B66CB9">
        <w:tab/>
      </w:r>
      <w:r w:rsidRPr="00B66CB9">
        <w:tab/>
      </w:r>
      <w:r w:rsidRPr="00B66CB9">
        <w:t>工作和就业</w:t>
      </w:r>
      <w:r w:rsidRPr="00B66CB9">
        <w:t>(</w:t>
      </w:r>
      <w:r w:rsidRPr="00B66CB9">
        <w:t>第二十七条</w:t>
      </w:r>
      <w:r w:rsidRPr="00B66CB9">
        <w:t>)</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50.</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委员会关切地注意到：</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(a)</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立法没有将拒绝在工作中提供合理便利视为基于残疾的歧视；</w:t>
      </w:r>
    </w:p>
    <w:p w:rsidR="003B600B" w:rsidRPr="00B66CB9" w:rsidRDefault="003B600B" w:rsidP="003B600B">
      <w:pPr>
        <w:pStyle w:val="SingleTxtGC"/>
        <w:rPr>
          <w:rFonts w:asciiTheme="majorBidi" w:eastAsiaTheme="minorEastAsia" w:hAnsiTheme="majorBidi" w:cstheme="majorBidi"/>
          <w:szCs w:val="21"/>
        </w:rPr>
      </w:pPr>
      <w:r w:rsidRPr="00B66CB9">
        <w:rPr>
          <w:rFonts w:asciiTheme="majorBidi" w:eastAsiaTheme="minorEastAsia" w:hAnsiTheme="majorBidi" w:cstheme="majorBidi"/>
          <w:szCs w:val="21"/>
        </w:rPr>
        <w:tab/>
        <w:t>(b)</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残疾人就业率尤其是在政府部门的就业率较低；</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ab/>
        <w:t>(c)</w:t>
      </w:r>
      <w:r w:rsidRPr="00B66CB9">
        <w:rPr>
          <w:rFonts w:asciiTheme="majorBidi" w:eastAsiaTheme="minorEastAsia" w:hAnsiTheme="majorBidi" w:cstheme="majorBidi"/>
          <w:szCs w:val="21"/>
        </w:rPr>
        <w:tab/>
      </w:r>
      <w:r w:rsidRPr="00B66CB9">
        <w:rPr>
          <w:rFonts w:asciiTheme="majorBidi" w:eastAsiaTheme="minorEastAsia" w:hAnsiTheme="majorBidi" w:cstheme="majorBidi"/>
          <w:szCs w:val="21"/>
        </w:rPr>
        <w:t>旨在</w:t>
      </w:r>
      <w:r w:rsidRPr="00B66CB9">
        <w:rPr>
          <w:rFonts w:asciiTheme="majorBidi" w:eastAsiaTheme="minorEastAsia" w:hAnsiTheme="majorBidi" w:cstheme="majorBidi"/>
          <w:color w:val="333333"/>
          <w:szCs w:val="21"/>
        </w:rPr>
        <w:t>为城市或农村地区的残疾人提供职业培训方案，并确保在开放的劳动力市场创造就业机会的国家战略尚未制订。</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51.</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委员会考虑到《可持续发展目标》之下的具体目标</w:t>
      </w:r>
      <w:r w:rsidRPr="001E3AC6">
        <w:rPr>
          <w:rFonts w:ascii="Time New Roman" w:eastAsia="黑体" w:hAnsi="Time New Roman" w:cstheme="majorBidi"/>
          <w:color w:val="333333"/>
          <w:szCs w:val="21"/>
        </w:rPr>
        <w:t>8.3,</w:t>
      </w:r>
      <w:r w:rsidR="00864134">
        <w:rPr>
          <w:rFonts w:ascii="Time New Roman" w:eastAsia="黑体" w:hAnsi="Time New Roman" w:cstheme="majorBidi"/>
          <w:color w:val="333333"/>
          <w:szCs w:val="21"/>
        </w:rPr>
        <w:t xml:space="preserve"> </w:t>
      </w:r>
      <w:r w:rsidRPr="001E3AC6">
        <w:rPr>
          <w:rFonts w:ascii="Time New Roman" w:eastAsia="黑体" w:hAnsi="Time New Roman" w:cstheme="majorBidi"/>
          <w:color w:val="333333"/>
          <w:szCs w:val="21"/>
        </w:rPr>
        <w:t>建议缔约国：</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(a)</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审查和修改劳动法，以确保将拒绝在工作场所提供合理便利的做法视为基于残疾的歧视；</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制定规定配额和违规处罚办法的平权措施，以增加残疾人特别是残疾妇女在公共和私营部门开放劳动力市场中的比例，并在这方面监测残疾人的工作和就业状况；</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(c)</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设计和实施一项国家战略，该战略侧重在城市和农村地区提供职业培训方案，并在开放的劳动力市场创造就业机会。</w:t>
      </w:r>
    </w:p>
    <w:p w:rsidR="003B600B" w:rsidRPr="00B66CB9" w:rsidRDefault="003B600B" w:rsidP="00EE5230">
      <w:pPr>
        <w:pStyle w:val="H23GC"/>
      </w:pPr>
      <w:r w:rsidRPr="00B66CB9">
        <w:tab/>
      </w:r>
      <w:r w:rsidRPr="00B66CB9">
        <w:tab/>
      </w:r>
      <w:r w:rsidRPr="00B66CB9">
        <w:t>适足的生活水平和社会保护</w:t>
      </w:r>
      <w:r w:rsidRPr="00B66CB9">
        <w:t>(</w:t>
      </w:r>
      <w:r w:rsidRPr="00B66CB9">
        <w:t>第二十八条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52.</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委员会关切地注意到，缔约国的文盲率很高，</w:t>
      </w:r>
      <w:r w:rsidRPr="00B66CB9">
        <w:rPr>
          <w:rFonts w:asciiTheme="majorBidi" w:eastAsiaTheme="minorEastAsia" w:hAnsiTheme="majorBidi" w:cstheme="majorBidi"/>
          <w:color w:val="333333"/>
          <w:szCs w:val="21"/>
        </w:rPr>
        <w:t>2015</w:t>
      </w:r>
      <w:r w:rsidRPr="00B66CB9">
        <w:rPr>
          <w:rFonts w:asciiTheme="majorBidi" w:eastAsiaTheme="minorEastAsia" w:hAnsiTheme="majorBidi" w:cstheme="majorBidi"/>
          <w:color w:val="333333"/>
          <w:szCs w:val="21"/>
        </w:rPr>
        <w:t>年贫困指数没有考虑到导致残疾人，包括残疾妇女、非洲裔残疾人、土著残疾人和偏远和农村地区的残疾人贫困率高的多层面因素。委员会还关切地注意到，反映得益于社会方案和国家方案的残疾人数目的统计数据缺乏。</w:t>
      </w:r>
    </w:p>
    <w:p w:rsidR="00FF7AC3" w:rsidRDefault="00FF7AC3" w:rsidP="003B600B">
      <w:pPr>
        <w:pStyle w:val="SingleTxtGC"/>
        <w:rPr>
          <w:rFonts w:asciiTheme="majorBidi" w:eastAsiaTheme="minorEastAsia" w:hAnsiTheme="majorBidi" w:cstheme="majorBidi"/>
          <w:szCs w:val="21"/>
        </w:rPr>
      </w:pPr>
    </w:p>
    <w:p w:rsidR="00FF7AC3" w:rsidRDefault="00FF7AC3" w:rsidP="003B600B">
      <w:pPr>
        <w:pStyle w:val="SingleTxtGC"/>
        <w:rPr>
          <w:rFonts w:asciiTheme="majorBidi" w:eastAsiaTheme="minorEastAsia" w:hAnsiTheme="majorBidi" w:cstheme="majorBidi"/>
          <w:szCs w:val="21"/>
        </w:rPr>
      </w:pP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lastRenderedPageBreak/>
        <w:t>53.</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bCs/>
          <w:szCs w:val="21"/>
        </w:rPr>
        <w:tab/>
        <w:t>(a)</w:t>
      </w:r>
      <w:r w:rsidRPr="00B66CB9">
        <w:rPr>
          <w:rFonts w:asciiTheme="majorBidi" w:eastAsiaTheme="minorEastAsia" w:hAnsiTheme="majorBidi" w:cstheme="majorBidi"/>
          <w:bCs/>
          <w:szCs w:val="21"/>
        </w:rPr>
        <w:tab/>
      </w:r>
      <w:r w:rsidRPr="001E3AC6">
        <w:rPr>
          <w:rFonts w:ascii="Time New Roman" w:eastAsia="黑体" w:hAnsi="Time New Roman" w:cstheme="majorBidi"/>
          <w:color w:val="333333"/>
          <w:szCs w:val="21"/>
        </w:rPr>
        <w:t>制</w:t>
      </w:r>
      <w:r w:rsidR="00046EE3">
        <w:rPr>
          <w:rFonts w:ascii="Time New Roman" w:eastAsia="黑体" w:hAnsi="Time New Roman" w:cstheme="majorBidi" w:hint="eastAsia"/>
          <w:color w:val="333333"/>
          <w:szCs w:val="21"/>
        </w:rPr>
        <w:t>订</w:t>
      </w:r>
      <w:r w:rsidRPr="001E3AC6">
        <w:rPr>
          <w:rFonts w:ascii="Time New Roman" w:eastAsia="黑体" w:hAnsi="Time New Roman" w:cstheme="majorBidi"/>
          <w:color w:val="333333"/>
          <w:szCs w:val="21"/>
        </w:rPr>
        <w:t>一项旨在处理残疾人贫困率较高这一问题，包含纳入残疾观点的社会保护计划的国家方案，并作出更大努力，实现关于减贫的可持续发展目标</w:t>
      </w:r>
      <w:r w:rsidRPr="001E3AC6">
        <w:rPr>
          <w:rFonts w:ascii="Time New Roman" w:eastAsia="黑体" w:hAnsi="Time New Roman" w:cstheme="majorBidi"/>
          <w:color w:val="333333"/>
          <w:szCs w:val="21"/>
        </w:rPr>
        <w:t>1</w:t>
      </w:r>
      <w:r w:rsidRPr="001E3AC6">
        <w:rPr>
          <w:rFonts w:ascii="Time New Roman" w:eastAsia="黑体" w:hAnsi="Time New Roman" w:cstheme="majorBidi"/>
          <w:color w:val="333333"/>
          <w:szCs w:val="21"/>
        </w:rPr>
        <w:t>；</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color w:val="333333"/>
          <w:szCs w:val="21"/>
        </w:rPr>
        <w:tab/>
        <w:t>(b)</w:t>
      </w:r>
      <w:r w:rsidRPr="001E3AC6">
        <w:rPr>
          <w:rFonts w:ascii="Time New Roman" w:eastAsia="黑体" w:hAnsi="Time New Roman" w:cstheme="majorBidi"/>
          <w:color w:val="333333"/>
          <w:szCs w:val="21"/>
        </w:rPr>
        <w:tab/>
      </w:r>
      <w:r w:rsidRPr="001E3AC6">
        <w:rPr>
          <w:rFonts w:ascii="Time New Roman" w:eastAsia="黑体" w:hAnsi="Time New Roman" w:cstheme="majorBidi"/>
          <w:color w:val="333333"/>
          <w:szCs w:val="21"/>
        </w:rPr>
        <w:t>划拨预算，以便提高残疾人特别是残疾妇女、残疾移民、土著残疾人、非洲裔残疾人及农村和偏远地区残疾人的生活水平。</w:t>
      </w:r>
    </w:p>
    <w:p w:rsidR="003B600B" w:rsidRPr="00B66CB9" w:rsidRDefault="00455874" w:rsidP="00455874">
      <w:pPr>
        <w:pStyle w:val="H23GC"/>
      </w:pPr>
      <w:r>
        <w:tab/>
      </w:r>
      <w:r>
        <w:tab/>
      </w:r>
      <w:r w:rsidR="003B600B" w:rsidRPr="00B66CB9">
        <w:t>参与政治和公共生活</w:t>
      </w:r>
      <w:r w:rsidR="003B600B" w:rsidRPr="00B66CB9">
        <w:t>(</w:t>
      </w:r>
      <w:r w:rsidR="003B600B" w:rsidRPr="00B66CB9">
        <w:t>第二十九条</w:t>
      </w:r>
      <w:r w:rsidR="003B600B"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54.</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委员会关切地注意到《选举法》和《民法》第</w:t>
      </w:r>
      <w:r w:rsidRPr="00B66CB9">
        <w:rPr>
          <w:rFonts w:asciiTheme="majorBidi" w:eastAsiaTheme="minorEastAsia" w:hAnsiTheme="majorBidi" w:cstheme="majorBidi"/>
          <w:color w:val="333333"/>
          <w:szCs w:val="21"/>
        </w:rPr>
        <w:t>1317</w:t>
      </w:r>
      <w:r w:rsidRPr="00B66CB9">
        <w:rPr>
          <w:rFonts w:asciiTheme="majorBidi" w:eastAsiaTheme="minorEastAsia" w:hAnsiTheme="majorBidi" w:cstheme="majorBidi"/>
          <w:color w:val="333333"/>
          <w:szCs w:val="21"/>
        </w:rPr>
        <w:t>条中的歧视性条款，这些条款对被法律宣布为</w:t>
      </w:r>
      <w:r w:rsidR="000E6FA4">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无能力</w:t>
      </w:r>
      <w:r w:rsidR="000E6FA4">
        <w:rPr>
          <w:rFonts w:asciiTheme="majorBidi" w:eastAsiaTheme="minorEastAsia" w:hAnsiTheme="majorBidi" w:cstheme="majorBidi" w:hint="eastAsia"/>
          <w:color w:val="333333"/>
          <w:szCs w:val="21"/>
        </w:rPr>
        <w:t>”</w:t>
      </w:r>
      <w:r w:rsidRPr="00B66CB9">
        <w:rPr>
          <w:rFonts w:asciiTheme="majorBidi" w:eastAsiaTheme="minorEastAsia" w:hAnsiTheme="majorBidi" w:cstheme="majorBidi"/>
          <w:color w:val="333333"/>
          <w:szCs w:val="21"/>
        </w:rPr>
        <w:t>的残疾人，特别是社会心理或智力残疾人士和有听力障碍的人的政治参与构成限制。委员会还关切地注意到，投票站的基础设施和通信障碍仍未消除。</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t>55.</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废除《选举法》和《民法》中对社会心理或智力残疾人士和有听力障碍的人在与其他人平等基础上参与政治和公共生活、参加选举和担任公职的权利构成限制的条款。委员会还建议缔约国采取措施，加强残疾人及其组织对政治和公共生活的参与。委员会还建议缔约国采取措施，确保投票站为残疾人提供无障碍便利。</w:t>
      </w:r>
    </w:p>
    <w:p w:rsidR="003B600B" w:rsidRPr="00B66CB9" w:rsidRDefault="003B600B" w:rsidP="00455874">
      <w:pPr>
        <w:pStyle w:val="H23GC"/>
      </w:pPr>
      <w:r w:rsidRPr="00B66CB9">
        <w:tab/>
      </w:r>
      <w:r w:rsidRPr="00B66CB9">
        <w:tab/>
      </w:r>
      <w:r w:rsidRPr="00B66CB9">
        <w:t>参与文化生活、娱乐、休闲和体育活动</w:t>
      </w:r>
      <w:r w:rsidRPr="00B66CB9">
        <w:t>(</w:t>
      </w:r>
      <w:r w:rsidRPr="00B66CB9">
        <w:t>第三十条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56.</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委员会关切地注意到，无障碍旅游景点以及体育赛事无障碍便利的开发，侧重提供实际无障碍便利。</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t>57.</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采取措施，确保向公众开放的所有旅游景点和体育赛事都使用无障碍通信模式、手段和形式，并确保残疾人，特别是残疾儿童能够充分进入城市和农村的体育、文化和其他休闲中心。委员会还建议缔约国收集关于参加主流体育和娱乐方案的残疾人数目的分类数据，特别是关于农村和偏远地区残疾人参加这些方案的分类数据。</w:t>
      </w:r>
    </w:p>
    <w:p w:rsidR="003B600B" w:rsidRPr="00B66CB9" w:rsidRDefault="003B600B" w:rsidP="00455874">
      <w:pPr>
        <w:pStyle w:val="H1GC"/>
      </w:pPr>
      <w:r w:rsidRPr="00B66CB9">
        <w:tab/>
        <w:t>C.</w:t>
      </w:r>
      <w:r w:rsidRPr="00B66CB9">
        <w:tab/>
      </w:r>
      <w:r w:rsidRPr="00B66CB9">
        <w:t>特定义务</w:t>
      </w:r>
      <w:r w:rsidRPr="00B66CB9">
        <w:t>(</w:t>
      </w:r>
      <w:r w:rsidRPr="00B66CB9">
        <w:t>第三十一至三十三条</w:t>
      </w:r>
      <w:r w:rsidRPr="00B66CB9">
        <w:t>)</w:t>
      </w:r>
    </w:p>
    <w:p w:rsidR="003B600B" w:rsidRPr="00B66CB9" w:rsidRDefault="00455874" w:rsidP="00455874">
      <w:pPr>
        <w:pStyle w:val="H23GC"/>
      </w:pPr>
      <w:r>
        <w:tab/>
      </w:r>
      <w:r>
        <w:tab/>
      </w:r>
      <w:r w:rsidR="003B600B" w:rsidRPr="00B66CB9">
        <w:t>统计资料和数据收集</w:t>
      </w:r>
      <w:r w:rsidR="003B600B" w:rsidRPr="00B66CB9">
        <w:t>(</w:t>
      </w:r>
      <w:r w:rsidR="003B600B" w:rsidRPr="00B66CB9">
        <w:t>第三十一条</w:t>
      </w:r>
      <w:r w:rsidR="003B600B"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58.</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在为可持续发展问题高级别政治论坛编写可持续发展报告时，没有让残疾人组织参与，而且该报告没有考虑到与残疾人有关的指标。委员会还关切地注意到，利用华盛顿小组的一套残疾简短问题进行的首次全国残疾人调查，缺乏按社会障碍、侵犯人权行为、基于性别的暴力、生活条件和其他交叉层面分列的数据，因而无法更好地了解残疾人的状况。</w:t>
      </w:r>
    </w:p>
    <w:p w:rsidR="003B600B" w:rsidRPr="001E3AC6" w:rsidRDefault="003B600B" w:rsidP="003B600B">
      <w:pPr>
        <w:pStyle w:val="SingleTxtGC"/>
        <w:rPr>
          <w:rFonts w:ascii="Time New Roman" w:eastAsia="黑体" w:hAnsi="Time New Roman" w:cstheme="majorBidi"/>
          <w:color w:val="333333"/>
          <w:szCs w:val="21"/>
        </w:rPr>
      </w:pPr>
      <w:r w:rsidRPr="00B66CB9">
        <w:rPr>
          <w:rFonts w:asciiTheme="majorBidi" w:eastAsiaTheme="minorEastAsia" w:hAnsiTheme="majorBidi" w:cstheme="majorBidi"/>
          <w:szCs w:val="21"/>
        </w:rPr>
        <w:t>59.</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让残疾人组织参与编写关于《可持续发展目标》的进度报告。委员会还建议缔约国在第一次全国调查的结果基础上广泛传播调查结果，并与残疾人组织协商，建立一个数据库，收集人口普查资料和其他统计资料，以便更好地了解残疾人的状况，从而能够制定适当的公共政策。</w:t>
      </w:r>
    </w:p>
    <w:p w:rsidR="003B600B" w:rsidRPr="00B66CB9" w:rsidRDefault="003B600B" w:rsidP="00455874">
      <w:pPr>
        <w:pStyle w:val="H23GC"/>
      </w:pPr>
      <w:r w:rsidRPr="00B66CB9">
        <w:lastRenderedPageBreak/>
        <w:tab/>
      </w:r>
      <w:r w:rsidRPr="00B66CB9">
        <w:tab/>
      </w:r>
      <w:r w:rsidRPr="00B66CB9">
        <w:t>国际合作</w:t>
      </w:r>
      <w:r w:rsidRPr="00B66CB9">
        <w:t>(</w:t>
      </w:r>
      <w:r w:rsidRPr="00B66CB9">
        <w:t>第三十二条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60.</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反映残疾人通过其代表组织参与国际合作方案情况的信息缺乏，关于这些方案实施的影响和结果的信息也缺乏。委员会还注意到，国际经济援助总预算中指定用于教育中心改造以确保包容性教育的预算很低。</w:t>
      </w:r>
    </w:p>
    <w:p w:rsidR="003B600B" w:rsidRPr="001E3AC6" w:rsidRDefault="003B600B" w:rsidP="003B600B">
      <w:pPr>
        <w:pStyle w:val="SingleTxtGC"/>
        <w:rPr>
          <w:rFonts w:ascii="Time New Roman" w:eastAsia="黑体" w:hAnsi="Time New Roman" w:cstheme="majorBidi"/>
          <w:szCs w:val="21"/>
        </w:rPr>
      </w:pPr>
      <w:r w:rsidRPr="00B66CB9">
        <w:rPr>
          <w:rFonts w:asciiTheme="majorBidi" w:eastAsiaTheme="minorEastAsia" w:hAnsiTheme="majorBidi" w:cstheme="majorBidi"/>
          <w:szCs w:val="21"/>
        </w:rPr>
        <w:t>61.</w:t>
      </w:r>
      <w:r w:rsidRPr="00B66CB9">
        <w:rPr>
          <w:rFonts w:asciiTheme="majorBidi" w:eastAsiaTheme="minorEastAsia" w:hAnsiTheme="majorBidi" w:cstheme="majorBidi"/>
          <w:szCs w:val="21"/>
        </w:rPr>
        <w:tab/>
      </w:r>
      <w:r w:rsidRPr="001E3AC6">
        <w:rPr>
          <w:rFonts w:ascii="Time New Roman" w:eastAsia="黑体" w:hAnsi="Time New Roman" w:cstheme="majorBidi"/>
          <w:color w:val="333333"/>
          <w:szCs w:val="21"/>
        </w:rPr>
        <w:t>委员会建议缔约国通过残疾人代表组织，增加残疾人对国际合作方案所有领域的包容性项目的参与。委员会还建议缔约国加快执行中美洲发展包容性教育体系项目和意大利发展合作署促进包容性教育项目，确保它们在整个进展过程中遵守《公约》，并建议缔约国在下次定期报告中介绍项目执行结果。</w:t>
      </w:r>
    </w:p>
    <w:p w:rsidR="003B600B" w:rsidRPr="00B66CB9" w:rsidRDefault="003B600B" w:rsidP="00455874">
      <w:pPr>
        <w:pStyle w:val="H23GC"/>
      </w:pPr>
      <w:r w:rsidRPr="00B66CB9">
        <w:tab/>
      </w:r>
      <w:r w:rsidRPr="00B66CB9">
        <w:tab/>
      </w:r>
      <w:r w:rsidRPr="00B66CB9">
        <w:t>国家执行和监测</w:t>
      </w:r>
      <w:r w:rsidRPr="00B66CB9">
        <w:t>(</w:t>
      </w:r>
      <w:r w:rsidRPr="00B66CB9">
        <w:t>第三十三条</w:t>
      </w:r>
      <w:r w:rsidRPr="00B66CB9">
        <w:t>)</w:t>
      </w:r>
    </w:p>
    <w:p w:rsidR="003B600B" w:rsidRPr="00B66CB9" w:rsidRDefault="003B600B" w:rsidP="003B600B">
      <w:pPr>
        <w:pStyle w:val="SingleTxtGC"/>
        <w:rPr>
          <w:rFonts w:asciiTheme="majorBidi" w:eastAsiaTheme="minorEastAsia" w:hAnsiTheme="majorBidi" w:cstheme="majorBidi"/>
          <w:color w:val="333333"/>
          <w:szCs w:val="21"/>
        </w:rPr>
      </w:pPr>
      <w:r w:rsidRPr="00B66CB9">
        <w:rPr>
          <w:rFonts w:asciiTheme="majorBidi" w:eastAsiaTheme="minorEastAsia" w:hAnsiTheme="majorBidi" w:cstheme="majorBidi"/>
          <w:szCs w:val="21"/>
        </w:rPr>
        <w:t>62.</w:t>
      </w:r>
      <w:r w:rsidRPr="00B66CB9">
        <w:rPr>
          <w:rFonts w:asciiTheme="majorBidi" w:eastAsiaTheme="minorEastAsia" w:hAnsiTheme="majorBidi" w:cstheme="majorBidi"/>
          <w:szCs w:val="21"/>
        </w:rPr>
        <w:tab/>
      </w:r>
      <w:r w:rsidRPr="00B66CB9">
        <w:rPr>
          <w:rFonts w:asciiTheme="majorBidi" w:eastAsiaTheme="minorEastAsia" w:hAnsiTheme="majorBidi" w:cstheme="majorBidi"/>
          <w:color w:val="333333"/>
          <w:szCs w:val="21"/>
        </w:rPr>
        <w:t>委员会关切地注意到，被指定充当《公约》执行情况评估实体的维护人权办公室实际上缺乏独立性，也缺乏资源和机制，无法让残疾人及其组织有系统地参与，从而无法充分履行其职能。</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szCs w:val="21"/>
        </w:rPr>
        <w:t>63.</w:t>
      </w:r>
      <w:r w:rsidRPr="001E3AC6">
        <w:rPr>
          <w:rFonts w:ascii="Time New Roman" w:eastAsia="黑体" w:hAnsi="Time New Roman" w:cstheme="majorBidi"/>
          <w:szCs w:val="21"/>
        </w:rPr>
        <w:tab/>
      </w:r>
      <w:r w:rsidRPr="001E3AC6">
        <w:rPr>
          <w:rFonts w:ascii="Time New Roman" w:eastAsia="黑体" w:hAnsi="Time New Roman" w:cstheme="majorBidi"/>
          <w:szCs w:val="21"/>
        </w:rPr>
        <w:t>委员会</w:t>
      </w:r>
      <w:r w:rsidRPr="001E3AC6">
        <w:rPr>
          <w:rFonts w:ascii="Time New Roman" w:eastAsia="黑体" w:hAnsi="Time New Roman" w:cstheme="majorBidi"/>
          <w:color w:val="333333"/>
          <w:szCs w:val="21"/>
        </w:rPr>
        <w:t>考虑到</w:t>
      </w:r>
      <w:r w:rsidRPr="001E3AC6">
        <w:rPr>
          <w:rFonts w:ascii="Time New Roman" w:eastAsia="黑体" w:hAnsi="Time New Roman" w:cstheme="majorBidi"/>
          <w:color w:val="333333"/>
          <w:szCs w:val="21"/>
        </w:rPr>
        <w:t>2016</w:t>
      </w:r>
      <w:r w:rsidRPr="001E3AC6">
        <w:rPr>
          <w:rFonts w:ascii="Time New Roman" w:eastAsia="黑体" w:hAnsi="Time New Roman" w:cstheme="majorBidi"/>
          <w:color w:val="333333"/>
          <w:szCs w:val="21"/>
        </w:rPr>
        <w:t>年关于独立监测框架及其参与委员会工作的准则</w:t>
      </w:r>
      <w:r w:rsidRPr="001E3AC6">
        <w:rPr>
          <w:rFonts w:ascii="Time New Roman" w:eastAsia="黑体" w:hAnsi="Time New Roman" w:cstheme="majorBidi"/>
          <w:color w:val="333333"/>
          <w:szCs w:val="21"/>
        </w:rPr>
        <w:t>(</w:t>
      </w:r>
      <w:proofErr w:type="spellStart"/>
      <w:r w:rsidRPr="001E3AC6">
        <w:rPr>
          <w:rFonts w:ascii="Time New Roman" w:eastAsia="黑体" w:hAnsi="Time New Roman" w:cstheme="majorBidi"/>
          <w:color w:val="333333"/>
          <w:szCs w:val="21"/>
        </w:rPr>
        <w:t>CRPD</w:t>
      </w:r>
      <w:proofErr w:type="spellEnd"/>
      <w:r w:rsidRPr="001E3AC6">
        <w:rPr>
          <w:rFonts w:ascii="Time New Roman" w:eastAsia="黑体" w:hAnsi="Time New Roman" w:cstheme="majorBidi"/>
          <w:color w:val="333333"/>
          <w:szCs w:val="21"/>
        </w:rPr>
        <w:t>/</w:t>
      </w:r>
      <w:r w:rsidR="00EE1389">
        <w:rPr>
          <w:rFonts w:ascii="Time New Roman" w:eastAsia="黑体" w:hAnsi="Time New Roman" w:cstheme="majorBidi"/>
          <w:color w:val="333333"/>
          <w:szCs w:val="21"/>
        </w:rPr>
        <w:t xml:space="preserve"> </w:t>
      </w:r>
      <w:r w:rsidRPr="001E3AC6">
        <w:rPr>
          <w:rFonts w:ascii="Time New Roman" w:eastAsia="黑体" w:hAnsi="Time New Roman" w:cstheme="majorBidi"/>
          <w:color w:val="333333"/>
          <w:szCs w:val="21"/>
        </w:rPr>
        <w:t>C/1/</w:t>
      </w:r>
      <w:proofErr w:type="spellStart"/>
      <w:r w:rsidRPr="001E3AC6">
        <w:rPr>
          <w:rFonts w:ascii="Time New Roman" w:eastAsia="黑体" w:hAnsi="Time New Roman" w:cstheme="majorBidi"/>
          <w:color w:val="333333"/>
          <w:szCs w:val="21"/>
        </w:rPr>
        <w:t>Rev.1</w:t>
      </w:r>
      <w:proofErr w:type="spellEnd"/>
      <w:r w:rsidRPr="001E3AC6">
        <w:rPr>
          <w:rFonts w:ascii="Time New Roman" w:eastAsia="黑体" w:hAnsi="Time New Roman" w:cstheme="majorBidi"/>
          <w:color w:val="333333"/>
          <w:szCs w:val="21"/>
        </w:rPr>
        <w:t xml:space="preserve">, </w:t>
      </w:r>
      <w:r w:rsidRPr="001E3AC6">
        <w:rPr>
          <w:rFonts w:ascii="Time New Roman" w:eastAsia="黑体" w:hAnsi="Time New Roman" w:cstheme="majorBidi"/>
          <w:color w:val="333333"/>
          <w:szCs w:val="21"/>
        </w:rPr>
        <w:t>附件</w:t>
      </w:r>
      <w:r w:rsidRPr="001E3AC6">
        <w:rPr>
          <w:rFonts w:ascii="Time New Roman" w:eastAsia="黑体" w:hAnsi="Time New Roman" w:cstheme="majorBidi"/>
          <w:color w:val="333333"/>
          <w:szCs w:val="21"/>
        </w:rPr>
        <w:t>)</w:t>
      </w:r>
      <w:r w:rsidRPr="001E3AC6">
        <w:rPr>
          <w:rFonts w:ascii="Time New Roman" w:eastAsia="黑体" w:hAnsi="Time New Roman" w:cstheme="majorBidi"/>
          <w:color w:val="333333"/>
          <w:szCs w:val="21"/>
        </w:rPr>
        <w:t>，建议缔约国为该办公室调拨专门资源，包括预算和人员，以使该机构能够监测《公约》执行情况，并确保残疾人及其组织的参与，从而保证遵守《公约》第三十三条。</w:t>
      </w:r>
    </w:p>
    <w:p w:rsidR="003B600B" w:rsidRPr="00B66CB9" w:rsidRDefault="003B600B" w:rsidP="00455874">
      <w:pPr>
        <w:pStyle w:val="HChGC"/>
      </w:pPr>
      <w:r w:rsidRPr="00B66CB9">
        <w:tab/>
      </w:r>
      <w:r w:rsidRPr="00B66CB9">
        <w:t>四</w:t>
      </w:r>
      <w:r w:rsidR="00455874">
        <w:rPr>
          <w:rFonts w:hint="eastAsia"/>
        </w:rPr>
        <w:t>.</w:t>
      </w:r>
      <w:r w:rsidR="00455874">
        <w:tab/>
      </w:r>
      <w:r w:rsidRPr="00B66CB9">
        <w:t>后续行动</w:t>
      </w:r>
    </w:p>
    <w:p w:rsidR="003B600B" w:rsidRPr="00B66CB9" w:rsidRDefault="00455874" w:rsidP="00455874">
      <w:pPr>
        <w:pStyle w:val="H23GC"/>
      </w:pPr>
      <w:r>
        <w:tab/>
      </w:r>
      <w:r>
        <w:tab/>
      </w:r>
      <w:r w:rsidR="003B600B" w:rsidRPr="00B66CB9">
        <w:t>宣传</w:t>
      </w:r>
    </w:p>
    <w:p w:rsidR="003B600B" w:rsidRPr="001E3AC6" w:rsidRDefault="003B600B" w:rsidP="003B600B">
      <w:pPr>
        <w:pStyle w:val="SingleTxtGC"/>
        <w:rPr>
          <w:rFonts w:ascii="Time New Roman" w:eastAsia="黑体" w:hAnsi="Time New Roman" w:cstheme="majorBidi"/>
          <w:szCs w:val="21"/>
        </w:rPr>
      </w:pPr>
      <w:r w:rsidRPr="001E3AC6">
        <w:rPr>
          <w:rFonts w:ascii="Time New Roman" w:eastAsia="黑体" w:hAnsi="Time New Roman" w:cstheme="majorBidi"/>
          <w:szCs w:val="21"/>
        </w:rPr>
        <w:t>64.</w:t>
      </w:r>
      <w:r w:rsidRPr="001E3AC6">
        <w:rPr>
          <w:rFonts w:ascii="Time New Roman" w:eastAsia="黑体" w:hAnsi="Time New Roman" w:cstheme="majorBidi"/>
          <w:szCs w:val="21"/>
        </w:rPr>
        <w:tab/>
      </w:r>
      <w:r w:rsidRPr="001E3AC6">
        <w:rPr>
          <w:rFonts w:ascii="Time New Roman" w:eastAsia="黑体" w:hAnsi="Time New Roman" w:cstheme="majorBidi"/>
          <w:color w:val="333333"/>
          <w:szCs w:val="21"/>
        </w:rPr>
        <w:t>委员会强调本结论性意见所载所有建议的重要性。关于必须采取的紧急措施，委员会谨提请缔约国注意关于一般原则和义务的第</w:t>
      </w:r>
      <w:r w:rsidRPr="001E3AC6">
        <w:rPr>
          <w:rFonts w:ascii="Time New Roman" w:eastAsia="黑体" w:hAnsi="Time New Roman" w:cstheme="majorBidi"/>
          <w:color w:val="333333"/>
          <w:szCs w:val="21"/>
        </w:rPr>
        <w:t>5</w:t>
      </w:r>
      <w:r w:rsidRPr="001E3AC6">
        <w:rPr>
          <w:rFonts w:ascii="Time New Roman" w:eastAsia="黑体" w:hAnsi="Time New Roman" w:cstheme="majorBidi"/>
          <w:color w:val="333333"/>
          <w:szCs w:val="21"/>
        </w:rPr>
        <w:t>段和关于国家执行和监测的第</w:t>
      </w:r>
      <w:r w:rsidRPr="001E3AC6">
        <w:rPr>
          <w:rFonts w:ascii="Time New Roman" w:eastAsia="黑体" w:hAnsi="Time New Roman" w:cstheme="majorBidi"/>
          <w:color w:val="333333"/>
          <w:szCs w:val="21"/>
        </w:rPr>
        <w:t>63</w:t>
      </w:r>
      <w:r w:rsidRPr="001E3AC6">
        <w:rPr>
          <w:rFonts w:ascii="Time New Roman" w:eastAsia="黑体" w:hAnsi="Time New Roman" w:cstheme="majorBidi"/>
          <w:color w:val="333333"/>
          <w:szCs w:val="21"/>
        </w:rPr>
        <w:t>段中所载的建议</w:t>
      </w:r>
      <w:r w:rsidRPr="001E3AC6">
        <w:rPr>
          <w:rFonts w:ascii="Time New Roman" w:eastAsia="黑体" w:hAnsi="Time New Roman" w:cstheme="majorBidi"/>
          <w:szCs w:val="21"/>
        </w:rPr>
        <w:t>。</w:t>
      </w:r>
    </w:p>
    <w:p w:rsidR="003B600B" w:rsidRPr="001E3AC6" w:rsidRDefault="003B600B" w:rsidP="003B600B">
      <w:pPr>
        <w:pStyle w:val="SingleTxtGC"/>
        <w:rPr>
          <w:rFonts w:ascii="Time New Roman" w:eastAsia="黑体" w:hAnsi="Time New Roman" w:cstheme="majorBidi"/>
          <w:szCs w:val="21"/>
        </w:rPr>
      </w:pPr>
      <w:r w:rsidRPr="001E3AC6">
        <w:rPr>
          <w:rFonts w:ascii="Time New Roman" w:eastAsia="黑体" w:hAnsi="Time New Roman" w:cstheme="majorBidi"/>
          <w:szCs w:val="21"/>
        </w:rPr>
        <w:t>65.</w:t>
      </w:r>
      <w:r w:rsidRPr="001E3AC6">
        <w:rPr>
          <w:rFonts w:ascii="Time New Roman" w:eastAsia="黑体" w:hAnsi="Time New Roman" w:cstheme="majorBidi"/>
          <w:szCs w:val="21"/>
        </w:rPr>
        <w:tab/>
      </w:r>
      <w:r w:rsidRPr="001E3AC6">
        <w:rPr>
          <w:rFonts w:ascii="Time New Roman" w:eastAsia="黑体" w:hAnsi="Time New Roman" w:cstheme="majorBidi"/>
          <w:color w:val="333333"/>
          <w:szCs w:val="21"/>
        </w:rPr>
        <w:t>委员会请缔约国执行本结论性意见所载的建议。委员会建议缔约国利用现代社会传播战略，将本结论性意见转发给政府和议会成员、相关部委官员、司法机构、教育、医疗和法律专业人员等相关专业群体成员，以及地方主管机构、私营部门和媒体，供其审议和采取行动。</w:t>
      </w:r>
    </w:p>
    <w:p w:rsidR="003B600B" w:rsidRPr="001E3AC6" w:rsidRDefault="003B600B" w:rsidP="003B600B">
      <w:pPr>
        <w:pStyle w:val="SingleTxtGC"/>
        <w:rPr>
          <w:rFonts w:ascii="Time New Roman" w:eastAsia="黑体" w:hAnsi="Time New Roman" w:cstheme="majorBidi"/>
          <w:color w:val="333333"/>
          <w:szCs w:val="21"/>
        </w:rPr>
      </w:pPr>
      <w:r w:rsidRPr="001E3AC6">
        <w:rPr>
          <w:rFonts w:ascii="Time New Roman" w:eastAsia="黑体" w:hAnsi="Time New Roman" w:cstheme="majorBidi"/>
          <w:szCs w:val="21"/>
        </w:rPr>
        <w:t>66.</w:t>
      </w:r>
      <w:r w:rsidRPr="001E3AC6">
        <w:rPr>
          <w:rFonts w:ascii="Time New Roman" w:eastAsia="黑体" w:hAnsi="Time New Roman" w:cstheme="majorBidi"/>
          <w:szCs w:val="21"/>
        </w:rPr>
        <w:tab/>
      </w:r>
      <w:r w:rsidRPr="001E3AC6">
        <w:rPr>
          <w:rFonts w:ascii="Time New Roman" w:eastAsia="黑体" w:hAnsi="Time New Roman" w:cstheme="majorBidi"/>
          <w:color w:val="333333"/>
          <w:szCs w:val="21"/>
        </w:rPr>
        <w:t>委员会大力鼓励缔约国让民间社会组织特别是残疾人组织参与编写定期报告。</w:t>
      </w:r>
    </w:p>
    <w:p w:rsidR="003B600B" w:rsidRPr="001E3AC6" w:rsidRDefault="003B600B" w:rsidP="003B600B">
      <w:pPr>
        <w:pStyle w:val="SingleTxtGC"/>
        <w:rPr>
          <w:rFonts w:ascii="Time New Roman" w:eastAsia="黑体" w:hAnsi="Time New Roman" w:cstheme="majorBidi"/>
          <w:szCs w:val="21"/>
        </w:rPr>
      </w:pPr>
      <w:r w:rsidRPr="001E3AC6">
        <w:rPr>
          <w:rFonts w:ascii="Time New Roman" w:eastAsia="黑体" w:hAnsi="Time New Roman" w:cstheme="majorBidi"/>
          <w:szCs w:val="21"/>
        </w:rPr>
        <w:t>67.</w:t>
      </w:r>
      <w:r w:rsidRPr="001E3AC6">
        <w:rPr>
          <w:rFonts w:ascii="Time New Roman" w:eastAsia="黑体" w:hAnsi="Time New Roman" w:cstheme="majorBidi"/>
          <w:szCs w:val="21"/>
        </w:rPr>
        <w:tab/>
      </w:r>
      <w:r w:rsidRPr="001E3AC6">
        <w:rPr>
          <w:rFonts w:ascii="Time New Roman" w:eastAsia="黑体" w:hAnsi="Time New Roman" w:cstheme="majorBidi"/>
          <w:color w:val="333333"/>
          <w:szCs w:val="21"/>
        </w:rPr>
        <w:t>委员会请缔约国以民族和少数民族</w:t>
      </w:r>
      <w:bookmarkStart w:id="0" w:name="_GoBack"/>
      <w:bookmarkEnd w:id="0"/>
      <w:r w:rsidRPr="001E3AC6">
        <w:rPr>
          <w:rFonts w:ascii="Time New Roman" w:eastAsia="黑体" w:hAnsi="Time New Roman" w:cstheme="majorBidi"/>
          <w:color w:val="333333"/>
          <w:szCs w:val="21"/>
        </w:rPr>
        <w:t>语言，包括手语，并以无障碍形式广泛传播本结论性意见，包括向非政府组织和残疾人代表组织以及残疾人本人及其家庭成员传播，并在政府人权网站上公布本结论性意见。</w:t>
      </w:r>
    </w:p>
    <w:p w:rsidR="003B600B" w:rsidRPr="00B66CB9" w:rsidRDefault="003B600B" w:rsidP="00455874">
      <w:pPr>
        <w:pStyle w:val="H23GC"/>
        <w:rPr>
          <w:bCs/>
        </w:rPr>
      </w:pPr>
      <w:r w:rsidRPr="00B66CB9">
        <w:rPr>
          <w:bCs/>
        </w:rPr>
        <w:tab/>
      </w:r>
      <w:r w:rsidRPr="00B66CB9">
        <w:rPr>
          <w:bCs/>
        </w:rPr>
        <w:tab/>
      </w:r>
      <w:r w:rsidRPr="00B66CB9">
        <w:t>下次定期报告</w:t>
      </w:r>
    </w:p>
    <w:p w:rsidR="003B600B" w:rsidRPr="00B66CB9" w:rsidRDefault="003B600B" w:rsidP="003B600B">
      <w:pPr>
        <w:pStyle w:val="SingleTxtGC"/>
        <w:rPr>
          <w:rFonts w:asciiTheme="majorBidi" w:eastAsiaTheme="minorEastAsia" w:hAnsiTheme="majorBidi" w:cstheme="majorBidi"/>
          <w:b/>
          <w:bCs/>
          <w:szCs w:val="21"/>
        </w:rPr>
      </w:pPr>
      <w:r w:rsidRPr="00B66CB9">
        <w:rPr>
          <w:rFonts w:asciiTheme="majorBidi" w:eastAsiaTheme="minorEastAsia" w:hAnsiTheme="majorBidi" w:cstheme="majorBidi"/>
          <w:bCs/>
          <w:szCs w:val="21"/>
        </w:rPr>
        <w:t>68.</w:t>
      </w:r>
      <w:r w:rsidRPr="00B66CB9">
        <w:rPr>
          <w:rFonts w:asciiTheme="majorBidi" w:eastAsiaTheme="minorEastAsia" w:hAnsiTheme="majorBidi" w:cstheme="majorBidi"/>
          <w:bCs/>
          <w:szCs w:val="21"/>
        </w:rPr>
        <w:tab/>
      </w:r>
      <w:r w:rsidRPr="001E3AC6">
        <w:rPr>
          <w:rFonts w:ascii="Time New Roman" w:eastAsia="黑体" w:hAnsi="Time New Roman" w:cstheme="majorBidi"/>
          <w:color w:val="333333"/>
          <w:szCs w:val="21"/>
        </w:rPr>
        <w:t>委员会请缔约国在</w:t>
      </w:r>
      <w:r w:rsidRPr="001E3AC6">
        <w:rPr>
          <w:rFonts w:ascii="Time New Roman" w:eastAsia="黑体" w:hAnsi="Time New Roman" w:cstheme="majorBidi"/>
          <w:color w:val="333333"/>
          <w:szCs w:val="21"/>
        </w:rPr>
        <w:t>2026</w:t>
      </w:r>
      <w:r w:rsidRPr="001E3AC6">
        <w:rPr>
          <w:rFonts w:ascii="Time New Roman" w:eastAsia="黑体" w:hAnsi="Time New Roman" w:cstheme="majorBidi"/>
          <w:color w:val="333333"/>
          <w:szCs w:val="21"/>
        </w:rPr>
        <w:t>年</w:t>
      </w:r>
      <w:r w:rsidRPr="001E3AC6">
        <w:rPr>
          <w:rFonts w:ascii="Time New Roman" w:eastAsia="黑体" w:hAnsi="Time New Roman" w:cstheme="majorBidi"/>
          <w:color w:val="333333"/>
          <w:szCs w:val="21"/>
        </w:rPr>
        <w:t>1</w:t>
      </w:r>
      <w:r w:rsidRPr="001E3AC6">
        <w:rPr>
          <w:rFonts w:ascii="Time New Roman" w:eastAsia="黑体" w:hAnsi="Time New Roman" w:cstheme="majorBidi"/>
          <w:color w:val="333333"/>
          <w:szCs w:val="21"/>
        </w:rPr>
        <w:t>月</w:t>
      </w:r>
      <w:r w:rsidRPr="001E3AC6">
        <w:rPr>
          <w:rFonts w:ascii="Time New Roman" w:eastAsia="黑体" w:hAnsi="Time New Roman" w:cstheme="majorBidi"/>
          <w:color w:val="333333"/>
          <w:szCs w:val="21"/>
        </w:rPr>
        <w:t>14</w:t>
      </w:r>
      <w:r w:rsidRPr="001E3AC6">
        <w:rPr>
          <w:rFonts w:ascii="Time New Roman" w:eastAsia="黑体" w:hAnsi="Time New Roman" w:cstheme="majorBidi"/>
          <w:color w:val="333333"/>
          <w:szCs w:val="21"/>
        </w:rPr>
        <w:t>日之前提交第四次和第五次合并定期报告，并在报告中列入资料，说明本结论性意见所提建议的执行情况</w:t>
      </w:r>
      <w:r w:rsidRPr="001E3AC6">
        <w:rPr>
          <w:rFonts w:ascii="Time New Roman" w:eastAsia="黑体" w:hAnsi="Time New Roman" w:cstheme="majorBidi"/>
          <w:szCs w:val="21"/>
        </w:rPr>
        <w:t>。</w:t>
      </w:r>
    </w:p>
    <w:p w:rsidR="003B600B" w:rsidRPr="00B66CB9" w:rsidRDefault="003B600B">
      <w:pPr>
        <w:spacing w:before="240"/>
        <w:jc w:val="center"/>
        <w:rPr>
          <w:u w:val="single"/>
        </w:rPr>
      </w:pPr>
      <w:r w:rsidRPr="00B66CB9">
        <w:rPr>
          <w:rFonts w:hint="eastAsia"/>
          <w:u w:val="single"/>
        </w:rPr>
        <w:tab/>
      </w:r>
      <w:r w:rsidRPr="00B66CB9">
        <w:rPr>
          <w:rFonts w:hint="eastAsia"/>
          <w:u w:val="single"/>
        </w:rPr>
        <w:tab/>
      </w:r>
      <w:r w:rsidRPr="00B66CB9">
        <w:rPr>
          <w:rFonts w:hint="eastAsia"/>
          <w:u w:val="single"/>
        </w:rPr>
        <w:tab/>
      </w:r>
      <w:r w:rsidRPr="00B66CB9">
        <w:rPr>
          <w:u w:val="single"/>
        </w:rPr>
        <w:tab/>
      </w:r>
    </w:p>
    <w:sectPr w:rsidR="003B600B" w:rsidRPr="00B66CB9"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951" w:rsidRPr="000D319F" w:rsidRDefault="00B54951" w:rsidP="000D319F">
      <w:pPr>
        <w:pStyle w:val="af0"/>
        <w:spacing w:after="240"/>
        <w:ind w:left="907"/>
        <w:rPr>
          <w:rFonts w:asciiTheme="majorBidi" w:eastAsia="宋体" w:hAnsiTheme="majorBidi" w:cstheme="majorBidi"/>
          <w:sz w:val="21"/>
          <w:szCs w:val="21"/>
          <w:lang w:val="en-US"/>
        </w:rPr>
      </w:pPr>
    </w:p>
    <w:p w:rsidR="00B54951" w:rsidRPr="000D319F" w:rsidRDefault="00B5495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54951" w:rsidRPr="000D319F" w:rsidRDefault="00B54951" w:rsidP="000D319F">
      <w:pPr>
        <w:pStyle w:val="af0"/>
      </w:pPr>
    </w:p>
  </w:endnote>
  <w:endnote w:type="continuationNotice" w:id="1">
    <w:p w:rsidR="00B54951" w:rsidRDefault="00B549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951" w:rsidRPr="00AF2786" w:rsidRDefault="00B54951" w:rsidP="00AF27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F2786">
      <w:rPr>
        <w:rStyle w:val="af2"/>
        <w:b w:val="0"/>
        <w:snapToGrid w:val="0"/>
        <w:sz w:val="16"/>
      </w:rPr>
      <w:t>GE.19-16835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951" w:rsidRPr="00AF2786" w:rsidRDefault="00B54951" w:rsidP="00AF2786">
    <w:pPr>
      <w:pStyle w:val="af0"/>
      <w:tabs>
        <w:tab w:val="clear" w:pos="431"/>
        <w:tab w:val="right" w:pos="9638"/>
      </w:tabs>
      <w:rPr>
        <w:rStyle w:val="af2"/>
      </w:rPr>
    </w:pPr>
    <w:r>
      <w:t>GE.19-16835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951" w:rsidRPr="00B44B82" w:rsidRDefault="00B54951" w:rsidP="00B54951">
    <w:pPr>
      <w:pStyle w:val="af0"/>
      <w:tabs>
        <w:tab w:val="left" w:pos="1701"/>
        <w:tab w:val="left" w:pos="2552"/>
        <w:tab w:val="left" w:pos="8448"/>
      </w:tabs>
      <w:spacing w:before="360"/>
      <w:rPr>
        <w:rFonts w:eastAsiaTheme="minorEastAsia"/>
        <w:b/>
        <w:sz w:val="21"/>
        <w:lang w:eastAsia="zh-CN"/>
      </w:rPr>
    </w:pPr>
    <w:r>
      <w:rPr>
        <w:sz w:val="20"/>
        <w:lang w:eastAsia="zh-CN"/>
      </w:rPr>
      <w:t>GE.19-16835</w:t>
    </w:r>
    <w:r w:rsidRPr="00EE277A">
      <w:rPr>
        <w:sz w:val="20"/>
        <w:lang w:eastAsia="zh-CN"/>
      </w:rPr>
      <w:t xml:space="preserve"> (C)</w:t>
    </w:r>
    <w:r>
      <w:rPr>
        <w:sz w:val="20"/>
        <w:lang w:eastAsia="zh-CN"/>
      </w:rPr>
      <w:tab/>
      <w:t>27111</w:t>
    </w:r>
    <w:r>
      <w:rPr>
        <w:rFonts w:eastAsiaTheme="minorEastAsia"/>
        <w:sz w:val="20"/>
        <w:lang w:eastAsia="zh-CN"/>
      </w:rPr>
      <w:t>9</w:t>
    </w:r>
    <w:r>
      <w:rPr>
        <w:sz w:val="20"/>
        <w:lang w:eastAsia="zh-CN"/>
      </w:rPr>
      <w:tab/>
    </w:r>
    <w:r w:rsidR="00B66CB9">
      <w:rPr>
        <w:sz w:val="20"/>
        <w:lang w:eastAsia="zh-CN"/>
      </w:rPr>
      <w:t>2911</w:t>
    </w:r>
    <w:r>
      <w:rPr>
        <w:sz w:val="20"/>
        <w:lang w:eastAsia="zh-CN"/>
      </w:rPr>
      <w:t>1</w:t>
    </w:r>
    <w:r>
      <w:rPr>
        <w:rFonts w:eastAsiaTheme="minorEastAsia"/>
        <w:sz w:val="20"/>
        <w:lang w:eastAsia="zh-CN"/>
      </w:rPr>
      <w:t>9</w:t>
    </w:r>
  </w:p>
  <w:p w:rsidR="00B54951" w:rsidRPr="00487939" w:rsidRDefault="00B54951" w:rsidP="00B5495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SLV/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951" w:rsidRPr="000157B1" w:rsidRDefault="00B549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54951" w:rsidRPr="000157B1" w:rsidRDefault="00B5495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54951" w:rsidRDefault="00B54951"/>
  </w:footnote>
  <w:footnote w:id="2">
    <w:p w:rsidR="00B54951" w:rsidRPr="00A7031B" w:rsidRDefault="00B54951" w:rsidP="003B600B">
      <w:pPr>
        <w:pStyle w:val="a6"/>
        <w:rPr>
          <w:sz w:val="20"/>
        </w:rPr>
      </w:pPr>
      <w:r w:rsidRPr="00B54951">
        <w:rPr>
          <w:rStyle w:val="30"/>
          <w:rFonts w:eastAsia="宋体"/>
          <w:b w:val="0"/>
          <w:bCs w:val="0"/>
          <w:sz w:val="21"/>
          <w:szCs w:val="21"/>
        </w:rPr>
        <w:tab/>
      </w:r>
      <w:r w:rsidRPr="00B66CB9">
        <w:rPr>
          <w:rStyle w:val="30"/>
          <w:rFonts w:eastAsia="宋体"/>
          <w:b w:val="0"/>
          <w:bCs w:val="0"/>
          <w:color w:val="0000FF"/>
          <w:sz w:val="21"/>
          <w:szCs w:val="21"/>
        </w:rPr>
        <w:t>*</w:t>
      </w:r>
      <w:r w:rsidRPr="00B54951">
        <w:rPr>
          <w:b/>
          <w:bCs/>
          <w:sz w:val="21"/>
          <w:szCs w:val="21"/>
        </w:rPr>
        <w:tab/>
      </w:r>
      <w:r>
        <w:rPr>
          <w:rFonts w:hint="eastAsia"/>
        </w:rPr>
        <w:t>委员会第二十二届会议</w:t>
      </w:r>
      <w:r w:rsidR="002B2134">
        <w:rPr>
          <w:rFonts w:hint="eastAsia"/>
        </w:rPr>
        <w:t>(2</w:t>
      </w:r>
      <w:r>
        <w:rPr>
          <w:rFonts w:hint="eastAsia"/>
        </w:rPr>
        <w:t>0</w:t>
      </w:r>
      <w:r w:rsidR="002B2134">
        <w:rPr>
          <w:rFonts w:hint="eastAsia"/>
        </w:rPr>
        <w:t>19</w:t>
      </w:r>
      <w:r>
        <w:rPr>
          <w:rFonts w:hint="eastAsia"/>
        </w:rPr>
        <w:t>年</w:t>
      </w:r>
      <w:r w:rsidR="002B2134">
        <w:rPr>
          <w:rFonts w:hint="eastAsia"/>
        </w:rPr>
        <w:t>8</w:t>
      </w:r>
      <w:r>
        <w:rPr>
          <w:rFonts w:hint="eastAsia"/>
        </w:rPr>
        <w:t>月</w:t>
      </w:r>
      <w:r w:rsidR="002B2134">
        <w:rPr>
          <w:rFonts w:hint="eastAsia"/>
        </w:rPr>
        <w:t>26</w:t>
      </w:r>
      <w:r>
        <w:rPr>
          <w:rFonts w:hint="eastAsia"/>
        </w:rPr>
        <w:t>日至</w:t>
      </w:r>
      <w:r w:rsidR="002B2134">
        <w:rPr>
          <w:rFonts w:hint="eastAsia"/>
        </w:rPr>
        <w:t>9</w:t>
      </w:r>
      <w:r>
        <w:rPr>
          <w:rFonts w:hint="eastAsia"/>
        </w:rPr>
        <w:t>月</w:t>
      </w:r>
      <w:r w:rsidR="002B2134">
        <w:rPr>
          <w:rFonts w:hint="eastAsia"/>
        </w:rPr>
        <w:t>2</w:t>
      </w:r>
      <w:r>
        <w:rPr>
          <w:rFonts w:hint="eastAsia"/>
        </w:rPr>
        <w:t>0</w:t>
      </w:r>
      <w:r>
        <w:rPr>
          <w:rFonts w:hint="eastAsia"/>
        </w:rPr>
        <w:t>日</w:t>
      </w:r>
      <w:r w:rsidR="002B2134">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951" w:rsidRDefault="00B54951" w:rsidP="00AF2786">
    <w:pPr>
      <w:pStyle w:val="af3"/>
    </w:pPr>
    <w:r>
      <w:t>CRPD/C/SLV/CO/2-3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951" w:rsidRPr="00202A30" w:rsidRDefault="00B54951" w:rsidP="00AF2786">
    <w:pPr>
      <w:pStyle w:val="af3"/>
      <w:jc w:val="right"/>
    </w:pPr>
    <w:r>
      <w:t>CRPD/C/SLV/CO/2-3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6"/>
  </w:num>
  <w:num w:numId="18">
    <w:abstractNumId w:val="17"/>
  </w:num>
  <w:num w:numId="19">
    <w:abstractNumId w:val="20"/>
  </w:num>
  <w:num w:numId="20">
    <w:abstractNumId w:val="1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5712"/>
    <w:rsid w:val="00011483"/>
    <w:rsid w:val="00046EE3"/>
    <w:rsid w:val="00072F9B"/>
    <w:rsid w:val="000B4967"/>
    <w:rsid w:val="000D319F"/>
    <w:rsid w:val="000E4D0E"/>
    <w:rsid w:val="000E6FA4"/>
    <w:rsid w:val="00125AC6"/>
    <w:rsid w:val="00144B69"/>
    <w:rsid w:val="00150992"/>
    <w:rsid w:val="00153E86"/>
    <w:rsid w:val="001B1BD1"/>
    <w:rsid w:val="001C3EF2"/>
    <w:rsid w:val="001D17F6"/>
    <w:rsid w:val="001D2C3F"/>
    <w:rsid w:val="001E3AC6"/>
    <w:rsid w:val="00204B42"/>
    <w:rsid w:val="002231C3"/>
    <w:rsid w:val="0024417F"/>
    <w:rsid w:val="00250F8D"/>
    <w:rsid w:val="002511F6"/>
    <w:rsid w:val="002B2134"/>
    <w:rsid w:val="002E1C97"/>
    <w:rsid w:val="002F5834"/>
    <w:rsid w:val="00326EBF"/>
    <w:rsid w:val="00327FE4"/>
    <w:rsid w:val="003840DD"/>
    <w:rsid w:val="00392F6C"/>
    <w:rsid w:val="003B600B"/>
    <w:rsid w:val="003D7D4D"/>
    <w:rsid w:val="003F27E8"/>
    <w:rsid w:val="00413D23"/>
    <w:rsid w:val="00427F63"/>
    <w:rsid w:val="00455874"/>
    <w:rsid w:val="004A17D1"/>
    <w:rsid w:val="004B63C2"/>
    <w:rsid w:val="004C4A0A"/>
    <w:rsid w:val="00543EBA"/>
    <w:rsid w:val="00551C33"/>
    <w:rsid w:val="00581E42"/>
    <w:rsid w:val="005969AE"/>
    <w:rsid w:val="005B373F"/>
    <w:rsid w:val="005D0F8B"/>
    <w:rsid w:val="005D3846"/>
    <w:rsid w:val="005E403A"/>
    <w:rsid w:val="005F00C7"/>
    <w:rsid w:val="00643CFA"/>
    <w:rsid w:val="00645F38"/>
    <w:rsid w:val="00647A49"/>
    <w:rsid w:val="00680656"/>
    <w:rsid w:val="006B1119"/>
    <w:rsid w:val="006E3E46"/>
    <w:rsid w:val="006E71B1"/>
    <w:rsid w:val="006F3F80"/>
    <w:rsid w:val="00705D89"/>
    <w:rsid w:val="00731A42"/>
    <w:rsid w:val="00767E69"/>
    <w:rsid w:val="0077079A"/>
    <w:rsid w:val="007A4CB7"/>
    <w:rsid w:val="007A5599"/>
    <w:rsid w:val="00816936"/>
    <w:rsid w:val="00856233"/>
    <w:rsid w:val="00860F27"/>
    <w:rsid w:val="00863E51"/>
    <w:rsid w:val="00864134"/>
    <w:rsid w:val="008B0560"/>
    <w:rsid w:val="008B2BFA"/>
    <w:rsid w:val="00936F03"/>
    <w:rsid w:val="00943528"/>
    <w:rsid w:val="00943B69"/>
    <w:rsid w:val="00944CB3"/>
    <w:rsid w:val="009673E9"/>
    <w:rsid w:val="00980EE1"/>
    <w:rsid w:val="009B09D7"/>
    <w:rsid w:val="009D35ED"/>
    <w:rsid w:val="00A03CB6"/>
    <w:rsid w:val="00A1364C"/>
    <w:rsid w:val="00A21076"/>
    <w:rsid w:val="00A3739A"/>
    <w:rsid w:val="00A52DAF"/>
    <w:rsid w:val="00A84072"/>
    <w:rsid w:val="00AF2786"/>
    <w:rsid w:val="00B07F55"/>
    <w:rsid w:val="00B16570"/>
    <w:rsid w:val="00B218F1"/>
    <w:rsid w:val="00B44B82"/>
    <w:rsid w:val="00B53320"/>
    <w:rsid w:val="00B54951"/>
    <w:rsid w:val="00B66CB9"/>
    <w:rsid w:val="00BC6522"/>
    <w:rsid w:val="00C121D5"/>
    <w:rsid w:val="00C134D9"/>
    <w:rsid w:val="00C17349"/>
    <w:rsid w:val="00C351AA"/>
    <w:rsid w:val="00C7253F"/>
    <w:rsid w:val="00C85712"/>
    <w:rsid w:val="00C91F60"/>
    <w:rsid w:val="00CA5EDE"/>
    <w:rsid w:val="00CB131A"/>
    <w:rsid w:val="00CB656F"/>
    <w:rsid w:val="00D26A05"/>
    <w:rsid w:val="00D32465"/>
    <w:rsid w:val="00D94F15"/>
    <w:rsid w:val="00D97B98"/>
    <w:rsid w:val="00DC671F"/>
    <w:rsid w:val="00DE4DA7"/>
    <w:rsid w:val="00E33B38"/>
    <w:rsid w:val="00E47FE5"/>
    <w:rsid w:val="00E574AF"/>
    <w:rsid w:val="00E61599"/>
    <w:rsid w:val="00EE1389"/>
    <w:rsid w:val="00EE5230"/>
    <w:rsid w:val="00F42A2F"/>
    <w:rsid w:val="00F714DA"/>
    <w:rsid w:val="00F90004"/>
    <w:rsid w:val="00FB432F"/>
    <w:rsid w:val="00FB456B"/>
    <w:rsid w:val="00FB5E40"/>
    <w:rsid w:val="00FD51EE"/>
    <w:rsid w:val="00FF5FC3"/>
    <w:rsid w:val="00FF7A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AC29CF"/>
  <w15:docId w15:val="{EB7EF16E-10F5-4811-B0C4-CD7A34D8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uiPriority w:val="99"/>
    <w:semiHidden/>
    <w:rsid w:val="00645F38"/>
    <w:rPr>
      <w:color w:val="auto"/>
      <w:u w:val="none"/>
    </w:rPr>
  </w:style>
  <w:style w:type="character" w:styleId="afa">
    <w:name w:val="FollowedHyperlink"/>
    <w:basedOn w:val="a0"/>
    <w:uiPriority w:val="99"/>
    <w:semiHidden/>
    <w:rsid w:val="003B600B"/>
    <w:rPr>
      <w:color w:val="0000FF"/>
      <w:u w:val="none"/>
    </w:rPr>
  </w:style>
  <w:style w:type="paragraph" w:styleId="afb">
    <w:name w:val="macro"/>
    <w:link w:val="afc"/>
    <w:semiHidden/>
    <w:rsid w:val="003B600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3B600B"/>
    <w:rPr>
      <w:kern w:val="24"/>
      <w:sz w:val="24"/>
      <w:szCs w:val="24"/>
    </w:rPr>
  </w:style>
  <w:style w:type="paragraph" w:customStyle="1" w:styleId="HMG">
    <w:name w:val="_ H __M_G"/>
    <w:basedOn w:val="a"/>
    <w:next w:val="a"/>
    <w:rsid w:val="003B600B"/>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3B600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3B600B"/>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3B600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3B600B"/>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3B600B"/>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3B600B"/>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B600B"/>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3B600B"/>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3B600B"/>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3B600B"/>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3B600B"/>
    <w:pPr>
      <w:numPr>
        <w:numId w:val="1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3B600B"/>
    <w:pPr>
      <w:numPr>
        <w:numId w:val="1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3B600B"/>
    <w:pPr>
      <w:numPr>
        <w:numId w:val="16"/>
      </w:numPr>
      <w:tabs>
        <w:tab w:val="clear" w:pos="0"/>
        <w:tab w:val="num" w:pos="780"/>
      </w:tabs>
      <w:ind w:left="780" w:hanging="360"/>
    </w:pPr>
  </w:style>
  <w:style w:type="numbering" w:styleId="111111">
    <w:name w:val="Outline List 2"/>
    <w:basedOn w:val="a2"/>
    <w:semiHidden/>
    <w:rsid w:val="003B600B"/>
    <w:pPr>
      <w:numPr>
        <w:numId w:val="21"/>
      </w:numPr>
    </w:pPr>
  </w:style>
  <w:style w:type="numbering" w:styleId="1111110">
    <w:name w:val="Outline List 1"/>
    <w:basedOn w:val="a2"/>
    <w:semiHidden/>
    <w:rsid w:val="003B600B"/>
    <w:pPr>
      <w:numPr>
        <w:numId w:val="19"/>
      </w:numPr>
    </w:pPr>
  </w:style>
  <w:style w:type="character" w:styleId="afd">
    <w:name w:val="Book Title"/>
    <w:basedOn w:val="a0"/>
    <w:uiPriority w:val="33"/>
    <w:rsid w:val="003B600B"/>
    <w:rPr>
      <w:b/>
      <w:bCs/>
      <w:smallCaps/>
      <w:spacing w:val="5"/>
    </w:rPr>
  </w:style>
  <w:style w:type="table" w:styleId="afe">
    <w:name w:val="Table Grid"/>
    <w:basedOn w:val="a1"/>
    <w:rsid w:val="003B600B"/>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3B600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3EE4C-1F37-4954-9816-9487BC23E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9359</Words>
  <Characters>9860</Characters>
  <Application>Microsoft Office Word</Application>
  <DocSecurity>0</DocSecurity>
  <Lines>386</Lines>
  <Paragraphs>181</Paragraphs>
  <ScaleCrop>false</ScaleCrop>
  <Company>DCM</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CRPD/C/SLV/CO/2-3</dc:title>
  <dc:subject>1916835</dc:subject>
  <dc:creator>AN</dc:creator>
  <cp:keywords/>
  <dc:description/>
  <cp:lastModifiedBy>Changfeng AN</cp:lastModifiedBy>
  <cp:revision>2</cp:revision>
  <cp:lastPrinted>2014-05-09T11:28:00Z</cp:lastPrinted>
  <dcterms:created xsi:type="dcterms:W3CDTF">2019-11-29T16:21:00Z</dcterms:created>
  <dcterms:modified xsi:type="dcterms:W3CDTF">2019-11-29T16:21:00Z</dcterms:modified>
</cp:coreProperties>
</file>