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490A9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490A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90A9C" w:rsidP="00490A9C">
            <w:pPr>
              <w:jc w:val="right"/>
            </w:pPr>
            <w:r w:rsidRPr="00490A9C">
              <w:rPr>
                <w:sz w:val="40"/>
              </w:rPr>
              <w:t>CERD</w:t>
            </w:r>
            <w:r>
              <w:t>/C/ALB/Q/9-12</w:t>
            </w:r>
          </w:p>
        </w:tc>
      </w:tr>
      <w:tr w:rsidR="002D5AAC" w:rsidTr="00490A9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90A9C" w:rsidP="00213632">
            <w:pPr>
              <w:spacing w:before="240"/>
            </w:pPr>
            <w:r>
              <w:t>Distr. general</w:t>
            </w:r>
          </w:p>
          <w:p w:rsidR="00490A9C" w:rsidRDefault="00490A9C" w:rsidP="00490A9C">
            <w:pPr>
              <w:spacing w:line="240" w:lineRule="exact"/>
            </w:pPr>
            <w:r>
              <w:t>21 de septiembre de 2018</w:t>
            </w:r>
          </w:p>
          <w:p w:rsidR="00490A9C" w:rsidRDefault="00490A9C" w:rsidP="00490A9C">
            <w:pPr>
              <w:spacing w:line="240" w:lineRule="exact"/>
            </w:pPr>
            <w:r>
              <w:t>Español</w:t>
            </w:r>
          </w:p>
          <w:p w:rsidR="00490A9C" w:rsidRDefault="00490A9C" w:rsidP="00490A9C">
            <w:pPr>
              <w:spacing w:line="240" w:lineRule="exact"/>
            </w:pPr>
            <w:r>
              <w:t>Original: inglés</w:t>
            </w:r>
          </w:p>
          <w:p w:rsidR="00490A9C" w:rsidRDefault="00490A9C" w:rsidP="00490A9C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490A9C" w:rsidRPr="00490A9C" w:rsidRDefault="00490A9C" w:rsidP="00490A9C">
      <w:pPr>
        <w:spacing w:before="120"/>
        <w:rPr>
          <w:b/>
          <w:sz w:val="24"/>
        </w:rPr>
      </w:pPr>
      <w:r w:rsidRPr="00490A9C">
        <w:rPr>
          <w:b/>
          <w:sz w:val="24"/>
        </w:rPr>
        <w:t>Comité para la Eliminación de la Discriminación Racial</w:t>
      </w:r>
    </w:p>
    <w:p w:rsidR="00490A9C" w:rsidRPr="00490A9C" w:rsidRDefault="00490A9C" w:rsidP="00490A9C">
      <w:pPr>
        <w:rPr>
          <w:b/>
        </w:rPr>
      </w:pPr>
      <w:r w:rsidRPr="00490A9C">
        <w:rPr>
          <w:b/>
        </w:rPr>
        <w:t>97º período de sesiones</w:t>
      </w:r>
    </w:p>
    <w:p w:rsidR="00490A9C" w:rsidRPr="00490A9C" w:rsidRDefault="00490A9C" w:rsidP="00490A9C">
      <w:r w:rsidRPr="00490A9C">
        <w:t>26 de noviembre a 14 de diciembre de 2018</w:t>
      </w:r>
    </w:p>
    <w:p w:rsidR="00490A9C" w:rsidRPr="00490A9C" w:rsidRDefault="00490A9C" w:rsidP="00490A9C">
      <w:r w:rsidRPr="00490A9C">
        <w:t>Tema 4 del programa provisional</w:t>
      </w:r>
    </w:p>
    <w:p w:rsidR="00490A9C" w:rsidRDefault="00490A9C" w:rsidP="00490A9C">
      <w:pPr>
        <w:rPr>
          <w:b/>
        </w:rPr>
      </w:pPr>
      <w:r w:rsidRPr="00490A9C">
        <w:rPr>
          <w:b/>
        </w:rPr>
        <w:t xml:space="preserve">Examen de los informes, las observaciones y la </w:t>
      </w:r>
      <w:r>
        <w:rPr>
          <w:b/>
        </w:rPr>
        <w:t>información</w:t>
      </w:r>
    </w:p>
    <w:p w:rsidR="00490A9C" w:rsidRDefault="00490A9C" w:rsidP="00490A9C">
      <w:pPr>
        <w:rPr>
          <w:b/>
        </w:rPr>
      </w:pPr>
      <w:r w:rsidRPr="00490A9C">
        <w:rPr>
          <w:b/>
        </w:rPr>
        <w:t xml:space="preserve">presentados por los Estados </w:t>
      </w:r>
      <w:r>
        <w:rPr>
          <w:b/>
        </w:rPr>
        <w:t>partes en virtud del artículo 9</w:t>
      </w:r>
    </w:p>
    <w:p w:rsidR="00490A9C" w:rsidRPr="00490A9C" w:rsidRDefault="00490A9C" w:rsidP="00490A9C">
      <w:pPr>
        <w:rPr>
          <w:b/>
        </w:rPr>
      </w:pPr>
      <w:r w:rsidRPr="00490A9C">
        <w:rPr>
          <w:b/>
        </w:rPr>
        <w:t>de la Convención</w:t>
      </w:r>
    </w:p>
    <w:p w:rsidR="00490A9C" w:rsidRPr="00490A9C" w:rsidRDefault="00490A9C" w:rsidP="00490A9C">
      <w:pPr>
        <w:pStyle w:val="HChG"/>
      </w:pPr>
      <w:r w:rsidRPr="00490A9C">
        <w:tab/>
      </w:r>
      <w:r w:rsidRPr="00490A9C">
        <w:tab/>
        <w:t>Lista de temas relativa a los informes periódicos 9º a 12º combinados de Albania</w:t>
      </w:r>
    </w:p>
    <w:p w:rsidR="00490A9C" w:rsidRPr="00490A9C" w:rsidRDefault="00490A9C" w:rsidP="00490A9C">
      <w:pPr>
        <w:pStyle w:val="H1G"/>
      </w:pPr>
      <w:r w:rsidRPr="00490A9C">
        <w:tab/>
      </w:r>
      <w:r w:rsidRPr="00490A9C">
        <w:tab/>
        <w:t xml:space="preserve">Nota del Relator para el país </w:t>
      </w:r>
    </w:p>
    <w:p w:rsidR="00490A9C" w:rsidRPr="00490A9C" w:rsidRDefault="00490A9C" w:rsidP="00490A9C">
      <w:pPr>
        <w:pStyle w:val="SingleTxtG"/>
      </w:pPr>
      <w:r w:rsidRPr="00490A9C">
        <w:t>1.</w:t>
      </w:r>
      <w:r w:rsidRPr="00490A9C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490A9C" w:rsidRPr="00490A9C" w:rsidRDefault="00490A9C" w:rsidP="00490A9C">
      <w:pPr>
        <w:pStyle w:val="H23G"/>
      </w:pPr>
      <w:r w:rsidRPr="00490A9C">
        <w:tab/>
      </w:r>
      <w:r w:rsidRPr="00490A9C">
        <w:tab/>
        <w:t xml:space="preserve">Marco jurídico, institucional y de políticas públicas </w:t>
      </w:r>
      <w:r>
        <w:t>contra la discriminación racial </w:t>
      </w:r>
      <w:r w:rsidR="00664167">
        <w:t>(arts. 2</w:t>
      </w:r>
      <w:r w:rsidRPr="00490A9C">
        <w:t>7)</w:t>
      </w:r>
    </w:p>
    <w:p w:rsidR="00490A9C" w:rsidRPr="00490A9C" w:rsidRDefault="00490A9C" w:rsidP="00490A9C">
      <w:pPr>
        <w:pStyle w:val="SingleTxtG"/>
        <w:rPr>
          <w:lang w:val="en-GB"/>
        </w:rPr>
      </w:pPr>
      <w:r w:rsidRPr="00490A9C">
        <w:t>2.</w:t>
      </w:r>
      <w:r w:rsidRPr="00490A9C">
        <w:tab/>
        <w:t xml:space="preserve">Repercusiones de las actividades contra el racismo llevadas a cabo por el Defensor del Pueblo, el Comisionado para la Protección contra la Discriminación, el Comité Nacional de las Minorías y otros órganos nacionales pertinentes. Suficiencia de los recursos presupuestarios y humanos para garantizar su funcionamiento adecuado. Información sobre las actividades previstas del Comité Nacional de las Minorías </w:t>
      </w:r>
      <w:r w:rsidR="00664167">
        <w:rPr>
          <w:lang w:val="en-US"/>
        </w:rPr>
        <w:t>(CERD/C/ALB/CO/5-8, párr. </w:t>
      </w:r>
      <w:r w:rsidRPr="00490A9C">
        <w:rPr>
          <w:lang w:val="en-US"/>
        </w:rPr>
        <w:t>9; CERD/C/ALB/9-12, párrs. 62 a 74)</w:t>
      </w:r>
      <w:r w:rsidR="00664167">
        <w:rPr>
          <w:lang w:val="en-US"/>
        </w:rPr>
        <w:t>.</w:t>
      </w:r>
    </w:p>
    <w:p w:rsidR="00490A9C" w:rsidRPr="00490A9C" w:rsidRDefault="00490A9C" w:rsidP="00490A9C">
      <w:pPr>
        <w:pStyle w:val="SingleTxtG"/>
      </w:pPr>
      <w:r w:rsidRPr="00490A9C">
        <w:t>3.</w:t>
      </w:r>
      <w:r w:rsidRPr="00490A9C">
        <w:tab/>
        <w:t>Contenido y aplicación de la Ley núm. 96/201</w:t>
      </w:r>
      <w:r w:rsidR="00664167">
        <w:t xml:space="preserve">7 de Protección de las Minorías </w:t>
      </w:r>
      <w:r w:rsidRPr="00490A9C">
        <w:t xml:space="preserve">Nacionales en la República de Albania </w:t>
      </w:r>
      <w:r w:rsidRPr="00490A9C">
        <w:rPr>
          <w:lang w:val="en-US"/>
        </w:rPr>
        <w:t>(CERD/C/AL</w:t>
      </w:r>
      <w:r w:rsidR="00664167">
        <w:rPr>
          <w:lang w:val="en-US"/>
        </w:rPr>
        <w:t>B/CO/5-8, párr. 7; CERD/C/ALB/9</w:t>
      </w:r>
      <w:r w:rsidR="00664167">
        <w:rPr>
          <w:lang w:val="en-US"/>
        </w:rPr>
        <w:noBreakHyphen/>
      </w:r>
      <w:r w:rsidRPr="00490A9C">
        <w:rPr>
          <w:lang w:val="en-US"/>
        </w:rPr>
        <w:t xml:space="preserve">12, párrs. 47 a 52; CERD/C/ALB/CO/5-8/Add.1, párrs. </w:t>
      </w:r>
      <w:r w:rsidR="00664167">
        <w:t>3 a 10).</w:t>
      </w:r>
    </w:p>
    <w:p w:rsidR="00490A9C" w:rsidRPr="00490A9C" w:rsidRDefault="00490A9C" w:rsidP="00490A9C">
      <w:pPr>
        <w:pStyle w:val="SingleTxtG"/>
      </w:pPr>
      <w:r w:rsidRPr="00490A9C">
        <w:t>4.</w:t>
      </w:r>
      <w:r w:rsidRPr="00490A9C">
        <w:tab/>
        <w:t xml:space="preserve">Efectos de la Ley núm. 111/2017 de Acceso de las Minorías Étnicas a la Asistencia Letrada. </w:t>
      </w:r>
    </w:p>
    <w:p w:rsidR="00490A9C" w:rsidRPr="00490A9C" w:rsidRDefault="00490A9C" w:rsidP="00490A9C">
      <w:pPr>
        <w:pStyle w:val="SingleTxtG"/>
      </w:pPr>
      <w:r w:rsidRPr="00490A9C">
        <w:t>5.</w:t>
      </w:r>
      <w:r w:rsidRPr="00490A9C">
        <w:tab/>
        <w:t xml:space="preserve">Ejemplos de causas judiciales y decisiones administrativas en las que se hayan aplicado los principios de la Convención. </w:t>
      </w:r>
    </w:p>
    <w:p w:rsidR="00490A9C" w:rsidRPr="00490A9C" w:rsidRDefault="00490A9C" w:rsidP="00490A9C">
      <w:pPr>
        <w:pStyle w:val="SingleTxtG"/>
      </w:pPr>
      <w:r w:rsidRPr="00490A9C">
        <w:t>6.</w:t>
      </w:r>
      <w:r w:rsidRPr="00490A9C">
        <w:tab/>
        <w:t>Contenido y aplicación de las leyes que prohíban de manera general cualquier manifestación de discriminación racial (en particular la Ley núm. 10221/2010 de Protección contra la Discriminación), y de las leyes en las que se proscriban las organizaciones racistas y se tipifique como delito la pert</w:t>
      </w:r>
      <w:r w:rsidR="00664167">
        <w:t>enencia a dichas organizaciones</w:t>
      </w:r>
      <w:r w:rsidRPr="00490A9C">
        <w:t xml:space="preserve"> (CERD/C/ALB/CO/5-8, párr. 10; CERD/C/ALB/9-12, párrs. 7 a 10, 14 y 53 a 72).</w:t>
      </w:r>
    </w:p>
    <w:p w:rsidR="00490A9C" w:rsidRPr="00490A9C" w:rsidRDefault="00490A9C" w:rsidP="00490A9C">
      <w:pPr>
        <w:pStyle w:val="SingleTxtG"/>
      </w:pPr>
      <w:r w:rsidRPr="00490A9C">
        <w:lastRenderedPageBreak/>
        <w:t>7.</w:t>
      </w:r>
      <w:r w:rsidRPr="00490A9C">
        <w:tab/>
        <w:t>Incorporación de las aportaciones recibidas durante las consultas con los grupos minoritarios en la formulación y aplicación de leyes y políticas para combatir la discriminación racial (CERD/C/ALB/CO/5-8, párrs. 7, 8, 10 y 17; CERD/C/ALB/9-12, párrs. 42, 47, 50, 61, 73 y 75 a 80).</w:t>
      </w:r>
    </w:p>
    <w:p w:rsidR="00490A9C" w:rsidRPr="00490A9C" w:rsidRDefault="00490A9C" w:rsidP="00490A9C">
      <w:pPr>
        <w:pStyle w:val="SingleTxtG"/>
      </w:pPr>
      <w:r w:rsidRPr="00490A9C">
        <w:t>8.</w:t>
      </w:r>
      <w:r w:rsidRPr="00490A9C">
        <w:tab/>
        <w:t>Información adicional y datos estadísticos recientes que indiquen: a) el resultado de las denuncias administrativas, civiles y penales; b) los enjui</w:t>
      </w:r>
      <w:r w:rsidR="00BB32C5">
        <w:t>ciamientos; c) las condenas; d) </w:t>
      </w:r>
      <w:r w:rsidRPr="00490A9C">
        <w:t>las sanciones; y e) las reparaciones por actos de discriminación racial, discurso de odio racista, delitos motivados por prejuicios e incitación al odio racial. Iniciativas encaminadas a informar a la ciudadanía acerca de los mecanismos de denuncia y los recursos legales (CERD/C/ALB/CO/5-8, párr. 19; CERD/C/ALB/9-12, párr</w:t>
      </w:r>
      <w:r w:rsidR="00BB32C5">
        <w:t>s. 8, 13, 14, 24, 26, 63 a 72 y </w:t>
      </w:r>
      <w:r w:rsidRPr="00490A9C">
        <w:t>113).</w:t>
      </w:r>
    </w:p>
    <w:p w:rsidR="00490A9C" w:rsidRPr="00490A9C" w:rsidRDefault="00490A9C" w:rsidP="00490A9C">
      <w:pPr>
        <w:pStyle w:val="SingleTxtG"/>
      </w:pPr>
      <w:r w:rsidRPr="00490A9C">
        <w:t>9.</w:t>
      </w:r>
      <w:r w:rsidRPr="00490A9C">
        <w:tab/>
        <w:t>Progresos concretos realizados en la aplicación del Plan de Acción Nacional para la Integración de los Romaníes y Egiptanos (2016</w:t>
      </w:r>
      <w:r w:rsidR="00496609">
        <w:t>-</w:t>
      </w:r>
      <w:r w:rsidR="00BB32C5">
        <w:t>2020)</w:t>
      </w:r>
      <w:r w:rsidRPr="00490A9C">
        <w:t xml:space="preserve"> (CERD/C/ALB/9-12, párrs. 82 a 87).</w:t>
      </w:r>
    </w:p>
    <w:p w:rsidR="00490A9C" w:rsidRPr="00490A9C" w:rsidRDefault="00490A9C" w:rsidP="00490A9C">
      <w:pPr>
        <w:pStyle w:val="H23G"/>
      </w:pPr>
      <w:r w:rsidRPr="00490A9C">
        <w:tab/>
      </w:r>
      <w:r w:rsidRPr="00490A9C">
        <w:tab/>
        <w:t>Situación de los romaníes, los egiptanos y las personas pertenecientes a la minoría aromaniana y otras minorías étnicas en Albania (arts. 2 a 7)</w:t>
      </w:r>
    </w:p>
    <w:p w:rsidR="00490A9C" w:rsidRPr="00490A9C" w:rsidRDefault="00490A9C" w:rsidP="00490A9C">
      <w:pPr>
        <w:pStyle w:val="SingleTxtG"/>
      </w:pPr>
      <w:r w:rsidRPr="00490A9C">
        <w:t>10.</w:t>
      </w:r>
      <w:r w:rsidRPr="00490A9C">
        <w:tab/>
        <w:t xml:space="preserve">Datos estadísticos recientes, desglosados por sexo y origen étnico, que indiquen el grado de disfrute de los derechos económicos, sociales y culturales, incluido el acceso a la educación primaria, secundaria y superior, así como a la vivienda, la seguridad </w:t>
      </w:r>
      <w:r w:rsidR="00BB32C5">
        <w:t>social y los servicios de salud</w:t>
      </w:r>
      <w:r w:rsidRPr="00490A9C">
        <w:t xml:space="preserve"> (CERD/C/ALB/CO/5-8, párrs. 6 y 16; CERD/C/AL</w:t>
      </w:r>
      <w:r w:rsidR="00BB32C5">
        <w:t>B/9-12, párrs. 17 y </w:t>
      </w:r>
      <w:r>
        <w:t>131 a 155).</w:t>
      </w:r>
    </w:p>
    <w:p w:rsidR="00490A9C" w:rsidRPr="00490A9C" w:rsidRDefault="00490A9C" w:rsidP="00490A9C">
      <w:pPr>
        <w:pStyle w:val="SingleTxtG"/>
      </w:pPr>
      <w:r w:rsidRPr="00490A9C">
        <w:t>11.</w:t>
      </w:r>
      <w:r w:rsidRPr="00490A9C">
        <w:tab/>
        <w:t>Naturaleza y resultados de las medidas especiales encaminadas a promover el disfrute, sin discriminación, de los derechos y beneficios de las minorías romaní, egiptana y aromaniana, en particular en lo que respecta al acceso al empleo, la educación, la vivienda, el agua y los servicios de atención de la salud (CERD/C/ALB/CO/5-8, párrs. 8 y 16; CERD/C/ALB/9-12, párrs. 14 a 22, 32 a 40, 53 a 61, 81 a 103 y 131 a 155).</w:t>
      </w:r>
    </w:p>
    <w:p w:rsidR="00490A9C" w:rsidRPr="00490A9C" w:rsidRDefault="00490A9C" w:rsidP="00490A9C">
      <w:pPr>
        <w:pStyle w:val="SingleTxtG"/>
      </w:pPr>
      <w:r w:rsidRPr="00490A9C">
        <w:t>12.</w:t>
      </w:r>
      <w:r w:rsidRPr="00490A9C">
        <w:tab/>
        <w:t>Medidas para luchar contra la segregación étnica de hecho en la educación y las pautas residenciales. Capacitación impartida en las comunidades sobre la integración de los niños pertenecientes a mi</w:t>
      </w:r>
      <w:r>
        <w:t>norías en el sistema educativo.</w:t>
      </w:r>
    </w:p>
    <w:p w:rsidR="00490A9C" w:rsidRPr="00490A9C" w:rsidRDefault="00490A9C" w:rsidP="00490A9C">
      <w:pPr>
        <w:pStyle w:val="SingleTxtG"/>
      </w:pPr>
      <w:r w:rsidRPr="00490A9C">
        <w:t>13.</w:t>
      </w:r>
      <w:r w:rsidRPr="00490A9C">
        <w:tab/>
        <w:t>Aplicación de la Ley núm. 22/2018 de Vivienda Socialcon respecto a las minorías étnicas. Medidas adoptadas para prevenir y combatir los desalojos forzosos ilegales de las minorías étnicas y para proporcionar alojamientos alternativos</w:t>
      </w:r>
      <w:r w:rsidR="00BB32C5">
        <w:t xml:space="preserve"> (CERD/C/ALB/9-12, párrs. </w:t>
      </w:r>
      <w:r w:rsidRPr="00490A9C">
        <w:t>16 a 22).</w:t>
      </w:r>
    </w:p>
    <w:p w:rsidR="00490A9C" w:rsidRPr="00490A9C" w:rsidRDefault="00490A9C" w:rsidP="00490A9C">
      <w:pPr>
        <w:pStyle w:val="SingleTxtG"/>
      </w:pPr>
      <w:r w:rsidRPr="00490A9C">
        <w:t>14.</w:t>
      </w:r>
      <w:r w:rsidRPr="00490A9C">
        <w:tab/>
        <w:t>Medidas adoptadas para asegurar la participación efectiva de las minorías étnicas en la vida pública y política. Datos estadísticos, desglosados por sexo, sobre la presencia de las minorías étnicas en la administración pública y en carg</w:t>
      </w:r>
      <w:r w:rsidR="00BB32C5">
        <w:t>os políticos de responsabilidad</w:t>
      </w:r>
      <w:r w:rsidRPr="00490A9C">
        <w:t xml:space="preserve"> (CERD/C/ALB/CO/5-8, párr. 13; CERD/C/ALB/9-12, párrs. 54, 59 y 91 a 103).</w:t>
      </w:r>
    </w:p>
    <w:p w:rsidR="00490A9C" w:rsidRPr="00490A9C" w:rsidRDefault="00490A9C" w:rsidP="00490A9C">
      <w:pPr>
        <w:pStyle w:val="SingleTxtG"/>
      </w:pPr>
      <w:r w:rsidRPr="00490A9C">
        <w:t>15.</w:t>
      </w:r>
      <w:r w:rsidRPr="00490A9C">
        <w:tab/>
        <w:t>Información adicional y datos estadísticos sobre los resultados de las medidas adoptadas para proporcionar a los ro</w:t>
      </w:r>
      <w:r w:rsidR="00BB32C5">
        <w:t>maníes documentos de identidad</w:t>
      </w:r>
      <w:r w:rsidRPr="00490A9C">
        <w:t xml:space="preserve"> </w:t>
      </w:r>
      <w:r w:rsidRPr="00490A9C">
        <w:rPr>
          <w:lang w:val="en-US"/>
        </w:rPr>
        <w:t xml:space="preserve">(CERD/C/ALB/CO/5-8, párr. 14; CERD/C/ALB/9-12, </w:t>
      </w:r>
      <w:r w:rsidR="00BB32C5">
        <w:rPr>
          <w:lang w:val="en-US"/>
        </w:rPr>
        <w:t>párrs. 67 y 70; CERD/C/ALB/CO/5</w:t>
      </w:r>
      <w:r w:rsidR="00BB32C5">
        <w:rPr>
          <w:lang w:val="en-US"/>
        </w:rPr>
        <w:noBreakHyphen/>
      </w:r>
      <w:r w:rsidRPr="00490A9C">
        <w:rPr>
          <w:lang w:val="en-US"/>
        </w:rPr>
        <w:t xml:space="preserve">8/Add.1, párrs. </w:t>
      </w:r>
      <w:r w:rsidRPr="00490A9C">
        <w:t>11 a 27).</w:t>
      </w:r>
    </w:p>
    <w:p w:rsidR="00490A9C" w:rsidRPr="00490A9C" w:rsidRDefault="00490A9C" w:rsidP="00490A9C">
      <w:pPr>
        <w:pStyle w:val="SingleTxtG"/>
        <w:rPr>
          <w:lang w:val="en-GB"/>
        </w:rPr>
      </w:pPr>
      <w:r w:rsidRPr="00490A9C">
        <w:t>16.</w:t>
      </w:r>
      <w:r w:rsidRPr="00490A9C">
        <w:tab/>
        <w:t>Datos estadísticos sobre el origen étnico de las personas privadas de libertad. Medidas adoptadas para impedir el establecimiento de perfiles étnicos por los agentes del orden y para sensibilizar a estos acerca de las cuestiones relacionad</w:t>
      </w:r>
      <w:r w:rsidR="00BB32C5">
        <w:t>as con la discriminación racial</w:t>
      </w:r>
      <w:r w:rsidRPr="00490A9C">
        <w:t xml:space="preserve"> </w:t>
      </w:r>
      <w:r w:rsidRPr="00490A9C">
        <w:rPr>
          <w:lang w:val="en-US"/>
        </w:rPr>
        <w:t>(CERD/C/ALB/CO/5-8, párr. 15; CERD/C/ALB/9-12, párrs. 125 a 130).</w:t>
      </w:r>
    </w:p>
    <w:p w:rsidR="00490A9C" w:rsidRPr="00490A9C" w:rsidRDefault="00490A9C" w:rsidP="00490A9C">
      <w:pPr>
        <w:pStyle w:val="SingleTxtG"/>
      </w:pPr>
      <w:r w:rsidRPr="00490A9C">
        <w:t>17.</w:t>
      </w:r>
      <w:r w:rsidRPr="00490A9C">
        <w:tab/>
        <w:t>Medidas adoptadas para vigilar, prevenir y combatir las formas interrelacionadas de discriminación que sufren las mujeres pertenecientes a minorías étnicas (CERD/C/ALB/CO/5-8, párr</w:t>
      </w:r>
      <w:r>
        <w:t>. 18; CERD/C/ALB/9-12, párr. 84</w:t>
      </w:r>
      <w:r w:rsidRPr="00490A9C">
        <w:t>)</w:t>
      </w:r>
      <w:r>
        <w:t>.</w:t>
      </w:r>
    </w:p>
    <w:p w:rsidR="00490A9C" w:rsidRPr="00490A9C" w:rsidRDefault="00490A9C" w:rsidP="00490A9C">
      <w:pPr>
        <w:pStyle w:val="SingleTxtG"/>
        <w:rPr>
          <w:lang w:val="en-GB"/>
        </w:rPr>
      </w:pPr>
      <w:r w:rsidRPr="00490A9C">
        <w:t>18.</w:t>
      </w:r>
      <w:r w:rsidRPr="00490A9C">
        <w:tab/>
        <w:t>Resultado de las iniciativas emprendidas con otros Estados y organizaciones regionales para buscar soluciones a los problemas a que ha</w:t>
      </w:r>
      <w:r w:rsidR="00BB32C5">
        <w:t>cen frente las minorías étnicas</w:t>
      </w:r>
      <w:r w:rsidRPr="00490A9C">
        <w:t xml:space="preserve"> </w:t>
      </w:r>
      <w:r w:rsidRPr="00490A9C">
        <w:rPr>
          <w:lang w:val="en-US"/>
        </w:rPr>
        <w:t xml:space="preserve">(CERD/C/ALB/CO/5-8, párr. 20; CERD/C/ALB/9-12, párrs. 156 a 160). </w:t>
      </w:r>
    </w:p>
    <w:p w:rsidR="00490A9C" w:rsidRPr="00490A9C" w:rsidRDefault="00490A9C" w:rsidP="00490A9C">
      <w:pPr>
        <w:pStyle w:val="H23G"/>
      </w:pPr>
      <w:r w:rsidRPr="00490A9C">
        <w:rPr>
          <w:lang w:val="en-US"/>
        </w:rPr>
        <w:lastRenderedPageBreak/>
        <w:tab/>
      </w:r>
      <w:r w:rsidRPr="00490A9C">
        <w:rPr>
          <w:lang w:val="en-US"/>
        </w:rPr>
        <w:tab/>
      </w:r>
      <w:r w:rsidRPr="00490A9C">
        <w:t>Situación de los no ciudadanos, en particular los migrant</w:t>
      </w:r>
      <w:r>
        <w:t>es, los solicitantes de asilo y </w:t>
      </w:r>
      <w:r w:rsidRPr="00490A9C">
        <w:t>los refugiados (arts. 5 a 7)</w:t>
      </w:r>
    </w:p>
    <w:p w:rsidR="00490A9C" w:rsidRPr="00490A9C" w:rsidRDefault="00490A9C" w:rsidP="00490A9C">
      <w:pPr>
        <w:pStyle w:val="SingleTxtG"/>
      </w:pPr>
      <w:r w:rsidRPr="00490A9C">
        <w:t>19.</w:t>
      </w:r>
      <w:r w:rsidRPr="00490A9C">
        <w:tab/>
        <w:t>Nacionalidad/origen étnico de las víctimas de trata de personas. Enjuiciamientos y condenas por trata; reparación proporcionada a las víctimas. Metas y resultados de los planes de acción de lucha contra la trata de personas para los perío</w:t>
      </w:r>
      <w:r w:rsidR="00BB32C5">
        <w:t>dos 2014-2017 y 2018</w:t>
      </w:r>
      <w:r w:rsidR="00BB32C5">
        <w:noBreakHyphen/>
      </w:r>
      <w:r w:rsidR="00496609">
        <w:t>2020.</w:t>
      </w:r>
    </w:p>
    <w:p w:rsidR="00490A9C" w:rsidRPr="00490A9C" w:rsidRDefault="00490A9C" w:rsidP="00490A9C">
      <w:pPr>
        <w:pStyle w:val="SingleTxtG"/>
      </w:pPr>
      <w:r w:rsidRPr="00490A9C">
        <w:t>20.</w:t>
      </w:r>
      <w:r w:rsidRPr="00490A9C">
        <w:tab/>
        <w:t xml:space="preserve">Datos estadísticos, desglosados por nacionalidad del solicitante, sobre las solicitudes de asilo/no devolución presentadas y aceptadas. Disponibilidad de información, interpretación, asistencia letrada y humanitaria y recursos judiciales adecuados </w:t>
      </w:r>
      <w:r w:rsidR="00BB32C5">
        <w:t>para los solicitantes de asilo.</w:t>
      </w:r>
    </w:p>
    <w:p w:rsidR="00490A9C" w:rsidRPr="00490A9C" w:rsidRDefault="00490A9C" w:rsidP="00490A9C">
      <w:pPr>
        <w:pStyle w:val="SingleTxtG"/>
      </w:pPr>
      <w:r w:rsidRPr="00490A9C">
        <w:t>21.</w:t>
      </w:r>
      <w:r w:rsidRPr="00490A9C">
        <w:tab/>
        <w:t>Situación de los migrantes irregulares y los migrantes varados. Supervisión de la contratación de albaneses para trabajar en el extranjero; mecanismos de denuncia relacionados con el empleo.</w:t>
      </w:r>
    </w:p>
    <w:p w:rsidR="00490A9C" w:rsidRPr="00490A9C" w:rsidRDefault="00490A9C" w:rsidP="00490A9C">
      <w:pPr>
        <w:pStyle w:val="H23G"/>
      </w:pPr>
      <w:r w:rsidRPr="00490A9C">
        <w:tab/>
      </w:r>
      <w:r w:rsidRPr="00490A9C">
        <w:tab/>
        <w:t>Otros motivos de preocupación</w:t>
      </w:r>
    </w:p>
    <w:p w:rsidR="00490A9C" w:rsidRDefault="00490A9C" w:rsidP="00490A9C">
      <w:pPr>
        <w:pStyle w:val="SingleTxtG"/>
      </w:pPr>
      <w:r w:rsidRPr="00490A9C">
        <w:t>22.</w:t>
      </w:r>
      <w:r w:rsidRPr="00490A9C">
        <w:tab/>
        <w:t>Alcance y resultados de los programas de formación en lucha contra la discriminación racial dirigidos a policías, personal militar y de seguridad, jueces y fiscales; información sobre los programas de formación en derechos humanos puestos en marcha para promover el diálogo intercultural,</w:t>
      </w:r>
      <w:r w:rsidR="00BB32C5">
        <w:t xml:space="preserve"> la tolerancia y la comprensión</w:t>
      </w:r>
      <w:r w:rsidRPr="00490A9C">
        <w:t xml:space="preserve"> (CERD/C/ALB/9-12, párrs. 128 y 129).</w:t>
      </w:r>
    </w:p>
    <w:p w:rsidR="00490A9C" w:rsidRPr="00490A9C" w:rsidRDefault="00490A9C" w:rsidP="00490A9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0A9C" w:rsidRPr="00490A9C" w:rsidSect="00490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D18" w:rsidRPr="00D43FF0" w:rsidRDefault="00165D18" w:rsidP="00D43FF0">
      <w:pPr>
        <w:pStyle w:val="Piedepgina"/>
      </w:pPr>
    </w:p>
  </w:endnote>
  <w:endnote w:type="continuationSeparator" w:id="0">
    <w:p w:rsidR="00165D18" w:rsidRPr="00D43FF0" w:rsidRDefault="00165D18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A9C" w:rsidRPr="00490A9C" w:rsidRDefault="00490A9C" w:rsidP="00490A9C">
    <w:pPr>
      <w:pStyle w:val="Piedepgina"/>
      <w:tabs>
        <w:tab w:val="right" w:pos="9638"/>
      </w:tabs>
    </w:pPr>
    <w:r w:rsidRPr="00490A9C">
      <w:rPr>
        <w:b/>
        <w:sz w:val="18"/>
      </w:rPr>
      <w:fldChar w:fldCharType="begin"/>
    </w:r>
    <w:r w:rsidRPr="00490A9C">
      <w:rPr>
        <w:b/>
        <w:sz w:val="18"/>
      </w:rPr>
      <w:instrText xml:space="preserve"> PAGE  \* MERGEFORMAT </w:instrText>
    </w:r>
    <w:r w:rsidRPr="00490A9C">
      <w:rPr>
        <w:b/>
        <w:sz w:val="18"/>
      </w:rPr>
      <w:fldChar w:fldCharType="separate"/>
    </w:r>
    <w:r w:rsidR="00D3120D">
      <w:rPr>
        <w:b/>
        <w:noProof/>
        <w:sz w:val="18"/>
      </w:rPr>
      <w:t>2</w:t>
    </w:r>
    <w:r w:rsidRPr="00490A9C">
      <w:rPr>
        <w:b/>
        <w:sz w:val="18"/>
      </w:rPr>
      <w:fldChar w:fldCharType="end"/>
    </w:r>
    <w:r>
      <w:rPr>
        <w:b/>
        <w:sz w:val="18"/>
      </w:rPr>
      <w:tab/>
    </w:r>
    <w:r>
      <w:t>GE.18-15715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A9C" w:rsidRPr="00490A9C" w:rsidRDefault="00490A9C" w:rsidP="00490A9C">
    <w:pPr>
      <w:pStyle w:val="Piedepgina"/>
      <w:tabs>
        <w:tab w:val="right" w:pos="9638"/>
      </w:tabs>
      <w:rPr>
        <w:b/>
        <w:sz w:val="18"/>
      </w:rPr>
    </w:pPr>
    <w:r>
      <w:t>GE.18-15715</w:t>
    </w:r>
    <w:r>
      <w:tab/>
    </w:r>
    <w:r w:rsidRPr="00490A9C">
      <w:rPr>
        <w:b/>
        <w:sz w:val="18"/>
      </w:rPr>
      <w:fldChar w:fldCharType="begin"/>
    </w:r>
    <w:r w:rsidRPr="00490A9C">
      <w:rPr>
        <w:b/>
        <w:sz w:val="18"/>
      </w:rPr>
      <w:instrText xml:space="preserve"> PAGE  \* MERGEFORMAT </w:instrText>
    </w:r>
    <w:r w:rsidRPr="00490A9C">
      <w:rPr>
        <w:b/>
        <w:sz w:val="18"/>
      </w:rPr>
      <w:fldChar w:fldCharType="separate"/>
    </w:r>
    <w:r w:rsidR="00D3120D">
      <w:rPr>
        <w:b/>
        <w:noProof/>
        <w:sz w:val="18"/>
      </w:rPr>
      <w:t>3</w:t>
    </w:r>
    <w:r w:rsidRPr="00490A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490A9C" w:rsidRDefault="00490A9C" w:rsidP="00490A9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18-15715  (S)    231018    231018</w:t>
    </w:r>
    <w:r>
      <w:rPr>
        <w:sz w:val="20"/>
      </w:rPr>
      <w:br/>
    </w:r>
    <w:r w:rsidRPr="00490A9C">
      <w:rPr>
        <w:rFonts w:ascii="C39T30Lfz" w:hAnsi="C39T30Lfz"/>
        <w:sz w:val="56"/>
      </w:rPr>
      <w:t></w:t>
    </w:r>
    <w:r w:rsidRPr="00490A9C">
      <w:rPr>
        <w:rFonts w:ascii="C39T30Lfz" w:hAnsi="C39T30Lfz"/>
        <w:sz w:val="56"/>
      </w:rPr>
      <w:t></w:t>
    </w:r>
    <w:r w:rsidRPr="00490A9C">
      <w:rPr>
        <w:rFonts w:ascii="C39T30Lfz" w:hAnsi="C39T30Lfz"/>
        <w:sz w:val="56"/>
      </w:rPr>
      <w:t></w:t>
    </w:r>
    <w:r w:rsidRPr="00490A9C">
      <w:rPr>
        <w:rFonts w:ascii="C39T30Lfz" w:hAnsi="C39T30Lfz"/>
        <w:sz w:val="56"/>
      </w:rPr>
      <w:t></w:t>
    </w:r>
    <w:r w:rsidRPr="00490A9C">
      <w:rPr>
        <w:rFonts w:ascii="C39T30Lfz" w:hAnsi="C39T30Lfz"/>
        <w:sz w:val="56"/>
      </w:rPr>
      <w:t></w:t>
    </w:r>
    <w:r w:rsidRPr="00490A9C">
      <w:rPr>
        <w:rFonts w:ascii="C39T30Lfz" w:hAnsi="C39T30Lfz"/>
        <w:sz w:val="56"/>
      </w:rPr>
      <w:t></w:t>
    </w:r>
    <w:r w:rsidRPr="00490A9C">
      <w:rPr>
        <w:rFonts w:ascii="C39T30Lfz" w:hAnsi="C39T30Lfz"/>
        <w:sz w:val="56"/>
      </w:rPr>
      <w:t></w:t>
    </w:r>
    <w:r w:rsidRPr="00490A9C">
      <w:rPr>
        <w:rFonts w:ascii="C39T30Lfz" w:hAnsi="C39T30Lfz"/>
        <w:sz w:val="56"/>
      </w:rPr>
      <w:t></w:t>
    </w:r>
    <w:r w:rsidRPr="00490A9C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ALB/Q/9-1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LB/Q/9-1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D18" w:rsidRPr="001075E9" w:rsidRDefault="00165D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65D18" w:rsidRDefault="00165D1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A9C" w:rsidRPr="00490A9C" w:rsidRDefault="00490A9C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3120D">
      <w:t>CERD</w:t>
    </w:r>
    <w:proofErr w:type="spellEnd"/>
    <w:r w:rsidR="00D3120D">
      <w:t>/C/</w:t>
    </w:r>
    <w:proofErr w:type="spellStart"/>
    <w:r w:rsidR="00D3120D">
      <w:t>ALB</w:t>
    </w:r>
    <w:proofErr w:type="spellEnd"/>
    <w:r w:rsidR="00D3120D">
      <w:t>/Q/9-12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A9C" w:rsidRPr="00490A9C" w:rsidRDefault="00490A9C" w:rsidP="00490A9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D3120D">
      <w:t>CERD</w:t>
    </w:r>
    <w:proofErr w:type="spellEnd"/>
    <w:r w:rsidR="00D3120D">
      <w:t>/C/</w:t>
    </w:r>
    <w:proofErr w:type="spellStart"/>
    <w:r w:rsidR="00D3120D">
      <w:t>ALB</w:t>
    </w:r>
    <w:proofErr w:type="spellEnd"/>
    <w:r w:rsidR="00D3120D">
      <w:t>/Q/9-12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D18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5439E"/>
    <w:rsid w:val="00160FF7"/>
    <w:rsid w:val="00165D18"/>
    <w:rsid w:val="00180183"/>
    <w:rsid w:val="00196389"/>
    <w:rsid w:val="001C7A89"/>
    <w:rsid w:val="00201F1A"/>
    <w:rsid w:val="00213632"/>
    <w:rsid w:val="0022405E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90A9C"/>
    <w:rsid w:val="00496609"/>
    <w:rsid w:val="0050108D"/>
    <w:rsid w:val="0051740C"/>
    <w:rsid w:val="00572E19"/>
    <w:rsid w:val="00574706"/>
    <w:rsid w:val="005F0B42"/>
    <w:rsid w:val="00634841"/>
    <w:rsid w:val="00655A21"/>
    <w:rsid w:val="00664167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95D89"/>
    <w:rsid w:val="00AB4B51"/>
    <w:rsid w:val="00B066FC"/>
    <w:rsid w:val="00B10CC7"/>
    <w:rsid w:val="00B62458"/>
    <w:rsid w:val="00B778C8"/>
    <w:rsid w:val="00BA3587"/>
    <w:rsid w:val="00BB32C5"/>
    <w:rsid w:val="00BB36EA"/>
    <w:rsid w:val="00BD33EE"/>
    <w:rsid w:val="00C60F0C"/>
    <w:rsid w:val="00C63C2A"/>
    <w:rsid w:val="00C805C9"/>
    <w:rsid w:val="00C907F0"/>
    <w:rsid w:val="00C960D6"/>
    <w:rsid w:val="00CA1679"/>
    <w:rsid w:val="00CC15A3"/>
    <w:rsid w:val="00D05347"/>
    <w:rsid w:val="00D3120D"/>
    <w:rsid w:val="00D43FF0"/>
    <w:rsid w:val="00D90138"/>
    <w:rsid w:val="00DA26B8"/>
    <w:rsid w:val="00DD4E25"/>
    <w:rsid w:val="00E2656E"/>
    <w:rsid w:val="00E73F76"/>
    <w:rsid w:val="00EA31D8"/>
    <w:rsid w:val="00EA5579"/>
    <w:rsid w:val="00EC70F8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658C8AD-9BD3-48BB-81B8-91A83EBC9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1189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CERD/C/ALB/Q/9-12</dc:title>
  <dc:subject/>
  <dc:creator>Angel MORENO TORRES</dc:creator>
  <cp:keywords/>
  <cp:lastModifiedBy>Maria De La Plaza</cp:lastModifiedBy>
  <cp:revision>3</cp:revision>
  <cp:lastPrinted>2018-10-23T10:08:00Z</cp:lastPrinted>
  <dcterms:created xsi:type="dcterms:W3CDTF">2018-10-23T10:08:00Z</dcterms:created>
  <dcterms:modified xsi:type="dcterms:W3CDTF">2018-10-23T10:08:00Z</dcterms:modified>
</cp:coreProperties>
</file>