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after="320"/>
        <w:textAlignment w:val="center"/>
      </w:pPr>
      <w:r>
        <w:rPr>
          <w:rFonts w:hint="eastAsia"/>
        </w:rPr>
        <w:t>经济、社会、文化权利委员会</w:t>
      </w:r>
    </w:p>
    <w:p w:rsidR="00000000" w:rsidRDefault="00000000">
      <w:pPr>
        <w:spacing w:after="320"/>
        <w:textAlignment w:val="center"/>
      </w:pPr>
    </w:p>
    <w:p w:rsidR="00000000" w:rsidRDefault="00000000">
      <w:pPr>
        <w:pStyle w:val="Heading2"/>
        <w:spacing w:line="336" w:lineRule="auto"/>
      </w:pPr>
      <w:r>
        <w:rPr>
          <w:rFonts w:hint="eastAsia"/>
        </w:rPr>
        <w:t>审议缔约国根据《盟约》第</w:t>
      </w:r>
      <w:r>
        <w:t>16</w:t>
      </w:r>
      <w:r>
        <w:rPr>
          <w:rFonts w:hint="eastAsia"/>
        </w:rPr>
        <w:t>和</w:t>
      </w:r>
      <w:r>
        <w:t>17</w:t>
      </w:r>
      <w:r>
        <w:rPr>
          <w:rFonts w:hint="eastAsia"/>
        </w:rPr>
        <w:t>条提交的报告</w:t>
      </w:r>
    </w:p>
    <w:p w:rsidR="00000000" w:rsidRDefault="00000000">
      <w:pPr>
        <w:pStyle w:val="Heading3"/>
      </w:pPr>
      <w:r>
        <w:rPr>
          <w:rFonts w:hint="eastAsia"/>
        </w:rPr>
        <w:t>经济、社会、文化权利委员会的结论性意见</w:t>
      </w:r>
    </w:p>
    <w:p w:rsidR="00000000" w:rsidRDefault="00000000">
      <w:pPr>
        <w:pStyle w:val="Heading2"/>
        <w:spacing w:line="336" w:lineRule="auto"/>
      </w:pPr>
      <w:r>
        <w:rPr>
          <w:rFonts w:hint="eastAsia"/>
        </w:rPr>
        <w:t>丹</w:t>
      </w:r>
      <w:r>
        <w:t xml:space="preserve">  </w:t>
      </w:r>
      <w:r>
        <w:rPr>
          <w:rFonts w:hint="eastAsia"/>
        </w:rPr>
        <w:t>麦</w:t>
      </w:r>
    </w:p>
    <w:p w:rsidR="00000000" w:rsidRDefault="00000000">
      <w:pPr>
        <w:spacing w:after="320"/>
        <w:textAlignment w:val="center"/>
      </w:pPr>
      <w:r>
        <w:tab/>
        <w:t xml:space="preserve">1.  </w:t>
      </w:r>
      <w:r>
        <w:rPr>
          <w:rFonts w:hint="eastAsia"/>
        </w:rPr>
        <w:t>委员会在</w:t>
      </w:r>
      <w:r>
        <w:t>1999</w:t>
      </w:r>
      <w:r>
        <w:rPr>
          <w:rFonts w:hint="eastAsia"/>
        </w:rPr>
        <w:t>年</w:t>
      </w:r>
      <w:r>
        <w:t>5</w:t>
      </w:r>
      <w:r>
        <w:rPr>
          <w:rFonts w:hint="eastAsia"/>
        </w:rPr>
        <w:t>月</w:t>
      </w:r>
      <w:r>
        <w:t>3</w:t>
      </w:r>
      <w:r>
        <w:rPr>
          <w:rFonts w:hint="eastAsia"/>
        </w:rPr>
        <w:t>日至</w:t>
      </w:r>
      <w:r>
        <w:t>4</w:t>
      </w:r>
      <w:r>
        <w:rPr>
          <w:rFonts w:hint="eastAsia"/>
        </w:rPr>
        <w:t>日举行的第</w:t>
      </w:r>
      <w:r>
        <w:t>11</w:t>
      </w:r>
      <w:r>
        <w:rPr>
          <w:rFonts w:hint="eastAsia"/>
        </w:rPr>
        <w:t>、</w:t>
      </w:r>
      <w:r>
        <w:t>12</w:t>
      </w:r>
      <w:r>
        <w:rPr>
          <w:rFonts w:hint="eastAsia"/>
        </w:rPr>
        <w:t>和</w:t>
      </w:r>
      <w:r>
        <w:t>13</w:t>
      </w:r>
      <w:r>
        <w:rPr>
          <w:rFonts w:hint="eastAsia"/>
        </w:rPr>
        <w:t>次会议上审议了丹麦关于《盟约》第</w:t>
      </w:r>
      <w:r>
        <w:t>1</w:t>
      </w:r>
      <w:r>
        <w:rPr>
          <w:rFonts w:hint="eastAsia"/>
        </w:rPr>
        <w:t>至</w:t>
      </w:r>
      <w:r>
        <w:t>15</w:t>
      </w:r>
      <w:r>
        <w:rPr>
          <w:rFonts w:hint="eastAsia"/>
        </w:rPr>
        <w:t>条所涉权利的第三次定期报告</w:t>
      </w:r>
      <w:r>
        <w:t>(E/1994/104/Add.15)</w:t>
      </w:r>
      <w:r>
        <w:rPr>
          <w:rFonts w:hint="eastAsia"/>
        </w:rPr>
        <w:t>，在</w:t>
      </w:r>
      <w:r>
        <w:t>1999</w:t>
      </w:r>
      <w:r>
        <w:rPr>
          <w:rFonts w:hint="eastAsia"/>
        </w:rPr>
        <w:t>年</w:t>
      </w:r>
      <w:r>
        <w:t>5</w:t>
      </w:r>
      <w:r>
        <w:rPr>
          <w:rFonts w:hint="eastAsia"/>
        </w:rPr>
        <w:t>月</w:t>
      </w:r>
      <w:r>
        <w:t>12</w:t>
      </w:r>
      <w:r>
        <w:rPr>
          <w:rFonts w:hint="eastAsia"/>
        </w:rPr>
        <w:t>日举行的</w:t>
      </w:r>
      <w:r>
        <w:t>(</w:t>
      </w:r>
      <w:r>
        <w:rPr>
          <w:rFonts w:hint="eastAsia"/>
        </w:rPr>
        <w:t>第</w:t>
      </w:r>
      <w:r>
        <w:t>20</w:t>
      </w:r>
      <w:r>
        <w:rPr>
          <w:rFonts w:hint="eastAsia"/>
        </w:rPr>
        <w:t>届会议</w:t>
      </w:r>
      <w:r>
        <w:t>)</w:t>
      </w:r>
      <w:r>
        <w:rPr>
          <w:rFonts w:hint="eastAsia"/>
        </w:rPr>
        <w:t>第</w:t>
      </w:r>
      <w:r>
        <w:t>26</w:t>
      </w:r>
      <w:r>
        <w:rPr>
          <w:rFonts w:hint="eastAsia"/>
        </w:rPr>
        <w:t>次会议上通过了下述结论性意见。</w:t>
      </w:r>
    </w:p>
    <w:p w:rsidR="00000000" w:rsidRDefault="00000000">
      <w:pPr>
        <w:pStyle w:val="Heading3"/>
      </w:pPr>
      <w:r>
        <w:rPr>
          <w:u w:val="none"/>
        </w:rPr>
        <w:t xml:space="preserve">A.  </w:t>
      </w:r>
      <w:r>
        <w:rPr>
          <w:rFonts w:hint="eastAsia"/>
        </w:rPr>
        <w:t>导</w:t>
      </w:r>
      <w:r>
        <w:t xml:space="preserve">  </w:t>
      </w:r>
      <w:r>
        <w:rPr>
          <w:rFonts w:hint="eastAsia"/>
        </w:rPr>
        <w:t>言</w:t>
      </w:r>
    </w:p>
    <w:p w:rsidR="00000000" w:rsidRDefault="00000000">
      <w:r>
        <w:tab/>
        <w:t xml:space="preserve">2.  </w:t>
      </w:r>
      <w:r>
        <w:rPr>
          <w:rFonts w:hint="eastAsia"/>
        </w:rPr>
        <w:t>委员会对该缔约国按照委员会关于内容和形式的指导原则提交报告以及对其问题单作出全面书面答复表示赞赏。委员会指出，该缔约国在报告中以及该国代表团在审议报告时对书面和口头问题的答复所提供的情况使委员会得以全面了解丹麦对《经济、社会、文化权利国际盟约》所规定义务的履行情况。委员会还注意到丹麦政府在一个核心文件</w:t>
      </w:r>
      <w:r>
        <w:t>(HRI/CORE/1/Add.58)</w:t>
      </w:r>
      <w:r>
        <w:rPr>
          <w:rFonts w:hint="eastAsia"/>
        </w:rPr>
        <w:t>中提供的情况以及在审议其第三次定期报告时应委员会的请求提供的补充情况。</w:t>
      </w:r>
    </w:p>
    <w:p w:rsidR="00000000" w:rsidRDefault="00000000">
      <w:pPr>
        <w:spacing w:after="320"/>
        <w:textAlignment w:val="center"/>
      </w:pPr>
      <w:r>
        <w:tab/>
        <w:t xml:space="preserve">3.  </w:t>
      </w:r>
      <w:r>
        <w:rPr>
          <w:rFonts w:hint="eastAsia"/>
        </w:rPr>
        <w:t>委员会认为，在丹麦政府和委员会之间建立的对话关系令人非常满意。它还对丹麦代表团中有一位格陵兰政府官员参加表示满意。</w:t>
      </w:r>
    </w:p>
    <w:p w:rsidR="00000000" w:rsidRDefault="00000000">
      <w:pPr>
        <w:pStyle w:val="Heading3"/>
      </w:pPr>
      <w:r>
        <w:rPr>
          <w:u w:val="none"/>
        </w:rPr>
        <w:t xml:space="preserve">B.  </w:t>
      </w:r>
      <w:r>
        <w:rPr>
          <w:rFonts w:hint="eastAsia"/>
        </w:rPr>
        <w:t>妨碍履行《盟约》的因素和困难</w:t>
      </w:r>
    </w:p>
    <w:p w:rsidR="00000000" w:rsidRDefault="00000000">
      <w:pPr>
        <w:spacing w:after="320"/>
        <w:textAlignment w:val="center"/>
      </w:pPr>
      <w:r>
        <w:tab/>
        <w:t xml:space="preserve">4.  </w:t>
      </w:r>
      <w:r>
        <w:rPr>
          <w:rFonts w:hint="eastAsia"/>
        </w:rPr>
        <w:t>委员会注意到，丹麦没有妨碍有效履行《盟约》的任何不可克服的因素或困难。</w:t>
      </w:r>
    </w:p>
    <w:p w:rsidR="00000000" w:rsidRDefault="00000000">
      <w:pPr>
        <w:pStyle w:val="Heading3"/>
      </w:pPr>
      <w:r>
        <w:rPr>
          <w:u w:val="none"/>
        </w:rPr>
        <w:t xml:space="preserve">C.  </w:t>
      </w:r>
      <w:r>
        <w:rPr>
          <w:rFonts w:hint="eastAsia"/>
        </w:rPr>
        <w:t>积极方面</w:t>
      </w:r>
    </w:p>
    <w:p w:rsidR="00000000" w:rsidRDefault="00000000">
      <w:r>
        <w:tab/>
        <w:t xml:space="preserve">5.  </w:t>
      </w:r>
      <w:r>
        <w:rPr>
          <w:rFonts w:hint="eastAsia"/>
        </w:rPr>
        <w:t>委员会注意到，丹麦在履行保护《盟约》所规定权利的义务方面所取得的显著成就。委员会满意地注意到，丹麦政府十分注意按照根据《盟约》第</w:t>
      </w:r>
      <w:r>
        <w:t>2</w:t>
      </w:r>
      <w:r>
        <w:rPr>
          <w:rFonts w:hint="eastAsia"/>
        </w:rPr>
        <w:t>条所承担义务开展促进和保护经济、社会、文化权利的活动。委员会称赞该缔约国尊重人权的长久传统。</w:t>
      </w:r>
    </w:p>
    <w:p w:rsidR="00000000" w:rsidRDefault="00000000">
      <w:r>
        <w:tab/>
        <w:t xml:space="preserve">6.  </w:t>
      </w:r>
      <w:r>
        <w:rPr>
          <w:rFonts w:hint="eastAsia"/>
        </w:rPr>
        <w:t>委员会注意到，格陵兰人民享受高度自治，一个拥有广泛下放权力，特别是教育、卫生、税务、贸易、渔业和狩猎等方面的权力的民选议会的存在表明了这一点。委员会满意地注意到，格陵兰社区文化受到充分尊重，特别是以土著语言为官方语言，可用之与政府机关交涉，也可在法庭上使用。</w:t>
      </w:r>
    </w:p>
    <w:p w:rsidR="00000000" w:rsidRDefault="00000000">
      <w:r>
        <w:tab/>
        <w:t xml:space="preserve">7.  </w:t>
      </w:r>
      <w:r>
        <w:rPr>
          <w:rFonts w:hint="eastAsia"/>
        </w:rPr>
        <w:t>委员会表示赞赏在社会保险、保健、教育和照顾老年人方面提供的高水平服务。</w:t>
      </w:r>
    </w:p>
    <w:p w:rsidR="00000000" w:rsidRDefault="00000000">
      <w:r>
        <w:tab/>
        <w:t xml:space="preserve">8.  </w:t>
      </w:r>
      <w:r>
        <w:rPr>
          <w:rFonts w:hint="eastAsia"/>
        </w:rPr>
        <w:t>委员会对为促进男女平等所采取措施，特别是《平等报酬法》</w:t>
      </w:r>
      <w:r>
        <w:t>(1992</w:t>
      </w:r>
      <w:r>
        <w:rPr>
          <w:rFonts w:hint="eastAsia"/>
        </w:rPr>
        <w:t>年</w:t>
      </w:r>
      <w:r>
        <w:t>7</w:t>
      </w:r>
      <w:r>
        <w:rPr>
          <w:rFonts w:hint="eastAsia"/>
        </w:rPr>
        <w:t>月第</w:t>
      </w:r>
      <w:r>
        <w:t>639</w:t>
      </w:r>
      <w:r>
        <w:rPr>
          <w:rFonts w:hint="eastAsia"/>
        </w:rPr>
        <w:t>号法案</w:t>
      </w:r>
      <w:r>
        <w:t>)</w:t>
      </w:r>
      <w:r>
        <w:rPr>
          <w:rFonts w:hint="eastAsia"/>
        </w:rPr>
        <w:t>的颁布表示满意。</w:t>
      </w:r>
    </w:p>
    <w:p w:rsidR="00000000" w:rsidRDefault="00000000">
      <w:r>
        <w:tab/>
        <w:t xml:space="preserve">9.  </w:t>
      </w:r>
      <w:r>
        <w:rPr>
          <w:rFonts w:hint="eastAsia"/>
        </w:rPr>
        <w:t>委员会对该缔约国为减少失业采取的一些政策和计划表示满意。</w:t>
      </w:r>
    </w:p>
    <w:p w:rsidR="00000000" w:rsidRDefault="00000000">
      <w:r>
        <w:tab/>
        <w:t xml:space="preserve">10.  </w:t>
      </w:r>
      <w:r>
        <w:rPr>
          <w:rFonts w:hint="eastAsia"/>
        </w:rPr>
        <w:t>委员会注意到向难民提供的政府援助福利，其中有《外国移民法》规定的福利，这包括提供临时住房和其他安置方面的福利。委员会还注意到该缔约国为使外国工人与与其亲属团聚所作的努力。</w:t>
      </w:r>
    </w:p>
    <w:p w:rsidR="00000000" w:rsidRDefault="00000000">
      <w:r>
        <w:tab/>
        <w:t xml:space="preserve">11.  </w:t>
      </w:r>
      <w:r>
        <w:rPr>
          <w:rFonts w:hint="eastAsia"/>
        </w:rPr>
        <w:t>委员会赞扬该缔约国经常参加多边发展合作方案，并设立一些双边方案，并拿出国内生产总值的</w:t>
      </w:r>
      <w:r>
        <w:t>1%</w:t>
      </w:r>
      <w:r>
        <w:rPr>
          <w:rFonts w:hint="eastAsia"/>
        </w:rPr>
        <w:t>支助这些活动，从而为在其他国家实现经济、社会、文化权利作出了贡献。</w:t>
      </w:r>
    </w:p>
    <w:p w:rsidR="00000000" w:rsidRDefault="00000000">
      <w:r>
        <w:tab/>
        <w:t xml:space="preserve">12.  </w:t>
      </w:r>
      <w:r>
        <w:rPr>
          <w:rFonts w:hint="eastAsia"/>
        </w:rPr>
        <w:t>在促进人权方面，委员会称赞丹麦人权中心的活动，如公务员培训班、讨论会、大学培训班、出版书籍和期刊，向广大公众提供咨询和信息材料。</w:t>
      </w:r>
    </w:p>
    <w:p w:rsidR="00000000" w:rsidRDefault="00000000">
      <w:pPr>
        <w:spacing w:after="320"/>
        <w:textAlignment w:val="center"/>
      </w:pPr>
      <w:r>
        <w:tab/>
        <w:t xml:space="preserve">13.  </w:t>
      </w:r>
      <w:r>
        <w:rPr>
          <w:rFonts w:hint="eastAsia"/>
        </w:rPr>
        <w:t>委员会满意地注意到，该缔约国成立了一个委员会以研究将《盟约》纳入国内法的可能性。</w:t>
      </w:r>
    </w:p>
    <w:p w:rsidR="00000000" w:rsidRDefault="00000000">
      <w:pPr>
        <w:pStyle w:val="Heading3"/>
      </w:pPr>
      <w:r>
        <w:rPr>
          <w:u w:val="none"/>
        </w:rPr>
        <w:t xml:space="preserve">D.  </w:t>
      </w:r>
      <w:r>
        <w:rPr>
          <w:rFonts w:hint="eastAsia"/>
        </w:rPr>
        <w:t>关注的主要问题</w:t>
      </w:r>
    </w:p>
    <w:p w:rsidR="00000000" w:rsidRDefault="00000000">
      <w:r>
        <w:tab/>
        <w:t xml:space="preserve">14.  </w:t>
      </w:r>
      <w:r>
        <w:rPr>
          <w:rFonts w:hint="eastAsia"/>
        </w:rPr>
        <w:t>委员会对《盟约》尚未被纳入国内法表示遗憾。委员会注意到，虽然在法院中可直接援引或由法院援引《盟约》的条款，但至今还没有案例法。在这方面，委员会表示关切的是，律师和法官可能并不充分了解可以在法院中援引的《盟约》中所规定的权利。</w:t>
      </w:r>
    </w:p>
    <w:p w:rsidR="00000000" w:rsidRDefault="00000000">
      <w:r>
        <w:tab/>
        <w:t xml:space="preserve">15.  </w:t>
      </w:r>
      <w:r>
        <w:rPr>
          <w:rFonts w:hint="eastAsia"/>
        </w:rPr>
        <w:t>委员会对提供的一种情况感到担忧，这一情况突出表明在该缔约国正在出现一种对少数群体和外国人表示不容忍和施加暴力的趋势。</w:t>
      </w:r>
    </w:p>
    <w:p w:rsidR="00000000" w:rsidRDefault="00000000">
      <w:r>
        <w:tab/>
        <w:t xml:space="preserve">16.  </w:t>
      </w:r>
      <w:r>
        <w:rPr>
          <w:rFonts w:hint="eastAsia"/>
        </w:rPr>
        <w:t>委员会还感到关切的是，新的《外国移民法》可能对难民有歧视性影响。</w:t>
      </w:r>
    </w:p>
    <w:p w:rsidR="00000000" w:rsidRDefault="00000000">
      <w:r>
        <w:tab/>
        <w:t xml:space="preserve">17.  </w:t>
      </w:r>
      <w:r>
        <w:rPr>
          <w:rFonts w:hint="eastAsia"/>
        </w:rPr>
        <w:t>委员会还感到关切的是，虽然法律规定男女平等，但实际上没有充分实现，特别是在报酬平等方面，而且，总的来说，妇女在向更高专业职位晋升方面遇到的障碍比男子多。</w:t>
      </w:r>
    </w:p>
    <w:p w:rsidR="00000000" w:rsidRDefault="00000000">
      <w:r>
        <w:tab/>
        <w:t xml:space="preserve">18.  </w:t>
      </w:r>
      <w:r>
        <w:rPr>
          <w:rFonts w:hint="eastAsia"/>
        </w:rPr>
        <w:t>虽然满意地注意到失业人口最近有所减少，但委员会仍然感到关切的是，失业水平仍然很高，特别是在年轻人、外国国民、移民和难民当中。</w:t>
      </w:r>
    </w:p>
    <w:p w:rsidR="00000000" w:rsidRDefault="00000000">
      <w:r>
        <w:tab/>
        <w:t xml:space="preserve">19.  </w:t>
      </w:r>
      <w:r>
        <w:rPr>
          <w:rFonts w:hint="eastAsia"/>
        </w:rPr>
        <w:t>委员会关注这几年辍学率有所上升，这特别影响到经济上处于不利地位群体和少数群体的儿童。</w:t>
      </w:r>
    </w:p>
    <w:p w:rsidR="00000000" w:rsidRDefault="00000000">
      <w:r>
        <w:tab/>
        <w:t xml:space="preserve">20.  </w:t>
      </w:r>
      <w:r>
        <w:rPr>
          <w:rFonts w:hint="eastAsia"/>
        </w:rPr>
        <w:t>委员会关切地得知，该缔约国年轻人自杀率较高。</w:t>
      </w:r>
    </w:p>
    <w:p w:rsidR="00000000" w:rsidRDefault="00000000">
      <w:pPr>
        <w:spacing w:after="320"/>
        <w:textAlignment w:val="center"/>
      </w:pPr>
      <w:r>
        <w:tab/>
        <w:t xml:space="preserve">21.  </w:t>
      </w:r>
      <w:r>
        <w:rPr>
          <w:rFonts w:hint="eastAsia"/>
        </w:rPr>
        <w:t>委员会关切地注意到，对公立学校教师罢工权利有所限制，而公立学校不应被认为是一个关键部门。</w:t>
      </w:r>
    </w:p>
    <w:p w:rsidR="00000000" w:rsidRDefault="00000000">
      <w:pPr>
        <w:pStyle w:val="Heading3"/>
      </w:pPr>
      <w:r>
        <w:rPr>
          <w:u w:val="none"/>
        </w:rPr>
        <w:t xml:space="preserve">E.  </w:t>
      </w:r>
      <w:r>
        <w:rPr>
          <w:rFonts w:hint="eastAsia"/>
        </w:rPr>
        <w:t>建</w:t>
      </w:r>
      <w:r>
        <w:t xml:space="preserve">  </w:t>
      </w:r>
      <w:r>
        <w:rPr>
          <w:rFonts w:hint="eastAsia"/>
        </w:rPr>
        <w:t>议</w:t>
      </w:r>
    </w:p>
    <w:p w:rsidR="00000000" w:rsidRDefault="00000000">
      <w:r>
        <w:tab/>
        <w:t xml:space="preserve">22.  </w:t>
      </w:r>
      <w:r>
        <w:rPr>
          <w:rFonts w:hint="eastAsia"/>
        </w:rPr>
        <w:t>委员会促请该缔约国采取适当步骤以充分实现《盟约》的法律作用，从而将其中规定的权利充分纳入法律制度。</w:t>
      </w:r>
    </w:p>
    <w:p w:rsidR="00000000" w:rsidRDefault="00000000">
      <w:r>
        <w:tab/>
        <w:t xml:space="preserve">23.  </w:t>
      </w:r>
      <w:r>
        <w:rPr>
          <w:rFonts w:hint="eastAsia"/>
        </w:rPr>
        <w:t>关于正在出现的对少数群体和外国人施加暴力的趋势，委员会建议该缔约国密切注视这一情况，有效制止这种暴力行为。</w:t>
      </w:r>
    </w:p>
    <w:p w:rsidR="00000000" w:rsidRDefault="00000000">
      <w:r>
        <w:tab/>
        <w:t xml:space="preserve">24.  </w:t>
      </w:r>
      <w:r>
        <w:rPr>
          <w:rFonts w:hint="eastAsia"/>
        </w:rPr>
        <w:t>委员会还建议该缔约国认真注意新《外国移民法》的影响，促请它在这项立法证明对难民有歧视作用的情况下采取紧急行动予以补救。</w:t>
      </w:r>
    </w:p>
    <w:p w:rsidR="00000000" w:rsidRDefault="00000000">
      <w:r>
        <w:tab/>
        <w:t xml:space="preserve">25.  </w:t>
      </w:r>
      <w:r>
        <w:rPr>
          <w:rFonts w:hint="eastAsia"/>
        </w:rPr>
        <w:t>委员会鼓励该缔约国继续努力消除在同工同酬方面仍然存在的男女不平等现象。</w:t>
      </w:r>
    </w:p>
    <w:p w:rsidR="00000000" w:rsidRDefault="00000000">
      <w:r>
        <w:tab/>
        <w:t xml:space="preserve">26.  </w:t>
      </w:r>
      <w:r>
        <w:rPr>
          <w:rFonts w:hint="eastAsia"/>
        </w:rPr>
        <w:t>委员会促请该缔约国采取一切补救措施，以降低年轻人、外国人、移民和难民的失业水平。</w:t>
      </w:r>
    </w:p>
    <w:p w:rsidR="00000000" w:rsidRDefault="00000000">
      <w:r>
        <w:tab/>
        <w:t xml:space="preserve">27.  </w:t>
      </w:r>
      <w:r>
        <w:rPr>
          <w:rFonts w:hint="eastAsia"/>
        </w:rPr>
        <w:t>委员会还提请该缔约国注意正在出现的主要影响处于不利地位社会群体儿童，如经济困难儿童或少数群体儿童的辍学问题。在这方面，委员会建议采取具体措施以确保这些儿童按其学习能力完成学业。</w:t>
      </w:r>
    </w:p>
    <w:p w:rsidR="00000000" w:rsidRDefault="00000000">
      <w:r>
        <w:tab/>
        <w:t xml:space="preserve">28.  </w:t>
      </w:r>
      <w:r>
        <w:rPr>
          <w:rFonts w:hint="eastAsia"/>
        </w:rPr>
        <w:t>委员会鼓励丹麦政府继续努力解决年轻人自杀问题，建议收集统计资料，对这一问题的程度、原因和后果进行全面和有针对性的研究。委员会特别提请当局注意发现措施和预防政策的重要性，鼓励继续开展对这一现象的预防运动。</w:t>
      </w:r>
    </w:p>
    <w:p w:rsidR="00000000" w:rsidRDefault="00000000">
      <w:r>
        <w:tab/>
        <w:t xml:space="preserve">29.  </w:t>
      </w:r>
      <w:r>
        <w:rPr>
          <w:rFonts w:hint="eastAsia"/>
        </w:rPr>
        <w:t>委员会建议该缔约国采取必要措施，以确保公立学校教师罢工的权利，因为这一部门不是关键服务部门。</w:t>
      </w:r>
    </w:p>
    <w:p w:rsidR="00000000" w:rsidRDefault="00000000">
      <w:r>
        <w:tab/>
        <w:t xml:space="preserve">30.  </w:t>
      </w:r>
      <w:r>
        <w:rPr>
          <w:rFonts w:hint="eastAsia"/>
        </w:rPr>
        <w:t>委员会强调，应当采取进一步措施以确保对《盟约》规定的进一步广泛宣传，特别是在法律专业人员和司法人员当中。</w:t>
      </w:r>
    </w:p>
    <w:p w:rsidR="00000000" w:rsidRDefault="00000000">
      <w:r>
        <w:tab/>
        <w:t xml:space="preserve">31.  </w:t>
      </w:r>
      <w:r>
        <w:rPr>
          <w:rFonts w:hint="eastAsia"/>
        </w:rPr>
        <w:t>委员会建议缔约国在其第四次定期报告中对在本结论性意见中表示的关切，以及在讨论第三次定期报告时所提出但仍未得到答复的问题，特别是向法鲁斯群岛下放权力的问题作出答复。</w:t>
      </w:r>
    </w:p>
    <w:p w:rsidR="00000000" w:rsidRDefault="00000000">
      <w:r>
        <w:tab/>
        <w:t xml:space="preserve">32.  </w:t>
      </w:r>
      <w:r>
        <w:rPr>
          <w:rFonts w:hint="eastAsia"/>
        </w:rPr>
        <w:t>委员会希望收到该缔约国政府和其他国家当局对本结论性意见的反应。</w:t>
      </w:r>
    </w:p>
    <w:p w:rsidR="00000000" w:rsidRDefault="00000000">
      <w:r>
        <w:tab/>
        <w:t xml:space="preserve">33.  </w:t>
      </w:r>
      <w:r>
        <w:rPr>
          <w:rFonts w:hint="eastAsia"/>
        </w:rPr>
        <w:t>委员会请该缔约国向社会各阶层广泛散发本结论性意见，并让委员会了解为执行这些意见所采取的一切步骤。</w:t>
      </w:r>
    </w:p>
    <w:p w:rsidR="00000000" w:rsidRDefault="00000000">
      <w:pPr>
        <w:spacing w:after="320"/>
        <w:textAlignment w:val="center"/>
      </w:pPr>
    </w:p>
    <w:p w:rsidR="00000000" w:rsidRDefault="00000000">
      <w:pPr>
        <w:jc w:val="center"/>
      </w:pPr>
      <w:r>
        <w:t>--  --  --  --  --</w:t>
      </w:r>
    </w:p>
    <w:sectPr w:rsidR="00000000">
      <w:headerReference w:type="even" r:id="rId6"/>
      <w:headerReference w:type="default" r:id="rId7"/>
      <w:headerReference w:type="first" r:id="rId8"/>
      <w:footerReference w:type="first" r:id="rId9"/>
      <w:endnotePr>
        <w:numFmt w:val="decimal"/>
      </w:endnotePr>
      <w:pgSz w:w="11907" w:h="16840" w:code="9"/>
      <w:pgMar w:top="1985" w:right="851" w:bottom="1985" w:left="1701" w:header="794" w:footer="1588" w:gutter="0"/>
      <w:cols w:space="425"/>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keepNext/>
        <w:spacing w:before="320" w:after="240"/>
        <w:jc w:val="center"/>
      </w:pPr>
      <w:r>
        <w:rPr>
          <w:rFonts w:hint="eastAsia"/>
          <w:u w:val="single"/>
        </w:rPr>
        <w:t>注</w:t>
      </w:r>
    </w:p>
  </w:endnote>
  <w:endnote w:type="continuationSeparator" w:id="0">
    <w:p w:rsidR="00000000" w:rsidRDefault="00000000">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Courier">
    <w:panose1 w:val="02070409020205020404"/>
    <w:charset w:val="00"/>
    <w:family w:val="modern"/>
    <w:notTrueType/>
    <w:pitch w:val="fixed"/>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长城仿宋">
    <w:charset w:val="86"/>
    <w:family w:val="modern"/>
    <w:pitch w:val="fixed"/>
    <w:sig w:usb0="00000001" w:usb1="080E0000" w:usb2="00000010" w:usb3="00000000" w:csb0="00040000" w:csb1="00000000"/>
  </w:font>
  <w:font w:name="长城楷体">
    <w:charset w:val="86"/>
    <w:family w:val="modern"/>
    <w:pitch w:val="fixed"/>
    <w:sig w:usb0="00000001" w:usb1="080E0000" w:usb2="00000010" w:usb3="00000000" w:csb0="00040000" w:csb1="00000000"/>
  </w:font>
  <w:font w:name="Univers Bold">
    <w:altName w:val="Arial Rounded MT Bold"/>
    <w:panose1 w:val="00000000000000000000"/>
    <w:charset w:val="00"/>
    <w:family w:val="swiss"/>
    <w:notTrueType/>
    <w:pitch w:val="default"/>
    <w:sig w:usb0="00000003" w:usb1="00000000" w:usb2="00000000" w:usb3="00000000" w:csb0="00000001" w:csb1="00000000"/>
  </w:font>
  <w:font w:name="Univers (WN)">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rPr>
        <w:rFonts w:ascii="Courier" w:hAnsi="Courier"/>
      </w:rPr>
    </w:pPr>
    <w:r>
      <w:rPr>
        <w:rFonts w:ascii="Courier" w:hAnsi="Courier"/>
      </w:rPr>
      <w:t>GE. 99-41993 (C)</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1R2"/>
      <w:framePr w:w="0" w:hRule="auto" w:hSpace="0" w:wrap="auto" w:vAnchor="margin" w:hAnchor="text" w:xAlign="left" w:yAlign="inline"/>
    </w:pPr>
    <w:r>
      <w:t>E/C.12/1/Add.34</w:t>
    </w:r>
  </w:p>
  <w:p w:rsidR="00000000" w:rsidRDefault="00000000">
    <w:pPr>
      <w:pStyle w:val="Heade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1R2"/>
      <w:framePr w:w="0" w:hRule="auto" w:hSpace="0" w:wrap="auto" w:vAnchor="margin" w:hAnchor="text" w:xAlign="left" w:yAlign="inline"/>
    </w:pPr>
    <w:r>
      <w:tab/>
    </w:r>
    <w:r>
      <w:tab/>
    </w:r>
    <w:r>
      <w:tab/>
      <w:t>E/C.12/1/Add.34</w:t>
    </w:r>
  </w:p>
  <w:p w:rsidR="00000000" w:rsidRDefault="00000000">
    <w:pPr>
      <w:pStyle w:val="Header"/>
    </w:pPr>
    <w:r>
      <w:tab/>
    </w:r>
    <w:r>
      <w:tab/>
    </w:r>
    <w: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a"/>
    </w:pPr>
    <w:r>
      <w:rPr>
        <w:noProof/>
      </w:rPr>
      <w:pict>
        <v:rect id="_x0000_s1025" style="position:absolute;left:0;text-align:left;margin-left:541.05pt;margin-top:59.05pt;width:30.05pt;height:36pt;z-index:-5;mso-position-horizontal-relative:page;mso-position-vertical-relative:page" o:allowincell="f" filled="f" stroked="f" strokeweight="0">
          <v:textbox inset="0,0,0,0">
            <w:txbxContent>
              <w:p w:rsidR="00000000" w:rsidRDefault="00000000">
                <w:pPr>
                  <w:pStyle w:val="1R1"/>
                  <w:rPr>
                    <w:rFonts w:ascii="Univers Bold" w:hAnsi="Univers Bold"/>
                  </w:rPr>
                </w:pPr>
                <w:r>
                  <w:t>E</w:t>
                </w:r>
              </w:p>
            </w:txbxContent>
          </v:textbox>
          <w10:wrap anchorx="page" anchory="page"/>
        </v:rect>
      </w:pict>
    </w:r>
  </w:p>
  <w:p w:rsidR="00000000" w:rsidRDefault="00000000">
    <w:pPr>
      <w:pStyle w:val="a"/>
      <w:spacing w:after="160"/>
    </w:pPr>
    <w:r>
      <w:fldChar w:fldCharType="begin"/>
    </w:r>
    <w:r>
      <w:instrText xml:space="preserve">PRIVATE </w:instrText>
    </w:r>
    <w:r>
      <w:fldChar w:fldCharType="end"/>
    </w:r>
  </w:p>
  <w:p w:rsidR="00000000" w:rsidRDefault="00000000">
    <w:pPr>
      <w:pStyle w:val="1L"/>
      <w:framePr w:w="1438" w:wrap="around"/>
    </w:pPr>
    <w:r>
      <w:rPr>
        <w:noProof/>
      </w:rPr>
      <w:pict>
        <v:rect id="_x0000_s1026" style="position:absolute;left:0;text-align:left;margin-left:-12pt;margin-top:95.45pt;width:492.05pt;height:.95pt;z-index:-4;mso-position-horizontal-relative:margin;mso-position-vertical-relative:page" o:allowincell="f" fillcolor="black" stroked="f" strokeweight=".1pt">
          <v:fill color2="black"/>
          <w10:wrap anchorx="margin" anchory="page"/>
        </v:rect>
      </w:pict>
    </w:r>
    <w:r>
      <w:rPr>
        <w:rFonts w:hint="eastAsia"/>
      </w:rPr>
      <w:t>联合国</w:t>
    </w:r>
  </w:p>
  <w:p w:rsidR="00000000" w:rsidRDefault="00000000">
    <w:pPr>
      <w:pStyle w:val="a"/>
    </w:pPr>
    <w:r>
      <w:pict>
        <v:rect id="_x0000_s1029" style="position:absolute;left:0;text-align:left;margin-left:66.7pt;margin-top:110.5pt;width:65.05pt;height:55.55pt;z-index:-1;mso-position-horizontal-relative:page;mso-position-vertical-relative:page" o:allowincell="f" filled="f" stroked="f" strokeweight="0">
          <v:textbox inset="0,0,0,0">
            <w:txbxContent>
              <w:p w:rsidR="00000000" w:rsidRDefault="00000000">
                <w:pPr>
                  <w:pStyle w:val="UNLOGO"/>
                  <w:rPr>
                    <w:sz w:val="2"/>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5.25pt;height:55.5pt">
                      <v:imagedata r:id="rId1" o:title="" croptop="-108f" cropbottom="-92f" cropleft="-3349f" cropright="-3349f"/>
                    </v:shape>
                  </w:pict>
                </w:r>
              </w:p>
            </w:txbxContent>
          </v:textbox>
          <w10:wrap anchorx="page" anchory="page"/>
        </v:rect>
      </w:pict>
    </w:r>
  </w:p>
  <w:p w:rsidR="00000000" w:rsidRDefault="00000000">
    <w:pPr>
      <w:pStyle w:val="1R2"/>
      <w:framePr w:wrap="around"/>
    </w:pPr>
    <w:r>
      <w:t>Distr.</w:t>
    </w:r>
  </w:p>
  <w:p w:rsidR="00000000" w:rsidRDefault="00000000">
    <w:pPr>
      <w:pStyle w:val="1R2"/>
      <w:framePr w:wrap="around"/>
    </w:pPr>
    <w:r>
      <w:t>GENERAL</w:t>
    </w:r>
  </w:p>
  <w:p w:rsidR="00000000" w:rsidRDefault="00000000">
    <w:pPr>
      <w:pStyle w:val="1R2"/>
      <w:framePr w:wrap="around"/>
    </w:pPr>
  </w:p>
  <w:p w:rsidR="00000000" w:rsidRDefault="00000000">
    <w:pPr>
      <w:pStyle w:val="1R2"/>
      <w:framePr w:wrap="around"/>
    </w:pPr>
    <w:r>
      <w:t>E/C.12/1/Add.34</w:t>
    </w:r>
  </w:p>
  <w:p w:rsidR="00000000" w:rsidRDefault="00000000">
    <w:pPr>
      <w:pStyle w:val="1R2"/>
      <w:framePr w:wrap="around"/>
    </w:pPr>
    <w:r>
      <w:t>14 May 1999</w:t>
    </w:r>
  </w:p>
  <w:p w:rsidR="00000000" w:rsidRDefault="00000000">
    <w:pPr>
      <w:pStyle w:val="1R2"/>
      <w:framePr w:wrap="around"/>
    </w:pPr>
    <w:r>
      <w:t>CHINESE</w:t>
    </w:r>
  </w:p>
  <w:p w:rsidR="00000000" w:rsidRDefault="00000000">
    <w:pPr>
      <w:pStyle w:val="1R2"/>
      <w:framePr w:wrap="around"/>
    </w:pPr>
    <w:r>
      <w:t>Original:</w:t>
    </w:r>
    <w:r>
      <w:tab/>
      <w:t>ENGLISH</w:t>
    </w:r>
  </w:p>
  <w:p w:rsidR="00000000" w:rsidRDefault="00000000">
    <w:pPr>
      <w:pStyle w:val="a"/>
    </w:pPr>
  </w:p>
  <w:p w:rsidR="00000000" w:rsidRDefault="00000000">
    <w:pPr>
      <w:pStyle w:val="a"/>
    </w:pPr>
  </w:p>
  <w:p w:rsidR="00000000" w:rsidRDefault="00000000">
    <w:pPr>
      <w:pStyle w:val="a"/>
    </w:pPr>
    <w:r>
      <w:pict>
        <v:rect id="_x0000_s1027" style="position:absolute;left:0;text-align:left;margin-left:151.05pt;margin-top:121.45pt;width:192.05pt;height:31.25pt;z-index:-3;mso-position-horizontal-relative:page;mso-position-vertical-relative:page" o:allowincell="f" filled="f" stroked="f" strokeweight="0">
          <v:textbox inset="0,0,0,0">
            <w:txbxContent>
              <w:p w:rsidR="00000000" w:rsidRDefault="00000000">
                <w:pPr>
                  <w:pStyle w:val="1m1"/>
                </w:pPr>
                <w:r>
                  <w:rPr>
                    <w:rFonts w:hint="eastAsia"/>
                  </w:rPr>
                  <w:t>经济及社会理事会</w:t>
                </w:r>
              </w:p>
            </w:txbxContent>
          </v:textbox>
          <w10:wrap anchorx="page" anchory="page"/>
        </v:rect>
      </w:pict>
    </w:r>
  </w:p>
  <w:p w:rsidR="00000000" w:rsidRDefault="00000000">
    <w:pPr>
      <w:pStyle w:val="a"/>
    </w:pPr>
    <w:r>
      <w:pict>
        <v:rect id="_x0000_s1028" style="position:absolute;left:0;text-align:left;margin-left:-12pt;margin-top:235.85pt;width:492.05pt;height:.05pt;z-index:-2;mso-position-horizontal-relative:margin;mso-position-vertical-relative:page" o:allowincell="f" fillcolor="black" strokeweight="4pt">
          <v:fill color2="black"/>
          <w10:wrap anchorx="margin" anchory="page"/>
        </v:rect>
      </w:pict>
    </w:r>
  </w:p>
  <w:p w:rsidR="00000000" w:rsidRDefault="00000000">
    <w:pPr>
      <w:pStyle w:val="a"/>
    </w:pPr>
  </w:p>
  <w:p w:rsidR="00000000" w:rsidRDefault="00000000">
    <w:pPr>
      <w:pStyle w:val="a"/>
    </w:pPr>
  </w:p>
  <w:p w:rsidR="00000000" w:rsidRDefault="00000000">
    <w:pPr>
      <w:pStyle w:val="a"/>
    </w:pPr>
    <w:r>
      <w:fldChar w:fldCharType="begin"/>
    </w:r>
    <w:r>
      <w:instrText>ADVANCE \Y 252.30</w:instrText>
    </w:r>
    <w:r>
      <w:fldChar w:fldCharType="end"/>
    </w:r>
  </w:p>
  <w:p w:rsidR="00000000" w:rsidRDefault="00000000">
    <w:pPr>
      <w:pStyle w:val="a"/>
    </w:pPr>
  </w:p>
  <w:p w:rsidR="00000000" w:rsidRDefault="00000000">
    <w:pPr>
      <w:pStyle w:val="a"/>
    </w:pPr>
  </w:p>
  <w:p w:rsidR="00000000" w:rsidRDefault="00000000">
    <w:pPr>
      <w:pStyle w:val="a"/>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attachedTemplate r:id="rId1"/>
  <w:doNotTrackMoves/>
  <w:defaultTabStop w:val="510"/>
  <w:evenAndOddHeaders/>
  <w:drawingGridHorizontalSpacing w:val="120"/>
  <w:drawingGridVerticalSpacing w:val="104"/>
  <w:displayHorizontalDrawingGridEvery w:val="0"/>
  <w:displayVerticalDrawingGridEvery w:val="3"/>
  <w:characterSpacingControl w:val="compressPunctuation"/>
  <w:noLineBreaksAfter w:lang="ja-JP" w:val="([{·‘“〈《「『【〔〖（．［｛"/>
  <w:noLineBreaksBefore w:lang="ja-JP" w:val="!),.:;?]}¨·ˇˉ—‖’”…∶、。〃々〉》」』】〕〗！＂＇），．：；？］｀｜｝～"/>
  <w:hdrShapeDefaults>
    <o:shapedefaults v:ext="edit" spidmax="1030"/>
    <o:shapelayout v:ext="edit">
      <o:idmap v:ext="edit" data="1"/>
    </o:shapelayout>
  </w:hdrShapeDefaults>
  <w:footnotePr>
    <w:footnote w:id="-1"/>
    <w:footnote w:id="0"/>
  </w:footnotePr>
  <w:endnotePr>
    <w:numFmt w:val="decimal"/>
    <w:endnote w:id="-1"/>
    <w:endnote w:id="0"/>
  </w:endnotePr>
  <w:compat>
    <w:spaceForUL/>
    <w:balanceSingleByteDoubleByteWidth/>
    <w:doNotLeaveBackslashAlone/>
    <w:ulTrailSpace/>
    <w:doNotExpandShiftReturn/>
    <w:usePrinterMetrics/>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tabs>
        <w:tab w:val="left" w:pos="510"/>
        <w:tab w:val="left" w:pos="1021"/>
        <w:tab w:val="left" w:pos="1531"/>
        <w:tab w:val="left" w:pos="2041"/>
      </w:tabs>
      <w:adjustRightInd w:val="0"/>
      <w:spacing w:line="336" w:lineRule="auto"/>
      <w:jc w:val="both"/>
      <w:textAlignment w:val="baseline"/>
    </w:pPr>
    <w:rPr>
      <w:spacing w:val="10"/>
      <w:kern w:val="24"/>
      <w:sz w:val="24"/>
      <w:lang w:val="en-US" w:eastAsia="zh-CN"/>
    </w:rPr>
  </w:style>
  <w:style w:type="paragraph" w:styleId="Heading1">
    <w:name w:val="heading 1"/>
    <w:basedOn w:val="Normal"/>
    <w:next w:val="Normal"/>
    <w:qFormat/>
    <w:pPr>
      <w:keepNext/>
      <w:keepLines/>
      <w:widowControl w:val="0"/>
      <w:tabs>
        <w:tab w:val="clear" w:pos="510"/>
        <w:tab w:val="clear" w:pos="1021"/>
        <w:tab w:val="clear" w:pos="1531"/>
        <w:tab w:val="clear" w:pos="2041"/>
      </w:tabs>
      <w:spacing w:after="320" w:line="288" w:lineRule="auto"/>
      <w:jc w:val="center"/>
      <w:outlineLvl w:val="0"/>
    </w:pPr>
    <w:rPr>
      <w:b/>
      <w:color w:val="000000"/>
      <w:kern w:val="32"/>
      <w:sz w:val="30"/>
    </w:rPr>
  </w:style>
  <w:style w:type="paragraph" w:styleId="Heading2">
    <w:name w:val="heading 2"/>
    <w:basedOn w:val="Normal"/>
    <w:next w:val="Normal"/>
    <w:qFormat/>
    <w:pPr>
      <w:keepNext/>
      <w:keepLines/>
      <w:widowControl w:val="0"/>
      <w:tabs>
        <w:tab w:val="clear" w:pos="510"/>
        <w:tab w:val="clear" w:pos="1021"/>
        <w:tab w:val="clear" w:pos="1531"/>
        <w:tab w:val="clear" w:pos="2041"/>
      </w:tabs>
      <w:spacing w:after="320" w:line="288" w:lineRule="auto"/>
      <w:jc w:val="center"/>
      <w:outlineLvl w:val="1"/>
    </w:pPr>
    <w:rPr>
      <w:color w:val="000000"/>
      <w:kern w:val="28"/>
      <w:sz w:val="28"/>
    </w:rPr>
  </w:style>
  <w:style w:type="paragraph" w:styleId="Heading3">
    <w:name w:val="heading 3"/>
    <w:basedOn w:val="Normal"/>
    <w:next w:val="Normal"/>
    <w:qFormat/>
    <w:pPr>
      <w:keepNext/>
      <w:keepLines/>
      <w:widowControl w:val="0"/>
      <w:tabs>
        <w:tab w:val="clear" w:pos="510"/>
        <w:tab w:val="clear" w:pos="1021"/>
        <w:tab w:val="clear" w:pos="1531"/>
        <w:tab w:val="clear" w:pos="2041"/>
      </w:tabs>
      <w:spacing w:after="320"/>
      <w:jc w:val="center"/>
      <w:outlineLvl w:val="2"/>
    </w:pPr>
    <w:rPr>
      <w:color w:val="000000"/>
      <w:kern w:val="28"/>
      <w:u w:val="single"/>
    </w:rPr>
  </w:style>
  <w:style w:type="paragraph" w:styleId="Heading4">
    <w:name w:val="heading 4"/>
    <w:basedOn w:val="Normal"/>
    <w:next w:val="Normal"/>
    <w:qFormat/>
    <w:pPr>
      <w:keepNext/>
      <w:keepLines/>
      <w:widowControl w:val="0"/>
      <w:tabs>
        <w:tab w:val="left" w:pos="510"/>
        <w:tab w:val="left" w:pos="1021"/>
        <w:tab w:val="left" w:pos="1531"/>
        <w:tab w:val="left" w:pos="2041"/>
      </w:tabs>
      <w:spacing w:after="240"/>
      <w:jc w:val="left"/>
      <w:outlineLvl w:val="3"/>
    </w:pPr>
    <w:rPr>
      <w:color w:val="000000"/>
      <w:u w:val="single"/>
    </w:rPr>
  </w:style>
  <w:style w:type="paragraph" w:styleId="Heading5">
    <w:name w:val="heading 5"/>
    <w:basedOn w:val="Normal"/>
    <w:next w:val="Normal"/>
    <w:qFormat/>
    <w:pPr>
      <w:keepNext/>
      <w:keepLines/>
      <w:widowControl w:val="0"/>
      <w:tabs>
        <w:tab w:val="left" w:pos="510"/>
        <w:tab w:val="left" w:pos="1021"/>
        <w:tab w:val="left" w:pos="1531"/>
        <w:tab w:val="left" w:pos="2041"/>
        <w:tab w:val="left" w:pos="2552"/>
      </w:tabs>
      <w:spacing w:after="240"/>
      <w:outlineLvl w:val="4"/>
    </w:pPr>
    <w:rPr>
      <w:rFonts w:eastAsia="SimHei"/>
    </w:rPr>
  </w:style>
  <w:style w:type="paragraph" w:styleId="Heading6">
    <w:name w:val="heading 6"/>
    <w:basedOn w:val="Normal"/>
    <w:next w:val="Normal"/>
    <w:qFormat/>
    <w:pPr>
      <w:keepNext/>
      <w:keepLines/>
      <w:widowControl w:val="0"/>
      <w:spacing w:after="240"/>
      <w:outlineLvl w:val="5"/>
    </w:pPr>
  </w:style>
  <w:style w:type="paragraph" w:styleId="Heading7">
    <w:name w:val="heading 7"/>
    <w:basedOn w:val="Normal"/>
    <w:next w:val="Normal"/>
    <w:qFormat/>
    <w:pPr>
      <w:keepNext/>
      <w:keepLines/>
      <w:tabs>
        <w:tab w:val="clear" w:pos="1531"/>
        <w:tab w:val="clear" w:pos="2041"/>
        <w:tab w:val="left" w:pos="510"/>
        <w:tab w:val="left" w:pos="1021"/>
        <w:tab w:val="left" w:pos="1191"/>
      </w:tabs>
      <w:spacing w:after="200"/>
      <w:outlineLvl w:val="6"/>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lear" w:pos="510"/>
        <w:tab w:val="clear" w:pos="1021"/>
        <w:tab w:val="clear" w:pos="1531"/>
        <w:tab w:val="clear" w:pos="2041"/>
        <w:tab w:val="left" w:pos="1202"/>
        <w:tab w:val="left" w:pos="6124"/>
        <w:tab w:val="left" w:pos="6634"/>
        <w:tab w:val="left" w:pos="7144"/>
        <w:tab w:val="left" w:pos="7655"/>
        <w:tab w:val="left" w:pos="8165"/>
      </w:tabs>
      <w:spacing w:line="288" w:lineRule="auto"/>
      <w:jc w:val="left"/>
    </w:pPr>
    <w:rPr>
      <w:rFonts w:ascii="Courier" w:hAnsi="Courier"/>
      <w:spacing w:val="0"/>
      <w:sz w:val="20"/>
    </w:rPr>
  </w:style>
  <w:style w:type="paragraph" w:styleId="Footer">
    <w:name w:val="footer"/>
    <w:semiHidden/>
    <w:pPr>
      <w:widowControl w:val="0"/>
      <w:adjustRightInd w:val="0"/>
      <w:spacing w:line="288" w:lineRule="auto"/>
      <w:textAlignment w:val="baseline"/>
    </w:pPr>
    <w:rPr>
      <w:rFonts w:ascii="Courier New" w:hAnsi="Courier New"/>
      <w:noProof/>
      <w:lang w:eastAsia="zh-CN"/>
    </w:rPr>
  </w:style>
  <w:style w:type="character" w:styleId="PageNumber">
    <w:name w:val="page number"/>
    <w:semiHidden/>
    <w:rPr>
      <w:rFonts w:ascii="Courier" w:eastAsia="长城仿宋" w:hAnsi="Courier"/>
      <w:sz w:val="20"/>
    </w:rPr>
  </w:style>
  <w:style w:type="paragraph" w:styleId="FootnoteText">
    <w:name w:val="footnote text"/>
    <w:basedOn w:val="Normal"/>
    <w:semiHidden/>
    <w:pPr>
      <w:spacing w:line="288" w:lineRule="auto"/>
      <w:ind w:firstLine="510"/>
    </w:pPr>
    <w:rPr>
      <w:rFonts w:eastAsia="长城楷体"/>
      <w:spacing w:val="0"/>
    </w:rPr>
  </w:style>
  <w:style w:type="character" w:styleId="FootnoteReference">
    <w:name w:val="footnote reference"/>
    <w:semiHidden/>
    <w:rPr>
      <w:vertAlign w:val="superscript"/>
    </w:rPr>
  </w:style>
  <w:style w:type="paragraph" w:customStyle="1" w:styleId="a">
    <w:name w:val="首页页眉"/>
    <w:basedOn w:val="Normal"/>
    <w:pPr>
      <w:tabs>
        <w:tab w:val="clear" w:pos="510"/>
        <w:tab w:val="clear" w:pos="1021"/>
        <w:tab w:val="clear" w:pos="1531"/>
        <w:tab w:val="clear" w:pos="2041"/>
      </w:tabs>
      <w:suppressAutoHyphens/>
      <w:spacing w:line="288" w:lineRule="auto"/>
    </w:pPr>
    <w:rPr>
      <w:rFonts w:ascii="Univers Bold" w:hAnsi="Univers Bold"/>
    </w:rPr>
  </w:style>
  <w:style w:type="paragraph" w:customStyle="1" w:styleId="a0">
    <w:name w:val="悬挂(a)"/>
    <w:basedOn w:val="Normal"/>
    <w:pPr>
      <w:ind w:left="1531" w:hanging="510"/>
    </w:pPr>
  </w:style>
  <w:style w:type="paragraph" w:styleId="NormalIndent">
    <w:name w:val="Normal Indent"/>
    <w:basedOn w:val="Normal"/>
    <w:semiHidden/>
    <w:pPr>
      <w:ind w:firstLine="510"/>
    </w:pPr>
  </w:style>
  <w:style w:type="paragraph" w:customStyle="1" w:styleId="a1">
    <w:name w:val="悬挂(一)"/>
    <w:basedOn w:val="Normal"/>
    <w:pPr>
      <w:ind w:left="1531" w:hanging="510"/>
    </w:pPr>
  </w:style>
  <w:style w:type="paragraph" w:customStyle="1" w:styleId="a2">
    <w:name w:val="目录页次"/>
    <w:pPr>
      <w:widowControl w:val="0"/>
      <w:tabs>
        <w:tab w:val="left" w:pos="510"/>
        <w:tab w:val="left" w:pos="1021"/>
        <w:tab w:val="left" w:pos="1531"/>
        <w:tab w:val="left" w:pos="2041"/>
        <w:tab w:val="right" w:leader="dot" w:pos="8392"/>
        <w:tab w:val="right" w:pos="9185"/>
      </w:tabs>
      <w:adjustRightInd w:val="0"/>
      <w:spacing w:line="336" w:lineRule="auto"/>
      <w:jc w:val="both"/>
      <w:textAlignment w:val="baseline"/>
    </w:pPr>
    <w:rPr>
      <w:noProof/>
      <w:spacing w:val="10"/>
      <w:kern w:val="24"/>
      <w:sz w:val="24"/>
      <w:lang w:eastAsia="zh-CN"/>
    </w:rPr>
  </w:style>
  <w:style w:type="paragraph" w:customStyle="1" w:styleId="1L">
    <w:name w:val="页眉1L"/>
    <w:basedOn w:val="Normal"/>
    <w:pPr>
      <w:framePr w:w="1542" w:h="627" w:hSpace="180" w:wrap="around" w:vAnchor="page" w:hAnchor="page" w:x="1469" w:y="1390"/>
      <w:tabs>
        <w:tab w:val="clear" w:pos="510"/>
        <w:tab w:val="clear" w:pos="1021"/>
        <w:tab w:val="clear" w:pos="1531"/>
        <w:tab w:val="clear" w:pos="2041"/>
      </w:tabs>
      <w:spacing w:line="240" w:lineRule="auto"/>
    </w:pPr>
    <w:rPr>
      <w:rFonts w:ascii="SimHei" w:eastAsia="SimHei"/>
      <w:spacing w:val="60"/>
      <w:sz w:val="32"/>
    </w:rPr>
  </w:style>
  <w:style w:type="paragraph" w:customStyle="1" w:styleId="1R1">
    <w:name w:val="页眉1R1"/>
    <w:basedOn w:val="Normal"/>
    <w:pPr>
      <w:tabs>
        <w:tab w:val="clear" w:pos="510"/>
        <w:tab w:val="clear" w:pos="1021"/>
        <w:tab w:val="clear" w:pos="1531"/>
        <w:tab w:val="clear" w:pos="2041"/>
      </w:tabs>
      <w:suppressAutoHyphens/>
      <w:spacing w:line="240" w:lineRule="auto"/>
    </w:pPr>
    <w:rPr>
      <w:rFonts w:ascii="Univers (WN)" w:hAnsi="Univers (WN)"/>
      <w:b/>
      <w:sz w:val="60"/>
    </w:rPr>
  </w:style>
  <w:style w:type="paragraph" w:customStyle="1" w:styleId="1m2">
    <w:name w:val="页眉1m2"/>
    <w:basedOn w:val="Normal"/>
    <w:pPr>
      <w:tabs>
        <w:tab w:val="clear" w:pos="510"/>
        <w:tab w:val="clear" w:pos="1021"/>
        <w:tab w:val="clear" w:pos="1531"/>
        <w:tab w:val="clear" w:pos="2041"/>
      </w:tabs>
      <w:suppressAutoHyphens/>
      <w:spacing w:line="360" w:lineRule="auto"/>
      <w:jc w:val="left"/>
    </w:pPr>
    <w:rPr>
      <w:rFonts w:ascii="SimHei" w:eastAsia="SimHei"/>
      <w:spacing w:val="60"/>
      <w:sz w:val="40"/>
    </w:rPr>
  </w:style>
  <w:style w:type="paragraph" w:customStyle="1" w:styleId="1m1">
    <w:name w:val="页眉1m1"/>
    <w:basedOn w:val="1m2"/>
    <w:rPr>
      <w:spacing w:val="40"/>
    </w:rPr>
  </w:style>
  <w:style w:type="paragraph" w:customStyle="1" w:styleId="1R2">
    <w:name w:val="页眉1R2"/>
    <w:basedOn w:val="Normal"/>
    <w:pPr>
      <w:framePr w:w="3101" w:h="1977" w:hSpace="180" w:wrap="around" w:vAnchor="page" w:hAnchor="page" w:x="8549" w:y="2638"/>
      <w:tabs>
        <w:tab w:val="clear" w:pos="510"/>
        <w:tab w:val="clear" w:pos="1021"/>
        <w:tab w:val="clear" w:pos="1531"/>
        <w:tab w:val="clear" w:pos="2041"/>
        <w:tab w:val="left" w:pos="1202"/>
        <w:tab w:val="left" w:pos="6124"/>
        <w:tab w:val="left" w:pos="6634"/>
        <w:tab w:val="left" w:pos="7144"/>
        <w:tab w:val="left" w:pos="7655"/>
        <w:tab w:val="left" w:pos="8165"/>
      </w:tabs>
      <w:spacing w:line="288" w:lineRule="auto"/>
      <w:jc w:val="left"/>
    </w:pPr>
    <w:rPr>
      <w:rFonts w:ascii="Courier" w:hAnsi="Courier"/>
      <w:sz w:val="20"/>
    </w:rPr>
  </w:style>
  <w:style w:type="paragraph" w:customStyle="1" w:styleId="a3">
    <w:name w:val="目录段页次"/>
    <w:pPr>
      <w:widowControl w:val="0"/>
      <w:tabs>
        <w:tab w:val="left" w:pos="510"/>
        <w:tab w:val="left" w:pos="1021"/>
        <w:tab w:val="left" w:pos="1531"/>
        <w:tab w:val="left" w:pos="2041"/>
        <w:tab w:val="right" w:leader="dot" w:pos="6804"/>
        <w:tab w:val="right" w:pos="7371"/>
        <w:tab w:val="center" w:pos="7541"/>
        <w:tab w:val="left" w:pos="7711"/>
        <w:tab w:val="right" w:pos="9185"/>
      </w:tabs>
      <w:adjustRightInd w:val="0"/>
      <w:spacing w:line="336" w:lineRule="auto"/>
      <w:jc w:val="both"/>
      <w:textAlignment w:val="baseline"/>
    </w:pPr>
    <w:rPr>
      <w:noProof/>
      <w:spacing w:val="10"/>
      <w:kern w:val="24"/>
      <w:sz w:val="24"/>
      <w:lang w:eastAsia="zh-CN"/>
    </w:rPr>
  </w:style>
  <w:style w:type="paragraph" w:customStyle="1" w:styleId="UNLOGO">
    <w:name w:val="UNLOGO"/>
    <w:basedOn w:val="Normal"/>
    <w:pPr>
      <w:tabs>
        <w:tab w:val="clear" w:pos="510"/>
        <w:tab w:val="clear" w:pos="1021"/>
        <w:tab w:val="clear" w:pos="1531"/>
        <w:tab w:val="clear" w:pos="2041"/>
      </w:tabs>
      <w:suppressAutoHyphens/>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jc w:val="both"/>
      <w:textAlignment w:val="baseline"/>
    </w:pPr>
    <w:rPr>
      <w:kern w:val="24"/>
      <w:sz w:val="24"/>
      <w:lang w:val="en-US" w:eastAsia="zh-CN"/>
    </w:rPr>
  </w:style>
  <w:style w:type="paragraph" w:styleId="EndnoteText">
    <w:name w:val="endnote text"/>
    <w:basedOn w:val="FootnoteText"/>
    <w:semiHidden/>
  </w:style>
  <w:style w:type="paragraph" w:customStyle="1" w:styleId="a4">
    <w:name w:val="居中页眉"/>
    <w:basedOn w:val="Header"/>
    <w:pPr>
      <w:widowControl w:val="0"/>
      <w:tabs>
        <w:tab w:val="clear" w:pos="6124"/>
        <w:tab w:val="clear" w:pos="6634"/>
        <w:tab w:val="clear" w:pos="7144"/>
        <w:tab w:val="clear" w:pos="7655"/>
        <w:tab w:val="clear" w:pos="8165"/>
      </w:tabs>
      <w:jc w:val="center"/>
    </w:pPr>
    <w:rPr>
      <w:rFonts w:ascii="Times New Roman" w:hAnsi="Times New Roman"/>
    </w:rPr>
  </w:style>
  <w:style w:type="paragraph" w:customStyle="1" w:styleId="a5">
    <w:name w:val="悬挂"/>
    <w:basedOn w:val="Normal"/>
    <w:pPr>
      <w:ind w:left="510" w:hanging="510"/>
    </w:pPr>
  </w:style>
  <w:style w:type="paragraph" w:customStyle="1" w:styleId="a6">
    <w:name w:val="悬挂符号－"/>
    <w:basedOn w:val="a5"/>
  </w:style>
  <w:style w:type="paragraph" w:customStyle="1" w:styleId="a7">
    <w:name w:val="目录段次"/>
    <w:pPr>
      <w:widowControl w:val="0"/>
      <w:tabs>
        <w:tab w:val="left" w:pos="510"/>
        <w:tab w:val="left" w:pos="1021"/>
        <w:tab w:val="left" w:pos="1531"/>
        <w:tab w:val="left" w:pos="2041"/>
        <w:tab w:val="right" w:leader="dot" w:pos="7677"/>
        <w:tab w:val="right" w:pos="8335"/>
        <w:tab w:val="center" w:pos="8505"/>
        <w:tab w:val="left" w:pos="8675"/>
      </w:tabs>
      <w:adjustRightInd w:val="0"/>
      <w:spacing w:line="336" w:lineRule="auto"/>
      <w:jc w:val="both"/>
      <w:textAlignment w:val="baseline"/>
    </w:pPr>
    <w:rPr>
      <w:noProof/>
      <w:spacing w:val="10"/>
      <w:kern w:val="24"/>
      <w:sz w:val="24"/>
      <w:lang w:eastAsia="zh-CN"/>
    </w:rPr>
  </w:style>
  <w:style w:type="paragraph" w:customStyle="1" w:styleId="a8">
    <w:name w:val="悬挂符号●"/>
    <w:basedOn w:val="a5"/>
  </w:style>
  <w:style w:type="paragraph" w:customStyle="1" w:styleId="x">
    <w:name w:val="悬挂[(x)"/>
    <w:basedOn w:val="Normal"/>
    <w:pPr>
      <w:ind w:left="1531" w:hanging="595"/>
    </w:pPr>
  </w:style>
  <w:style w:type="paragraph" w:customStyle="1" w:styleId="12cm">
    <w:name w:val="12cm落款"/>
    <w:pPr>
      <w:keepLines/>
      <w:widowControl w:val="0"/>
      <w:tabs>
        <w:tab w:val="left" w:pos="7314"/>
        <w:tab w:val="left" w:pos="7825"/>
        <w:tab w:val="left" w:pos="8335"/>
        <w:tab w:val="left" w:pos="8845"/>
      </w:tabs>
      <w:adjustRightInd w:val="0"/>
      <w:spacing w:before="160" w:after="280" w:line="288" w:lineRule="auto"/>
      <w:ind w:left="6804"/>
      <w:jc w:val="both"/>
      <w:textAlignment w:val="baseline"/>
    </w:pPr>
    <w:rPr>
      <w:noProof/>
      <w:spacing w:val="10"/>
      <w:kern w:val="24"/>
      <w:sz w:val="24"/>
      <w:lang w:eastAsia="zh-CN"/>
    </w:rPr>
  </w:style>
  <w:style w:type="paragraph" w:customStyle="1" w:styleId="9cm">
    <w:name w:val="9cm落款"/>
    <w:basedOn w:val="Normal"/>
    <w:pPr>
      <w:keepLines/>
      <w:widowControl w:val="0"/>
      <w:tabs>
        <w:tab w:val="left" w:pos="6124"/>
        <w:tab w:val="left" w:pos="6634"/>
        <w:tab w:val="left" w:pos="7144"/>
        <w:tab w:val="left" w:pos="7655"/>
        <w:tab w:val="left" w:pos="8165"/>
        <w:tab w:val="left" w:pos="8675"/>
      </w:tabs>
      <w:spacing w:before="160" w:after="280" w:line="288" w:lineRule="auto"/>
      <w:ind w:left="5103"/>
    </w:pPr>
  </w:style>
  <w:style w:type="paragraph" w:customStyle="1" w:styleId="1">
    <w:name w:val="悬挂(1)"/>
    <w:basedOn w:val="Normal"/>
    <w:pPr>
      <w:ind w:left="1531" w:hanging="510"/>
    </w:pPr>
  </w:style>
  <w:style w:type="paragraph" w:customStyle="1" w:styleId="x0">
    <w:name w:val="悬挂“(x)"/>
    <w:basedOn w:val="a0"/>
    <w:pPr>
      <w:ind w:left="1530" w:hanging="765"/>
    </w:pPr>
  </w:style>
  <w:style w:type="character" w:styleId="EndnoteReference">
    <w:name w:val="endnote reference"/>
    <w:semiHidden/>
    <w:rPr>
      <w:color w:val="FF0000"/>
      <w:vertAlign w:val="superscript"/>
    </w:rPr>
  </w:style>
  <w:style w:type="paragraph" w:customStyle="1" w:styleId="a9">
    <w:name w:val="黑体标题"/>
    <w:next w:val="Normal"/>
    <w:pPr>
      <w:keepNext/>
      <w:keepLines/>
      <w:widowControl w:val="0"/>
      <w:adjustRightInd w:val="0"/>
      <w:spacing w:after="320" w:line="336" w:lineRule="auto"/>
      <w:jc w:val="center"/>
      <w:textAlignment w:val="baseline"/>
    </w:pPr>
    <w:rPr>
      <w:rFonts w:eastAsia="SimHei"/>
      <w:noProof/>
      <w:spacing w:val="10"/>
      <w:kern w:val="24"/>
      <w:sz w:val="24"/>
      <w:lang w:eastAsia="zh-CN"/>
    </w:rPr>
  </w:style>
  <w:style w:type="paragraph" w:customStyle="1" w:styleId="aa">
    <w:name w:val="黑体"/>
    <w:basedOn w:val="Normal"/>
    <w:rPr>
      <w:rFonts w:eastAsia="SimHei"/>
    </w:rPr>
  </w:style>
  <w:style w:type="paragraph" w:customStyle="1" w:styleId="ab">
    <w:name w:val="楷体"/>
    <w:basedOn w:val="Normal"/>
    <w:rPr>
      <w:rFonts w:eastAsia="长城楷体"/>
      <w:spacing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3.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WINWORD\TEMPLATE\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4</Pages>
  <Words>2240</Words>
  <Characters>2365</Characters>
  <Application>Microsoft Office Word</Application>
  <DocSecurity>4</DocSecurity>
  <Lines>91</Lines>
  <Paragraphs>43</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c:title>
  <dc:subject/>
  <dc:creator>LAI</dc:creator>
  <cp:keywords/>
  <cp:lastModifiedBy>LAI</cp:lastModifiedBy>
  <cp:revision>3</cp:revision>
  <cp:lastPrinted>1601-01-01T00:00:00Z</cp:lastPrinted>
  <dcterms:created xsi:type="dcterms:W3CDTF">1999-05-20T06:57:00Z</dcterms:created>
  <dcterms:modified xsi:type="dcterms:W3CDTF">1999-05-20T06:57:00Z</dcterms:modified>
</cp:coreProperties>
</file>