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E492D7" w14:textId="77777777" w:rsidR="00527708" w:rsidRPr="00EA5B2D" w:rsidRDefault="00527708" w:rsidP="00527708">
      <w:pPr>
        <w:spacing w:line="240" w:lineRule="auto"/>
        <w:rPr>
          <w:sz w:val="2"/>
        </w:rPr>
        <w:sectPr w:rsidR="00527708" w:rsidRPr="00EA5B2D" w:rsidSect="00EA5B2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A5B2D">
        <w:rPr>
          <w:rStyle w:val="CommentReference"/>
          <w:szCs w:val="20"/>
        </w:rPr>
        <w:commentReference w:id="0"/>
      </w:r>
    </w:p>
    <w:p w14:paraId="67CD61F2" w14:textId="2CC9F988" w:rsidR="00EA5B2D" w:rsidRPr="00EA5B2D" w:rsidRDefault="00EA5B2D" w:rsidP="00EA5B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EA5B2D">
        <w:t>Comité para la Eliminación de la Discriminación contra la Mujer</w:t>
      </w:r>
    </w:p>
    <w:p w14:paraId="0728AF2C" w14:textId="77777777" w:rsidR="00EA5B2D" w:rsidRPr="00EA5B2D" w:rsidRDefault="00EA5B2D" w:rsidP="00EA5B2D">
      <w:pPr>
        <w:pStyle w:val="SingleTxt"/>
        <w:spacing w:after="0" w:line="120" w:lineRule="exact"/>
        <w:rPr>
          <w:b/>
          <w:sz w:val="10"/>
        </w:rPr>
      </w:pPr>
    </w:p>
    <w:p w14:paraId="31C0D4C3" w14:textId="77777777" w:rsidR="00EA5B2D" w:rsidRPr="00EA5B2D" w:rsidRDefault="00EA5B2D" w:rsidP="00EA5B2D">
      <w:pPr>
        <w:pStyle w:val="SingleTxt"/>
        <w:spacing w:after="0" w:line="120" w:lineRule="exact"/>
        <w:rPr>
          <w:b/>
          <w:sz w:val="10"/>
        </w:rPr>
      </w:pPr>
    </w:p>
    <w:p w14:paraId="4EB5BD86" w14:textId="77777777" w:rsidR="00EA5B2D" w:rsidRPr="00EA5B2D" w:rsidRDefault="00EA5B2D" w:rsidP="00EA5B2D">
      <w:pPr>
        <w:pStyle w:val="SingleTxt"/>
        <w:spacing w:after="0" w:line="120" w:lineRule="exact"/>
        <w:rPr>
          <w:b/>
          <w:sz w:val="10"/>
        </w:rPr>
      </w:pPr>
    </w:p>
    <w:p w14:paraId="1AEE8CA0" w14:textId="6316DA57" w:rsidR="00EA5B2D" w:rsidRPr="00EA5B2D" w:rsidRDefault="00EA5B2D" w:rsidP="00EA5B2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59264" behindDoc="0" locked="0" layoutInCell="1" allowOverlap="1" wp14:anchorId="269E81E7" wp14:editId="19A6577C">
                <wp:simplePos x="0" y="0"/>
                <wp:positionH relativeFrom="column">
                  <wp:posOffset>548640</wp:posOffset>
                </wp:positionH>
                <wp:positionV relativeFrom="paragraph">
                  <wp:posOffset>-12700</wp:posOffset>
                </wp:positionV>
                <wp:extent cx="914400" cy="0"/>
                <wp:effectExtent l="0" t="0" r="0" b="0"/>
                <wp:wrapNone/>
                <wp:docPr id="51499920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4F3AC6"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rPr>
        <w:tab/>
        <w:t>*</w:t>
      </w:r>
      <w:r>
        <w:rPr>
          <w:spacing w:val="5"/>
          <w:w w:val="104"/>
          <w:kern w:val="14"/>
          <w:sz w:val="17"/>
          <w:szCs w:val="20"/>
        </w:rPr>
        <w:tab/>
      </w:r>
      <w:r w:rsidRPr="00EA5B2D">
        <w:rPr>
          <w:spacing w:val="5"/>
          <w:w w:val="104"/>
          <w:kern w:val="14"/>
          <w:sz w:val="17"/>
          <w:szCs w:val="20"/>
        </w:rPr>
        <w:t>El presente documento se publica sin haber sido objeto de revisión editorial oficial</w:t>
      </w:r>
      <w:r>
        <w:rPr>
          <w:spacing w:val="5"/>
          <w:w w:val="104"/>
          <w:kern w:val="14"/>
          <w:sz w:val="17"/>
          <w:szCs w:val="20"/>
        </w:rPr>
        <w:t>.</w:t>
      </w:r>
    </w:p>
    <w:p w14:paraId="4D335DC1" w14:textId="47F0A290" w:rsidR="00EA5B2D" w:rsidRPr="00EA5B2D" w:rsidRDefault="00EA5B2D" w:rsidP="00EA5B2D">
      <w:pPr>
        <w:pStyle w:val="TitleHCH"/>
        <w:ind w:right="1260"/>
        <w:rPr>
          <w:lang w:val="es-419"/>
        </w:rPr>
      </w:pPr>
      <w:r w:rsidRPr="00EA5B2D">
        <w:tab/>
      </w:r>
      <w:r w:rsidRPr="00EA5B2D">
        <w:tab/>
        <w:t>Información suministrada por el Perú en relación con el seguimiento de las observaciones finales sobre su noveno informe periódico</w:t>
      </w:r>
      <w:r w:rsidRPr="00EA5B2D">
        <w:rPr>
          <w:b w:val="0"/>
          <w:bCs/>
          <w:sz w:val="24"/>
          <w:szCs w:val="24"/>
        </w:rPr>
        <w:t>*</w:t>
      </w:r>
    </w:p>
    <w:p w14:paraId="5B866AB4" w14:textId="77777777" w:rsidR="00EA5B2D" w:rsidRPr="00EA5B2D" w:rsidRDefault="00EA5B2D" w:rsidP="00EA5B2D">
      <w:pPr>
        <w:pStyle w:val="SingleTxt"/>
        <w:spacing w:after="0" w:line="120" w:lineRule="exact"/>
        <w:rPr>
          <w:sz w:val="10"/>
        </w:rPr>
      </w:pPr>
    </w:p>
    <w:p w14:paraId="14819DE1" w14:textId="77777777" w:rsidR="00EA5B2D" w:rsidRPr="00EA5B2D" w:rsidRDefault="00EA5B2D" w:rsidP="00EA5B2D">
      <w:pPr>
        <w:pStyle w:val="SingleTxt"/>
        <w:spacing w:after="0" w:line="120" w:lineRule="exact"/>
        <w:rPr>
          <w:sz w:val="10"/>
        </w:rPr>
      </w:pPr>
    </w:p>
    <w:p w14:paraId="46A0819D" w14:textId="4EB86EDB" w:rsidR="00EA5B2D" w:rsidRPr="00EA5B2D" w:rsidRDefault="00EA5B2D" w:rsidP="00EA5B2D">
      <w:pPr>
        <w:pStyle w:val="SingleTxt"/>
        <w:jc w:val="right"/>
      </w:pPr>
      <w:r w:rsidRPr="00EA5B2D">
        <w:t>[Fecha de recepción: 15 de agosto de 2024]</w:t>
      </w:r>
    </w:p>
    <w:p w14:paraId="16994F56" w14:textId="77777777" w:rsidR="00EA5B2D" w:rsidRPr="00EA5B2D" w:rsidRDefault="00EA5B2D" w:rsidP="00EA5B2D">
      <w:pPr>
        <w:pStyle w:val="SingleTxt"/>
      </w:pPr>
      <w:r w:rsidRPr="00EA5B2D">
        <w:br w:type="page"/>
      </w:r>
    </w:p>
    <w:p w14:paraId="3D4B60B5" w14:textId="77777777" w:rsidR="00EA5B2D" w:rsidRPr="00EA5B2D" w:rsidRDefault="00EA5B2D" w:rsidP="00EA5B2D">
      <w:pPr>
        <w:pStyle w:val="HCh"/>
        <w:spacing w:after="120"/>
        <w:rPr>
          <w:b w:val="0"/>
        </w:rPr>
      </w:pPr>
      <w:r>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EA5B2D" w:rsidRPr="00EA5B2D" w14:paraId="54D8B485" w14:textId="77777777" w:rsidTr="00EA5B2D">
        <w:tblPrEx>
          <w:tblCellMar>
            <w:top w:w="0" w:type="dxa"/>
            <w:bottom w:w="0" w:type="dxa"/>
          </w:tblCellMar>
        </w:tblPrEx>
        <w:tc>
          <w:tcPr>
            <w:tcW w:w="1060" w:type="dxa"/>
            <w:shd w:val="clear" w:color="auto" w:fill="auto"/>
          </w:tcPr>
          <w:p w14:paraId="26BE9D2C" w14:textId="579A782C" w:rsidR="00EA5B2D" w:rsidRPr="00EA5B2D" w:rsidRDefault="00EA5B2D" w:rsidP="00EA5B2D">
            <w:pPr>
              <w:spacing w:after="120" w:line="240" w:lineRule="auto"/>
              <w:jc w:val="right"/>
              <w:rPr>
                <w:i/>
                <w:sz w:val="14"/>
              </w:rPr>
            </w:pPr>
          </w:p>
        </w:tc>
        <w:tc>
          <w:tcPr>
            <w:tcW w:w="7056" w:type="dxa"/>
            <w:shd w:val="clear" w:color="auto" w:fill="auto"/>
          </w:tcPr>
          <w:p w14:paraId="79A06158" w14:textId="77777777" w:rsidR="00EA5B2D" w:rsidRPr="00EA5B2D" w:rsidRDefault="00EA5B2D" w:rsidP="00EA5B2D">
            <w:pPr>
              <w:spacing w:after="120" w:line="240" w:lineRule="auto"/>
              <w:rPr>
                <w:i/>
                <w:sz w:val="14"/>
              </w:rPr>
            </w:pPr>
          </w:p>
        </w:tc>
        <w:tc>
          <w:tcPr>
            <w:tcW w:w="994" w:type="dxa"/>
            <w:shd w:val="clear" w:color="auto" w:fill="auto"/>
          </w:tcPr>
          <w:p w14:paraId="18C36E4C" w14:textId="65B1230C" w:rsidR="00EA5B2D" w:rsidRPr="00EA5B2D" w:rsidRDefault="00EA5B2D" w:rsidP="00EA5B2D">
            <w:pPr>
              <w:spacing w:after="120" w:line="240" w:lineRule="auto"/>
              <w:jc w:val="right"/>
              <w:rPr>
                <w:i/>
                <w:sz w:val="14"/>
              </w:rPr>
            </w:pPr>
          </w:p>
        </w:tc>
        <w:tc>
          <w:tcPr>
            <w:tcW w:w="792" w:type="dxa"/>
            <w:shd w:val="clear" w:color="auto" w:fill="auto"/>
          </w:tcPr>
          <w:p w14:paraId="1C6B20DE" w14:textId="799BF112" w:rsidR="00EA5B2D" w:rsidRPr="00EA5B2D" w:rsidRDefault="00EA5B2D" w:rsidP="00EA5B2D">
            <w:pPr>
              <w:spacing w:after="120" w:line="240" w:lineRule="auto"/>
              <w:jc w:val="right"/>
              <w:rPr>
                <w:i/>
                <w:sz w:val="14"/>
              </w:rPr>
            </w:pPr>
            <w:r>
              <w:rPr>
                <w:i/>
                <w:sz w:val="14"/>
              </w:rPr>
              <w:t>Página</w:t>
            </w:r>
          </w:p>
        </w:tc>
      </w:tr>
      <w:tr w:rsidR="00EA5B2D" w:rsidRPr="00EA5B2D" w14:paraId="46D48F4B" w14:textId="77777777" w:rsidTr="00EA5B2D">
        <w:tblPrEx>
          <w:tblCellMar>
            <w:top w:w="0" w:type="dxa"/>
            <w:bottom w:w="0" w:type="dxa"/>
          </w:tblCellMar>
        </w:tblPrEx>
        <w:tc>
          <w:tcPr>
            <w:tcW w:w="9110" w:type="dxa"/>
            <w:gridSpan w:val="3"/>
            <w:shd w:val="clear" w:color="auto" w:fill="auto"/>
          </w:tcPr>
          <w:p w14:paraId="15523279" w14:textId="5C0110A4" w:rsidR="00EA5B2D" w:rsidRPr="00EA5B2D" w:rsidRDefault="00EA5B2D" w:rsidP="00EA5B2D">
            <w:pPr>
              <w:tabs>
                <w:tab w:val="right" w:pos="1080"/>
                <w:tab w:val="left" w:pos="1300"/>
                <w:tab w:val="left" w:pos="1740"/>
                <w:tab w:val="left" w:pos="2180"/>
                <w:tab w:val="left" w:pos="2620"/>
                <w:tab w:val="left" w:pos="3060"/>
                <w:tab w:val="right" w:leader="dot" w:pos="9245"/>
              </w:tabs>
              <w:rPr>
                <w:spacing w:val="60"/>
                <w:sz w:val="17"/>
              </w:rPr>
            </w:pPr>
            <w:r>
              <w:tab/>
            </w:r>
            <w:r>
              <w:tab/>
            </w:r>
            <w:r w:rsidRPr="00EA5B2D">
              <w:t>Siglas y abreviaturas</w:t>
            </w:r>
            <w:r>
              <w:rPr>
                <w:spacing w:val="60"/>
                <w:sz w:val="17"/>
              </w:rPr>
              <w:tab/>
            </w:r>
          </w:p>
        </w:tc>
        <w:tc>
          <w:tcPr>
            <w:tcW w:w="792" w:type="dxa"/>
            <w:shd w:val="clear" w:color="auto" w:fill="auto"/>
            <w:vAlign w:val="bottom"/>
          </w:tcPr>
          <w:p w14:paraId="0D671670" w14:textId="2CF75309" w:rsidR="00EA5B2D" w:rsidRPr="00EA5B2D" w:rsidRDefault="00E673EB" w:rsidP="00EA5B2D">
            <w:pPr>
              <w:spacing w:after="120"/>
              <w:jc w:val="right"/>
            </w:pPr>
            <w:r>
              <w:t>3</w:t>
            </w:r>
          </w:p>
        </w:tc>
      </w:tr>
      <w:tr w:rsidR="00EA5B2D" w:rsidRPr="00EA5B2D" w14:paraId="7C93D9FC" w14:textId="77777777" w:rsidTr="00EA5B2D">
        <w:tblPrEx>
          <w:tblCellMar>
            <w:top w:w="0" w:type="dxa"/>
            <w:bottom w:w="0" w:type="dxa"/>
          </w:tblCellMar>
        </w:tblPrEx>
        <w:tc>
          <w:tcPr>
            <w:tcW w:w="9110" w:type="dxa"/>
            <w:gridSpan w:val="3"/>
            <w:shd w:val="clear" w:color="auto" w:fill="auto"/>
          </w:tcPr>
          <w:p w14:paraId="56F34CE1" w14:textId="353ECE21" w:rsidR="00EA5B2D" w:rsidRPr="00EA5B2D" w:rsidRDefault="00EA5B2D" w:rsidP="00D14A66">
            <w:pPr>
              <w:pStyle w:val="ListParagraph"/>
              <w:numPr>
                <w:ilvl w:val="0"/>
                <w:numId w:val="27"/>
              </w:numPr>
              <w:tabs>
                <w:tab w:val="clear" w:pos="1296"/>
                <w:tab w:val="right" w:pos="1080"/>
                <w:tab w:val="left" w:pos="1300"/>
                <w:tab w:val="left" w:pos="1740"/>
                <w:tab w:val="left" w:pos="2180"/>
                <w:tab w:val="right" w:leader="dot" w:pos="9245"/>
              </w:tabs>
              <w:spacing w:after="120"/>
            </w:pPr>
            <w:r>
              <w:tab/>
            </w:r>
            <w:r w:rsidRPr="00EA5B2D">
              <w:t>Introducción</w:t>
            </w:r>
            <w:r w:rsidR="00D14A66">
              <w:rPr>
                <w:spacing w:val="60"/>
                <w:sz w:val="17"/>
              </w:rPr>
              <w:tab/>
            </w:r>
          </w:p>
        </w:tc>
        <w:tc>
          <w:tcPr>
            <w:tcW w:w="792" w:type="dxa"/>
            <w:shd w:val="clear" w:color="auto" w:fill="auto"/>
            <w:vAlign w:val="bottom"/>
          </w:tcPr>
          <w:p w14:paraId="4ED92CAD" w14:textId="3953AD25" w:rsidR="00EA5B2D" w:rsidRPr="00EA5B2D" w:rsidRDefault="00C876FA" w:rsidP="00EA5B2D">
            <w:pPr>
              <w:spacing w:after="120"/>
              <w:jc w:val="right"/>
            </w:pPr>
            <w:r>
              <w:t>4</w:t>
            </w:r>
          </w:p>
        </w:tc>
      </w:tr>
      <w:tr w:rsidR="00EA5B2D" w:rsidRPr="00EA5B2D" w14:paraId="30480A20" w14:textId="77777777" w:rsidTr="00EA5B2D">
        <w:tblPrEx>
          <w:tblCellMar>
            <w:top w:w="0" w:type="dxa"/>
            <w:bottom w:w="0" w:type="dxa"/>
          </w:tblCellMar>
        </w:tblPrEx>
        <w:tc>
          <w:tcPr>
            <w:tcW w:w="9110" w:type="dxa"/>
            <w:gridSpan w:val="3"/>
            <w:shd w:val="clear" w:color="auto" w:fill="auto"/>
          </w:tcPr>
          <w:p w14:paraId="6DF1D7F7" w14:textId="26B7EF67" w:rsidR="00EA5B2D" w:rsidRPr="00EA5B2D" w:rsidRDefault="00EA5B2D" w:rsidP="00EA5B2D">
            <w:pPr>
              <w:pStyle w:val="ListParagraph"/>
              <w:numPr>
                <w:ilvl w:val="0"/>
                <w:numId w:val="2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pPr>
            <w:r>
              <w:tab/>
            </w:r>
            <w:r w:rsidRPr="00EA5B2D">
              <w:t>Información solicitada a través del párrafo 57 de las Observaciones Finales</w:t>
            </w:r>
            <w:r>
              <w:rPr>
                <w:spacing w:val="60"/>
                <w:sz w:val="17"/>
              </w:rPr>
              <w:tab/>
            </w:r>
          </w:p>
        </w:tc>
        <w:tc>
          <w:tcPr>
            <w:tcW w:w="792" w:type="dxa"/>
            <w:shd w:val="clear" w:color="auto" w:fill="auto"/>
            <w:vAlign w:val="bottom"/>
          </w:tcPr>
          <w:p w14:paraId="71F71E08" w14:textId="30DCC8C3" w:rsidR="00EA5B2D" w:rsidRPr="00EA5B2D" w:rsidRDefault="00C876FA" w:rsidP="00EA5B2D">
            <w:pPr>
              <w:spacing w:after="120"/>
              <w:jc w:val="right"/>
            </w:pPr>
            <w:r>
              <w:t>4</w:t>
            </w:r>
          </w:p>
        </w:tc>
      </w:tr>
      <w:tr w:rsidR="00EA5B2D" w:rsidRPr="00EA5B2D" w14:paraId="26505602" w14:textId="77777777" w:rsidTr="00EA5B2D">
        <w:tblPrEx>
          <w:tblCellMar>
            <w:top w:w="0" w:type="dxa"/>
            <w:bottom w:w="0" w:type="dxa"/>
          </w:tblCellMar>
        </w:tblPrEx>
        <w:tc>
          <w:tcPr>
            <w:tcW w:w="9110" w:type="dxa"/>
            <w:gridSpan w:val="3"/>
            <w:shd w:val="clear" w:color="auto" w:fill="auto"/>
          </w:tcPr>
          <w:p w14:paraId="77EF5A7B" w14:textId="2344993F" w:rsidR="00EA5B2D" w:rsidRPr="00EA5B2D" w:rsidRDefault="00EA5B2D" w:rsidP="00EA5B2D">
            <w:pPr>
              <w:pStyle w:val="ListParagraph"/>
              <w:numPr>
                <w:ilvl w:val="1"/>
                <w:numId w:val="2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rsidRPr="00EA5B2D">
              <w:t>Estereotipos discriminatorios y prácticas nocivas</w:t>
            </w:r>
            <w:r>
              <w:rPr>
                <w:spacing w:val="60"/>
                <w:sz w:val="17"/>
              </w:rPr>
              <w:tab/>
            </w:r>
          </w:p>
        </w:tc>
        <w:tc>
          <w:tcPr>
            <w:tcW w:w="792" w:type="dxa"/>
            <w:shd w:val="clear" w:color="auto" w:fill="auto"/>
            <w:vAlign w:val="bottom"/>
          </w:tcPr>
          <w:p w14:paraId="346F20F6" w14:textId="11737F53" w:rsidR="00EA5B2D" w:rsidRPr="00EA5B2D" w:rsidRDefault="00C876FA" w:rsidP="00EA5B2D">
            <w:pPr>
              <w:spacing w:after="120"/>
              <w:jc w:val="right"/>
            </w:pPr>
            <w:r>
              <w:t>4</w:t>
            </w:r>
          </w:p>
        </w:tc>
      </w:tr>
      <w:tr w:rsidR="00EA5B2D" w:rsidRPr="00EA5B2D" w14:paraId="78B2B854" w14:textId="77777777" w:rsidTr="00EA5B2D">
        <w:tblPrEx>
          <w:tblCellMar>
            <w:top w:w="0" w:type="dxa"/>
            <w:bottom w:w="0" w:type="dxa"/>
          </w:tblCellMar>
        </w:tblPrEx>
        <w:tc>
          <w:tcPr>
            <w:tcW w:w="9110" w:type="dxa"/>
            <w:gridSpan w:val="3"/>
            <w:shd w:val="clear" w:color="auto" w:fill="auto"/>
          </w:tcPr>
          <w:p w14:paraId="01CA5478" w14:textId="19B7C55B" w:rsidR="00EA5B2D" w:rsidRPr="00EA5B2D" w:rsidRDefault="00EA5B2D" w:rsidP="00EA5B2D">
            <w:pPr>
              <w:pStyle w:val="ListParagraph"/>
              <w:numPr>
                <w:ilvl w:val="1"/>
                <w:numId w:val="27"/>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EA5B2D">
              <w:t>Violencia de género contra la mujer</w:t>
            </w:r>
            <w:r>
              <w:rPr>
                <w:spacing w:val="60"/>
                <w:sz w:val="17"/>
              </w:rPr>
              <w:tab/>
            </w:r>
          </w:p>
        </w:tc>
        <w:tc>
          <w:tcPr>
            <w:tcW w:w="792" w:type="dxa"/>
            <w:shd w:val="clear" w:color="auto" w:fill="auto"/>
            <w:vAlign w:val="bottom"/>
          </w:tcPr>
          <w:p w14:paraId="4A173E02" w14:textId="08CBD889" w:rsidR="00EA5B2D" w:rsidRPr="00EA5B2D" w:rsidRDefault="00C876FA" w:rsidP="00EA5B2D">
            <w:pPr>
              <w:spacing w:after="120"/>
              <w:jc w:val="right"/>
            </w:pPr>
            <w:r>
              <w:t>5</w:t>
            </w:r>
          </w:p>
        </w:tc>
      </w:tr>
      <w:tr w:rsidR="00EA5B2D" w:rsidRPr="00EA5B2D" w14:paraId="3B868C22" w14:textId="77777777" w:rsidTr="00EA5B2D">
        <w:tblPrEx>
          <w:tblCellMar>
            <w:top w:w="0" w:type="dxa"/>
            <w:bottom w:w="0" w:type="dxa"/>
          </w:tblCellMar>
        </w:tblPrEx>
        <w:tc>
          <w:tcPr>
            <w:tcW w:w="9110" w:type="dxa"/>
            <w:gridSpan w:val="3"/>
            <w:shd w:val="clear" w:color="auto" w:fill="auto"/>
          </w:tcPr>
          <w:p w14:paraId="1442CE85" w14:textId="3D756444" w:rsidR="00EA5B2D" w:rsidRPr="00EA5B2D" w:rsidRDefault="00EA5B2D" w:rsidP="00EA5B2D">
            <w:pPr>
              <w:pStyle w:val="ListParagraph"/>
              <w:numPr>
                <w:ilvl w:val="1"/>
                <w:numId w:val="27"/>
              </w:numPr>
              <w:tabs>
                <w:tab w:val="clear" w:pos="1728"/>
                <w:tab w:val="right" w:pos="1080"/>
                <w:tab w:val="left" w:pos="1300"/>
                <w:tab w:val="left" w:pos="1740"/>
                <w:tab w:val="left" w:pos="2180"/>
                <w:tab w:val="left" w:pos="2620"/>
                <w:tab w:val="right" w:leader="dot" w:pos="9245"/>
              </w:tabs>
              <w:spacing w:after="120"/>
            </w:pPr>
            <w:r>
              <w:t>Educación</w:t>
            </w:r>
            <w:r>
              <w:rPr>
                <w:spacing w:val="60"/>
                <w:sz w:val="17"/>
              </w:rPr>
              <w:tab/>
            </w:r>
          </w:p>
        </w:tc>
        <w:tc>
          <w:tcPr>
            <w:tcW w:w="792" w:type="dxa"/>
            <w:shd w:val="clear" w:color="auto" w:fill="auto"/>
            <w:vAlign w:val="bottom"/>
          </w:tcPr>
          <w:p w14:paraId="61F97EE9" w14:textId="62BD6361" w:rsidR="00EA5B2D" w:rsidRPr="00EA5B2D" w:rsidRDefault="00C876FA" w:rsidP="00EA5B2D">
            <w:pPr>
              <w:spacing w:after="120"/>
              <w:jc w:val="right"/>
            </w:pPr>
            <w:r>
              <w:t>7</w:t>
            </w:r>
          </w:p>
        </w:tc>
      </w:tr>
      <w:tr w:rsidR="00EA5B2D" w:rsidRPr="00EA5B2D" w14:paraId="1BAEF9BF" w14:textId="77777777" w:rsidTr="00EA5B2D">
        <w:tblPrEx>
          <w:tblCellMar>
            <w:top w:w="0" w:type="dxa"/>
            <w:bottom w:w="0" w:type="dxa"/>
          </w:tblCellMar>
        </w:tblPrEx>
        <w:tc>
          <w:tcPr>
            <w:tcW w:w="9110" w:type="dxa"/>
            <w:gridSpan w:val="3"/>
            <w:shd w:val="clear" w:color="auto" w:fill="auto"/>
          </w:tcPr>
          <w:p w14:paraId="58C1B47B" w14:textId="7BE24A2A" w:rsidR="00EA5B2D" w:rsidRPr="00EA5B2D" w:rsidRDefault="00EA5B2D" w:rsidP="00EA5B2D">
            <w:pPr>
              <w:pStyle w:val="ListParagraph"/>
              <w:numPr>
                <w:ilvl w:val="1"/>
                <w:numId w:val="27"/>
              </w:numPr>
              <w:tabs>
                <w:tab w:val="clear" w:pos="1728"/>
                <w:tab w:val="right" w:pos="1080"/>
                <w:tab w:val="left" w:pos="1300"/>
                <w:tab w:val="left" w:pos="1740"/>
                <w:tab w:val="left" w:pos="2180"/>
                <w:tab w:val="right" w:leader="dot" w:pos="9245"/>
              </w:tabs>
              <w:spacing w:after="120"/>
            </w:pPr>
            <w:r>
              <w:t>Salud</w:t>
            </w:r>
            <w:r>
              <w:rPr>
                <w:spacing w:val="60"/>
                <w:sz w:val="17"/>
              </w:rPr>
              <w:tab/>
            </w:r>
          </w:p>
        </w:tc>
        <w:tc>
          <w:tcPr>
            <w:tcW w:w="792" w:type="dxa"/>
            <w:shd w:val="clear" w:color="auto" w:fill="auto"/>
            <w:vAlign w:val="bottom"/>
          </w:tcPr>
          <w:p w14:paraId="1A35C40D" w14:textId="6D8641E0" w:rsidR="00EA5B2D" w:rsidRPr="00EA5B2D" w:rsidRDefault="00C876FA" w:rsidP="00EA5B2D">
            <w:pPr>
              <w:spacing w:after="120"/>
              <w:jc w:val="right"/>
            </w:pPr>
            <w:r>
              <w:t>9</w:t>
            </w:r>
          </w:p>
        </w:tc>
      </w:tr>
      <w:tr w:rsidR="00EA5B2D" w:rsidRPr="00EA5B2D" w14:paraId="126E5A67" w14:textId="77777777" w:rsidTr="00EA5B2D">
        <w:tblPrEx>
          <w:tblCellMar>
            <w:top w:w="0" w:type="dxa"/>
            <w:bottom w:w="0" w:type="dxa"/>
          </w:tblCellMar>
        </w:tblPrEx>
        <w:tc>
          <w:tcPr>
            <w:tcW w:w="9110" w:type="dxa"/>
            <w:gridSpan w:val="3"/>
            <w:shd w:val="clear" w:color="auto" w:fill="auto"/>
          </w:tcPr>
          <w:p w14:paraId="4EB6D918" w14:textId="0F2F43B1" w:rsidR="00EA5B2D" w:rsidRPr="00EA5B2D" w:rsidRDefault="00EA5B2D" w:rsidP="00EA5B2D">
            <w:pPr>
              <w:pStyle w:val="ListParagraph"/>
              <w:numPr>
                <w:ilvl w:val="0"/>
                <w:numId w:val="27"/>
              </w:numPr>
              <w:tabs>
                <w:tab w:val="clear" w:pos="1296"/>
                <w:tab w:val="right" w:pos="1080"/>
                <w:tab w:val="left" w:pos="1300"/>
                <w:tab w:val="left" w:pos="1740"/>
                <w:tab w:val="left" w:pos="2180"/>
                <w:tab w:val="right" w:leader="dot" w:pos="9245"/>
              </w:tabs>
              <w:spacing w:after="120"/>
            </w:pPr>
            <w:r>
              <w:tab/>
              <w:t>Conclusiones</w:t>
            </w:r>
            <w:r>
              <w:rPr>
                <w:spacing w:val="60"/>
                <w:sz w:val="17"/>
              </w:rPr>
              <w:tab/>
            </w:r>
          </w:p>
        </w:tc>
        <w:tc>
          <w:tcPr>
            <w:tcW w:w="792" w:type="dxa"/>
            <w:shd w:val="clear" w:color="auto" w:fill="auto"/>
            <w:vAlign w:val="bottom"/>
          </w:tcPr>
          <w:p w14:paraId="57B33E6A" w14:textId="3F589560" w:rsidR="00EA5B2D" w:rsidRPr="00EA5B2D" w:rsidRDefault="00C876FA" w:rsidP="00EA5B2D">
            <w:pPr>
              <w:spacing w:after="120"/>
              <w:jc w:val="right"/>
            </w:pPr>
            <w:r>
              <w:t>10</w:t>
            </w:r>
          </w:p>
        </w:tc>
      </w:tr>
    </w:tbl>
    <w:p w14:paraId="1F81AC6A" w14:textId="4BE22251" w:rsidR="00EA5B2D" w:rsidRPr="00EA5B2D" w:rsidRDefault="00EA5B2D" w:rsidP="00EA5B2D"/>
    <w:p w14:paraId="7F7EC237" w14:textId="77777777" w:rsidR="00EA5B2D" w:rsidRDefault="00EA5B2D" w:rsidP="00EA5B2D">
      <w:pPr>
        <w:pStyle w:val="SingleTxt"/>
      </w:pPr>
    </w:p>
    <w:p w14:paraId="06AE759A" w14:textId="77777777" w:rsidR="00EA5B2D" w:rsidRDefault="00EA5B2D" w:rsidP="00EA5B2D">
      <w:pPr>
        <w:pStyle w:val="SingleTxt"/>
      </w:pPr>
    </w:p>
    <w:p w14:paraId="1BF01532" w14:textId="77777777" w:rsidR="00EA5B2D" w:rsidRDefault="00EA5B2D" w:rsidP="00EA5B2D">
      <w:pPr>
        <w:pStyle w:val="SingleTxt"/>
      </w:pPr>
    </w:p>
    <w:p w14:paraId="2329EA8F" w14:textId="6DE2414D" w:rsidR="00EA5B2D" w:rsidRPr="00EA5B2D" w:rsidRDefault="00EA5B2D" w:rsidP="00EA5B2D">
      <w:pPr>
        <w:pStyle w:val="SingleTxt"/>
      </w:pPr>
      <w:r w:rsidRPr="00EA5B2D">
        <w:br w:type="page"/>
      </w:r>
    </w:p>
    <w:p w14:paraId="1A182CDE" w14:textId="43320734" w:rsidR="00EA5B2D" w:rsidRPr="00EA5B2D" w:rsidRDefault="003F5FFD" w:rsidP="003F5F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A5B2D" w:rsidRPr="00EA5B2D">
        <w:t>Siglas y abreviaturas</w:t>
      </w:r>
    </w:p>
    <w:p w14:paraId="2C7E0DFA" w14:textId="77777777" w:rsidR="00EA5B2D" w:rsidRPr="003F5FFD" w:rsidRDefault="00EA5B2D" w:rsidP="003F5FFD">
      <w:pPr>
        <w:pStyle w:val="SingleTxt"/>
        <w:spacing w:after="0" w:line="120" w:lineRule="exact"/>
        <w:rPr>
          <w:sz w:val="10"/>
        </w:rPr>
      </w:pPr>
    </w:p>
    <w:p w14:paraId="6ECBAF93" w14:textId="77777777" w:rsidR="003F5FFD" w:rsidRPr="003F5FFD" w:rsidRDefault="003F5FFD" w:rsidP="003F5FFD">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1620"/>
        <w:gridCol w:w="5808"/>
      </w:tblGrid>
      <w:tr w:rsidR="009B1643" w:rsidRPr="003F5FFD" w14:paraId="3DDFBE32" w14:textId="77777777" w:rsidTr="00C876FA">
        <w:tblPrEx>
          <w:tblCellMar>
            <w:top w:w="0" w:type="dxa"/>
            <w:bottom w:w="0" w:type="dxa"/>
          </w:tblCellMar>
        </w:tblPrEx>
        <w:tc>
          <w:tcPr>
            <w:tcW w:w="1620" w:type="dxa"/>
            <w:shd w:val="clear" w:color="auto" w:fill="auto"/>
          </w:tcPr>
          <w:p w14:paraId="13B29EBB" w14:textId="77777777" w:rsidR="009B1643" w:rsidRPr="003F5FFD" w:rsidRDefault="009B1643" w:rsidP="003F5FFD">
            <w:pPr>
              <w:tabs>
                <w:tab w:val="left" w:pos="288"/>
                <w:tab w:val="left" w:pos="576"/>
                <w:tab w:val="left" w:pos="864"/>
                <w:tab w:val="left" w:pos="1152"/>
              </w:tabs>
              <w:spacing w:before="40" w:after="80"/>
              <w:ind w:right="40"/>
            </w:pPr>
            <w:r w:rsidRPr="00EA5B2D">
              <w:rPr>
                <w:kern w:val="14"/>
                <w:lang w:val="es-MX"/>
              </w:rPr>
              <w:t>AURORA</w:t>
            </w:r>
          </w:p>
        </w:tc>
        <w:tc>
          <w:tcPr>
            <w:tcW w:w="5808" w:type="dxa"/>
            <w:shd w:val="clear" w:color="auto" w:fill="auto"/>
          </w:tcPr>
          <w:p w14:paraId="46802A33" w14:textId="77777777" w:rsidR="009B1643" w:rsidRPr="003F5FFD" w:rsidRDefault="009B1643" w:rsidP="003F5FFD">
            <w:pPr>
              <w:tabs>
                <w:tab w:val="left" w:pos="288"/>
                <w:tab w:val="left" w:pos="576"/>
                <w:tab w:val="left" w:pos="864"/>
                <w:tab w:val="left" w:pos="1152"/>
              </w:tabs>
              <w:spacing w:before="40" w:after="80"/>
              <w:ind w:right="40"/>
            </w:pPr>
            <w:r w:rsidRPr="00EA5B2D">
              <w:rPr>
                <w:lang w:val="es-MX"/>
              </w:rPr>
              <w:t>Programa Nacional para la Prevención y Erradicación de la Violencia</w:t>
            </w:r>
            <w:r>
              <w:rPr>
                <w:lang w:val="es-MX"/>
              </w:rPr>
              <w:t xml:space="preserve"> </w:t>
            </w:r>
            <w:r w:rsidRPr="00EA5B2D">
              <w:rPr>
                <w:lang w:val="es-MX"/>
              </w:rPr>
              <w:t>contra las Mujeres e Integrantes del Grupo Familiar</w:t>
            </w:r>
          </w:p>
        </w:tc>
      </w:tr>
      <w:tr w:rsidR="009B1643" w:rsidRPr="003F5FFD" w14:paraId="6FAA578E" w14:textId="77777777" w:rsidTr="00C876FA">
        <w:tblPrEx>
          <w:tblCellMar>
            <w:top w:w="0" w:type="dxa"/>
            <w:bottom w:w="0" w:type="dxa"/>
          </w:tblCellMar>
        </w:tblPrEx>
        <w:tc>
          <w:tcPr>
            <w:tcW w:w="1620" w:type="dxa"/>
            <w:shd w:val="clear" w:color="auto" w:fill="auto"/>
          </w:tcPr>
          <w:p w14:paraId="4B904B92" w14:textId="77777777" w:rsidR="009B1643" w:rsidRPr="003F5FFD" w:rsidRDefault="009B1643" w:rsidP="003F5FFD">
            <w:pPr>
              <w:tabs>
                <w:tab w:val="left" w:pos="288"/>
                <w:tab w:val="left" w:pos="576"/>
                <w:tab w:val="left" w:pos="864"/>
                <w:tab w:val="left" w:pos="1152"/>
              </w:tabs>
              <w:spacing w:before="40" w:after="80"/>
              <w:ind w:right="40"/>
            </w:pPr>
            <w:r w:rsidRPr="00EA5B2D">
              <w:rPr>
                <w:kern w:val="14"/>
                <w:lang w:val="es-MX"/>
              </w:rPr>
              <w:t>CR</w:t>
            </w:r>
          </w:p>
        </w:tc>
        <w:tc>
          <w:tcPr>
            <w:tcW w:w="5808" w:type="dxa"/>
            <w:shd w:val="clear" w:color="auto" w:fill="auto"/>
          </w:tcPr>
          <w:p w14:paraId="79AFFDD9" w14:textId="77777777" w:rsidR="009B1643" w:rsidRPr="003F5FFD" w:rsidRDefault="009B1643" w:rsidP="003F5FFD">
            <w:pPr>
              <w:tabs>
                <w:tab w:val="left" w:pos="288"/>
                <w:tab w:val="left" w:pos="576"/>
                <w:tab w:val="left" w:pos="864"/>
                <w:tab w:val="left" w:pos="1152"/>
              </w:tabs>
              <w:spacing w:before="40" w:after="80"/>
              <w:ind w:right="40"/>
            </w:pPr>
            <w:r w:rsidRPr="00EA5B2D">
              <w:rPr>
                <w:kern w:val="14"/>
                <w:lang w:val="es-MX"/>
              </w:rPr>
              <w:t>Congreso de la República</w:t>
            </w:r>
          </w:p>
        </w:tc>
      </w:tr>
      <w:tr w:rsidR="009B1643" w:rsidRPr="003F5FFD" w14:paraId="58BEB6C8" w14:textId="77777777" w:rsidTr="00C876FA">
        <w:tblPrEx>
          <w:tblCellMar>
            <w:top w:w="0" w:type="dxa"/>
            <w:bottom w:w="0" w:type="dxa"/>
          </w:tblCellMar>
        </w:tblPrEx>
        <w:tc>
          <w:tcPr>
            <w:tcW w:w="1620" w:type="dxa"/>
            <w:shd w:val="clear" w:color="auto" w:fill="auto"/>
          </w:tcPr>
          <w:p w14:paraId="74EDC7D0" w14:textId="77777777" w:rsidR="009B1643" w:rsidRPr="003F5FFD" w:rsidRDefault="009B1643" w:rsidP="003F5FFD">
            <w:pPr>
              <w:tabs>
                <w:tab w:val="left" w:pos="288"/>
                <w:tab w:val="left" w:pos="576"/>
                <w:tab w:val="left" w:pos="864"/>
                <w:tab w:val="left" w:pos="1152"/>
              </w:tabs>
              <w:spacing w:before="40" w:after="80"/>
              <w:ind w:right="40"/>
            </w:pPr>
            <w:r w:rsidRPr="00EA5B2D">
              <w:rPr>
                <w:kern w:val="14"/>
                <w:lang w:val="es-MX"/>
              </w:rPr>
              <w:t>ESI</w:t>
            </w:r>
          </w:p>
        </w:tc>
        <w:tc>
          <w:tcPr>
            <w:tcW w:w="5808" w:type="dxa"/>
            <w:shd w:val="clear" w:color="auto" w:fill="auto"/>
          </w:tcPr>
          <w:p w14:paraId="61175FAF" w14:textId="77777777" w:rsidR="009B1643" w:rsidRPr="003F5FFD" w:rsidRDefault="009B1643" w:rsidP="009B1643">
            <w:pPr>
              <w:tabs>
                <w:tab w:val="left" w:pos="288"/>
                <w:tab w:val="left" w:pos="576"/>
                <w:tab w:val="left" w:pos="864"/>
                <w:tab w:val="left" w:pos="1152"/>
              </w:tabs>
              <w:spacing w:before="40" w:after="80"/>
              <w:ind w:right="40"/>
            </w:pPr>
            <w:r w:rsidRPr="009B1643">
              <w:rPr>
                <w:lang w:val="es-MX"/>
              </w:rPr>
              <w:t>Educación Sexual Integral</w:t>
            </w:r>
          </w:p>
        </w:tc>
      </w:tr>
      <w:tr w:rsidR="009B1643" w:rsidRPr="003F5FFD" w14:paraId="798E5343" w14:textId="77777777" w:rsidTr="00C876FA">
        <w:tblPrEx>
          <w:tblCellMar>
            <w:top w:w="0" w:type="dxa"/>
            <w:bottom w:w="0" w:type="dxa"/>
          </w:tblCellMar>
        </w:tblPrEx>
        <w:tc>
          <w:tcPr>
            <w:tcW w:w="1620" w:type="dxa"/>
            <w:shd w:val="clear" w:color="auto" w:fill="auto"/>
          </w:tcPr>
          <w:p w14:paraId="2776FA50" w14:textId="77777777" w:rsidR="009B1643" w:rsidRPr="003F5FFD" w:rsidRDefault="009B1643" w:rsidP="003F5FFD">
            <w:pPr>
              <w:tabs>
                <w:tab w:val="left" w:pos="288"/>
                <w:tab w:val="left" w:pos="576"/>
                <w:tab w:val="left" w:pos="864"/>
                <w:tab w:val="left" w:pos="1152"/>
              </w:tabs>
              <w:spacing w:before="40" w:after="80"/>
              <w:ind w:right="40"/>
            </w:pPr>
            <w:r w:rsidRPr="00EA5B2D">
              <w:rPr>
                <w:kern w:val="14"/>
                <w:lang w:val="es-MX"/>
              </w:rPr>
              <w:t>MIMP</w:t>
            </w:r>
          </w:p>
        </w:tc>
        <w:tc>
          <w:tcPr>
            <w:tcW w:w="5808" w:type="dxa"/>
            <w:shd w:val="clear" w:color="auto" w:fill="auto"/>
          </w:tcPr>
          <w:p w14:paraId="1A6D98DF" w14:textId="77777777" w:rsidR="009B1643" w:rsidRPr="003F5FFD" w:rsidRDefault="009B1643" w:rsidP="003F5FFD">
            <w:pPr>
              <w:tabs>
                <w:tab w:val="left" w:pos="288"/>
                <w:tab w:val="left" w:pos="576"/>
                <w:tab w:val="left" w:pos="864"/>
                <w:tab w:val="left" w:pos="1152"/>
              </w:tabs>
              <w:spacing w:before="40" w:after="80"/>
              <w:ind w:right="40"/>
            </w:pPr>
            <w:r w:rsidRPr="00EA5B2D">
              <w:rPr>
                <w:kern w:val="14"/>
                <w:lang w:val="es-MX"/>
              </w:rPr>
              <w:t>Ministerio de la Mujer y Poblaciones Vulnerables</w:t>
            </w:r>
          </w:p>
        </w:tc>
      </w:tr>
      <w:tr w:rsidR="009B1643" w:rsidRPr="003F5FFD" w14:paraId="00BEFB33" w14:textId="77777777" w:rsidTr="00C876FA">
        <w:tblPrEx>
          <w:tblCellMar>
            <w:top w:w="0" w:type="dxa"/>
            <w:bottom w:w="0" w:type="dxa"/>
          </w:tblCellMar>
        </w:tblPrEx>
        <w:tc>
          <w:tcPr>
            <w:tcW w:w="1620" w:type="dxa"/>
            <w:shd w:val="clear" w:color="auto" w:fill="auto"/>
          </w:tcPr>
          <w:p w14:paraId="641D30A4" w14:textId="77777777" w:rsidR="009B1643" w:rsidRPr="003F5FFD" w:rsidRDefault="009B1643" w:rsidP="003F5FFD">
            <w:pPr>
              <w:tabs>
                <w:tab w:val="left" w:pos="288"/>
                <w:tab w:val="left" w:pos="576"/>
                <w:tab w:val="left" w:pos="864"/>
                <w:tab w:val="left" w:pos="1152"/>
              </w:tabs>
              <w:spacing w:before="40" w:after="80"/>
              <w:ind w:right="40"/>
            </w:pPr>
            <w:r w:rsidRPr="00EA5B2D">
              <w:rPr>
                <w:kern w:val="14"/>
                <w:lang w:val="es-MX"/>
              </w:rPr>
              <w:t>MINEDU</w:t>
            </w:r>
          </w:p>
        </w:tc>
        <w:tc>
          <w:tcPr>
            <w:tcW w:w="5808" w:type="dxa"/>
            <w:shd w:val="clear" w:color="auto" w:fill="auto"/>
          </w:tcPr>
          <w:p w14:paraId="4EDFF4CB" w14:textId="77777777" w:rsidR="009B1643" w:rsidRPr="003F5FFD" w:rsidRDefault="009B1643" w:rsidP="003F5FFD">
            <w:pPr>
              <w:tabs>
                <w:tab w:val="left" w:pos="288"/>
                <w:tab w:val="left" w:pos="576"/>
                <w:tab w:val="left" w:pos="864"/>
                <w:tab w:val="left" w:pos="1152"/>
              </w:tabs>
              <w:spacing w:before="40" w:after="80"/>
              <w:ind w:right="40"/>
            </w:pPr>
            <w:r w:rsidRPr="00EA5B2D">
              <w:rPr>
                <w:kern w:val="14"/>
                <w:lang w:val="es-MX"/>
              </w:rPr>
              <w:t>Ministerio de Educación</w:t>
            </w:r>
          </w:p>
        </w:tc>
      </w:tr>
      <w:tr w:rsidR="009B1643" w:rsidRPr="003F5FFD" w14:paraId="1614A6A6" w14:textId="77777777" w:rsidTr="00C876FA">
        <w:tblPrEx>
          <w:tblCellMar>
            <w:top w:w="0" w:type="dxa"/>
            <w:bottom w:w="0" w:type="dxa"/>
          </w:tblCellMar>
        </w:tblPrEx>
        <w:tc>
          <w:tcPr>
            <w:tcW w:w="1620" w:type="dxa"/>
            <w:shd w:val="clear" w:color="auto" w:fill="auto"/>
          </w:tcPr>
          <w:p w14:paraId="39B772C6" w14:textId="77777777" w:rsidR="009B1643" w:rsidRPr="003F5FFD" w:rsidRDefault="009B1643" w:rsidP="003F5FFD">
            <w:pPr>
              <w:tabs>
                <w:tab w:val="left" w:pos="288"/>
                <w:tab w:val="left" w:pos="576"/>
                <w:tab w:val="left" w:pos="864"/>
                <w:tab w:val="left" w:pos="1152"/>
              </w:tabs>
              <w:spacing w:before="40" w:after="80"/>
              <w:ind w:right="40"/>
            </w:pPr>
            <w:r w:rsidRPr="00EA5B2D">
              <w:rPr>
                <w:kern w:val="14"/>
                <w:lang w:val="es-MX"/>
              </w:rPr>
              <w:t>MINSA</w:t>
            </w:r>
          </w:p>
        </w:tc>
        <w:tc>
          <w:tcPr>
            <w:tcW w:w="5808" w:type="dxa"/>
            <w:shd w:val="clear" w:color="auto" w:fill="auto"/>
          </w:tcPr>
          <w:p w14:paraId="4DBAE5F4" w14:textId="77777777" w:rsidR="009B1643" w:rsidRPr="003F5FFD" w:rsidRDefault="009B1643" w:rsidP="003F5FFD">
            <w:pPr>
              <w:tabs>
                <w:tab w:val="left" w:pos="288"/>
                <w:tab w:val="left" w:pos="576"/>
                <w:tab w:val="left" w:pos="864"/>
                <w:tab w:val="left" w:pos="1152"/>
              </w:tabs>
              <w:spacing w:before="40" w:after="80"/>
              <w:ind w:right="40"/>
            </w:pPr>
            <w:r w:rsidRPr="00EA5B2D">
              <w:rPr>
                <w:kern w:val="14"/>
                <w:lang w:val="es-MX"/>
              </w:rPr>
              <w:t>Ministerio de Salud</w:t>
            </w:r>
          </w:p>
        </w:tc>
      </w:tr>
      <w:tr w:rsidR="009B1643" w:rsidRPr="003F5FFD" w14:paraId="33D80B37" w14:textId="77777777" w:rsidTr="00C876FA">
        <w:tblPrEx>
          <w:tblCellMar>
            <w:top w:w="0" w:type="dxa"/>
            <w:bottom w:w="0" w:type="dxa"/>
          </w:tblCellMar>
        </w:tblPrEx>
        <w:tc>
          <w:tcPr>
            <w:tcW w:w="1620" w:type="dxa"/>
            <w:shd w:val="clear" w:color="auto" w:fill="auto"/>
          </w:tcPr>
          <w:p w14:paraId="3149DC16" w14:textId="77777777" w:rsidR="009B1643" w:rsidRPr="003F5FFD" w:rsidRDefault="009B1643" w:rsidP="003F5FFD">
            <w:pPr>
              <w:tabs>
                <w:tab w:val="left" w:pos="288"/>
                <w:tab w:val="left" w:pos="576"/>
                <w:tab w:val="left" w:pos="864"/>
                <w:tab w:val="left" w:pos="1152"/>
              </w:tabs>
              <w:spacing w:before="40" w:after="80"/>
              <w:ind w:right="40"/>
            </w:pPr>
            <w:r w:rsidRPr="00EA5B2D">
              <w:rPr>
                <w:kern w:val="14"/>
                <w:lang w:val="es-MX"/>
              </w:rPr>
              <w:t>MPFN</w:t>
            </w:r>
          </w:p>
        </w:tc>
        <w:tc>
          <w:tcPr>
            <w:tcW w:w="5808" w:type="dxa"/>
            <w:shd w:val="clear" w:color="auto" w:fill="auto"/>
          </w:tcPr>
          <w:p w14:paraId="798D1127" w14:textId="77777777" w:rsidR="009B1643" w:rsidRPr="003F5FFD" w:rsidRDefault="009B1643" w:rsidP="003F5FFD">
            <w:pPr>
              <w:tabs>
                <w:tab w:val="left" w:pos="288"/>
                <w:tab w:val="left" w:pos="576"/>
                <w:tab w:val="left" w:pos="864"/>
                <w:tab w:val="left" w:pos="1152"/>
              </w:tabs>
              <w:spacing w:before="40" w:after="80"/>
              <w:ind w:right="40"/>
            </w:pPr>
            <w:r w:rsidRPr="00EA5B2D">
              <w:rPr>
                <w:kern w:val="14"/>
                <w:lang w:val="es-MX"/>
              </w:rPr>
              <w:t>Ministerio Público – Fiscalía de la Nación</w:t>
            </w:r>
          </w:p>
        </w:tc>
      </w:tr>
      <w:tr w:rsidR="009B1643" w:rsidRPr="003F5FFD" w14:paraId="6E6B6829" w14:textId="77777777" w:rsidTr="00C876FA">
        <w:tblPrEx>
          <w:tblCellMar>
            <w:top w:w="0" w:type="dxa"/>
            <w:bottom w:w="0" w:type="dxa"/>
          </w:tblCellMar>
        </w:tblPrEx>
        <w:tc>
          <w:tcPr>
            <w:tcW w:w="1620" w:type="dxa"/>
            <w:shd w:val="clear" w:color="auto" w:fill="auto"/>
          </w:tcPr>
          <w:p w14:paraId="0233152D" w14:textId="77777777" w:rsidR="009B1643" w:rsidRPr="003F5FFD" w:rsidRDefault="009B1643" w:rsidP="003F5FFD">
            <w:pPr>
              <w:tabs>
                <w:tab w:val="left" w:pos="288"/>
                <w:tab w:val="left" w:pos="576"/>
                <w:tab w:val="left" w:pos="864"/>
                <w:tab w:val="left" w:pos="1152"/>
              </w:tabs>
              <w:spacing w:before="40" w:after="80"/>
              <w:ind w:right="40"/>
            </w:pPr>
            <w:r w:rsidRPr="00EA5B2D">
              <w:rPr>
                <w:kern w:val="14"/>
                <w:lang w:val="es-MX"/>
              </w:rPr>
              <w:t>NNA</w:t>
            </w:r>
          </w:p>
        </w:tc>
        <w:tc>
          <w:tcPr>
            <w:tcW w:w="5808" w:type="dxa"/>
            <w:shd w:val="clear" w:color="auto" w:fill="auto"/>
          </w:tcPr>
          <w:p w14:paraId="7CC00ACD" w14:textId="77777777" w:rsidR="009B1643" w:rsidRPr="003F5FFD" w:rsidRDefault="009B1643" w:rsidP="003F5FFD">
            <w:pPr>
              <w:tabs>
                <w:tab w:val="left" w:pos="288"/>
                <w:tab w:val="left" w:pos="576"/>
                <w:tab w:val="left" w:pos="864"/>
                <w:tab w:val="left" w:pos="1152"/>
              </w:tabs>
              <w:spacing w:before="40" w:after="80"/>
              <w:ind w:right="40"/>
            </w:pPr>
            <w:r w:rsidRPr="00EA5B2D">
              <w:rPr>
                <w:kern w:val="14"/>
                <w:lang w:val="es-MX"/>
              </w:rPr>
              <w:t>Niñas, niños y adolescentes</w:t>
            </w:r>
          </w:p>
        </w:tc>
      </w:tr>
      <w:tr w:rsidR="009B1643" w:rsidRPr="003F5FFD" w14:paraId="45D069C8" w14:textId="77777777" w:rsidTr="00C876FA">
        <w:tblPrEx>
          <w:tblCellMar>
            <w:top w:w="0" w:type="dxa"/>
            <w:bottom w:w="0" w:type="dxa"/>
          </w:tblCellMar>
        </w:tblPrEx>
        <w:tc>
          <w:tcPr>
            <w:tcW w:w="1620" w:type="dxa"/>
            <w:shd w:val="clear" w:color="auto" w:fill="auto"/>
          </w:tcPr>
          <w:p w14:paraId="2987F03F" w14:textId="77777777" w:rsidR="009B1643" w:rsidRPr="003F5FFD" w:rsidRDefault="009B1643" w:rsidP="003F5FFD">
            <w:pPr>
              <w:tabs>
                <w:tab w:val="left" w:pos="288"/>
                <w:tab w:val="left" w:pos="576"/>
                <w:tab w:val="left" w:pos="864"/>
                <w:tab w:val="left" w:pos="1152"/>
              </w:tabs>
              <w:spacing w:before="40" w:after="80"/>
              <w:ind w:right="40"/>
            </w:pPr>
            <w:r w:rsidRPr="00EA5B2D">
              <w:rPr>
                <w:kern w:val="14"/>
                <w:lang w:val="es-MX"/>
              </w:rPr>
              <w:t>PE</w:t>
            </w:r>
          </w:p>
        </w:tc>
        <w:tc>
          <w:tcPr>
            <w:tcW w:w="5808" w:type="dxa"/>
            <w:shd w:val="clear" w:color="auto" w:fill="auto"/>
          </w:tcPr>
          <w:p w14:paraId="5F186465" w14:textId="77777777" w:rsidR="009B1643" w:rsidRPr="003F5FFD" w:rsidRDefault="009B1643" w:rsidP="003F5FFD">
            <w:pPr>
              <w:tabs>
                <w:tab w:val="left" w:pos="288"/>
                <w:tab w:val="left" w:pos="576"/>
                <w:tab w:val="left" w:pos="864"/>
                <w:tab w:val="left" w:pos="1152"/>
              </w:tabs>
              <w:spacing w:before="40" w:after="80"/>
              <w:ind w:right="40"/>
            </w:pPr>
            <w:r w:rsidRPr="00EA5B2D">
              <w:rPr>
                <w:kern w:val="14"/>
                <w:lang w:val="es-MX"/>
              </w:rPr>
              <w:t>Poder Ejecutivo</w:t>
            </w:r>
          </w:p>
        </w:tc>
      </w:tr>
      <w:tr w:rsidR="009B1643" w:rsidRPr="003F5FFD" w14:paraId="09B6A298" w14:textId="77777777" w:rsidTr="00C876FA">
        <w:tblPrEx>
          <w:tblCellMar>
            <w:top w:w="0" w:type="dxa"/>
            <w:bottom w:w="0" w:type="dxa"/>
          </w:tblCellMar>
        </w:tblPrEx>
        <w:tc>
          <w:tcPr>
            <w:tcW w:w="1620" w:type="dxa"/>
            <w:shd w:val="clear" w:color="auto" w:fill="auto"/>
          </w:tcPr>
          <w:p w14:paraId="6776F77E" w14:textId="77777777" w:rsidR="009B1643" w:rsidRPr="003F5FFD" w:rsidRDefault="009B1643" w:rsidP="003F5FFD">
            <w:pPr>
              <w:tabs>
                <w:tab w:val="left" w:pos="288"/>
                <w:tab w:val="left" w:pos="576"/>
                <w:tab w:val="left" w:pos="864"/>
                <w:tab w:val="left" w:pos="1152"/>
              </w:tabs>
              <w:spacing w:before="40" w:after="80"/>
              <w:ind w:right="40"/>
            </w:pPr>
            <w:r w:rsidRPr="00EA5B2D">
              <w:rPr>
                <w:kern w:val="14"/>
                <w:lang w:val="es-MX"/>
              </w:rPr>
              <w:t>PJ</w:t>
            </w:r>
          </w:p>
        </w:tc>
        <w:tc>
          <w:tcPr>
            <w:tcW w:w="5808" w:type="dxa"/>
            <w:shd w:val="clear" w:color="auto" w:fill="auto"/>
          </w:tcPr>
          <w:p w14:paraId="5A0194CF" w14:textId="77777777" w:rsidR="009B1643" w:rsidRPr="003F5FFD" w:rsidRDefault="009B1643" w:rsidP="003F5FFD">
            <w:pPr>
              <w:tabs>
                <w:tab w:val="left" w:pos="288"/>
                <w:tab w:val="left" w:pos="576"/>
                <w:tab w:val="left" w:pos="864"/>
                <w:tab w:val="left" w:pos="1152"/>
              </w:tabs>
              <w:spacing w:before="40" w:after="80"/>
              <w:ind w:right="40"/>
            </w:pPr>
            <w:r w:rsidRPr="00EA5B2D">
              <w:rPr>
                <w:kern w:val="14"/>
                <w:lang w:val="es-MX"/>
              </w:rPr>
              <w:t>Poder Judicial</w:t>
            </w:r>
          </w:p>
        </w:tc>
      </w:tr>
      <w:tr w:rsidR="009B1643" w:rsidRPr="003F5FFD" w14:paraId="7B925993" w14:textId="77777777" w:rsidTr="00C876FA">
        <w:tblPrEx>
          <w:tblCellMar>
            <w:top w:w="0" w:type="dxa"/>
            <w:bottom w:w="0" w:type="dxa"/>
          </w:tblCellMar>
        </w:tblPrEx>
        <w:tc>
          <w:tcPr>
            <w:tcW w:w="1620" w:type="dxa"/>
            <w:shd w:val="clear" w:color="auto" w:fill="auto"/>
          </w:tcPr>
          <w:p w14:paraId="3E884915" w14:textId="77777777" w:rsidR="009B1643" w:rsidRPr="003F5FFD" w:rsidRDefault="009B1643" w:rsidP="003F5FFD">
            <w:pPr>
              <w:tabs>
                <w:tab w:val="left" w:pos="288"/>
                <w:tab w:val="left" w:pos="576"/>
                <w:tab w:val="left" w:pos="864"/>
                <w:tab w:val="left" w:pos="1152"/>
              </w:tabs>
              <w:spacing w:before="40" w:after="80"/>
              <w:ind w:right="40"/>
            </w:pPr>
            <w:r w:rsidRPr="00EA5B2D">
              <w:rPr>
                <w:kern w:val="14"/>
                <w:lang w:val="es-MX"/>
              </w:rPr>
              <w:t>RENIEC</w:t>
            </w:r>
          </w:p>
        </w:tc>
        <w:tc>
          <w:tcPr>
            <w:tcW w:w="5808" w:type="dxa"/>
            <w:shd w:val="clear" w:color="auto" w:fill="auto"/>
          </w:tcPr>
          <w:p w14:paraId="0D687663" w14:textId="77777777" w:rsidR="009B1643" w:rsidRPr="003F5FFD" w:rsidRDefault="009B1643" w:rsidP="003F5FFD">
            <w:pPr>
              <w:tabs>
                <w:tab w:val="left" w:pos="288"/>
                <w:tab w:val="left" w:pos="576"/>
                <w:tab w:val="left" w:pos="864"/>
                <w:tab w:val="left" w:pos="1152"/>
              </w:tabs>
              <w:spacing w:before="40" w:after="80"/>
              <w:ind w:right="40"/>
            </w:pPr>
            <w:r w:rsidRPr="00EA5B2D">
              <w:rPr>
                <w:kern w:val="14"/>
                <w:lang w:val="es-MX"/>
              </w:rPr>
              <w:t>Registro Nacional de Identificación y Estado Civil</w:t>
            </w:r>
          </w:p>
        </w:tc>
      </w:tr>
      <w:tr w:rsidR="009B1643" w:rsidRPr="003F5FFD" w14:paraId="4CD9732A" w14:textId="77777777" w:rsidTr="00C876FA">
        <w:tblPrEx>
          <w:tblCellMar>
            <w:top w:w="0" w:type="dxa"/>
            <w:bottom w:w="0" w:type="dxa"/>
          </w:tblCellMar>
        </w:tblPrEx>
        <w:tc>
          <w:tcPr>
            <w:tcW w:w="1620" w:type="dxa"/>
            <w:shd w:val="clear" w:color="auto" w:fill="auto"/>
          </w:tcPr>
          <w:p w14:paraId="388363A6" w14:textId="77777777" w:rsidR="009B1643" w:rsidRPr="003F5FFD" w:rsidRDefault="009B1643" w:rsidP="003F5FFD">
            <w:pPr>
              <w:tabs>
                <w:tab w:val="left" w:pos="288"/>
                <w:tab w:val="left" w:pos="576"/>
                <w:tab w:val="left" w:pos="864"/>
                <w:tab w:val="left" w:pos="1152"/>
              </w:tabs>
              <w:spacing w:before="40" w:after="80"/>
              <w:ind w:right="40"/>
            </w:pPr>
            <w:r w:rsidRPr="00EA5B2D">
              <w:rPr>
                <w:kern w:val="14"/>
                <w:lang w:val="es-MX"/>
              </w:rPr>
              <w:t>SNEJ</w:t>
            </w:r>
          </w:p>
        </w:tc>
        <w:tc>
          <w:tcPr>
            <w:tcW w:w="5808" w:type="dxa"/>
            <w:shd w:val="clear" w:color="auto" w:fill="auto"/>
          </w:tcPr>
          <w:p w14:paraId="2392ABE7" w14:textId="7910AB20" w:rsidR="009B1643" w:rsidRPr="003F5FFD" w:rsidRDefault="009B1643" w:rsidP="009B1643">
            <w:pPr>
              <w:tabs>
                <w:tab w:val="left" w:pos="288"/>
                <w:tab w:val="left" w:pos="576"/>
                <w:tab w:val="left" w:pos="864"/>
                <w:tab w:val="left" w:pos="1152"/>
              </w:tabs>
              <w:spacing w:before="40" w:after="80"/>
              <w:ind w:right="40"/>
            </w:pPr>
            <w:r w:rsidRPr="00EA5B2D">
              <w:rPr>
                <w:lang w:val="es-MX"/>
              </w:rPr>
              <w:t>Sistema Nacional Especializado de Justicia para la protección y</w:t>
            </w:r>
            <w:r>
              <w:rPr>
                <w:lang w:val="es-MX"/>
              </w:rPr>
              <w:t> </w:t>
            </w:r>
            <w:r w:rsidRPr="00EA5B2D">
              <w:rPr>
                <w:lang w:val="es-MX"/>
              </w:rPr>
              <w:t>sanción</w:t>
            </w:r>
            <w:r>
              <w:rPr>
                <w:lang w:val="es-MX"/>
              </w:rPr>
              <w:t xml:space="preserve"> </w:t>
            </w:r>
            <w:r w:rsidRPr="00EA5B2D">
              <w:rPr>
                <w:lang w:val="es-MX"/>
              </w:rPr>
              <w:t>de las mujeres e integrantes del grupo familiar</w:t>
            </w:r>
          </w:p>
        </w:tc>
      </w:tr>
    </w:tbl>
    <w:p w14:paraId="397AB35D" w14:textId="77777777" w:rsidR="003F5FFD" w:rsidRDefault="003F5FFD" w:rsidP="003F5FFD">
      <w:pPr>
        <w:pStyle w:val="SingleTxt"/>
      </w:pPr>
    </w:p>
    <w:p w14:paraId="330B5095" w14:textId="77777777" w:rsidR="003F5FFD" w:rsidRPr="00EA5B2D" w:rsidRDefault="003F5FFD" w:rsidP="003F5FFD">
      <w:pPr>
        <w:pStyle w:val="SingleTxt"/>
      </w:pPr>
    </w:p>
    <w:p w14:paraId="4772DBE4" w14:textId="76FC8B04" w:rsidR="00EA5B2D" w:rsidRPr="00EA5B2D" w:rsidRDefault="00EA5B2D" w:rsidP="00EA5B2D">
      <w:pPr>
        <w:pStyle w:val="SingleTxt"/>
        <w:rPr>
          <w:lang w:val="es-MX"/>
        </w:rPr>
      </w:pPr>
    </w:p>
    <w:p w14:paraId="1C6AA281" w14:textId="77777777" w:rsidR="00EA5B2D" w:rsidRPr="00EA5B2D" w:rsidRDefault="00EA5B2D" w:rsidP="00EA5B2D">
      <w:pPr>
        <w:pStyle w:val="SingleTxt"/>
      </w:pPr>
      <w:r w:rsidRPr="00EA5B2D">
        <w:br w:type="page"/>
      </w:r>
    </w:p>
    <w:p w14:paraId="41E8FF30" w14:textId="77777777" w:rsidR="00EA5B2D" w:rsidRPr="00EA5B2D" w:rsidRDefault="00EA5B2D" w:rsidP="00D14A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bookmarkStart w:id="1" w:name="_heading=h.30j0zll" w:colFirst="0" w:colLast="0"/>
      <w:bookmarkEnd w:id="1"/>
      <w:r w:rsidRPr="00EA5B2D">
        <w:rPr>
          <w:lang w:val="es-MX"/>
        </w:rPr>
        <w:tab/>
        <w:t>I.</w:t>
      </w:r>
      <w:r w:rsidRPr="00EA5B2D">
        <w:rPr>
          <w:lang w:val="es-MX"/>
        </w:rPr>
        <w:tab/>
        <w:t>Introducción</w:t>
      </w:r>
    </w:p>
    <w:p w14:paraId="2403F92E" w14:textId="77777777" w:rsidR="00D14A66" w:rsidRPr="00D14A66" w:rsidRDefault="00D14A66" w:rsidP="00D14A66">
      <w:pPr>
        <w:pStyle w:val="SingleTxt"/>
        <w:spacing w:after="0" w:line="120" w:lineRule="exact"/>
        <w:rPr>
          <w:sz w:val="10"/>
          <w:lang w:val="es-MX"/>
        </w:rPr>
      </w:pPr>
    </w:p>
    <w:p w14:paraId="56E3D10B" w14:textId="77777777" w:rsidR="00D14A66" w:rsidRPr="00D14A66" w:rsidRDefault="00D14A66" w:rsidP="00D14A66">
      <w:pPr>
        <w:pStyle w:val="SingleTxt"/>
        <w:spacing w:after="0" w:line="120" w:lineRule="exact"/>
        <w:rPr>
          <w:sz w:val="10"/>
          <w:lang w:val="es-MX"/>
        </w:rPr>
      </w:pPr>
    </w:p>
    <w:p w14:paraId="2292A37D" w14:textId="477B0E63" w:rsidR="00EA5B2D" w:rsidRPr="00EA5B2D" w:rsidRDefault="00EA5B2D" w:rsidP="00D14A66">
      <w:pPr>
        <w:pStyle w:val="SingleTxt"/>
        <w:numPr>
          <w:ilvl w:val="0"/>
          <w:numId w:val="28"/>
        </w:numPr>
        <w:tabs>
          <w:tab w:val="clear" w:pos="475"/>
          <w:tab w:val="right" w:pos="1022"/>
        </w:tabs>
        <w:ind w:left="1267" w:right="1260"/>
        <w:rPr>
          <w:lang w:val="es-MX"/>
        </w:rPr>
      </w:pPr>
      <w:r w:rsidRPr="00EA5B2D">
        <w:rPr>
          <w:lang w:val="es-MX"/>
        </w:rPr>
        <w:t>El Estado peruano ratificó la Convención sobre la Eliminación de todas las Formas de Discriminación contra la Mujer (CEDAW) el 13 de septiembre de 1982</w:t>
      </w:r>
      <w:r w:rsidRPr="00EA5B2D">
        <w:rPr>
          <w:vertAlign w:val="superscript"/>
          <w:lang w:val="es-MX"/>
        </w:rPr>
        <w:footnoteReference w:id="1"/>
      </w:r>
      <w:r w:rsidRPr="00EA5B2D">
        <w:rPr>
          <w:lang w:val="es-MX"/>
        </w:rPr>
        <w:t>. En cumplimiento de lo dispuesto en el artículo 18° de la Convención, presenta su informe de seguimiento a las Observaciones Finales del Comité para la Eliminación de la Discriminación contra la Mujer al Noveno Informe Periódico del Perú.</w:t>
      </w:r>
    </w:p>
    <w:p w14:paraId="6E96BE16" w14:textId="72002122" w:rsidR="00EA5B2D" w:rsidRPr="00EA5B2D" w:rsidRDefault="00EA5B2D" w:rsidP="00D14A66">
      <w:pPr>
        <w:pStyle w:val="SingleTxt"/>
        <w:numPr>
          <w:ilvl w:val="0"/>
          <w:numId w:val="28"/>
        </w:numPr>
        <w:tabs>
          <w:tab w:val="clear" w:pos="475"/>
          <w:tab w:val="right" w:pos="1022"/>
        </w:tabs>
        <w:ind w:left="1267" w:right="1260"/>
        <w:rPr>
          <w:lang w:val="es-MX"/>
        </w:rPr>
      </w:pPr>
      <w:r w:rsidRPr="00EA5B2D">
        <w:rPr>
          <w:lang w:val="es-MX"/>
        </w:rPr>
        <w:t>Según el párrafo 57 de las Observaciones Finales, la información a reportar debe responder a las recomendaciones de los párrafos 22.b, 24.a, 34.b y 38.c. Así, el documento elaborado aborda de forma concreta los avances y desafíos en la implementación de lo planteado en los párrafos señalados durante el per</w:t>
      </w:r>
      <w:r w:rsidR="00D14A66">
        <w:rPr>
          <w:lang w:val="es-MX"/>
        </w:rPr>
        <w:t>í</w:t>
      </w:r>
      <w:r w:rsidRPr="00EA5B2D">
        <w:rPr>
          <w:lang w:val="es-MX"/>
        </w:rPr>
        <w:t>odo de diciembre de 2021 a julio de 2024.</w:t>
      </w:r>
    </w:p>
    <w:p w14:paraId="28073D5E" w14:textId="77777777" w:rsidR="00EA5B2D" w:rsidRPr="00EA5B2D" w:rsidRDefault="00EA5B2D" w:rsidP="00D14A66">
      <w:pPr>
        <w:pStyle w:val="SingleTxt"/>
        <w:numPr>
          <w:ilvl w:val="0"/>
          <w:numId w:val="28"/>
        </w:numPr>
        <w:tabs>
          <w:tab w:val="clear" w:pos="475"/>
          <w:tab w:val="right" w:pos="1022"/>
        </w:tabs>
        <w:ind w:left="1267" w:right="1260"/>
        <w:rPr>
          <w:lang w:val="es-MX"/>
        </w:rPr>
      </w:pPr>
      <w:r w:rsidRPr="00EA5B2D">
        <w:rPr>
          <w:lang w:val="es-MX"/>
        </w:rPr>
        <w:t>Con fecha 09 de agosto de 2024, el informe fue presentado ante el Consejo Nacional de Derechos Humanos, organismo encargado de emitir opiniones técnicas y brindar asesoramiento al Poder Ejecutivo (PE) en el desarrollo de políticas públicas, programas, proyectos y planes de acción y estrategias en materia de derechos humanos.</w:t>
      </w:r>
    </w:p>
    <w:p w14:paraId="0B1DCA3E" w14:textId="77777777" w:rsidR="00D14A66" w:rsidRPr="00D14A66" w:rsidRDefault="00D14A66" w:rsidP="00D14A66">
      <w:pPr>
        <w:pStyle w:val="SingleTxt"/>
        <w:spacing w:after="0" w:line="120" w:lineRule="exact"/>
        <w:rPr>
          <w:sz w:val="10"/>
          <w:lang w:val="es-MX"/>
        </w:rPr>
      </w:pPr>
    </w:p>
    <w:p w14:paraId="2526C775" w14:textId="77777777" w:rsidR="00D14A66" w:rsidRPr="00D14A66" w:rsidRDefault="00D14A66" w:rsidP="00D14A66">
      <w:pPr>
        <w:pStyle w:val="SingleTxt"/>
        <w:spacing w:after="0" w:line="120" w:lineRule="exact"/>
        <w:rPr>
          <w:sz w:val="10"/>
          <w:lang w:val="es-MX"/>
        </w:rPr>
      </w:pPr>
    </w:p>
    <w:p w14:paraId="38C9FDDD" w14:textId="10E465EC" w:rsidR="00EA5B2D" w:rsidRPr="00EA5B2D" w:rsidRDefault="00EA5B2D" w:rsidP="00D14A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rPr>
          <w:lang w:val="es-MX"/>
        </w:rPr>
      </w:pPr>
      <w:r w:rsidRPr="00EA5B2D">
        <w:rPr>
          <w:lang w:val="es-MX"/>
        </w:rPr>
        <w:tab/>
      </w:r>
      <w:bookmarkStart w:id="2" w:name="_heading=h.1fob9te" w:colFirst="0" w:colLast="0"/>
      <w:bookmarkEnd w:id="2"/>
      <w:r w:rsidRPr="00EA5B2D">
        <w:t>II</w:t>
      </w:r>
      <w:r w:rsidRPr="00EA5B2D">
        <w:rPr>
          <w:lang w:val="es-MX"/>
        </w:rPr>
        <w:t>.</w:t>
      </w:r>
      <w:r w:rsidRPr="00EA5B2D">
        <w:rPr>
          <w:lang w:val="es-MX"/>
        </w:rPr>
        <w:tab/>
        <w:t>Información solicitada a través del párrafo 57 de las observaciones finales</w:t>
      </w:r>
    </w:p>
    <w:p w14:paraId="5903AA4C" w14:textId="77777777" w:rsidR="00D14A66" w:rsidRPr="00D14A66" w:rsidRDefault="00D14A66" w:rsidP="00D14A66">
      <w:pPr>
        <w:pStyle w:val="SingleTxt"/>
        <w:spacing w:after="0" w:line="120" w:lineRule="exact"/>
        <w:rPr>
          <w:sz w:val="10"/>
          <w:lang w:val="es-MX"/>
        </w:rPr>
      </w:pPr>
      <w:bookmarkStart w:id="3" w:name="_heading=h.3znysh7" w:colFirst="0" w:colLast="0"/>
      <w:bookmarkEnd w:id="3"/>
    </w:p>
    <w:p w14:paraId="7AAA4CF4" w14:textId="77777777" w:rsidR="00D14A66" w:rsidRPr="00D14A66" w:rsidRDefault="00D14A66" w:rsidP="00D14A66">
      <w:pPr>
        <w:pStyle w:val="SingleTxt"/>
        <w:spacing w:after="0" w:line="120" w:lineRule="exact"/>
        <w:rPr>
          <w:sz w:val="10"/>
          <w:lang w:val="es-MX"/>
        </w:rPr>
      </w:pPr>
    </w:p>
    <w:p w14:paraId="381CE266" w14:textId="7CA90178" w:rsidR="00EA5B2D" w:rsidRPr="00EA5B2D" w:rsidRDefault="00EA5B2D" w:rsidP="00D14A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sidRPr="00EA5B2D">
        <w:rPr>
          <w:lang w:val="es-MX"/>
        </w:rPr>
        <w:tab/>
        <w:t>A.</w:t>
      </w:r>
      <w:r w:rsidRPr="00EA5B2D">
        <w:rPr>
          <w:lang w:val="es-MX"/>
        </w:rPr>
        <w:tab/>
        <w:t>Estereotipos discriminatorios y prácticas nocivas</w:t>
      </w:r>
    </w:p>
    <w:p w14:paraId="21F8AC1A" w14:textId="77777777" w:rsidR="00D14A66" w:rsidRPr="00D14A66" w:rsidRDefault="00D14A66" w:rsidP="00D14A66">
      <w:pPr>
        <w:pStyle w:val="SingleTxt"/>
        <w:spacing w:after="0" w:line="120" w:lineRule="exact"/>
        <w:rPr>
          <w:sz w:val="10"/>
          <w:lang w:val="es-MX"/>
        </w:rPr>
      </w:pPr>
    </w:p>
    <w:p w14:paraId="7E922CF0" w14:textId="77777777" w:rsidR="00D14A66" w:rsidRPr="00D14A66" w:rsidRDefault="00D14A66" w:rsidP="00D14A66">
      <w:pPr>
        <w:pStyle w:val="SingleTxt"/>
        <w:spacing w:after="0" w:line="120" w:lineRule="exact"/>
        <w:rPr>
          <w:sz w:val="10"/>
          <w:lang w:val="es-MX"/>
        </w:rPr>
      </w:pPr>
    </w:p>
    <w:p w14:paraId="47263819" w14:textId="5BEF18AB" w:rsidR="00EA5B2D" w:rsidRPr="00EA5B2D" w:rsidRDefault="00EA5B2D" w:rsidP="00D14A66">
      <w:pPr>
        <w:pStyle w:val="SingleTxt"/>
        <w:numPr>
          <w:ilvl w:val="0"/>
          <w:numId w:val="28"/>
        </w:numPr>
        <w:tabs>
          <w:tab w:val="num" w:pos="2804"/>
        </w:tabs>
        <w:ind w:left="1267"/>
        <w:rPr>
          <w:lang w:val="es-MX"/>
        </w:rPr>
      </w:pPr>
      <w:r w:rsidRPr="00EA5B2D">
        <w:rPr>
          <w:lang w:val="es-MX"/>
        </w:rPr>
        <w:t>En respuesta al párrafo 22.b, el 2023 se aprobó la Ley 31945, Ley que modifica el Código Civil, Decreto Legislativo 295, mediante la que se prohíbe el matrimonio de niñas, niños y adolescentes (NNA)</w:t>
      </w:r>
      <w:r w:rsidRPr="00EA5B2D">
        <w:rPr>
          <w:vertAlign w:val="superscript"/>
          <w:lang w:val="es-MX"/>
        </w:rPr>
        <w:footnoteReference w:id="2"/>
      </w:r>
      <w:r w:rsidRPr="00EA5B2D">
        <w:rPr>
          <w:lang w:val="es-MX"/>
        </w:rPr>
        <w:t xml:space="preserve"> sin excepciones, y se reconoce su facultad de solicitar la anulabilidad de los matrimonios que hayan contraído con anterioridad a la vigencia de la ley referida</w:t>
      </w:r>
      <w:r w:rsidRPr="00EA5B2D">
        <w:rPr>
          <w:vertAlign w:val="superscript"/>
          <w:lang w:val="es-MX"/>
        </w:rPr>
        <w:footnoteReference w:id="3"/>
      </w:r>
      <w:r w:rsidRPr="00EA5B2D">
        <w:rPr>
          <w:lang w:val="es-MX"/>
        </w:rPr>
        <w:t xml:space="preserve"> de forma directa y sin intermediarios.</w:t>
      </w:r>
    </w:p>
    <w:p w14:paraId="2042F724" w14:textId="77777777" w:rsidR="00EA5B2D" w:rsidRPr="00EA5B2D" w:rsidRDefault="00EA5B2D" w:rsidP="00D14A66">
      <w:pPr>
        <w:pStyle w:val="SingleTxt"/>
        <w:numPr>
          <w:ilvl w:val="0"/>
          <w:numId w:val="28"/>
        </w:numPr>
        <w:tabs>
          <w:tab w:val="num" w:pos="2804"/>
        </w:tabs>
        <w:ind w:left="1267"/>
        <w:rPr>
          <w:lang w:val="es-MX"/>
        </w:rPr>
      </w:pPr>
      <w:r w:rsidRPr="00EA5B2D">
        <w:rPr>
          <w:lang w:val="es-MX"/>
        </w:rPr>
        <w:t>Para contribuir a la efectividad de la norma, el Ministerio de la Mujer y Poblaciones Vulnerables (MIMP) capacitó a los operadores del Sistema Nacional de Protección de la Niñez y Adolescencia desde diciembre de 2023, y ha difundido la ley entre los integrantes de la Comisión Multisectorial Permanente para la implementación de la “Política Nacional Multisectorial para las Niñas, Niños y Adolescentes al 2030”, así como en 195 provincias a nivel nacional, incluyendo a entidades públicas, organizaciones de comunidades indígenas y amazónicas y sociedad civil</w:t>
      </w:r>
      <w:r w:rsidRPr="00EA5B2D">
        <w:rPr>
          <w:vertAlign w:val="superscript"/>
          <w:lang w:val="es-MX"/>
        </w:rPr>
        <w:footnoteReference w:id="4"/>
      </w:r>
      <w:r w:rsidRPr="00EA5B2D">
        <w:rPr>
          <w:lang w:val="es-MX"/>
        </w:rPr>
        <w:t>.</w:t>
      </w:r>
    </w:p>
    <w:p w14:paraId="440FF4AC" w14:textId="54465430" w:rsidR="00EA5B2D" w:rsidRPr="00EA5B2D" w:rsidRDefault="00EA5B2D" w:rsidP="00D14A66">
      <w:pPr>
        <w:pStyle w:val="SingleTxt"/>
        <w:numPr>
          <w:ilvl w:val="0"/>
          <w:numId w:val="28"/>
        </w:numPr>
        <w:tabs>
          <w:tab w:val="num" w:pos="2804"/>
        </w:tabs>
        <w:ind w:left="1267"/>
        <w:rPr>
          <w:lang w:val="es-MX"/>
        </w:rPr>
      </w:pPr>
      <w:r w:rsidRPr="00EA5B2D">
        <w:rPr>
          <w:lang w:val="es-MX"/>
        </w:rPr>
        <w:t>En 2024, se capacitó sobre el contenido de la Ley 31945 a 536 Defensores Municipales de la Niñez y Adolescencia y funcionarios del Gobierno Regional del Callao</w:t>
      </w:r>
      <w:r w:rsidRPr="00EA5B2D">
        <w:rPr>
          <w:vertAlign w:val="superscript"/>
          <w:lang w:val="es-MX"/>
        </w:rPr>
        <w:footnoteReference w:id="5"/>
      </w:r>
      <w:r w:rsidRPr="00EA5B2D">
        <w:rPr>
          <w:lang w:val="es-MX"/>
        </w:rPr>
        <w:t>; además, se publicó el vídeo informativo “El matrimonio infantil es ilegal”</w:t>
      </w:r>
      <w:r w:rsidRPr="00EA5B2D">
        <w:rPr>
          <w:vertAlign w:val="superscript"/>
          <w:lang w:val="es-MX"/>
        </w:rPr>
        <w:footnoteReference w:id="6"/>
      </w:r>
      <w:r w:rsidRPr="00EA5B2D">
        <w:rPr>
          <w:lang w:val="es-MX"/>
        </w:rPr>
        <w:t>.</w:t>
      </w:r>
    </w:p>
    <w:p w14:paraId="332A4719" w14:textId="77777777" w:rsidR="00EA5B2D" w:rsidRPr="00EA5B2D" w:rsidRDefault="00EA5B2D" w:rsidP="00D14A66">
      <w:pPr>
        <w:pStyle w:val="SingleTxt"/>
        <w:numPr>
          <w:ilvl w:val="0"/>
          <w:numId w:val="28"/>
        </w:numPr>
        <w:tabs>
          <w:tab w:val="num" w:pos="2804"/>
        </w:tabs>
        <w:ind w:left="1267"/>
        <w:rPr>
          <w:lang w:val="es-MX"/>
        </w:rPr>
      </w:pPr>
      <w:r w:rsidRPr="00EA5B2D">
        <w:rPr>
          <w:lang w:val="es-MX"/>
        </w:rPr>
        <w:t>Por su parte, el Registro Nacional de Identificación y Estado Civil (RENIEC) aprobó en noviembre de 2023 el Lineamiento Registral “Inscripción de matrimonio de menores de edad”</w:t>
      </w:r>
      <w:r w:rsidRPr="00EA5B2D">
        <w:rPr>
          <w:vertAlign w:val="superscript"/>
          <w:lang w:val="es-MX"/>
        </w:rPr>
        <w:footnoteReference w:id="7"/>
      </w:r>
      <w:r w:rsidRPr="00EA5B2D">
        <w:rPr>
          <w:lang w:val="es-MX"/>
        </w:rPr>
        <w:t>, en el que se establecen las disposiciones aplicables a la solicitud de inscripción del matrimonio en el registro civil cuando uno o dos de los contrayentes son NNA. En línea con la Ley 31945, el Lineamiento Registral prohíbe la inscripción del matrimonio de NNA a partir de la emisión de una resolución denegatoria, y la remisión de la información recabada al Procurador Público Adscrito al RENIEC para la adopción de las acciones legales que correspondan</w:t>
      </w:r>
      <w:r w:rsidRPr="00EA5B2D">
        <w:rPr>
          <w:vertAlign w:val="superscript"/>
          <w:lang w:val="es-MX"/>
        </w:rPr>
        <w:footnoteReference w:id="8"/>
      </w:r>
      <w:r w:rsidRPr="00EA5B2D">
        <w:rPr>
          <w:lang w:val="es-MX"/>
        </w:rPr>
        <w:t>.</w:t>
      </w:r>
    </w:p>
    <w:p w14:paraId="77F65109" w14:textId="77777777" w:rsidR="00EA5B2D" w:rsidRPr="00EA5B2D" w:rsidRDefault="00EA5B2D" w:rsidP="00D14A66">
      <w:pPr>
        <w:pStyle w:val="SingleTxt"/>
        <w:numPr>
          <w:ilvl w:val="0"/>
          <w:numId w:val="28"/>
        </w:numPr>
        <w:tabs>
          <w:tab w:val="num" w:pos="2804"/>
        </w:tabs>
        <w:ind w:left="1267"/>
        <w:rPr>
          <w:lang w:val="es-MX"/>
        </w:rPr>
      </w:pPr>
      <w:r w:rsidRPr="00EA5B2D">
        <w:rPr>
          <w:lang w:val="es-MX"/>
        </w:rPr>
        <w:t>En marzo de 2024, se aprobó el Lineamiento Registral “Cancelación de actas de matrimonio de menores de edad”</w:t>
      </w:r>
      <w:r w:rsidRPr="00EA5B2D">
        <w:rPr>
          <w:vertAlign w:val="superscript"/>
          <w:lang w:val="es-MX"/>
        </w:rPr>
        <w:footnoteReference w:id="9"/>
      </w:r>
      <w:r w:rsidRPr="00EA5B2D">
        <w:rPr>
          <w:lang w:val="es-MX"/>
        </w:rPr>
        <w:t xml:space="preserve"> que dispone, a partir de la fecha de promulgación de la Ley 31945, la cancelación administrativa de las actas de matrimonio en las que uno o ambos contrayentes sean NNA. La cancelación procede incluso ante la oposición de los contrayentes o terceros, debiendo ser el órgano jurisdiccional quien dilucide respecto de la controversia que pudiera surgir sobre el acta o celebración del matrimonio. A marzo de 2024, RENIEC reportó la cancelación de cinco actas de matrimonio en virtud de la aplicación de la norma y el Lineamiento Registral descrito</w:t>
      </w:r>
      <w:r w:rsidRPr="00EA5B2D">
        <w:rPr>
          <w:vertAlign w:val="superscript"/>
          <w:lang w:val="es-MX"/>
        </w:rPr>
        <w:footnoteReference w:id="10"/>
      </w:r>
      <w:r w:rsidRPr="00EA5B2D">
        <w:rPr>
          <w:lang w:val="es-MX"/>
        </w:rPr>
        <w:t>.</w:t>
      </w:r>
    </w:p>
    <w:p w14:paraId="3F8FC6FF" w14:textId="77777777" w:rsidR="00EA5B2D" w:rsidRPr="00EA5B2D" w:rsidRDefault="00EA5B2D" w:rsidP="00D14A66">
      <w:pPr>
        <w:pStyle w:val="SingleTxt"/>
        <w:numPr>
          <w:ilvl w:val="0"/>
          <w:numId w:val="28"/>
        </w:numPr>
        <w:tabs>
          <w:tab w:val="num" w:pos="2804"/>
        </w:tabs>
        <w:ind w:left="1267"/>
        <w:rPr>
          <w:lang w:val="es-MX"/>
        </w:rPr>
      </w:pPr>
      <w:r w:rsidRPr="00EA5B2D">
        <w:rPr>
          <w:lang w:val="es-MX"/>
        </w:rPr>
        <w:t xml:space="preserve">Asimismo, se han remitido comunicaciones a diversas autoridades a nivel nacional, incluyendo a representantes de comunidades nativas y alcaldes municipales, distritales y de centros poblados, para difundir los alcances de los Lineamientos Registrales aprobados mencionados en los párrafos 7 y 8 </w:t>
      </w:r>
      <w:r w:rsidRPr="00EA5B2D">
        <w:rPr>
          <w:i/>
          <w:iCs/>
          <w:lang w:val="es-MX"/>
        </w:rPr>
        <w:t>supra</w:t>
      </w:r>
      <w:r w:rsidRPr="00EA5B2D">
        <w:rPr>
          <w:vertAlign w:val="superscript"/>
          <w:lang w:val="es-MX"/>
        </w:rPr>
        <w:footnoteReference w:id="11"/>
      </w:r>
      <w:r w:rsidRPr="00EA5B2D">
        <w:rPr>
          <w:lang w:val="es-MX"/>
        </w:rPr>
        <w:t>.</w:t>
      </w:r>
    </w:p>
    <w:p w14:paraId="5DECFD88" w14:textId="77777777" w:rsidR="00D14A66" w:rsidRPr="00D14A66" w:rsidRDefault="00D14A66" w:rsidP="00D14A66">
      <w:pPr>
        <w:pStyle w:val="SingleTxt"/>
        <w:spacing w:after="0" w:line="120" w:lineRule="exact"/>
        <w:rPr>
          <w:sz w:val="10"/>
          <w:lang w:val="es-MX"/>
        </w:rPr>
      </w:pPr>
      <w:bookmarkStart w:id="4" w:name="_heading=h.2et92p0" w:colFirst="0" w:colLast="0"/>
      <w:bookmarkEnd w:id="4"/>
    </w:p>
    <w:p w14:paraId="5ED76A45" w14:textId="77777777" w:rsidR="00D14A66" w:rsidRPr="00D14A66" w:rsidRDefault="00D14A66" w:rsidP="00D14A66">
      <w:pPr>
        <w:pStyle w:val="SingleTxt"/>
        <w:spacing w:after="0" w:line="120" w:lineRule="exact"/>
        <w:rPr>
          <w:sz w:val="10"/>
          <w:lang w:val="es-MX"/>
        </w:rPr>
      </w:pPr>
    </w:p>
    <w:p w14:paraId="09D200E1" w14:textId="67C72B5D" w:rsidR="00EA5B2D" w:rsidRPr="00EA5B2D" w:rsidRDefault="00EA5B2D" w:rsidP="00D14A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sidRPr="00EA5B2D">
        <w:rPr>
          <w:lang w:val="es-MX"/>
        </w:rPr>
        <w:tab/>
        <w:t>B.</w:t>
      </w:r>
      <w:r w:rsidRPr="00EA5B2D">
        <w:rPr>
          <w:lang w:val="es-MX"/>
        </w:rPr>
        <w:tab/>
        <w:t>Violencia de género contra la mujer</w:t>
      </w:r>
    </w:p>
    <w:p w14:paraId="02F604C9" w14:textId="77777777" w:rsidR="00D14A66" w:rsidRPr="00D14A66" w:rsidRDefault="00D14A66" w:rsidP="00D14A66">
      <w:pPr>
        <w:pStyle w:val="SingleTxt"/>
        <w:spacing w:after="0" w:line="120" w:lineRule="exact"/>
        <w:rPr>
          <w:sz w:val="10"/>
          <w:lang w:val="es-MX"/>
        </w:rPr>
      </w:pPr>
    </w:p>
    <w:p w14:paraId="441FB183" w14:textId="77777777" w:rsidR="00D14A66" w:rsidRPr="00D14A66" w:rsidRDefault="00D14A66" w:rsidP="00D14A66">
      <w:pPr>
        <w:pStyle w:val="SingleTxt"/>
        <w:spacing w:after="0" w:line="120" w:lineRule="exact"/>
        <w:rPr>
          <w:sz w:val="10"/>
          <w:lang w:val="es-MX"/>
        </w:rPr>
      </w:pPr>
    </w:p>
    <w:p w14:paraId="58785BDA" w14:textId="332240E0" w:rsidR="00EA5B2D" w:rsidRPr="00EA5B2D" w:rsidRDefault="00EA5B2D" w:rsidP="00D14A66">
      <w:pPr>
        <w:pStyle w:val="SingleTxt"/>
        <w:numPr>
          <w:ilvl w:val="0"/>
          <w:numId w:val="28"/>
        </w:numPr>
        <w:tabs>
          <w:tab w:val="num" w:pos="2804"/>
        </w:tabs>
        <w:ind w:left="1267"/>
        <w:rPr>
          <w:lang w:val="es-MX"/>
        </w:rPr>
      </w:pPr>
      <w:r w:rsidRPr="00EA5B2D">
        <w:rPr>
          <w:lang w:val="es-MX"/>
        </w:rPr>
        <w:t>En respuesta al párrafo 24.a, la Política Nacional de Igualdad de Género</w:t>
      </w:r>
      <w:r w:rsidRPr="00EA5B2D">
        <w:rPr>
          <w:vertAlign w:val="superscript"/>
          <w:lang w:val="es-MX"/>
        </w:rPr>
        <w:footnoteReference w:id="12"/>
      </w:r>
      <w:r w:rsidRPr="00EA5B2D">
        <w:rPr>
          <w:lang w:val="es-MX"/>
        </w:rPr>
        <w:t xml:space="preserve"> establece como primer objetivo prioritario “Reducir la violencia hacia las mujeres”. Su implementación está garantizada por el Programa Presupuestal orientado a Resultados de Reducción de la Violencia contra la Mujer</w:t>
      </w:r>
      <w:r w:rsidRPr="00EA5B2D">
        <w:rPr>
          <w:vertAlign w:val="superscript"/>
          <w:lang w:val="es-MX"/>
        </w:rPr>
        <w:footnoteReference w:id="13"/>
      </w:r>
      <w:r w:rsidRPr="00EA5B2D">
        <w:rPr>
          <w:lang w:val="es-MX"/>
        </w:rPr>
        <w:t>, que es un instrumento técnico-presupuestal de carácter intersectorial e intergubernamental.</w:t>
      </w:r>
    </w:p>
    <w:p w14:paraId="1C68A92B" w14:textId="77777777" w:rsidR="00EA5B2D" w:rsidRPr="00EA5B2D" w:rsidRDefault="00EA5B2D" w:rsidP="00D14A66">
      <w:pPr>
        <w:pStyle w:val="SingleTxt"/>
        <w:numPr>
          <w:ilvl w:val="0"/>
          <w:numId w:val="28"/>
        </w:numPr>
        <w:tabs>
          <w:tab w:val="num" w:pos="2804"/>
        </w:tabs>
        <w:ind w:left="1267"/>
        <w:rPr>
          <w:lang w:val="es-MX"/>
        </w:rPr>
      </w:pPr>
      <w:r w:rsidRPr="00EA5B2D">
        <w:rPr>
          <w:lang w:val="es-MX"/>
        </w:rPr>
        <w:t>En el marco de la Ley 30364, Ley para prevenir, sancionar y erradicar la violencia contra las mujeres y los integrantes del grupo familiar, se tiene el Sistema Nacional para la Prevención, Sanción y Erradicación de la violencia contra las mujeres y los integrantes del grupo familiar</w:t>
      </w:r>
      <w:r w:rsidRPr="00EA5B2D">
        <w:rPr>
          <w:vertAlign w:val="superscript"/>
          <w:lang w:val="es-MX"/>
        </w:rPr>
        <w:footnoteReference w:id="14"/>
      </w:r>
      <w:r w:rsidRPr="00EA5B2D">
        <w:rPr>
          <w:lang w:val="es-MX"/>
        </w:rPr>
        <w:t>, así como la Comisión Multisectorial de Alto Nivel, encargada de monitorear dicho Sistema, que está integrada por diversos sectores del Poder Ejecutivo (PE), el Poder Judicial (PJ), el Ministerio Público Fiscalía de la Nación (MPFN) y la Defensoría del Pueblo.</w:t>
      </w:r>
    </w:p>
    <w:p w14:paraId="762E8A78" w14:textId="77777777" w:rsidR="00EA5B2D" w:rsidRPr="00EA5B2D" w:rsidRDefault="00EA5B2D" w:rsidP="00D14A66">
      <w:pPr>
        <w:pStyle w:val="SingleTxt"/>
        <w:numPr>
          <w:ilvl w:val="0"/>
          <w:numId w:val="28"/>
        </w:numPr>
        <w:tabs>
          <w:tab w:val="num" w:pos="2804"/>
        </w:tabs>
        <w:ind w:left="1267"/>
        <w:rPr>
          <w:lang w:val="es-MX"/>
        </w:rPr>
      </w:pPr>
      <w:r w:rsidRPr="00EA5B2D">
        <w:rPr>
          <w:lang w:val="es-MX"/>
        </w:rPr>
        <w:t>El Sistema Nacional incluye a las instancias de concertación regionales, provinciales y distritales en todo el país, que tienen como función implementar, monitorear, evaluar, coordinar y articular políticas para combatir la violencia contra las mujeres y los integrantes del grupo familiar, así como promover y velar por el cumplimiento de la Ley 30364. Estas instancias son monitoreadas por la Comisión Multisectorial de Alto Nivel.</w:t>
      </w:r>
    </w:p>
    <w:p w14:paraId="7283121B" w14:textId="3AF32FC7" w:rsidR="00EA5B2D" w:rsidRPr="00EA5B2D" w:rsidRDefault="00EA5B2D" w:rsidP="00D14A66">
      <w:pPr>
        <w:pStyle w:val="SingleTxt"/>
        <w:numPr>
          <w:ilvl w:val="0"/>
          <w:numId w:val="28"/>
        </w:numPr>
        <w:tabs>
          <w:tab w:val="num" w:pos="2804"/>
        </w:tabs>
        <w:ind w:left="1267"/>
        <w:rPr>
          <w:lang w:val="es-MX"/>
        </w:rPr>
      </w:pPr>
      <w:r w:rsidRPr="00EA5B2D">
        <w:rPr>
          <w:lang w:val="es-MX"/>
        </w:rPr>
        <w:t>Dada su importancia, se promovió su fortalecimiento con la aprobación de la Ley 31439, que modifica la Ley 30364</w:t>
      </w:r>
      <w:r w:rsidRPr="00EA5B2D">
        <w:rPr>
          <w:vertAlign w:val="superscript"/>
          <w:lang w:val="es-MX"/>
        </w:rPr>
        <w:footnoteReference w:id="15"/>
      </w:r>
      <w:r w:rsidRPr="00EA5B2D">
        <w:rPr>
          <w:lang w:val="es-MX"/>
        </w:rPr>
        <w:t xml:space="preserve"> y la emisión de los “Lineamientos para la asistencia técnica y seguimiento en la creación y funcionamiento de las instancias regionales, provinciales y distritales de concertación en el marco de la Ley N°</w:t>
      </w:r>
      <w:r w:rsidR="00866322">
        <w:rPr>
          <w:lang w:val="es-MX"/>
        </w:rPr>
        <w:t> </w:t>
      </w:r>
      <w:r w:rsidRPr="00EA5B2D">
        <w:rPr>
          <w:lang w:val="es-MX"/>
        </w:rPr>
        <w:t>30364”</w:t>
      </w:r>
      <w:r w:rsidRPr="00EA5B2D">
        <w:rPr>
          <w:vertAlign w:val="superscript"/>
          <w:lang w:val="es-MX"/>
        </w:rPr>
        <w:footnoteReference w:id="16"/>
      </w:r>
      <w:r w:rsidRPr="00EA5B2D">
        <w:rPr>
          <w:lang w:val="es-MX"/>
        </w:rPr>
        <w:t>. A junio 2024, se cuenta con 26 instancias de concertación regionales (todos los gobiernos regionales), 195 instancias de concertación provinciales y 911</w:t>
      </w:r>
      <w:r w:rsidR="00866322">
        <w:rPr>
          <w:lang w:val="es-MX"/>
        </w:rPr>
        <w:t> </w:t>
      </w:r>
      <w:r w:rsidRPr="00EA5B2D">
        <w:rPr>
          <w:lang w:val="es-MX"/>
        </w:rPr>
        <w:t>instancias de concertación distritales</w:t>
      </w:r>
      <w:r w:rsidRPr="00EA5B2D">
        <w:rPr>
          <w:vertAlign w:val="superscript"/>
          <w:lang w:val="es-MX"/>
        </w:rPr>
        <w:footnoteReference w:id="17"/>
      </w:r>
      <w:r w:rsidRPr="00EA5B2D">
        <w:rPr>
          <w:lang w:val="es-MX"/>
        </w:rPr>
        <w:t>.</w:t>
      </w:r>
    </w:p>
    <w:p w14:paraId="295A8108" w14:textId="1E7CB2C5" w:rsidR="00EA5B2D" w:rsidRPr="00EA5B2D" w:rsidRDefault="00EA5B2D" w:rsidP="00D14A66">
      <w:pPr>
        <w:pStyle w:val="SingleTxt"/>
        <w:numPr>
          <w:ilvl w:val="0"/>
          <w:numId w:val="28"/>
        </w:numPr>
        <w:tabs>
          <w:tab w:val="num" w:pos="2804"/>
        </w:tabs>
        <w:ind w:left="1267"/>
        <w:rPr>
          <w:lang w:val="es-MX"/>
        </w:rPr>
      </w:pPr>
      <w:r w:rsidRPr="00EA5B2D">
        <w:rPr>
          <w:lang w:val="es-MX"/>
        </w:rPr>
        <w:t>En el marco del Sistema Nacional Especializado de Justicia para la protección y sanción de la violencia contra las mujeres e integrantes del grupo familiar (SNEJ), se aprobó durante 2021 la Estrategia Nacional de Implementación del SNEJ con el objetivo de promover su aplicación de forma estratégica y progresiva</w:t>
      </w:r>
      <w:r w:rsidRPr="00EA5B2D">
        <w:rPr>
          <w:vertAlign w:val="superscript"/>
          <w:lang w:val="es-MX"/>
        </w:rPr>
        <w:footnoteReference w:id="18"/>
      </w:r>
      <w:r w:rsidRPr="00EA5B2D">
        <w:rPr>
          <w:lang w:val="es-MX"/>
        </w:rPr>
        <w:t>. A marzo de</w:t>
      </w:r>
      <w:r w:rsidR="00866322">
        <w:rPr>
          <w:lang w:val="es-MX"/>
        </w:rPr>
        <w:t> </w:t>
      </w:r>
      <w:r w:rsidRPr="00EA5B2D">
        <w:rPr>
          <w:lang w:val="es-MX"/>
        </w:rPr>
        <w:t>2024, el SNEJ viene funcionando en 8 distritos judiciales a nivel nacional</w:t>
      </w:r>
      <w:r w:rsidRPr="00EA5B2D">
        <w:rPr>
          <w:vertAlign w:val="superscript"/>
          <w:lang w:val="es-MX"/>
        </w:rPr>
        <w:footnoteReference w:id="19"/>
      </w:r>
      <w:r w:rsidRPr="00EA5B2D">
        <w:rPr>
          <w:lang w:val="es-MX"/>
        </w:rPr>
        <w:t>.</w:t>
      </w:r>
    </w:p>
    <w:p w14:paraId="1014E70D" w14:textId="77777777" w:rsidR="00EA5B2D" w:rsidRPr="00EA5B2D" w:rsidRDefault="00EA5B2D" w:rsidP="00D14A66">
      <w:pPr>
        <w:pStyle w:val="SingleTxt"/>
        <w:numPr>
          <w:ilvl w:val="0"/>
          <w:numId w:val="28"/>
        </w:numPr>
        <w:tabs>
          <w:tab w:val="num" w:pos="2804"/>
        </w:tabs>
        <w:ind w:left="1267"/>
        <w:rPr>
          <w:lang w:val="es-MX"/>
        </w:rPr>
      </w:pPr>
      <w:r w:rsidRPr="00EA5B2D">
        <w:rPr>
          <w:lang w:val="es-MX"/>
        </w:rPr>
        <w:t>En 2022, se modificó el Reglamento de la Ley 30364</w:t>
      </w:r>
      <w:r w:rsidRPr="00EA5B2D">
        <w:rPr>
          <w:vertAlign w:val="superscript"/>
          <w:lang w:val="es-MX"/>
        </w:rPr>
        <w:footnoteReference w:id="20"/>
      </w:r>
      <w:r w:rsidRPr="00EA5B2D">
        <w:rPr>
          <w:lang w:val="es-MX"/>
        </w:rPr>
        <w:t>, a fin de reconocer de forma expresa cuatro modalidades de violencia contra las mujeres integrantes del grupo familiar adicionales a las ya reguladas</w:t>
      </w:r>
      <w:r w:rsidRPr="00EA5B2D">
        <w:rPr>
          <w:vertAlign w:val="superscript"/>
          <w:lang w:val="es-MX"/>
        </w:rPr>
        <w:footnoteReference w:id="21"/>
      </w:r>
      <w:r w:rsidRPr="00EA5B2D">
        <w:rPr>
          <w:lang w:val="es-MX"/>
        </w:rPr>
        <w:t>. Además, se aprobó la Ley 31613 que promueve el acceso a la vivienda para las mujeres víctimas de violencia e incorpora a otras instituciones públicas para asignar bienes inmuebles a los Hogares de Refugio Temporal</w:t>
      </w:r>
      <w:r w:rsidRPr="00EA5B2D">
        <w:rPr>
          <w:vertAlign w:val="superscript"/>
          <w:lang w:val="es-MX"/>
        </w:rPr>
        <w:footnoteReference w:id="22"/>
      </w:r>
      <w:r w:rsidRPr="00EA5B2D">
        <w:rPr>
          <w:lang w:val="es-MX"/>
        </w:rPr>
        <w:t>, así como la Ley 31621 que promueve servicios de protección temporal para víctimas de violencia familiar y sexual</w:t>
      </w:r>
      <w:r w:rsidRPr="00EA5B2D">
        <w:rPr>
          <w:vertAlign w:val="superscript"/>
          <w:lang w:val="es-MX"/>
        </w:rPr>
        <w:footnoteReference w:id="23"/>
      </w:r>
      <w:r w:rsidRPr="00EA5B2D">
        <w:rPr>
          <w:lang w:val="es-MX"/>
        </w:rPr>
        <w:t>.</w:t>
      </w:r>
    </w:p>
    <w:p w14:paraId="0CF09AB8" w14:textId="1468BFEC" w:rsidR="00EA5B2D" w:rsidRPr="00EA5B2D" w:rsidRDefault="00EA5B2D" w:rsidP="00D14A66">
      <w:pPr>
        <w:pStyle w:val="SingleTxt"/>
        <w:numPr>
          <w:ilvl w:val="0"/>
          <w:numId w:val="28"/>
        </w:numPr>
        <w:tabs>
          <w:tab w:val="num" w:pos="2804"/>
        </w:tabs>
        <w:ind w:left="1267"/>
        <w:rPr>
          <w:lang w:val="es-MX"/>
        </w:rPr>
      </w:pPr>
      <w:r w:rsidRPr="00EA5B2D">
        <w:rPr>
          <w:lang w:val="es-MX"/>
        </w:rPr>
        <w:t xml:space="preserve">El Programa Nacional para la Prevención de la Violencia contra las Mujeres e Integrantes del Grupo Familiar (AURORA), en el </w:t>
      </w:r>
      <w:r w:rsidR="00692626">
        <w:rPr>
          <w:lang w:val="es-MX"/>
        </w:rPr>
        <w:t>período</w:t>
      </w:r>
      <w:r w:rsidRPr="00EA5B2D">
        <w:rPr>
          <w:lang w:val="es-MX"/>
        </w:rPr>
        <w:t xml:space="preserve"> que se reporta, se atendió a: i) 375</w:t>
      </w:r>
      <w:r w:rsidR="00692626">
        <w:rPr>
          <w:lang w:val="es-MX"/>
        </w:rPr>
        <w:t>.</w:t>
      </w:r>
      <w:r w:rsidRPr="00EA5B2D">
        <w:rPr>
          <w:lang w:val="es-MX"/>
        </w:rPr>
        <w:t>479 personas a través de los Centros de Emergencia Mujer, de las cuales el 85% fueron mujeres; ii) 17</w:t>
      </w:r>
      <w:r w:rsidR="00692626">
        <w:rPr>
          <w:lang w:val="es-MX"/>
        </w:rPr>
        <w:t>.</w:t>
      </w:r>
      <w:r w:rsidRPr="00EA5B2D">
        <w:rPr>
          <w:lang w:val="es-MX"/>
        </w:rPr>
        <w:t>332 mediante el Servicio de Atención Urgente, de los cuales el 80.5</w:t>
      </w:r>
      <w:r w:rsidR="00692626">
        <w:rPr>
          <w:lang w:val="es-MX"/>
        </w:rPr>
        <w:t xml:space="preserve"> </w:t>
      </w:r>
      <w:r w:rsidRPr="00EA5B2D">
        <w:rPr>
          <w:lang w:val="es-MX"/>
        </w:rPr>
        <w:t>% correspondieron a usuarias mujeres; iii) 7</w:t>
      </w:r>
      <w:r w:rsidR="00692626">
        <w:rPr>
          <w:lang w:val="es-MX"/>
        </w:rPr>
        <w:t>.</w:t>
      </w:r>
      <w:r w:rsidRPr="00EA5B2D">
        <w:rPr>
          <w:lang w:val="es-MX"/>
        </w:rPr>
        <w:t>253 casos mediante el Servicio de Atención Rural, de los cuales el 87</w:t>
      </w:r>
      <w:r w:rsidR="00692626">
        <w:rPr>
          <w:lang w:val="es-MX"/>
        </w:rPr>
        <w:t xml:space="preserve"> </w:t>
      </w:r>
      <w:r w:rsidRPr="00EA5B2D">
        <w:rPr>
          <w:lang w:val="es-MX"/>
        </w:rPr>
        <w:t>% de usuarios fueron mujeres; y iv)</w:t>
      </w:r>
      <w:r w:rsidR="00692626">
        <w:rPr>
          <w:lang w:val="es-MX"/>
        </w:rPr>
        <w:t> </w:t>
      </w:r>
      <w:r w:rsidRPr="00EA5B2D">
        <w:rPr>
          <w:lang w:val="es-MX"/>
        </w:rPr>
        <w:t>806 mujeres en los Hogares de Refugio Temporal</w:t>
      </w:r>
      <w:r w:rsidRPr="00EA5B2D">
        <w:rPr>
          <w:vertAlign w:val="superscript"/>
          <w:lang w:val="es-MX"/>
        </w:rPr>
        <w:footnoteReference w:id="24"/>
      </w:r>
      <w:r w:rsidRPr="00EA5B2D">
        <w:rPr>
          <w:lang w:val="es-MX"/>
        </w:rPr>
        <w:t>.</w:t>
      </w:r>
    </w:p>
    <w:p w14:paraId="056C32C7" w14:textId="11977915" w:rsidR="00EA5B2D" w:rsidRPr="00EA5B2D" w:rsidRDefault="00EA5B2D" w:rsidP="00D14A66">
      <w:pPr>
        <w:pStyle w:val="SingleTxt"/>
        <w:numPr>
          <w:ilvl w:val="0"/>
          <w:numId w:val="28"/>
        </w:numPr>
        <w:tabs>
          <w:tab w:val="num" w:pos="2804"/>
        </w:tabs>
        <w:ind w:left="1267"/>
        <w:rPr>
          <w:lang w:val="es-MX"/>
        </w:rPr>
      </w:pPr>
      <w:r w:rsidRPr="00EA5B2D">
        <w:rPr>
          <w:lang w:val="es-MX"/>
        </w:rPr>
        <w:t>A fin de fortalecer la atención brindada por AURORA, entre 2021 y julio de</w:t>
      </w:r>
      <w:r w:rsidR="00983734">
        <w:rPr>
          <w:lang w:val="es-MX"/>
        </w:rPr>
        <w:t> </w:t>
      </w:r>
      <w:r w:rsidRPr="00EA5B2D">
        <w:rPr>
          <w:lang w:val="es-MX"/>
        </w:rPr>
        <w:t>2024, se aprobaron lineamientos para la prevención de la violencia y la atención de personas trabajadoras del hogar</w:t>
      </w:r>
      <w:r w:rsidRPr="00EA5B2D">
        <w:rPr>
          <w:vertAlign w:val="superscript"/>
          <w:lang w:val="es-MX"/>
        </w:rPr>
        <w:footnoteReference w:id="25"/>
      </w:r>
      <w:r w:rsidRPr="00EA5B2D">
        <w:rPr>
          <w:lang w:val="es-MX"/>
        </w:rPr>
        <w:t>, personas LGBTI</w:t>
      </w:r>
      <w:r w:rsidRPr="00EA5B2D">
        <w:rPr>
          <w:vertAlign w:val="superscript"/>
          <w:lang w:val="es-MX"/>
        </w:rPr>
        <w:footnoteReference w:id="26"/>
      </w:r>
      <w:r w:rsidRPr="00EA5B2D">
        <w:rPr>
          <w:lang w:val="es-MX"/>
        </w:rPr>
        <w:t xml:space="preserve"> y personas adultas mayores</w:t>
      </w:r>
      <w:r w:rsidRPr="00EA5B2D">
        <w:rPr>
          <w:vertAlign w:val="superscript"/>
          <w:lang w:val="es-MX"/>
        </w:rPr>
        <w:footnoteReference w:id="27"/>
      </w:r>
      <w:r w:rsidRPr="00EA5B2D">
        <w:rPr>
          <w:lang w:val="es-MX"/>
        </w:rPr>
        <w:t xml:space="preserve"> afectadas en el marco de la Ley 30364. </w:t>
      </w:r>
    </w:p>
    <w:p w14:paraId="22E4BD08" w14:textId="77777777" w:rsidR="00EA5B2D" w:rsidRPr="00EA5B2D" w:rsidRDefault="00EA5B2D" w:rsidP="00D14A66">
      <w:pPr>
        <w:pStyle w:val="SingleTxt"/>
        <w:numPr>
          <w:ilvl w:val="0"/>
          <w:numId w:val="28"/>
        </w:numPr>
        <w:tabs>
          <w:tab w:val="num" w:pos="2804"/>
        </w:tabs>
        <w:ind w:left="1267"/>
        <w:rPr>
          <w:lang w:val="es-MX"/>
        </w:rPr>
      </w:pPr>
      <w:r w:rsidRPr="00EA5B2D">
        <w:rPr>
          <w:lang w:val="es-MX"/>
        </w:rPr>
        <w:t>En cumplimiento de la “Estrategia Nacional de Prevención de la Violencia de Género contra las Mujeres “Mujeres libres de violencia”</w:t>
      </w:r>
      <w:r w:rsidRPr="00EA5B2D">
        <w:rPr>
          <w:vertAlign w:val="superscript"/>
          <w:lang w:val="es-MX"/>
        </w:rPr>
        <w:footnoteReference w:id="28"/>
      </w:r>
      <w:r w:rsidRPr="00EA5B2D">
        <w:rPr>
          <w:lang w:val="es-MX"/>
        </w:rPr>
        <w:t>, se aprobó la iniciativa “Fortaleciendo la prevención, mediante una estrategia nacional articulada, para la realización del derecho de las mujeres a una vida libre de violencia y discriminación basada en el género en el Perú”</w:t>
      </w:r>
      <w:r w:rsidRPr="00EA5B2D">
        <w:rPr>
          <w:vertAlign w:val="superscript"/>
          <w:lang w:val="es-MX"/>
        </w:rPr>
        <w:footnoteReference w:id="29"/>
      </w:r>
      <w:r w:rsidRPr="00EA5B2D">
        <w:rPr>
          <w:lang w:val="es-MX"/>
        </w:rPr>
        <w:t>. Como parte de la referida iniciativa, se aprobaron los “Lineamientos para la implementación, seguimiento y evaluación de la Estrategia Nacional de Prevención de la Violencia de Género contra las Mujeres “Mujeres libres de violencia”</w:t>
      </w:r>
      <w:r w:rsidRPr="00EA5B2D">
        <w:rPr>
          <w:vertAlign w:val="superscript"/>
          <w:lang w:val="es-MX"/>
        </w:rPr>
        <w:footnoteReference w:id="30"/>
      </w:r>
      <w:r w:rsidRPr="00EA5B2D">
        <w:rPr>
          <w:lang w:val="es-MX"/>
        </w:rPr>
        <w:t>.</w:t>
      </w:r>
    </w:p>
    <w:p w14:paraId="3C34B359" w14:textId="77777777" w:rsidR="00EA5B2D" w:rsidRPr="00EA5B2D" w:rsidRDefault="00EA5B2D" w:rsidP="00D14A66">
      <w:pPr>
        <w:pStyle w:val="SingleTxt"/>
        <w:numPr>
          <w:ilvl w:val="0"/>
          <w:numId w:val="28"/>
        </w:numPr>
        <w:tabs>
          <w:tab w:val="num" w:pos="2804"/>
        </w:tabs>
        <w:ind w:left="1267"/>
        <w:rPr>
          <w:lang w:val="es-MX"/>
        </w:rPr>
      </w:pPr>
      <w:r w:rsidRPr="00EA5B2D">
        <w:rPr>
          <w:lang w:val="es-MX"/>
        </w:rPr>
        <w:t>También se ha implementado el “Observatorio Nacional del Acoso Político contra la Mujer” en el marco del Observatorio Nacional de Violencia contra las Mujeres y los Integrantes del Grupo Familiar, así como un Sistema de Alerta Temprana</w:t>
      </w:r>
      <w:r w:rsidRPr="00EA5B2D">
        <w:rPr>
          <w:vertAlign w:val="superscript"/>
          <w:lang w:val="es-MX"/>
        </w:rPr>
        <w:footnoteReference w:id="31"/>
      </w:r>
      <w:r w:rsidRPr="00EA5B2D">
        <w:rPr>
          <w:lang w:val="es-MX"/>
        </w:rPr>
        <w:t>.</w:t>
      </w:r>
    </w:p>
    <w:p w14:paraId="4CD13632" w14:textId="5EA13069" w:rsidR="00EA5B2D" w:rsidRPr="00EA5B2D" w:rsidRDefault="00EA5B2D" w:rsidP="00D14A66">
      <w:pPr>
        <w:pStyle w:val="SingleTxt"/>
        <w:numPr>
          <w:ilvl w:val="0"/>
          <w:numId w:val="28"/>
        </w:numPr>
        <w:tabs>
          <w:tab w:val="num" w:pos="2804"/>
        </w:tabs>
        <w:ind w:left="1267"/>
        <w:rPr>
          <w:lang w:val="es-MX"/>
        </w:rPr>
      </w:pPr>
      <w:r w:rsidRPr="00EA5B2D">
        <w:rPr>
          <w:lang w:val="es-MX"/>
        </w:rPr>
        <w:t>Por su parte, el Poder Judicial (PJ) indicó que, entre diciembre de 2021 y marzo de 2024, se</w:t>
      </w:r>
      <w:r w:rsidR="00D14A66">
        <w:rPr>
          <w:lang w:val="es-MX"/>
        </w:rPr>
        <w:t xml:space="preserve"> </w:t>
      </w:r>
      <w:r w:rsidRPr="00EA5B2D">
        <w:rPr>
          <w:lang w:val="es-MX"/>
        </w:rPr>
        <w:t>emitieron protocolos y directrices para la garantía de buena calidad en el marco de procesos especiales de tutela frente a la violencia contra las mujeres y los integrantes del grupo familiar</w:t>
      </w:r>
      <w:r w:rsidRPr="00EA5B2D">
        <w:rPr>
          <w:vertAlign w:val="superscript"/>
          <w:lang w:val="es-MX"/>
        </w:rPr>
        <w:footnoteReference w:id="32"/>
      </w:r>
      <w:r w:rsidRPr="00EA5B2D">
        <w:rPr>
          <w:lang w:val="es-MX"/>
        </w:rPr>
        <w:t>; para el otorgamiento de medidas de protección y cautelares de acuerdo a la Ley 30364</w:t>
      </w:r>
      <w:r w:rsidRPr="00EA5B2D">
        <w:rPr>
          <w:vertAlign w:val="superscript"/>
          <w:lang w:val="es-MX"/>
        </w:rPr>
        <w:footnoteReference w:id="33"/>
      </w:r>
      <w:r w:rsidRPr="00EA5B2D">
        <w:rPr>
          <w:lang w:val="es-MX"/>
        </w:rPr>
        <w:t>; para la actuación de Juzgados de Paz para la aplicación de la Ley 30364</w:t>
      </w:r>
      <w:r w:rsidRPr="00EA5B2D">
        <w:rPr>
          <w:vertAlign w:val="superscript"/>
          <w:lang w:val="es-MX"/>
        </w:rPr>
        <w:footnoteReference w:id="34"/>
      </w:r>
      <w:r w:rsidRPr="00EA5B2D">
        <w:rPr>
          <w:lang w:val="es-MX"/>
        </w:rPr>
        <w:t>; así como para estandarizar la administración de justicia con enfoque de género</w:t>
      </w:r>
      <w:r w:rsidRPr="00EA5B2D">
        <w:rPr>
          <w:vertAlign w:val="superscript"/>
          <w:lang w:val="es-MX"/>
        </w:rPr>
        <w:footnoteReference w:id="35"/>
      </w:r>
      <w:r w:rsidRPr="00EA5B2D">
        <w:rPr>
          <w:lang w:val="es-MX"/>
        </w:rPr>
        <w:t>, entre otras disposiciones para la mejora del servicio hacia las víctimas de delito asociados a la violencia de género</w:t>
      </w:r>
      <w:r w:rsidRPr="00EA5B2D">
        <w:rPr>
          <w:vertAlign w:val="superscript"/>
          <w:lang w:val="es-MX"/>
        </w:rPr>
        <w:footnoteReference w:id="36"/>
      </w:r>
      <w:r w:rsidRPr="00EA5B2D">
        <w:rPr>
          <w:lang w:val="es-MX"/>
        </w:rPr>
        <w:t>.</w:t>
      </w:r>
    </w:p>
    <w:p w14:paraId="11190657" w14:textId="77777777" w:rsidR="00EA5B2D" w:rsidRPr="00EA5B2D" w:rsidRDefault="00EA5B2D" w:rsidP="00D14A66">
      <w:pPr>
        <w:pStyle w:val="SingleTxt"/>
        <w:numPr>
          <w:ilvl w:val="0"/>
          <w:numId w:val="28"/>
        </w:numPr>
        <w:tabs>
          <w:tab w:val="num" w:pos="2804"/>
        </w:tabs>
        <w:ind w:left="1267"/>
        <w:rPr>
          <w:lang w:val="es-MX"/>
        </w:rPr>
      </w:pPr>
      <w:r w:rsidRPr="00EA5B2D">
        <w:rPr>
          <w:lang w:val="es-MX"/>
        </w:rPr>
        <w:t>En el mismo sentido, el MPFN aprobó la Directiva de Actuación del Ministerio Público en las Investigaciones de los Delitos de Violencia contra las Mujeres y los Integrantes del Grupo Familiar con Perspectiva de Género</w:t>
      </w:r>
      <w:r w:rsidRPr="00EA5B2D">
        <w:rPr>
          <w:vertAlign w:val="superscript"/>
          <w:lang w:val="es-MX"/>
        </w:rPr>
        <w:footnoteReference w:id="37"/>
      </w:r>
      <w:r w:rsidRPr="00EA5B2D">
        <w:rPr>
          <w:lang w:val="es-MX"/>
        </w:rPr>
        <w:t>. Adicionalmente, a través de la Coordinación Nacional de las Fiscalías Especializadas en Violencia contra las Mujeres y los Integrantes del Grupo Familia, se han aprobado cuatro documentos de consulta con estándares para incorporar el enfoque de género en la actuación fiscal</w:t>
      </w:r>
      <w:r w:rsidRPr="00EA5B2D">
        <w:rPr>
          <w:vertAlign w:val="superscript"/>
          <w:lang w:val="es-MX"/>
        </w:rPr>
        <w:footnoteReference w:id="38"/>
      </w:r>
      <w:r w:rsidRPr="00EA5B2D">
        <w:rPr>
          <w:lang w:val="es-MX"/>
        </w:rPr>
        <w:t>, y dos guías didácticas para la investigación de delitos de violencia sexual</w:t>
      </w:r>
      <w:r w:rsidRPr="00EA5B2D">
        <w:rPr>
          <w:vertAlign w:val="superscript"/>
          <w:lang w:val="es-MX"/>
        </w:rPr>
        <w:footnoteReference w:id="39"/>
      </w:r>
      <w:r w:rsidRPr="00EA5B2D">
        <w:rPr>
          <w:lang w:val="es-MX"/>
        </w:rPr>
        <w:t xml:space="preserve"> y agresión contra mujeres</w:t>
      </w:r>
      <w:r w:rsidRPr="00EA5B2D">
        <w:rPr>
          <w:vertAlign w:val="superscript"/>
          <w:lang w:val="es-MX"/>
        </w:rPr>
        <w:footnoteReference w:id="40"/>
      </w:r>
    </w:p>
    <w:p w14:paraId="534C575C" w14:textId="77777777" w:rsidR="00D14A66" w:rsidRPr="00D14A66" w:rsidRDefault="00D14A66" w:rsidP="00D14A66">
      <w:pPr>
        <w:pStyle w:val="SingleTxt"/>
        <w:spacing w:after="0" w:line="120" w:lineRule="exact"/>
        <w:rPr>
          <w:sz w:val="10"/>
          <w:lang w:val="es-MX"/>
        </w:rPr>
      </w:pPr>
      <w:bookmarkStart w:id="5" w:name="_heading=h.tyjcwt" w:colFirst="0" w:colLast="0"/>
      <w:bookmarkEnd w:id="5"/>
    </w:p>
    <w:p w14:paraId="138EC89C" w14:textId="77777777" w:rsidR="00D14A66" w:rsidRPr="00D14A66" w:rsidRDefault="00D14A66" w:rsidP="00D14A66">
      <w:pPr>
        <w:pStyle w:val="SingleTxt"/>
        <w:spacing w:after="0" w:line="120" w:lineRule="exact"/>
        <w:rPr>
          <w:sz w:val="10"/>
          <w:lang w:val="es-MX"/>
        </w:rPr>
      </w:pPr>
    </w:p>
    <w:p w14:paraId="0814F9D9" w14:textId="32C03A71" w:rsidR="00EA5B2D" w:rsidRPr="00EA5B2D" w:rsidRDefault="00EA5B2D" w:rsidP="00D14A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sidRPr="00EA5B2D">
        <w:rPr>
          <w:lang w:val="es-MX"/>
        </w:rPr>
        <w:tab/>
        <w:t>C.</w:t>
      </w:r>
      <w:r w:rsidRPr="00EA5B2D">
        <w:rPr>
          <w:lang w:val="es-MX"/>
        </w:rPr>
        <w:tab/>
        <w:t>Educación</w:t>
      </w:r>
    </w:p>
    <w:p w14:paraId="1E3122A5" w14:textId="77777777" w:rsidR="00D14A66" w:rsidRPr="00D14A66" w:rsidRDefault="00D14A66" w:rsidP="00D14A66">
      <w:pPr>
        <w:pStyle w:val="SingleTxt"/>
        <w:spacing w:after="0" w:line="120" w:lineRule="exact"/>
        <w:rPr>
          <w:sz w:val="10"/>
          <w:lang w:val="es-MX"/>
        </w:rPr>
      </w:pPr>
    </w:p>
    <w:p w14:paraId="5F01407F" w14:textId="77777777" w:rsidR="00D14A66" w:rsidRPr="00D14A66" w:rsidRDefault="00D14A66" w:rsidP="00D14A66">
      <w:pPr>
        <w:pStyle w:val="SingleTxt"/>
        <w:spacing w:after="0" w:line="120" w:lineRule="exact"/>
        <w:rPr>
          <w:sz w:val="10"/>
          <w:lang w:val="es-MX"/>
        </w:rPr>
      </w:pPr>
    </w:p>
    <w:p w14:paraId="27C19CD3" w14:textId="5E0ACA56" w:rsidR="00EA5B2D" w:rsidRPr="00EA5B2D" w:rsidRDefault="00EA5B2D" w:rsidP="00D14A66">
      <w:pPr>
        <w:pStyle w:val="SingleTxt"/>
        <w:numPr>
          <w:ilvl w:val="0"/>
          <w:numId w:val="28"/>
        </w:numPr>
        <w:tabs>
          <w:tab w:val="num" w:pos="2804"/>
        </w:tabs>
        <w:ind w:left="1267"/>
        <w:rPr>
          <w:lang w:val="es-MX"/>
        </w:rPr>
      </w:pPr>
      <w:r w:rsidRPr="00EA5B2D">
        <w:rPr>
          <w:lang w:val="es-MX"/>
        </w:rPr>
        <w:t>En respuesta al párrafo 34.b, se debe señalar que en 2010 se aprobó la Ley 29600, Ley que fomenta la reinserción escolar por embarazo</w:t>
      </w:r>
      <w:r w:rsidRPr="00EA5B2D">
        <w:rPr>
          <w:vertAlign w:val="superscript"/>
          <w:lang w:val="es-MX"/>
        </w:rPr>
        <w:footnoteReference w:id="41"/>
      </w:r>
      <w:r w:rsidRPr="00EA5B2D">
        <w:rPr>
          <w:lang w:val="es-MX"/>
        </w:rPr>
        <w:t>, mediante la cual se regulan medidas dirigidas a promover la equidad en la educación y garantizar la continuidad en el sistema educativo de las estudiantes gestantes o madres. Cabe destacar que dicha norma establece la prohibición de expulsar o limitar el acceso a las escuelas de alumnas embarazadas o madres, así como la obligación de las instituciones educativas de generar indicadores sobre su avance para aplicar métodos dirigidos a prevenir y eliminar cualquier forma de discriminación por estado de gestación o maternidad</w:t>
      </w:r>
      <w:r w:rsidRPr="00EA5B2D">
        <w:rPr>
          <w:vertAlign w:val="superscript"/>
          <w:lang w:val="es-MX"/>
        </w:rPr>
        <w:footnoteReference w:id="42"/>
      </w:r>
      <w:r w:rsidRPr="00EA5B2D">
        <w:rPr>
          <w:lang w:val="es-MX"/>
        </w:rPr>
        <w:t>.</w:t>
      </w:r>
    </w:p>
    <w:p w14:paraId="49AA1DD3" w14:textId="77777777" w:rsidR="00EA5B2D" w:rsidRPr="00EA5B2D" w:rsidRDefault="00EA5B2D" w:rsidP="00D14A66">
      <w:pPr>
        <w:pStyle w:val="SingleTxt"/>
        <w:numPr>
          <w:ilvl w:val="0"/>
          <w:numId w:val="28"/>
        </w:numPr>
        <w:tabs>
          <w:tab w:val="num" w:pos="2804"/>
        </w:tabs>
        <w:ind w:left="1267"/>
        <w:rPr>
          <w:lang w:val="es-MX"/>
        </w:rPr>
      </w:pPr>
      <w:r w:rsidRPr="00EA5B2D">
        <w:rPr>
          <w:lang w:val="es-MX"/>
        </w:rPr>
        <w:t>Además, el Reglamento de la Ley 28044, Ley General de Educación</w:t>
      </w:r>
      <w:r w:rsidRPr="00EA5B2D">
        <w:rPr>
          <w:vertAlign w:val="superscript"/>
          <w:lang w:val="es-MX"/>
        </w:rPr>
        <w:footnoteReference w:id="43"/>
      </w:r>
      <w:r w:rsidRPr="00EA5B2D">
        <w:rPr>
          <w:lang w:val="es-MX"/>
        </w:rPr>
        <w:t>, establece de forma expresa que las instituciones educativas tienen el deber de asegurar la permanencia en el servicio educativo de las adolescentes gestantes o madres</w:t>
      </w:r>
      <w:r w:rsidRPr="00EA5B2D">
        <w:rPr>
          <w:vertAlign w:val="superscript"/>
          <w:lang w:val="es-MX"/>
        </w:rPr>
        <w:footnoteReference w:id="44"/>
      </w:r>
      <w:r w:rsidRPr="00EA5B2D">
        <w:rPr>
          <w:lang w:val="es-MX"/>
        </w:rPr>
        <w:t xml:space="preserve"> y de adoptar medidas que garanticen su acceso, permanencia, reincorporación y culminación de la trayectoria educativa sin discriminación</w:t>
      </w:r>
      <w:r w:rsidRPr="00EA5B2D">
        <w:rPr>
          <w:vertAlign w:val="superscript"/>
          <w:lang w:val="es-MX"/>
        </w:rPr>
        <w:footnoteReference w:id="45"/>
      </w:r>
      <w:r w:rsidRPr="00EA5B2D">
        <w:rPr>
          <w:lang w:val="es-MX"/>
        </w:rPr>
        <w:t>.</w:t>
      </w:r>
    </w:p>
    <w:p w14:paraId="1E46F2F5" w14:textId="77777777" w:rsidR="00EA5B2D" w:rsidRPr="00EA5B2D" w:rsidRDefault="00EA5B2D" w:rsidP="00D14A66">
      <w:pPr>
        <w:pStyle w:val="SingleTxt"/>
        <w:numPr>
          <w:ilvl w:val="0"/>
          <w:numId w:val="28"/>
        </w:numPr>
        <w:tabs>
          <w:tab w:val="num" w:pos="2804"/>
        </w:tabs>
        <w:ind w:left="1267"/>
        <w:rPr>
          <w:lang w:val="es-MX"/>
        </w:rPr>
      </w:pPr>
      <w:r w:rsidRPr="00EA5B2D">
        <w:rPr>
          <w:lang w:val="es-MX"/>
        </w:rPr>
        <w:t>A nivel de políticas públicas, tanto la Política Nacional de Igualdad de Género</w:t>
      </w:r>
      <w:r w:rsidRPr="00EA5B2D">
        <w:rPr>
          <w:vertAlign w:val="superscript"/>
          <w:lang w:val="es-MX"/>
        </w:rPr>
        <w:footnoteReference w:id="46"/>
      </w:r>
      <w:r w:rsidRPr="00EA5B2D">
        <w:rPr>
          <w:lang w:val="es-MX"/>
        </w:rPr>
        <w:t xml:space="preserve"> como la Política Nacional Multisectorial de NNA</w:t>
      </w:r>
      <w:r w:rsidRPr="00EA5B2D">
        <w:rPr>
          <w:vertAlign w:val="superscript"/>
          <w:lang w:val="es-MX"/>
        </w:rPr>
        <w:footnoteReference w:id="47"/>
      </w:r>
      <w:r w:rsidRPr="00EA5B2D">
        <w:rPr>
          <w:lang w:val="es-MX"/>
        </w:rPr>
        <w:t xml:space="preserve"> incluyen servicios para fomentar la educación sexual integral en las instituciones de educación básica.</w:t>
      </w:r>
    </w:p>
    <w:p w14:paraId="22E36989" w14:textId="27CF0DFC" w:rsidR="00EA5B2D" w:rsidRPr="00EA5B2D" w:rsidRDefault="00EA5B2D" w:rsidP="00D14A66">
      <w:pPr>
        <w:pStyle w:val="SingleTxt"/>
        <w:numPr>
          <w:ilvl w:val="0"/>
          <w:numId w:val="28"/>
        </w:numPr>
        <w:tabs>
          <w:tab w:val="num" w:pos="2804"/>
        </w:tabs>
        <w:ind w:left="1267"/>
        <w:rPr>
          <w:lang w:val="es-MX"/>
        </w:rPr>
      </w:pPr>
      <w:r w:rsidRPr="00EA5B2D">
        <w:rPr>
          <w:lang w:val="es-MX"/>
        </w:rPr>
        <w:t>Se debe resaltar, además, que el MIMP aprobó el “Protocolo de acceso a la salud de niñas y adolescentes gestantes sin cuidados parentales o en riesgo de perderlos”</w:t>
      </w:r>
      <w:r w:rsidRPr="00EA5B2D">
        <w:rPr>
          <w:vertAlign w:val="superscript"/>
          <w:lang w:val="es-MX"/>
        </w:rPr>
        <w:footnoteReference w:id="48"/>
      </w:r>
      <w:r w:rsidRPr="00EA5B2D">
        <w:rPr>
          <w:lang w:val="es-MX"/>
        </w:rPr>
        <w:t xml:space="preserve"> a fin de abordar las medidas particulares que se aplican en dichos casos para la garantía de los derechos de las niñas y adolescentes gestantes, incluyendo la garantía de la continuidad educativa. Así, desde las Unidades de Protección Especial a nivel nacional se han atendido a </w:t>
      </w:r>
      <w:r w:rsidRPr="004B7CDB">
        <w:rPr>
          <w:lang w:val="es-MX"/>
        </w:rPr>
        <w:t>un total de 1</w:t>
      </w:r>
      <w:r w:rsidR="004B7CDB" w:rsidRPr="00C876FA">
        <w:rPr>
          <w:lang w:val="es-MX"/>
        </w:rPr>
        <w:t>.</w:t>
      </w:r>
      <w:r w:rsidRPr="004B7CDB">
        <w:rPr>
          <w:lang w:val="es-MX"/>
        </w:rPr>
        <w:t>150 niñas y adolescentes gestantes</w:t>
      </w:r>
      <w:r w:rsidRPr="004B7CDB">
        <w:rPr>
          <w:vertAlign w:val="superscript"/>
          <w:lang w:val="es-MX"/>
        </w:rPr>
        <w:footnoteReference w:id="49"/>
      </w:r>
      <w:r w:rsidRPr="004B7CDB">
        <w:rPr>
          <w:lang w:val="es-MX"/>
        </w:rPr>
        <w:t xml:space="preserve"> y, un total de 1</w:t>
      </w:r>
      <w:r w:rsidR="004B7CDB" w:rsidRPr="004B7CDB">
        <w:rPr>
          <w:lang w:val="es-MX"/>
        </w:rPr>
        <w:t>.</w:t>
      </w:r>
      <w:r w:rsidRPr="004B7CDB">
        <w:rPr>
          <w:lang w:val="es-MX"/>
        </w:rPr>
        <w:t>767 de niñas y adolescentes madres</w:t>
      </w:r>
      <w:r w:rsidRPr="004B7CDB">
        <w:rPr>
          <w:vertAlign w:val="superscript"/>
          <w:lang w:val="es-MX"/>
        </w:rPr>
        <w:footnoteReference w:id="50"/>
      </w:r>
      <w:r w:rsidRPr="004B7CDB">
        <w:rPr>
          <w:lang w:val="es-MX"/>
        </w:rPr>
        <w:t xml:space="preserve"> en el</w:t>
      </w:r>
      <w:r w:rsidRPr="00EA5B2D">
        <w:rPr>
          <w:lang w:val="es-MX"/>
        </w:rPr>
        <w:t xml:space="preserve"> </w:t>
      </w:r>
      <w:r w:rsidR="00692626">
        <w:rPr>
          <w:lang w:val="es-MX"/>
        </w:rPr>
        <w:t>período</w:t>
      </w:r>
      <w:r w:rsidRPr="00EA5B2D">
        <w:rPr>
          <w:lang w:val="es-MX"/>
        </w:rPr>
        <w:t xml:space="preserve"> que se reporta. </w:t>
      </w:r>
    </w:p>
    <w:p w14:paraId="09548005" w14:textId="77777777" w:rsidR="00EA5B2D" w:rsidRPr="00EA5B2D" w:rsidRDefault="00EA5B2D" w:rsidP="00D14A66">
      <w:pPr>
        <w:pStyle w:val="SingleTxt"/>
        <w:numPr>
          <w:ilvl w:val="0"/>
          <w:numId w:val="28"/>
        </w:numPr>
        <w:tabs>
          <w:tab w:val="num" w:pos="2804"/>
        </w:tabs>
        <w:ind w:left="1267"/>
        <w:rPr>
          <w:lang w:val="es-MX"/>
        </w:rPr>
      </w:pPr>
      <w:r w:rsidRPr="00EA5B2D">
        <w:rPr>
          <w:lang w:val="es-MX"/>
        </w:rPr>
        <w:t>Por su parte, el Ministerio de Educación (MINEDU) ha aprobado diversas normas sectoriales para promover la ESI, entre las que resaltan los “Lineamientos de Educación Sexual Integral para la Educación Básica”</w:t>
      </w:r>
      <w:r w:rsidRPr="00EA5B2D">
        <w:rPr>
          <w:vertAlign w:val="superscript"/>
          <w:lang w:val="es-MX"/>
        </w:rPr>
        <w:footnoteReference w:id="51"/>
      </w:r>
      <w:r w:rsidRPr="00EA5B2D">
        <w:rPr>
          <w:lang w:val="es-MX"/>
        </w:rPr>
        <w:t>. Asimismo, como parte de las herramientas curriculares elaboradas, se publicó la “Guía para promover la continuidad educativa de estudiantes en situación de embarazo y/o maternidad a temprana edad, en el marco de la Tutoría y Orientación Educativa dirigida a docentes de Educación Básica Regular”</w:t>
      </w:r>
      <w:r w:rsidRPr="00EA5B2D">
        <w:rPr>
          <w:vertAlign w:val="superscript"/>
          <w:lang w:val="es-MX"/>
        </w:rPr>
        <w:footnoteReference w:id="52"/>
      </w:r>
      <w:r w:rsidRPr="00EA5B2D">
        <w:rPr>
          <w:lang w:val="es-MX"/>
        </w:rPr>
        <w:t>.</w:t>
      </w:r>
    </w:p>
    <w:p w14:paraId="09BFEBBA" w14:textId="4D585782" w:rsidR="00EA5B2D" w:rsidRPr="00EA5B2D" w:rsidRDefault="00EA5B2D" w:rsidP="00D14A66">
      <w:pPr>
        <w:pStyle w:val="SingleTxt"/>
        <w:numPr>
          <w:ilvl w:val="0"/>
          <w:numId w:val="28"/>
        </w:numPr>
        <w:tabs>
          <w:tab w:val="num" w:pos="2804"/>
        </w:tabs>
        <w:ind w:left="1267"/>
        <w:rPr>
          <w:lang w:val="es-MX"/>
        </w:rPr>
      </w:pPr>
      <w:r w:rsidRPr="00EA5B2D">
        <w:rPr>
          <w:lang w:val="es-MX"/>
        </w:rPr>
        <w:t>De forma complementaria, entre 2022 y 2023 se desarrollaron ocho actividades de fortalecimiento de capacidades sobre la implementación de la ESI como mecanismo de prevención de la violencia sexual y el embarazo a temprana edad dirigidas a personal del sector educación a nivel nacional. Sobre las actividades dirigidas a estudiantes para promover la ESI, el MINEDU reportó que para 2023 se había logrado implementar la ESI en 45 instituciones educativas de nivel secundaria en ámbitos urbanos de Lima Metropolitana, Áncash, Ayacucho, Loreto, Piura y Ucayali, beneficiando así a 6</w:t>
      </w:r>
      <w:r w:rsidR="005F71C5">
        <w:rPr>
          <w:lang w:val="es-MX"/>
        </w:rPr>
        <w:t>.</w:t>
      </w:r>
      <w:r w:rsidRPr="00EA5B2D">
        <w:rPr>
          <w:lang w:val="es-MX"/>
        </w:rPr>
        <w:t>166 estudiantes con el fortalecimiento de sus competencias en la materia</w:t>
      </w:r>
      <w:r w:rsidRPr="00EA5B2D">
        <w:rPr>
          <w:vertAlign w:val="superscript"/>
          <w:lang w:val="es-MX"/>
        </w:rPr>
        <w:footnoteReference w:id="53"/>
      </w:r>
      <w:r w:rsidRPr="00EA5B2D">
        <w:rPr>
          <w:lang w:val="es-MX"/>
        </w:rPr>
        <w:t>.</w:t>
      </w:r>
    </w:p>
    <w:p w14:paraId="22C302FB" w14:textId="77777777" w:rsidR="00EA5B2D" w:rsidRPr="00EA5B2D" w:rsidRDefault="00EA5B2D" w:rsidP="00D14A66">
      <w:pPr>
        <w:pStyle w:val="SingleTxt"/>
        <w:numPr>
          <w:ilvl w:val="0"/>
          <w:numId w:val="28"/>
        </w:numPr>
        <w:tabs>
          <w:tab w:val="num" w:pos="2804"/>
        </w:tabs>
        <w:ind w:left="1267"/>
        <w:rPr>
          <w:lang w:val="es-MX"/>
        </w:rPr>
      </w:pPr>
      <w:r w:rsidRPr="00EA5B2D">
        <w:rPr>
          <w:lang w:val="es-MX"/>
        </w:rPr>
        <w:t>En el ámbito rural, se impulsa la implementación de servicios de educación básica regular diferenciados para incrementar el acceso y la conclusión oportuna de la trayectoria educativa de acuerdo al contexto de los NNA. En ese sentido, en 2022 el MINEDU elaboró la propuesta de “Ruta para garantizar la continuidad educativa en estudiantes embarazadas y madres de los Modelos de Servicios Educativos en el ámbito rural”</w:t>
      </w:r>
      <w:r w:rsidRPr="00EA5B2D">
        <w:rPr>
          <w:vertAlign w:val="superscript"/>
          <w:lang w:val="es-MX"/>
        </w:rPr>
        <w:footnoteReference w:id="54"/>
      </w:r>
      <w:r w:rsidRPr="00EA5B2D">
        <w:rPr>
          <w:lang w:val="es-MX"/>
        </w:rPr>
        <w:t>.</w:t>
      </w:r>
    </w:p>
    <w:p w14:paraId="2E562ACE" w14:textId="77777777" w:rsidR="00EA5B2D" w:rsidRPr="00EA5B2D" w:rsidRDefault="00EA5B2D" w:rsidP="00D14A66">
      <w:pPr>
        <w:pStyle w:val="SingleTxt"/>
        <w:numPr>
          <w:ilvl w:val="0"/>
          <w:numId w:val="28"/>
        </w:numPr>
        <w:tabs>
          <w:tab w:val="num" w:pos="2804"/>
        </w:tabs>
        <w:ind w:left="1267"/>
        <w:rPr>
          <w:lang w:val="es-MX"/>
        </w:rPr>
      </w:pPr>
      <w:r w:rsidRPr="00EA5B2D">
        <w:rPr>
          <w:lang w:val="es-MX"/>
        </w:rPr>
        <w:t>En materia de fortalecimiento de capacidades, el MINEDU reportó la ejecución de seis actividades de asistencia técnica sobre prevención de la violencia y del embarazo a entidades del sector Educación en el ámbito rural en 2023</w:t>
      </w:r>
      <w:r w:rsidRPr="00EA5B2D">
        <w:rPr>
          <w:vertAlign w:val="superscript"/>
          <w:lang w:val="es-MX"/>
        </w:rPr>
        <w:footnoteReference w:id="55"/>
      </w:r>
      <w:r w:rsidRPr="00EA5B2D">
        <w:rPr>
          <w:lang w:val="es-MX"/>
        </w:rPr>
        <w:t>.</w:t>
      </w:r>
    </w:p>
    <w:p w14:paraId="3AB4EF96" w14:textId="512203B2" w:rsidR="00EA5B2D" w:rsidRPr="00EA5B2D" w:rsidRDefault="00EA5B2D" w:rsidP="00D14A66">
      <w:pPr>
        <w:pStyle w:val="SingleTxt"/>
        <w:numPr>
          <w:ilvl w:val="0"/>
          <w:numId w:val="28"/>
        </w:numPr>
        <w:tabs>
          <w:tab w:val="num" w:pos="2804"/>
        </w:tabs>
        <w:ind w:left="1267"/>
        <w:rPr>
          <w:lang w:val="es-MX"/>
        </w:rPr>
      </w:pPr>
      <w:r w:rsidRPr="00EA5B2D">
        <w:rPr>
          <w:lang w:val="es-MX"/>
        </w:rPr>
        <w:t>Por otro lado, en el marco de las regulaciones específicas aplicables en los Colegios de Alto Rendimiento (COAR), se tiene que se aprobaron los “Lineamientos para la prestación del servicio educativo en las instituciones y programas educativos de la Educación Básica para el año 2024”</w:t>
      </w:r>
      <w:r w:rsidRPr="00EA5B2D">
        <w:rPr>
          <w:vertAlign w:val="superscript"/>
          <w:lang w:val="es-MX"/>
        </w:rPr>
        <w:footnoteReference w:id="56"/>
      </w:r>
      <w:r w:rsidRPr="00EA5B2D">
        <w:rPr>
          <w:lang w:val="es-MX"/>
        </w:rPr>
        <w:t>, mediante los que se establece la responsabilidad de los docentes y/o tutores en el reconocimiento e identificación de estudiantes en situación de riesgo de deserción a fin de coordinar las acciones necesarias para brindar oportunidades de aprendizaje y herr</w:t>
      </w:r>
      <w:r w:rsidR="007E5FD2">
        <w:rPr>
          <w:lang w:val="es-MX"/>
        </w:rPr>
        <w:t>a</w:t>
      </w:r>
      <w:r w:rsidRPr="00EA5B2D">
        <w:rPr>
          <w:lang w:val="es-MX"/>
        </w:rPr>
        <w:t>mientas para garantizar la continuidad en el servicio educativo</w:t>
      </w:r>
      <w:r w:rsidRPr="00EA5B2D">
        <w:rPr>
          <w:vertAlign w:val="superscript"/>
          <w:lang w:val="es-MX"/>
        </w:rPr>
        <w:footnoteReference w:id="57"/>
      </w:r>
      <w:r w:rsidRPr="00EA5B2D">
        <w:rPr>
          <w:lang w:val="es-MX"/>
        </w:rPr>
        <w:t>.</w:t>
      </w:r>
    </w:p>
    <w:p w14:paraId="4A5823A9" w14:textId="77777777" w:rsidR="00EA5B2D" w:rsidRPr="00EA5B2D" w:rsidRDefault="00EA5B2D" w:rsidP="00C876FA">
      <w:pPr>
        <w:pStyle w:val="SingleTxt"/>
        <w:numPr>
          <w:ilvl w:val="0"/>
          <w:numId w:val="28"/>
        </w:numPr>
        <w:tabs>
          <w:tab w:val="num" w:pos="2804"/>
        </w:tabs>
        <w:ind w:left="1267"/>
        <w:jc w:val="lowKashida"/>
        <w:rPr>
          <w:lang w:val="es-MX"/>
        </w:rPr>
      </w:pPr>
      <w:r w:rsidRPr="00EA5B2D">
        <w:rPr>
          <w:lang w:val="es-MX"/>
        </w:rPr>
        <w:t>Asimismo, la regulación del “Modelo de servicio educativo para la atención de estudiantes con habilidades sobresalientes”</w:t>
      </w:r>
      <w:r w:rsidRPr="00EA5B2D">
        <w:rPr>
          <w:vertAlign w:val="superscript"/>
          <w:lang w:val="es-MX"/>
        </w:rPr>
        <w:footnoteReference w:id="58"/>
      </w:r>
      <w:r w:rsidRPr="00EA5B2D">
        <w:rPr>
          <w:lang w:val="es-MX"/>
        </w:rPr>
        <w:t xml:space="preserve"> prevé medidas específicas para garantizar la continuidad de las niñas embarazadas y madres jóvenes en los COAR en el marco de la Ley 29600. Entre estas, se destaca la elaboración de planes educativos individualizados para la estudiante gestante o madre, la posibilidad de coordinar la flexibilización de la asistencia presencial en los casos que la estudiante lo requiera, la gestión con los centros de salud locales de las facilidades para que las estudiantes gestantes o madres acudan a los establecimientos de salud para sus controles y revisiones periódicas, y el trabajo pedagógico con las familias para fortalecer vínculos y mecanismos de representación para el seguimiento a los aprendizajes de la estudiante, entre otros</w:t>
      </w:r>
      <w:r w:rsidRPr="00EA5B2D">
        <w:rPr>
          <w:vertAlign w:val="superscript"/>
          <w:lang w:val="es-MX"/>
        </w:rPr>
        <w:footnoteReference w:id="59"/>
      </w:r>
      <w:r w:rsidRPr="00EA5B2D">
        <w:rPr>
          <w:lang w:val="es-MX"/>
        </w:rPr>
        <w:t>.</w:t>
      </w:r>
    </w:p>
    <w:p w14:paraId="2D4979AC" w14:textId="77777777" w:rsidR="00D14A66" w:rsidRPr="00D14A66" w:rsidRDefault="00D14A66" w:rsidP="00D14A66">
      <w:pPr>
        <w:pStyle w:val="SingleTxt"/>
        <w:spacing w:after="0" w:line="120" w:lineRule="exact"/>
        <w:rPr>
          <w:sz w:val="10"/>
          <w:lang w:val="es-MX"/>
        </w:rPr>
      </w:pPr>
      <w:bookmarkStart w:id="6" w:name="_heading=h.1t3h5sf" w:colFirst="0" w:colLast="0"/>
      <w:bookmarkEnd w:id="6"/>
    </w:p>
    <w:p w14:paraId="473CCA74" w14:textId="77777777" w:rsidR="00D14A66" w:rsidRPr="00D14A66" w:rsidRDefault="00D14A66" w:rsidP="00D14A66">
      <w:pPr>
        <w:pStyle w:val="SingleTxt"/>
        <w:spacing w:after="0" w:line="120" w:lineRule="exact"/>
        <w:rPr>
          <w:sz w:val="10"/>
          <w:lang w:val="es-MX"/>
        </w:rPr>
      </w:pPr>
    </w:p>
    <w:p w14:paraId="325CDFE4" w14:textId="76CD90E6" w:rsidR="00EA5B2D" w:rsidRPr="00EA5B2D" w:rsidRDefault="00EA5B2D" w:rsidP="00D14A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sidRPr="00EA5B2D">
        <w:rPr>
          <w:lang w:val="es-MX"/>
        </w:rPr>
        <w:tab/>
        <w:t>D.</w:t>
      </w:r>
      <w:r w:rsidRPr="00EA5B2D">
        <w:rPr>
          <w:lang w:val="es-MX"/>
        </w:rPr>
        <w:tab/>
        <w:t>Salud</w:t>
      </w:r>
    </w:p>
    <w:p w14:paraId="5E42993F" w14:textId="77777777" w:rsidR="00D14A66" w:rsidRPr="00D14A66" w:rsidRDefault="00D14A66" w:rsidP="00D14A66">
      <w:pPr>
        <w:pStyle w:val="SingleTxt"/>
        <w:spacing w:after="0" w:line="120" w:lineRule="exact"/>
        <w:rPr>
          <w:sz w:val="10"/>
          <w:lang w:val="es-MX"/>
        </w:rPr>
      </w:pPr>
    </w:p>
    <w:p w14:paraId="17CFB979" w14:textId="77777777" w:rsidR="00D14A66" w:rsidRPr="00D14A66" w:rsidRDefault="00D14A66" w:rsidP="00D14A66">
      <w:pPr>
        <w:pStyle w:val="SingleTxt"/>
        <w:spacing w:after="0" w:line="120" w:lineRule="exact"/>
        <w:rPr>
          <w:sz w:val="10"/>
          <w:lang w:val="es-MX"/>
        </w:rPr>
      </w:pPr>
    </w:p>
    <w:p w14:paraId="3005EAF9" w14:textId="3BFDEF3D" w:rsidR="00EA5B2D" w:rsidRPr="00EA5B2D" w:rsidRDefault="00EA5B2D" w:rsidP="00D14A66">
      <w:pPr>
        <w:pStyle w:val="SingleTxt"/>
        <w:numPr>
          <w:ilvl w:val="0"/>
          <w:numId w:val="28"/>
        </w:numPr>
        <w:tabs>
          <w:tab w:val="num" w:pos="2804"/>
        </w:tabs>
        <w:ind w:left="1267"/>
        <w:rPr>
          <w:lang w:val="es-MX"/>
        </w:rPr>
      </w:pPr>
      <w:r w:rsidRPr="00EA5B2D">
        <w:rPr>
          <w:lang w:val="es-MX"/>
        </w:rPr>
        <w:t>En respuesta al párrafo 38.c, sobre la capacitación del personal de salud para la implementación de la “Guía técnica nacional para la estandarización del procedimiento de la atención integral de la gestante en la interrupción voluntaria por indicación terapéutica del embarazo de menos de 22 semanas”</w:t>
      </w:r>
      <w:r w:rsidRPr="00EA5B2D">
        <w:rPr>
          <w:vertAlign w:val="superscript"/>
          <w:lang w:val="es-MX"/>
        </w:rPr>
        <w:footnoteReference w:id="60"/>
      </w:r>
      <w:r w:rsidRPr="00EA5B2D">
        <w:rPr>
          <w:lang w:val="es-MX"/>
        </w:rPr>
        <w:t>, aprobada mediante Resolución Ministerial 486-2014-MINSA, el Ministerio de Salud (MINSA) reportó que entre diciembre de 2021 y marzo de 2024 se capacitó en la materia a un total de 213 profesionales de salud en 8 hospitales a nivel nacional, ubicados en las regiones de Apurímac, Ayacucho, Callao, Huánuco, Lima Metropolitana, Moquegua, Piura y Tumbes</w:t>
      </w:r>
      <w:r w:rsidRPr="00EA5B2D">
        <w:rPr>
          <w:vertAlign w:val="superscript"/>
          <w:lang w:val="es-MX"/>
        </w:rPr>
        <w:footnoteReference w:id="61"/>
      </w:r>
      <w:r w:rsidRPr="00EA5B2D">
        <w:rPr>
          <w:lang w:val="es-MX"/>
        </w:rPr>
        <w:t>.</w:t>
      </w:r>
    </w:p>
    <w:p w14:paraId="6E140E52" w14:textId="6745D251" w:rsidR="00EA5B2D" w:rsidRPr="00EA5B2D" w:rsidRDefault="00EA5B2D" w:rsidP="00D14A66">
      <w:pPr>
        <w:pStyle w:val="SingleTxt"/>
        <w:numPr>
          <w:ilvl w:val="0"/>
          <w:numId w:val="28"/>
        </w:numPr>
        <w:tabs>
          <w:tab w:val="num" w:pos="2804"/>
        </w:tabs>
        <w:ind w:left="1267"/>
        <w:rPr>
          <w:lang w:val="es-MX"/>
        </w:rPr>
      </w:pPr>
      <w:r w:rsidRPr="00EA5B2D">
        <w:rPr>
          <w:lang w:val="es-MX"/>
        </w:rPr>
        <w:t xml:space="preserve">Durante el mismo </w:t>
      </w:r>
      <w:r w:rsidR="00692626">
        <w:rPr>
          <w:lang w:val="es-MX"/>
        </w:rPr>
        <w:t>período</w:t>
      </w:r>
      <w:r w:rsidRPr="00EA5B2D">
        <w:rPr>
          <w:lang w:val="es-MX"/>
        </w:rPr>
        <w:t xml:space="preserve">, se tiene que la Guía técnica fue aplicada en 373 casos. Sobre el total de casos, se debe mencionar que la aplicación de este instrumento ha visto un incremento paulatino en el país que se corresponde con los procesos de fortalecimiento de capacidades del personal de salud respecto del aborto terapéutico y el contenido de la Guía técnica. Así, tan solo entre 2022 </w:t>
      </w:r>
      <w:r w:rsidR="007E5FD2">
        <w:rPr>
          <w:lang w:val="es-MX"/>
        </w:rPr>
        <w:t>—</w:t>
      </w:r>
      <w:r w:rsidRPr="00EA5B2D">
        <w:rPr>
          <w:lang w:val="es-MX"/>
        </w:rPr>
        <w:t>donde se registraron 106</w:t>
      </w:r>
      <w:r w:rsidR="007E5FD2">
        <w:rPr>
          <w:lang w:val="es-MX"/>
        </w:rPr>
        <w:t> </w:t>
      </w:r>
      <w:r w:rsidRPr="00EA5B2D">
        <w:rPr>
          <w:lang w:val="es-MX"/>
        </w:rPr>
        <w:t>casos</w:t>
      </w:r>
      <w:r w:rsidR="007E5FD2">
        <w:rPr>
          <w:lang w:val="es-MX"/>
        </w:rPr>
        <w:t>—</w:t>
      </w:r>
      <w:r w:rsidRPr="00EA5B2D">
        <w:rPr>
          <w:lang w:val="es-MX"/>
        </w:rPr>
        <w:t xml:space="preserve"> y 2023 </w:t>
      </w:r>
      <w:r w:rsidR="007E5FD2">
        <w:rPr>
          <w:lang w:val="es-MX"/>
        </w:rPr>
        <w:t>—</w:t>
      </w:r>
      <w:r w:rsidRPr="00EA5B2D">
        <w:rPr>
          <w:lang w:val="es-MX"/>
        </w:rPr>
        <w:t>con 244 casos reportados</w:t>
      </w:r>
      <w:r w:rsidR="007E5FD2">
        <w:rPr>
          <w:lang w:val="es-MX"/>
        </w:rPr>
        <w:t>—</w:t>
      </w:r>
      <w:r w:rsidRPr="00EA5B2D">
        <w:rPr>
          <w:lang w:val="es-MX"/>
        </w:rPr>
        <w:t xml:space="preserve"> el número de niñas, adolescentes y mujeres que accedieron al aborto terapéutico por grave riesgo de su vida y/o salud se incrementó en un 130</w:t>
      </w:r>
      <w:r w:rsidR="007E5FD2">
        <w:rPr>
          <w:lang w:val="es-MX"/>
        </w:rPr>
        <w:t xml:space="preserve"> </w:t>
      </w:r>
      <w:r w:rsidRPr="00EA5B2D">
        <w:rPr>
          <w:lang w:val="es-MX"/>
        </w:rPr>
        <w:t>% a nivel nacional</w:t>
      </w:r>
      <w:r w:rsidRPr="00EA5B2D">
        <w:rPr>
          <w:vertAlign w:val="superscript"/>
          <w:lang w:val="es-MX"/>
        </w:rPr>
        <w:footnoteReference w:id="62"/>
      </w:r>
      <w:r w:rsidRPr="00EA5B2D">
        <w:rPr>
          <w:lang w:val="es-MX"/>
        </w:rPr>
        <w:t>.</w:t>
      </w:r>
    </w:p>
    <w:p w14:paraId="12766504" w14:textId="77777777" w:rsidR="00EA5B2D" w:rsidRPr="00EA5B2D" w:rsidRDefault="00EA5B2D" w:rsidP="00D14A66">
      <w:pPr>
        <w:pStyle w:val="SingleTxt"/>
        <w:numPr>
          <w:ilvl w:val="0"/>
          <w:numId w:val="28"/>
        </w:numPr>
        <w:tabs>
          <w:tab w:val="num" w:pos="2804"/>
        </w:tabs>
        <w:ind w:left="1267"/>
        <w:rPr>
          <w:lang w:val="es-MX"/>
        </w:rPr>
      </w:pPr>
      <w:r w:rsidRPr="00EA5B2D">
        <w:rPr>
          <w:lang w:val="es-MX"/>
        </w:rPr>
        <w:t>Adicionalmente, se debe mencionar que se encuentra en proceso de evaluación la propuesta de “Guía técnica complementaria para la aplicación del procedimiento establecido en la Resolución 486-2014/MINSA”, la cual buscará proveer un instrumento para la atención desde un enfoque diferenciado a las niñas y adolescentes que requieran la aplicación de la interrupción del embarazo</w:t>
      </w:r>
      <w:r w:rsidRPr="00EA5B2D">
        <w:rPr>
          <w:vertAlign w:val="superscript"/>
          <w:lang w:val="es-MX"/>
        </w:rPr>
        <w:footnoteReference w:id="63"/>
      </w:r>
      <w:r w:rsidRPr="00EA5B2D">
        <w:rPr>
          <w:lang w:val="es-MX"/>
        </w:rPr>
        <w:t>.</w:t>
      </w:r>
    </w:p>
    <w:p w14:paraId="57DCE058" w14:textId="77777777" w:rsidR="00D14A66" w:rsidRDefault="00D14A66">
      <w:pPr>
        <w:suppressAutoHyphens w:val="0"/>
        <w:spacing w:after="160" w:line="259" w:lineRule="auto"/>
        <w:rPr>
          <w:kern w:val="14"/>
          <w:lang w:val="es-MX"/>
        </w:rPr>
      </w:pPr>
      <w:bookmarkStart w:id="7" w:name="_heading=h.4d34og8" w:colFirst="0" w:colLast="0"/>
      <w:bookmarkEnd w:id="7"/>
      <w:r>
        <w:rPr>
          <w:lang w:val="es-MX"/>
        </w:rPr>
        <w:br w:type="page"/>
      </w:r>
    </w:p>
    <w:p w14:paraId="630DFC6E" w14:textId="1C071C7E" w:rsidR="00EA5B2D" w:rsidRPr="00EA5B2D" w:rsidRDefault="00EA5B2D" w:rsidP="00D14A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sidRPr="00EA5B2D">
        <w:rPr>
          <w:lang w:val="es-MX"/>
        </w:rPr>
        <w:tab/>
        <w:t>III.</w:t>
      </w:r>
      <w:r w:rsidRPr="00EA5B2D">
        <w:rPr>
          <w:lang w:val="es-MX"/>
        </w:rPr>
        <w:tab/>
        <w:t>Conclusiones</w:t>
      </w:r>
    </w:p>
    <w:p w14:paraId="7F92539D" w14:textId="77777777" w:rsidR="00D14A66" w:rsidRPr="00D14A66" w:rsidRDefault="00D14A66" w:rsidP="00D14A66">
      <w:pPr>
        <w:pStyle w:val="SingleTxt"/>
        <w:spacing w:after="0" w:line="120" w:lineRule="exact"/>
        <w:rPr>
          <w:sz w:val="10"/>
        </w:rPr>
      </w:pPr>
    </w:p>
    <w:p w14:paraId="7F7E43B3" w14:textId="77777777" w:rsidR="00D14A66" w:rsidRPr="00D14A66" w:rsidRDefault="00D14A66" w:rsidP="00D14A66">
      <w:pPr>
        <w:pStyle w:val="SingleTxt"/>
        <w:spacing w:after="0" w:line="120" w:lineRule="exact"/>
        <w:rPr>
          <w:sz w:val="10"/>
        </w:rPr>
      </w:pPr>
    </w:p>
    <w:p w14:paraId="50AB516B" w14:textId="7CA2617C" w:rsidR="00527708" w:rsidRPr="00D14A66" w:rsidRDefault="00EA5B2D" w:rsidP="00D14A66">
      <w:pPr>
        <w:pStyle w:val="SingleTxt"/>
        <w:numPr>
          <w:ilvl w:val="0"/>
          <w:numId w:val="28"/>
        </w:numPr>
        <w:tabs>
          <w:tab w:val="num" w:pos="2804"/>
        </w:tabs>
        <w:ind w:left="1267"/>
        <w:rPr>
          <w:lang w:val="es-419"/>
        </w:rPr>
      </w:pPr>
      <w:r w:rsidRPr="00EA5B2D">
        <w:t>El Estado peruano ha implementado diversas acciones con el objetivo de cumplir con las recomendaciones del Comité CEDAW, entre las que se destaca la aprobación de la Ley 31945 para la prohibición del matrimonio infantil, así como medidas a nivel preventivo y judicial para el cumplimiento de la Ley 30364, la promoción de la continuidad en el sistema educativo de las niñas y adolescentes en estado de gestación o que son madres, y la aplicación de medidas de fortalecimiento de capacidades para la aplicación efectiva de la “Guía técnica nacional para la estandarización del procedimiento de la atención integral de la gestante en la interrupción voluntaria por indicación terapéutica del embarazo de menos de 22</w:t>
      </w:r>
      <w:r w:rsidR="00574522">
        <w:t> </w:t>
      </w:r>
      <w:r w:rsidRPr="00EA5B2D">
        <w:t>semanas”.</w:t>
      </w:r>
    </w:p>
    <w:p w14:paraId="472E8C5C" w14:textId="1F732145" w:rsidR="00D14A66" w:rsidRPr="00EA5B2D" w:rsidRDefault="00D14A66" w:rsidP="00D14A66">
      <w:pPr>
        <w:pStyle w:val="SingleTxt"/>
        <w:rPr>
          <w:lang w:val="es-419"/>
        </w:rPr>
      </w:pPr>
      <w:r>
        <w:rPr>
          <w:noProof/>
          <w:w w:val="100"/>
          <w:lang w:val="es-419"/>
        </w:rPr>
        <mc:AlternateContent>
          <mc:Choice Requires="wps">
            <w:drawing>
              <wp:anchor distT="0" distB="0" distL="114300" distR="114300" simplePos="0" relativeHeight="251660288" behindDoc="0" locked="0" layoutInCell="1" allowOverlap="1" wp14:anchorId="1ED01256" wp14:editId="54ABB57A">
                <wp:simplePos x="0" y="0"/>
                <wp:positionH relativeFrom="column">
                  <wp:posOffset>2669540</wp:posOffset>
                </wp:positionH>
                <wp:positionV relativeFrom="paragraph">
                  <wp:posOffset>304800</wp:posOffset>
                </wp:positionV>
                <wp:extent cx="914400" cy="0"/>
                <wp:effectExtent l="0" t="0" r="0" b="0"/>
                <wp:wrapNone/>
                <wp:docPr id="866588374"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A23F20"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14A66" w:rsidRPr="00EA5B2D" w:rsidSect="00EA5B2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9-03T14:32:00Z" w:initials="Start">
    <w:p w14:paraId="4EAFDECE" w14:textId="77777777" w:rsidR="00527708" w:rsidRPr="00515772" w:rsidRDefault="00527708">
      <w:pPr>
        <w:pStyle w:val="CommentText"/>
        <w:rPr>
          <w:lang w:val="en-US"/>
        </w:rPr>
      </w:pPr>
      <w:r>
        <w:rPr>
          <w:rStyle w:val="CommentReference"/>
        </w:rPr>
        <w:annotationRef/>
      </w:r>
      <w:r w:rsidRPr="00515772">
        <w:rPr>
          <w:lang w:val="en-US"/>
        </w:rPr>
        <w:t>&lt;&lt;ODS JOB NO&gt;&gt;N2424216S&lt;&lt;ODS JOB NO&gt;&gt;</w:t>
      </w:r>
    </w:p>
    <w:p w14:paraId="37C42AFD" w14:textId="77777777" w:rsidR="00527708" w:rsidRPr="00515772" w:rsidRDefault="00527708">
      <w:pPr>
        <w:pStyle w:val="CommentText"/>
        <w:rPr>
          <w:lang w:val="en-US"/>
        </w:rPr>
      </w:pPr>
      <w:r w:rsidRPr="00515772">
        <w:rPr>
          <w:lang w:val="en-US"/>
        </w:rPr>
        <w:t>&lt;&lt;ODS DOC SYMBOL1&gt;&gt;CEDAW/C/PER/FCO/9&lt;&lt;ODS DOC SYMBOL1&gt;&gt;</w:t>
      </w:r>
    </w:p>
    <w:p w14:paraId="08223AB0" w14:textId="7BB1ED2B" w:rsidR="00527708" w:rsidRDefault="0052770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8223AB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B88DCDD" w16cex:dateUtc="2024-09-03T18: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8223AB0" w16cid:durableId="3B88DCD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689D56" w14:textId="77777777" w:rsidR="001049AE" w:rsidRDefault="001049AE" w:rsidP="00331D20">
      <w:r>
        <w:separator/>
      </w:r>
    </w:p>
  </w:endnote>
  <w:endnote w:type="continuationSeparator" w:id="0">
    <w:p w14:paraId="5C3FED77" w14:textId="77777777" w:rsidR="001049AE" w:rsidRDefault="001049A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27708" w14:paraId="28A0B9F2" w14:textId="77777777" w:rsidTr="00527708">
      <w:tblPrEx>
        <w:tblCellMar>
          <w:top w:w="0" w:type="dxa"/>
          <w:bottom w:w="0" w:type="dxa"/>
        </w:tblCellMar>
      </w:tblPrEx>
      <w:tc>
        <w:tcPr>
          <w:tcW w:w="4920" w:type="dxa"/>
          <w:shd w:val="clear" w:color="auto" w:fill="auto"/>
          <w:vAlign w:val="bottom"/>
        </w:tcPr>
        <w:p w14:paraId="5CE16A54" w14:textId="77777777" w:rsidR="00527708" w:rsidRPr="00527708" w:rsidRDefault="00527708" w:rsidP="00527708">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EB8F520" w14:textId="0918D863" w:rsidR="00527708" w:rsidRPr="00527708" w:rsidRDefault="00527708" w:rsidP="0052770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71B39">
            <w:rPr>
              <w:b w:val="0"/>
              <w:color w:val="000000"/>
              <w:sz w:val="14"/>
            </w:rPr>
            <w:t>24-14754</w:t>
          </w:r>
          <w:r>
            <w:rPr>
              <w:b w:val="0"/>
              <w:color w:val="000000"/>
              <w:sz w:val="14"/>
            </w:rPr>
            <w:fldChar w:fldCharType="end"/>
          </w:r>
        </w:p>
      </w:tc>
    </w:tr>
  </w:tbl>
  <w:p w14:paraId="390A5347" w14:textId="77777777" w:rsidR="00527708" w:rsidRPr="00527708" w:rsidRDefault="00527708" w:rsidP="005277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27708" w14:paraId="581368D9" w14:textId="77777777" w:rsidTr="00527708">
      <w:tblPrEx>
        <w:tblCellMar>
          <w:top w:w="0" w:type="dxa"/>
          <w:bottom w:w="0" w:type="dxa"/>
        </w:tblCellMar>
      </w:tblPrEx>
      <w:tc>
        <w:tcPr>
          <w:tcW w:w="4920" w:type="dxa"/>
          <w:shd w:val="clear" w:color="auto" w:fill="auto"/>
          <w:vAlign w:val="bottom"/>
        </w:tcPr>
        <w:p w14:paraId="44F3E8A5" w14:textId="2D2F0C14" w:rsidR="00527708" w:rsidRPr="00527708" w:rsidRDefault="00527708" w:rsidP="0052770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71B39">
            <w:rPr>
              <w:b w:val="0"/>
              <w:color w:val="000000"/>
              <w:sz w:val="14"/>
            </w:rPr>
            <w:t>24-14754</w:t>
          </w:r>
          <w:r>
            <w:rPr>
              <w:b w:val="0"/>
              <w:color w:val="000000"/>
              <w:sz w:val="14"/>
            </w:rPr>
            <w:fldChar w:fldCharType="end"/>
          </w:r>
        </w:p>
      </w:tc>
      <w:tc>
        <w:tcPr>
          <w:tcW w:w="4920" w:type="dxa"/>
          <w:shd w:val="clear" w:color="auto" w:fill="auto"/>
          <w:vAlign w:val="bottom"/>
        </w:tcPr>
        <w:p w14:paraId="5C30D2CA" w14:textId="77777777" w:rsidR="00527708" w:rsidRPr="00527708" w:rsidRDefault="00527708" w:rsidP="00527708">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BAA2206" w14:textId="77777777" w:rsidR="00527708" w:rsidRPr="00527708" w:rsidRDefault="00527708" w:rsidP="005277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0590E2" w14:textId="77777777" w:rsidR="00527708" w:rsidRPr="00527708" w:rsidRDefault="00527708" w:rsidP="00527708">
    <w:pPr>
      <w:pStyle w:val="Footer"/>
      <w:spacing w:line="120" w:lineRule="exact"/>
      <w:rPr>
        <w:b w:val="0"/>
        <w:sz w:val="10"/>
      </w:rPr>
    </w:pPr>
    <w:r>
      <w:rPr>
        <w:b w:val="0"/>
        <w:sz w:val="10"/>
      </w:rPr>
      <w:drawing>
        <wp:anchor distT="0" distB="0" distL="114300" distR="114300" simplePos="0" relativeHeight="251658240" behindDoc="0" locked="0" layoutInCell="1" allowOverlap="1" wp14:anchorId="0B98DCE5" wp14:editId="025EE129">
          <wp:simplePos x="0" y="0"/>
          <wp:positionH relativeFrom="column">
            <wp:posOffset>5568315</wp:posOffset>
          </wp:positionH>
          <wp:positionV relativeFrom="paragraph">
            <wp:posOffset>-283210</wp:posOffset>
          </wp:positionV>
          <wp:extent cx="694690" cy="694690"/>
          <wp:effectExtent l="0" t="0" r="0" b="0"/>
          <wp:wrapNone/>
          <wp:docPr id="6342553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27708" w14:paraId="2CFB1803" w14:textId="77777777" w:rsidTr="00527708">
      <w:tblPrEx>
        <w:tblCellMar>
          <w:top w:w="0" w:type="dxa"/>
          <w:bottom w:w="0" w:type="dxa"/>
        </w:tblCellMar>
      </w:tblPrEx>
      <w:tc>
        <w:tcPr>
          <w:tcW w:w="3830" w:type="dxa"/>
          <w:shd w:val="clear" w:color="auto" w:fill="auto"/>
        </w:tcPr>
        <w:p w14:paraId="3C94116B" w14:textId="51B6CEF0" w:rsidR="00527708" w:rsidRDefault="00527708" w:rsidP="00527708">
          <w:pPr>
            <w:pStyle w:val="ReleaseDate"/>
          </w:pPr>
          <w:r>
            <w:t>24-14754 (S)    030924    0</w:t>
          </w:r>
          <w:r w:rsidR="00D14A66">
            <w:t>6</w:t>
          </w:r>
          <w:r>
            <w:t>0924</w:t>
          </w:r>
        </w:p>
        <w:p w14:paraId="176D19D4" w14:textId="77777777" w:rsidR="00527708" w:rsidRPr="00527708" w:rsidRDefault="00527708" w:rsidP="0052770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*2414754*</w:t>
          </w:r>
        </w:p>
      </w:tc>
      <w:tc>
        <w:tcPr>
          <w:tcW w:w="4920" w:type="dxa"/>
          <w:shd w:val="clear" w:color="auto" w:fill="auto"/>
        </w:tcPr>
        <w:p w14:paraId="4F849954" w14:textId="77777777" w:rsidR="00527708" w:rsidRDefault="00527708" w:rsidP="00527708">
          <w:pPr>
            <w:pStyle w:val="Footer"/>
            <w:ind w:right="86"/>
            <w:jc w:val="right"/>
            <w:rPr>
              <w:b w:val="0"/>
              <w:sz w:val="20"/>
            </w:rPr>
          </w:pPr>
          <w:r>
            <w:rPr>
              <w:b w:val="0"/>
              <w:sz w:val="20"/>
            </w:rPr>
            <w:drawing>
              <wp:inline distT="0" distB="0" distL="0" distR="0" wp14:anchorId="0CF09C91" wp14:editId="05B322C6">
                <wp:extent cx="1082042" cy="231648"/>
                <wp:effectExtent l="0" t="0" r="3810" b="0"/>
                <wp:docPr id="1713759878" name="Picture 2"/>
                <wp:cNvGraphicFramePr/>
                <a:graphic xmlns:a="http://schemas.openxmlformats.org/drawingml/2006/main">
                  <a:graphicData uri="http://schemas.openxmlformats.org/drawingml/2006/picture">
                    <pic:pic xmlns:pic="http://schemas.openxmlformats.org/drawingml/2006/picture">
                      <pic:nvPicPr>
                        <pic:cNvPr id="1713759878"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7D50587" w14:textId="77777777" w:rsidR="00527708" w:rsidRPr="00527708" w:rsidRDefault="00527708" w:rsidP="0052770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A99AA0" w14:textId="439576A8" w:rsidR="001049AE" w:rsidRPr="00D14A66" w:rsidRDefault="00D14A66" w:rsidP="00D14A66">
      <w:pPr>
        <w:pStyle w:val="Footer"/>
        <w:spacing w:after="80"/>
        <w:ind w:left="792"/>
        <w:rPr>
          <w:sz w:val="16"/>
        </w:rPr>
      </w:pPr>
      <w:r w:rsidRPr="00D14A66">
        <w:rPr>
          <w:sz w:val="16"/>
        </w:rPr>
        <w:t>__________________</w:t>
      </w:r>
    </w:p>
  </w:footnote>
  <w:footnote w:type="continuationSeparator" w:id="0">
    <w:p w14:paraId="4C6CDEA4" w14:textId="0F5FD06E" w:rsidR="001049AE" w:rsidRPr="00D14A66" w:rsidRDefault="00D14A66" w:rsidP="00D14A66">
      <w:pPr>
        <w:pStyle w:val="Footer"/>
        <w:spacing w:after="80"/>
        <w:ind w:left="792"/>
        <w:rPr>
          <w:sz w:val="16"/>
        </w:rPr>
      </w:pPr>
      <w:r w:rsidRPr="00D14A66">
        <w:rPr>
          <w:sz w:val="16"/>
        </w:rPr>
        <w:t>__________________</w:t>
      </w:r>
    </w:p>
  </w:footnote>
  <w:footnote w:id="1">
    <w:p w14:paraId="6508DD31" w14:textId="77777777" w:rsidR="00EA5B2D" w:rsidRPr="00AB7DEA"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00AB7DEA">
        <w:rPr>
          <w:vertAlign w:val="superscript"/>
        </w:rPr>
        <w:footnoteRef/>
      </w:r>
      <w:r>
        <w:tab/>
      </w:r>
      <w:r w:rsidRPr="00AB7DEA">
        <w:t>Aprobada con Resolución Legislativa 23432 del 05 de junio de 1982.</w:t>
      </w:r>
    </w:p>
  </w:footnote>
  <w:footnote w:id="2">
    <w:p w14:paraId="201A8CA0" w14:textId="77777777" w:rsidR="00EA5B2D" w:rsidRPr="008B1723" w:rsidRDefault="00EA5B2D" w:rsidP="00D14A66">
      <w:pPr>
        <w:pStyle w:val="FootnoteText"/>
        <w:tabs>
          <w:tab w:val="clear" w:pos="418"/>
          <w:tab w:val="right" w:pos="1195"/>
          <w:tab w:val="left" w:pos="1267"/>
          <w:tab w:val="left" w:pos="1742"/>
          <w:tab w:val="left" w:pos="2218"/>
          <w:tab w:val="left" w:pos="2693"/>
        </w:tabs>
        <w:ind w:left="1267" w:right="1267" w:hanging="432"/>
        <w:rPr>
          <w:szCs w:val="18"/>
        </w:rPr>
      </w:pPr>
      <w:r>
        <w:tab/>
      </w:r>
      <w:r w:rsidRPr="00AB7DEA">
        <w:rPr>
          <w:vertAlign w:val="superscript"/>
        </w:rPr>
        <w:footnoteRef/>
      </w:r>
      <w:r>
        <w:tab/>
      </w:r>
      <w:r w:rsidRPr="00AB7DEA">
        <w:t>CR. Ley 31945. Publicada: 25.11.2023.</w:t>
      </w:r>
    </w:p>
  </w:footnote>
  <w:footnote w:id="3">
    <w:p w14:paraId="35919836" w14:textId="77777777" w:rsidR="00EA5B2D" w:rsidRPr="008B1723" w:rsidRDefault="00EA5B2D" w:rsidP="00D14A66">
      <w:pPr>
        <w:pStyle w:val="FootnoteText"/>
        <w:tabs>
          <w:tab w:val="clear" w:pos="418"/>
          <w:tab w:val="right" w:pos="1195"/>
          <w:tab w:val="left" w:pos="1267"/>
          <w:tab w:val="left" w:pos="1742"/>
          <w:tab w:val="left" w:pos="2218"/>
          <w:tab w:val="left" w:pos="2693"/>
        </w:tabs>
        <w:ind w:left="1267" w:right="1267" w:hanging="432"/>
        <w:rPr>
          <w:szCs w:val="18"/>
        </w:rPr>
      </w:pPr>
      <w:r>
        <w:tab/>
      </w:r>
      <w:r w:rsidRPr="00AB7DEA">
        <w:rPr>
          <w:vertAlign w:val="superscript"/>
        </w:rPr>
        <w:footnoteRef/>
      </w:r>
      <w:r>
        <w:tab/>
      </w:r>
      <w:r w:rsidRPr="00AB7DEA">
        <w:t>MIMP. Oficio 261-0024-MIMP-DGNNA (12 .04.2024).</w:t>
      </w:r>
    </w:p>
  </w:footnote>
  <w:footnote w:id="4">
    <w:p w14:paraId="2D893166" w14:textId="77777777" w:rsidR="00EA5B2D" w:rsidRPr="008B1723" w:rsidRDefault="00EA5B2D" w:rsidP="00D14A66">
      <w:pPr>
        <w:pStyle w:val="FootnoteText"/>
        <w:tabs>
          <w:tab w:val="clear" w:pos="418"/>
          <w:tab w:val="right" w:pos="1195"/>
          <w:tab w:val="left" w:pos="1267"/>
          <w:tab w:val="left" w:pos="1742"/>
          <w:tab w:val="left" w:pos="2218"/>
          <w:tab w:val="left" w:pos="2693"/>
        </w:tabs>
        <w:ind w:left="1267" w:right="1267" w:hanging="432"/>
        <w:rPr>
          <w:szCs w:val="18"/>
        </w:rPr>
      </w:pPr>
      <w:r>
        <w:tab/>
      </w:r>
      <w:r w:rsidRPr="00AB7DEA">
        <w:rPr>
          <w:vertAlign w:val="superscript"/>
        </w:rPr>
        <w:footnoteRef/>
      </w:r>
      <w:r>
        <w:tab/>
      </w:r>
      <w:r w:rsidRPr="00866322">
        <w:rPr>
          <w:i/>
          <w:iCs/>
        </w:rPr>
        <w:t>Ibid</w:t>
      </w:r>
      <w:r w:rsidRPr="00AB7DEA">
        <w:t>.</w:t>
      </w:r>
    </w:p>
  </w:footnote>
  <w:footnote w:id="5">
    <w:p w14:paraId="0338F179" w14:textId="77777777" w:rsidR="00EA5B2D" w:rsidRPr="008B1723" w:rsidRDefault="00EA5B2D" w:rsidP="00D14A66">
      <w:pPr>
        <w:pStyle w:val="FootnoteText"/>
        <w:tabs>
          <w:tab w:val="clear" w:pos="418"/>
          <w:tab w:val="right" w:pos="1195"/>
          <w:tab w:val="left" w:pos="1267"/>
          <w:tab w:val="left" w:pos="1742"/>
          <w:tab w:val="left" w:pos="2218"/>
          <w:tab w:val="left" w:pos="2693"/>
        </w:tabs>
        <w:ind w:left="1267" w:right="1267" w:hanging="432"/>
        <w:rPr>
          <w:szCs w:val="18"/>
        </w:rPr>
      </w:pPr>
      <w:r>
        <w:tab/>
      </w:r>
      <w:r w:rsidRPr="00AB7DEA">
        <w:rPr>
          <w:vertAlign w:val="superscript"/>
        </w:rPr>
        <w:footnoteRef/>
      </w:r>
      <w:r>
        <w:tab/>
      </w:r>
      <w:r w:rsidRPr="00866322">
        <w:rPr>
          <w:i/>
          <w:iCs/>
        </w:rPr>
        <w:t>Ibid</w:t>
      </w:r>
      <w:r w:rsidRPr="00AB7DEA">
        <w:t>.</w:t>
      </w:r>
    </w:p>
  </w:footnote>
  <w:footnote w:id="6">
    <w:p w14:paraId="3A945326" w14:textId="7353C44C" w:rsidR="00EA5B2D" w:rsidRPr="00053AEE" w:rsidRDefault="00EA5B2D" w:rsidP="00D14A66">
      <w:pPr>
        <w:pStyle w:val="FootnoteText"/>
        <w:tabs>
          <w:tab w:val="clear" w:pos="418"/>
          <w:tab w:val="right" w:pos="1195"/>
          <w:tab w:val="left" w:pos="1267"/>
          <w:tab w:val="left" w:pos="1742"/>
          <w:tab w:val="left" w:pos="2218"/>
          <w:tab w:val="left" w:pos="2693"/>
        </w:tabs>
        <w:ind w:left="1267" w:right="1267" w:hanging="432"/>
        <w:rPr>
          <w:szCs w:val="18"/>
        </w:rPr>
      </w:pPr>
      <w:r>
        <w:tab/>
      </w:r>
      <w:r w:rsidRPr="00AB7DEA">
        <w:rPr>
          <w:vertAlign w:val="superscript"/>
        </w:rPr>
        <w:footnoteRef/>
      </w:r>
      <w:r>
        <w:tab/>
      </w:r>
      <w:r w:rsidRPr="00AB7DEA">
        <w:t xml:space="preserve">Para visualizar el vídeo, dirigirse a: </w:t>
      </w:r>
      <w:hyperlink r:id="rId1" w:history="1">
        <w:r w:rsidR="00D019A5" w:rsidRPr="00443AAD">
          <w:rPr>
            <w:rStyle w:val="Hyperlink"/>
            <w:szCs w:val="17"/>
          </w:rPr>
          <w:t>https://www.youtube.com/shorts/OaHAmBnZ-_k</w:t>
        </w:r>
      </w:hyperlink>
      <w:r w:rsidRPr="00053AEE">
        <w:rPr>
          <w:szCs w:val="18"/>
        </w:rPr>
        <w:t>.</w:t>
      </w:r>
    </w:p>
  </w:footnote>
  <w:footnote w:id="7">
    <w:p w14:paraId="6746A861" w14:textId="77777777" w:rsidR="00EA5B2D" w:rsidRPr="00AB7DEA" w:rsidRDefault="00EA5B2D" w:rsidP="00D14A66">
      <w:pPr>
        <w:pStyle w:val="FootnoteText"/>
        <w:tabs>
          <w:tab w:val="clear" w:pos="418"/>
          <w:tab w:val="right" w:pos="1195"/>
          <w:tab w:val="left" w:pos="1267"/>
          <w:tab w:val="left" w:pos="1742"/>
          <w:tab w:val="left" w:pos="2218"/>
          <w:tab w:val="left" w:pos="2693"/>
        </w:tabs>
        <w:ind w:left="1267" w:right="1267" w:hanging="432"/>
      </w:pPr>
      <w:r w:rsidRPr="006B70C5">
        <w:tab/>
      </w:r>
      <w:r w:rsidRPr="00053AEE">
        <w:rPr>
          <w:vertAlign w:val="superscript"/>
        </w:rPr>
        <w:footnoteRef/>
      </w:r>
      <w:r w:rsidRPr="00053AEE">
        <w:rPr>
          <w:lang w:val="en-US"/>
        </w:rPr>
        <w:tab/>
        <w:t xml:space="preserve">RENIEC. R.D. 564-2023/DRC/RENIEC. </w:t>
      </w:r>
      <w:r w:rsidRPr="00053AEE">
        <w:t>Aprobado: 29.11.2023.</w:t>
      </w:r>
    </w:p>
  </w:footnote>
  <w:footnote w:id="8">
    <w:p w14:paraId="1CB67E56" w14:textId="77777777" w:rsidR="00EA5B2D" w:rsidRPr="00AB7DEA"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00AB7DEA">
        <w:rPr>
          <w:vertAlign w:val="superscript"/>
        </w:rPr>
        <w:footnoteRef/>
      </w:r>
      <w:r>
        <w:tab/>
      </w:r>
      <w:r w:rsidRPr="00AB7DEA">
        <w:t>RENIEC. Oficio 1362-2024/SGEN/RENIEC (08.07.2024).</w:t>
      </w:r>
    </w:p>
  </w:footnote>
  <w:footnote w:id="9">
    <w:p w14:paraId="20196EB4"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rsidRPr="006B70C5">
        <w:tab/>
      </w:r>
      <w:r w:rsidRPr="00AB7DEA">
        <w:rPr>
          <w:vertAlign w:val="superscript"/>
        </w:rPr>
        <w:footnoteRef/>
      </w:r>
      <w:r>
        <w:rPr>
          <w:lang w:val="en-US"/>
        </w:rPr>
        <w:tab/>
      </w:r>
      <w:r w:rsidRPr="007054F3">
        <w:rPr>
          <w:lang w:val="en-US"/>
        </w:rPr>
        <w:t xml:space="preserve">RENIEC. R.D. 154-2024/DRC/RENIEC. </w:t>
      </w:r>
      <w:r w:rsidRPr="00AB7DEA">
        <w:t>Aprobado: 14.03.2024.</w:t>
      </w:r>
    </w:p>
  </w:footnote>
  <w:footnote w:id="10">
    <w:p w14:paraId="0AB8B17B"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RENIEC. Oficio 1362-2024/DRC/RENIEC (08.07.2024).</w:t>
      </w:r>
    </w:p>
  </w:footnote>
  <w:footnote w:id="11">
    <w:p w14:paraId="6A7D7719"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r>
      <w:r w:rsidRPr="00C876FA">
        <w:rPr>
          <w:i/>
          <w:iCs/>
        </w:rPr>
        <w:t>Ibid</w:t>
      </w:r>
      <w:r>
        <w:t>.</w:t>
      </w:r>
    </w:p>
  </w:footnote>
  <w:footnote w:id="12">
    <w:p w14:paraId="6A4EFBDB"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MIMP. D.S 008-2019-MIMP. Publicado: 04.04.2019.</w:t>
      </w:r>
    </w:p>
  </w:footnote>
  <w:footnote w:id="13">
    <w:p w14:paraId="7320F179"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MEF. R.S. 024-2019-EF. Aprobado: 30.12.2019.</w:t>
      </w:r>
    </w:p>
  </w:footnote>
  <w:footnote w:id="14">
    <w:p w14:paraId="51DCA4E5"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Este Sistema fue reconocido como funcional con el Decreto Supremo N.° 097-2022-PCM.</w:t>
      </w:r>
    </w:p>
  </w:footnote>
  <w:footnote w:id="15">
    <w:p w14:paraId="18AEBB70"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rStyle w:val="FootnoteReference"/>
          <w:rFonts w:eastAsia="Times New Roman"/>
          <w:sz w:val="16"/>
          <w:szCs w:val="16"/>
        </w:rPr>
        <w:footnoteRef/>
      </w:r>
      <w:r>
        <w:tab/>
      </w:r>
      <w:r w:rsidRPr="4405DB4A">
        <w:t>CR. Ley 31439. Publicada: 07.04.2022.</w:t>
      </w:r>
    </w:p>
  </w:footnote>
  <w:footnote w:id="16">
    <w:p w14:paraId="02596DCA"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rStyle w:val="FootnoteReference"/>
          <w:rFonts w:eastAsia="Times New Roman"/>
          <w:sz w:val="16"/>
          <w:szCs w:val="16"/>
        </w:rPr>
        <w:footnoteRef/>
      </w:r>
      <w:r>
        <w:tab/>
      </w:r>
      <w:r w:rsidRPr="4405DB4A">
        <w:t>MIMP. R.M. 288-2023-MIMP. Aprobada: 16.08.2023.</w:t>
      </w:r>
    </w:p>
  </w:footnote>
  <w:footnote w:id="17">
    <w:p w14:paraId="3BD59767"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rStyle w:val="FootnoteReference"/>
          <w:rFonts w:eastAsia="Times New Roman"/>
          <w:sz w:val="16"/>
          <w:szCs w:val="16"/>
        </w:rPr>
        <w:footnoteRef/>
      </w:r>
      <w:r>
        <w:tab/>
      </w:r>
      <w:r w:rsidRPr="4405DB4A">
        <w:t>MIMP. Oficio 205-2024-MIMP-DGCVG (27.06.2024).</w:t>
      </w:r>
    </w:p>
  </w:footnote>
  <w:footnote w:id="18">
    <w:p w14:paraId="0C1E2D08"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rStyle w:val="FootnoteReference"/>
          <w:rFonts w:eastAsia="Times New Roman"/>
          <w:sz w:val="16"/>
          <w:szCs w:val="16"/>
        </w:rPr>
        <w:footnoteRef/>
      </w:r>
      <w:r>
        <w:tab/>
      </w:r>
      <w:r w:rsidRPr="4405DB4A">
        <w:t xml:space="preserve">MIMP. D.S. 011-2021-MIMP. Publicado: 10.07.2021. </w:t>
      </w:r>
    </w:p>
  </w:footnote>
  <w:footnote w:id="19">
    <w:p w14:paraId="7CB23184"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rStyle w:val="FootnoteReference"/>
          <w:rFonts w:eastAsia="Times New Roman"/>
          <w:sz w:val="16"/>
          <w:szCs w:val="16"/>
        </w:rPr>
        <w:footnoteRef/>
      </w:r>
      <w:r>
        <w:tab/>
      </w:r>
      <w:r w:rsidRPr="4405DB4A">
        <w:t>Los distritos judiciales donde se ha implementado el SNEJ son: Áncash, Arequipa, Callao, Cusco, Junín, Lima Este, Lima Norte, Puente Piedra – Ventanilla.</w:t>
      </w:r>
    </w:p>
  </w:footnote>
  <w:footnote w:id="20">
    <w:p w14:paraId="5B229C33"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MIMP. D.S. 005-2022-MIMP. Publicado: 04.04.2022.</w:t>
      </w:r>
    </w:p>
  </w:footnote>
  <w:footnote w:id="21">
    <w:p w14:paraId="59CF251F" w14:textId="7C6766F8"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Las modalidades de violencia incorporadas al artículo 8 del Reglamento de la Ley 30364 con el D.S. 005-2022-MIMP son las siguientes: i) explotación sexual de NNA, ii) violencia en los servicios de salud sexual y reproductiva, iii) acoso a través del proceso judicial, y iv)</w:t>
      </w:r>
      <w:r w:rsidR="00983734">
        <w:t> </w:t>
      </w:r>
      <w:r>
        <w:t>desaparición por particulares.</w:t>
      </w:r>
    </w:p>
  </w:footnote>
  <w:footnote w:id="22">
    <w:p w14:paraId="7ACFF2DF"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CR. Ley 31613. Publicada: 11.11.2022.</w:t>
      </w:r>
    </w:p>
  </w:footnote>
  <w:footnote w:id="23">
    <w:p w14:paraId="16A54256"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CR. Ley 31621. Publicada: 15.11.2022.</w:t>
      </w:r>
    </w:p>
  </w:footnote>
  <w:footnote w:id="24">
    <w:p w14:paraId="5CEE9151"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MIMP. Oficio 659-2024-MIMP-AURORA-DE (18.04.2024).</w:t>
      </w:r>
    </w:p>
  </w:footnote>
  <w:footnote w:id="25">
    <w:p w14:paraId="4749B37B"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rStyle w:val="FootnoteReference"/>
          <w:rFonts w:eastAsia="Times New Roman"/>
          <w:sz w:val="16"/>
          <w:szCs w:val="16"/>
        </w:rPr>
        <w:footnoteRef/>
      </w:r>
      <w:r>
        <w:tab/>
      </w:r>
      <w:r w:rsidRPr="4405DB4A">
        <w:t>MIMP. R.D.E 336-2021-MIMP-AURORA-DE. Aprobada: 31.12.2021.</w:t>
      </w:r>
    </w:p>
  </w:footnote>
  <w:footnote w:id="26">
    <w:p w14:paraId="71775477"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rStyle w:val="FootnoteReference"/>
          <w:rFonts w:eastAsia="Times New Roman"/>
          <w:sz w:val="16"/>
          <w:szCs w:val="16"/>
        </w:rPr>
        <w:footnoteRef/>
      </w:r>
      <w:r>
        <w:tab/>
      </w:r>
      <w:r w:rsidRPr="4405DB4A">
        <w:t>MIMP. R.D.E. 133-2022-MIMP-AURORA-DE. Aprobada: 08.06.2022.</w:t>
      </w:r>
    </w:p>
  </w:footnote>
  <w:footnote w:id="27">
    <w:p w14:paraId="09F050D2"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rStyle w:val="FootnoteReference"/>
          <w:rFonts w:eastAsia="Times New Roman"/>
          <w:sz w:val="16"/>
          <w:szCs w:val="16"/>
        </w:rPr>
        <w:footnoteRef/>
      </w:r>
      <w:r>
        <w:tab/>
      </w:r>
      <w:r w:rsidRPr="4405DB4A">
        <w:t>MIMP. R.D.E 136-2022-MIMP-AURORA-DE. Aprobada: 16.06.2022.</w:t>
      </w:r>
    </w:p>
  </w:footnote>
  <w:footnote w:id="28">
    <w:p w14:paraId="635937DE"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rStyle w:val="FootnoteReference"/>
          <w:rFonts w:eastAsia="Times New Roman"/>
          <w:sz w:val="16"/>
          <w:szCs w:val="16"/>
        </w:rPr>
        <w:footnoteRef/>
      </w:r>
      <w:r>
        <w:tab/>
      </w:r>
      <w:r w:rsidRPr="4405DB4A">
        <w:t>MIMP. D.S. 022-2021-MIMP. Publicado. 24.07.2021.</w:t>
      </w:r>
    </w:p>
  </w:footnote>
  <w:footnote w:id="29">
    <w:p w14:paraId="70C12699"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rStyle w:val="FootnoteReference"/>
          <w:rFonts w:eastAsia="Times New Roman"/>
          <w:sz w:val="16"/>
          <w:szCs w:val="16"/>
        </w:rPr>
        <w:footnoteRef/>
      </w:r>
      <w:r>
        <w:tab/>
      </w:r>
      <w:r w:rsidRPr="4405DB4A">
        <w:t>MIMP. Oficio 134-2024-MIMP-DGCVG (16.04.2024).</w:t>
      </w:r>
    </w:p>
  </w:footnote>
  <w:footnote w:id="30">
    <w:p w14:paraId="3CF2AB73"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rStyle w:val="FootnoteReference"/>
          <w:rFonts w:eastAsia="Times New Roman"/>
          <w:sz w:val="16"/>
          <w:szCs w:val="16"/>
        </w:rPr>
        <w:footnoteRef/>
      </w:r>
      <w:r>
        <w:tab/>
      </w:r>
      <w:r w:rsidRPr="4405DB4A">
        <w:t>MIMP. R.M. 064-2022-MIMP. Aprobada: 25.02.2022.</w:t>
      </w:r>
    </w:p>
  </w:footnote>
  <w:footnote w:id="31">
    <w:p w14:paraId="44A83BF6"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rStyle w:val="FootnoteReference"/>
          <w:rFonts w:eastAsia="Times New Roman"/>
          <w:sz w:val="16"/>
          <w:szCs w:val="16"/>
        </w:rPr>
        <w:footnoteRef/>
      </w:r>
      <w:r>
        <w:tab/>
      </w:r>
      <w:r w:rsidRPr="4405DB4A">
        <w:t>MIMP. Oficio 134-2024-MIMP-DGCVG (16.04.2024).</w:t>
      </w:r>
    </w:p>
  </w:footnote>
  <w:footnote w:id="32">
    <w:p w14:paraId="05111666"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PJ. R.A. 038-2022-CE-PE. Aprobada: 14.02.2022.</w:t>
      </w:r>
    </w:p>
  </w:footnote>
  <w:footnote w:id="33">
    <w:p w14:paraId="7B950C36"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PJ. R.A. 071-2022-CE-PJ. Aprobada: 07.03.2022.</w:t>
      </w:r>
    </w:p>
  </w:footnote>
  <w:footnote w:id="34">
    <w:p w14:paraId="2002668F"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PJ. R.A. 211-2022-CE-PJ. Aprobada: 10.06.2022.</w:t>
      </w:r>
    </w:p>
  </w:footnote>
  <w:footnote w:id="35">
    <w:p w14:paraId="17254801"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PJ. R.A. 114-2022-P-CE-PJ. Aprobada: 14.11.2022.</w:t>
      </w:r>
    </w:p>
  </w:footnote>
  <w:footnote w:id="36">
    <w:p w14:paraId="0C480FDB"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PJ. R.A. 443-2022-CE-PJ. Aprobada: 22.12.2022.</w:t>
      </w:r>
    </w:p>
  </w:footnote>
  <w:footnote w:id="37">
    <w:p w14:paraId="4394EE98"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rStyle w:val="FootnoteReference"/>
          <w:rFonts w:eastAsia="Times New Roman"/>
          <w:sz w:val="16"/>
          <w:szCs w:val="16"/>
        </w:rPr>
        <w:footnoteRef/>
      </w:r>
      <w:r>
        <w:tab/>
      </w:r>
      <w:r w:rsidRPr="4405DB4A">
        <w:t>MPFN. R.F.N. 432-2022-MP-FN. Aprobada: 25.03.2022.</w:t>
      </w:r>
    </w:p>
  </w:footnote>
  <w:footnote w:id="38">
    <w:p w14:paraId="4392133D"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rStyle w:val="FootnoteReference"/>
          <w:rFonts w:eastAsia="Times New Roman"/>
          <w:sz w:val="16"/>
          <w:szCs w:val="16"/>
        </w:rPr>
        <w:footnoteRef/>
      </w:r>
      <w:r>
        <w:tab/>
      </w:r>
      <w:r w:rsidRPr="4405DB4A">
        <w:t>MPFN. Informe N° 212-2024-MP-FN-CFSN-FPS-DHI (09.08.2024).</w:t>
      </w:r>
    </w:p>
  </w:footnote>
  <w:footnote w:id="39">
    <w:p w14:paraId="55F8D2B7"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rStyle w:val="FootnoteReference"/>
          <w:rFonts w:eastAsia="Times New Roman"/>
          <w:sz w:val="16"/>
          <w:szCs w:val="16"/>
        </w:rPr>
        <w:footnoteRef/>
      </w:r>
      <w:r>
        <w:tab/>
      </w:r>
      <w:r w:rsidRPr="4405DB4A">
        <w:t>MPFN (2022). Guía didáctica de actuación fiscal en la investigación de los delitos de violencia sexual contra las mujeres.</w:t>
      </w:r>
    </w:p>
  </w:footnote>
  <w:footnote w:id="40">
    <w:p w14:paraId="45B8A23A"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rStyle w:val="FootnoteReference"/>
          <w:rFonts w:eastAsia="Times New Roman"/>
          <w:sz w:val="16"/>
          <w:szCs w:val="16"/>
        </w:rPr>
        <w:footnoteRef/>
      </w:r>
      <w:r>
        <w:tab/>
      </w:r>
      <w:r w:rsidRPr="4405DB4A">
        <w:t>MPFN (2022). Guía didáctica de actuación fiscal en la investigación de delitos de agresiones contra las mujeres.</w:t>
      </w:r>
    </w:p>
  </w:footnote>
  <w:footnote w:id="41">
    <w:p w14:paraId="57346C8D"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CR. Ley 29600. Publicada: 15.10.2010.</w:t>
      </w:r>
    </w:p>
  </w:footnote>
  <w:footnote w:id="42">
    <w:p w14:paraId="11354321"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Artículo 2 de la Ley 29600.</w:t>
      </w:r>
    </w:p>
  </w:footnote>
  <w:footnote w:id="43">
    <w:p w14:paraId="435CFDAA"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MINEDU. D.S. 011-2012-ED. Publicada: 07.07.2012, modificado por D.S. 007-2021-MINEDU. Publicada: 11.05.2021.</w:t>
      </w:r>
    </w:p>
  </w:footnote>
  <w:footnote w:id="44">
    <w:p w14:paraId="617C30D5"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Artículo 2.b del D.S. 011-2012-ED.</w:t>
      </w:r>
    </w:p>
  </w:footnote>
  <w:footnote w:id="45">
    <w:p w14:paraId="746A3F8E"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Artículo 11.a del D.S. 011-2012-ED.</w:t>
      </w:r>
    </w:p>
  </w:footnote>
  <w:footnote w:id="46">
    <w:p w14:paraId="2B15252C"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MIMP. D.S. 008-2019-MIMP. Publicado: 04.04.2019.</w:t>
      </w:r>
    </w:p>
  </w:footnote>
  <w:footnote w:id="47">
    <w:p w14:paraId="653FC2C1"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MIMP. D.S. 008-2021-MIMP. Publicado: 25.06.2021</w:t>
      </w:r>
    </w:p>
  </w:footnote>
  <w:footnote w:id="48">
    <w:p w14:paraId="5A1F41AD"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rPr>
          <w:b/>
          <w:bCs/>
        </w:rPr>
      </w:pPr>
      <w:r w:rsidRPr="006B70C5">
        <w:tab/>
      </w:r>
      <w:r w:rsidRPr="4405DB4A">
        <w:rPr>
          <w:vertAlign w:val="superscript"/>
        </w:rPr>
        <w:footnoteRef/>
      </w:r>
      <w:r>
        <w:rPr>
          <w:lang w:val="en-US"/>
        </w:rPr>
        <w:tab/>
      </w:r>
      <w:r w:rsidRPr="007054F3">
        <w:rPr>
          <w:lang w:val="en-US"/>
        </w:rPr>
        <w:t xml:space="preserve">MIMP. R. D. 153-2023-MIMP/DGNNA. </w:t>
      </w:r>
      <w:r w:rsidRPr="4405DB4A">
        <w:t>Aprobada: 28.12.2023.</w:t>
      </w:r>
    </w:p>
  </w:footnote>
  <w:footnote w:id="49">
    <w:p w14:paraId="7C276256" w14:textId="312D4F8B" w:rsidR="00EA5B2D" w:rsidRPr="00B074D3"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3F7E3B5E">
        <w:rPr>
          <w:vertAlign w:val="superscript"/>
        </w:rPr>
        <w:footnoteRef/>
      </w:r>
      <w:r>
        <w:tab/>
      </w:r>
      <w:r w:rsidRPr="3F7E3B5E">
        <w:t xml:space="preserve">MIMP. Comunicación electrónica de la Dirección General de Niñas, Niños y Adolescentes </w:t>
      </w:r>
      <w:r w:rsidRPr="00053AEE">
        <w:rPr>
          <w:szCs w:val="18"/>
        </w:rPr>
        <w:t>(</w:t>
      </w:r>
      <w:hyperlink r:id="rId2">
        <w:r w:rsidRPr="00053AEE">
          <w:rPr>
            <w:rStyle w:val="Hyperlink"/>
            <w:rFonts w:eastAsia="Times New Roman"/>
            <w:szCs w:val="18"/>
          </w:rPr>
          <w:t>haguilera@mimp.gob.pe)</w:t>
        </w:r>
      </w:hyperlink>
      <w:r w:rsidRPr="00053AEE">
        <w:rPr>
          <w:szCs w:val="18"/>
        </w:rPr>
        <w:t>,</w:t>
      </w:r>
      <w:r w:rsidRPr="00053AEE">
        <w:t xml:space="preserve"> </w:t>
      </w:r>
      <w:r w:rsidRPr="3F7E3B5E">
        <w:t xml:space="preserve">de fecha 09.08.2024. Según el desagregado indicado, la cifra citada se desagrega de la siguiente forma: 2021 (278); 2022 (314); 2023 (369); 2024 (189). </w:t>
      </w:r>
    </w:p>
  </w:footnote>
  <w:footnote w:id="50">
    <w:p w14:paraId="0DF46AF1"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3F7E3B5E">
        <w:rPr>
          <w:vertAlign w:val="superscript"/>
        </w:rPr>
        <w:footnoteRef/>
      </w:r>
      <w:r>
        <w:tab/>
      </w:r>
      <w:r w:rsidRPr="3F7E3B5E">
        <w:t xml:space="preserve">Ídem. La cifra citada se desagregada de la siguiente forma: 2021 (517); 2022 (493); 2023 (516); 2024 (241). </w:t>
      </w:r>
    </w:p>
  </w:footnote>
  <w:footnote w:id="51">
    <w:p w14:paraId="74B75007"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rsidRPr="006B70C5">
        <w:tab/>
      </w:r>
      <w:r w:rsidRPr="4405DB4A">
        <w:rPr>
          <w:vertAlign w:val="superscript"/>
        </w:rPr>
        <w:footnoteRef/>
      </w:r>
      <w:r>
        <w:rPr>
          <w:lang w:val="en-US"/>
        </w:rPr>
        <w:tab/>
      </w:r>
      <w:r w:rsidRPr="007054F3">
        <w:rPr>
          <w:lang w:val="en-US"/>
        </w:rPr>
        <w:t xml:space="preserve">MINEDU. R.V.M. 169-2021-MINEDU. </w:t>
      </w:r>
      <w:r>
        <w:t>Aprobado: 03.06.2021.</w:t>
      </w:r>
    </w:p>
  </w:footnote>
  <w:footnote w:id="52">
    <w:p w14:paraId="37860A64" w14:textId="758EC33E"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 xml:space="preserve">Para acceder a la Guía, dirigirse a: </w:t>
      </w:r>
      <w:r w:rsidR="004B7CDB" w:rsidRPr="006C4502">
        <w:rPr>
          <w:szCs w:val="17"/>
        </w:rPr>
        <w:t xml:space="preserve">at </w:t>
      </w:r>
      <w:hyperlink r:id="rId3" w:history="1">
        <w:r w:rsidR="004B7CDB" w:rsidRPr="00443AAD">
          <w:rPr>
            <w:rStyle w:val="Hyperlink"/>
            <w:szCs w:val="17"/>
          </w:rPr>
          <w:t>https://repositorio.minedu.gob.pe/handle/20.500.12799/7639</w:t>
        </w:r>
      </w:hyperlink>
      <w:r w:rsidRPr="00053AEE">
        <w:t xml:space="preserve">.  </w:t>
      </w:r>
    </w:p>
  </w:footnote>
  <w:footnote w:id="53">
    <w:p w14:paraId="2C495CE5"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MINEDU. Oficio 1350-2024-MINEDU/SG (29.05.2024).</w:t>
      </w:r>
    </w:p>
  </w:footnote>
  <w:footnote w:id="54">
    <w:p w14:paraId="157D8A5F"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MINEDU. Oficio 283-2024-MINEDU/VMGP-DIGEIBIRA (23.04.2024).</w:t>
      </w:r>
    </w:p>
  </w:footnote>
  <w:footnote w:id="55">
    <w:p w14:paraId="0C321570"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Ibid.</w:t>
      </w:r>
    </w:p>
  </w:footnote>
  <w:footnote w:id="56">
    <w:p w14:paraId="786D22A1"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MINEDU. R.M. 587-2023-MINEDU. Aprobada: 03.11.2023.</w:t>
      </w:r>
    </w:p>
  </w:footnote>
  <w:footnote w:id="57">
    <w:p w14:paraId="0DD67C7E"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MINEDU. Oficio 356-2024-MINEDU/VMGP-DIGESE (21.05.2024).</w:t>
      </w:r>
    </w:p>
  </w:footnote>
  <w:footnote w:id="58">
    <w:p w14:paraId="7872A6F1"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MINEDU. R.M. 139-2023-MINEDU. Aprobada: 01.03.2023.</w:t>
      </w:r>
    </w:p>
  </w:footnote>
  <w:footnote w:id="59">
    <w:p w14:paraId="617B5C17"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MINEDU. Oficio 356-2024-MINEDU/VMGP-DIGESE (21.05.2024).</w:t>
      </w:r>
    </w:p>
  </w:footnote>
  <w:footnote w:id="60">
    <w:p w14:paraId="5488D7F7"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MINSA. R.M. 486-2014-MINSA. Aprobada: 27.06.2014.</w:t>
      </w:r>
    </w:p>
  </w:footnote>
  <w:footnote w:id="61">
    <w:p w14:paraId="20D1F101"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MINSA. Oficio 1148-2024-DGIESP-MINSA (17.04.2024).</w:t>
      </w:r>
    </w:p>
  </w:footnote>
  <w:footnote w:id="62">
    <w:p w14:paraId="311777C6"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r>
      <w:r w:rsidRPr="00C876FA">
        <w:rPr>
          <w:i/>
          <w:iCs/>
        </w:rPr>
        <w:t>Ibid</w:t>
      </w:r>
      <w:r>
        <w:t>.</w:t>
      </w:r>
    </w:p>
  </w:footnote>
  <w:footnote w:id="63">
    <w:p w14:paraId="6C5ABA8C" w14:textId="77777777" w:rsidR="00EA5B2D" w:rsidRDefault="00EA5B2D" w:rsidP="00D14A66">
      <w:pPr>
        <w:pStyle w:val="FootnoteText"/>
        <w:tabs>
          <w:tab w:val="clear" w:pos="418"/>
          <w:tab w:val="right" w:pos="1195"/>
          <w:tab w:val="left" w:pos="1267"/>
          <w:tab w:val="left" w:pos="1742"/>
          <w:tab w:val="left" w:pos="2218"/>
          <w:tab w:val="left" w:pos="2693"/>
        </w:tabs>
        <w:ind w:left="1267" w:right="1267" w:hanging="432"/>
      </w:pPr>
      <w:r>
        <w:tab/>
      </w:r>
      <w:r w:rsidRPr="4405DB4A">
        <w:rPr>
          <w:vertAlign w:val="superscript"/>
        </w:rPr>
        <w:footnoteRef/>
      </w:r>
      <w:r>
        <w:tab/>
        <w:t>MIMP. Oficio 261-2024-MIMP-DGNNA (12.04.2024).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27708" w14:paraId="2C32ECBB" w14:textId="77777777" w:rsidTr="00527708">
      <w:tblPrEx>
        <w:tblCellMar>
          <w:top w:w="0" w:type="dxa"/>
          <w:bottom w:w="0" w:type="dxa"/>
        </w:tblCellMar>
      </w:tblPrEx>
      <w:trPr>
        <w:trHeight w:hRule="exact" w:val="864"/>
      </w:trPr>
      <w:tc>
        <w:tcPr>
          <w:tcW w:w="4920" w:type="dxa"/>
          <w:shd w:val="clear" w:color="auto" w:fill="auto"/>
          <w:vAlign w:val="bottom"/>
        </w:tcPr>
        <w:p w14:paraId="75F1B0DD" w14:textId="6661343A" w:rsidR="00527708" w:rsidRPr="00527708" w:rsidRDefault="00527708" w:rsidP="00527708">
          <w:pPr>
            <w:pStyle w:val="Header"/>
            <w:spacing w:after="80"/>
            <w:rPr>
              <w:b/>
            </w:rPr>
          </w:pPr>
          <w:r>
            <w:rPr>
              <w:b/>
            </w:rPr>
            <w:fldChar w:fldCharType="begin"/>
          </w:r>
          <w:r>
            <w:rPr>
              <w:b/>
            </w:rPr>
            <w:instrText xml:space="preserve"> DOCVARIABLE "Symbol1" \* MERGEFORMAT </w:instrText>
          </w:r>
          <w:r>
            <w:rPr>
              <w:b/>
            </w:rPr>
            <w:fldChar w:fldCharType="separate"/>
          </w:r>
          <w:r w:rsidR="00671B39">
            <w:rPr>
              <w:b/>
            </w:rPr>
            <w:t>CEDAW/C/PER/FCO/9</w:t>
          </w:r>
          <w:r>
            <w:rPr>
              <w:b/>
            </w:rPr>
            <w:fldChar w:fldCharType="end"/>
          </w:r>
        </w:p>
      </w:tc>
      <w:tc>
        <w:tcPr>
          <w:tcW w:w="4920" w:type="dxa"/>
          <w:shd w:val="clear" w:color="auto" w:fill="auto"/>
          <w:vAlign w:val="bottom"/>
        </w:tcPr>
        <w:p w14:paraId="541B08F1" w14:textId="77777777" w:rsidR="00527708" w:rsidRDefault="00527708" w:rsidP="00527708">
          <w:pPr>
            <w:pStyle w:val="Header"/>
          </w:pPr>
        </w:p>
      </w:tc>
    </w:tr>
  </w:tbl>
  <w:p w14:paraId="38B079FB" w14:textId="77777777" w:rsidR="00527708" w:rsidRPr="00527708" w:rsidRDefault="00527708" w:rsidP="005277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27708" w14:paraId="3594B9EE" w14:textId="77777777" w:rsidTr="00527708">
      <w:tblPrEx>
        <w:tblCellMar>
          <w:top w:w="0" w:type="dxa"/>
          <w:bottom w:w="0" w:type="dxa"/>
        </w:tblCellMar>
      </w:tblPrEx>
      <w:trPr>
        <w:trHeight w:hRule="exact" w:val="864"/>
      </w:trPr>
      <w:tc>
        <w:tcPr>
          <w:tcW w:w="4920" w:type="dxa"/>
          <w:shd w:val="clear" w:color="auto" w:fill="auto"/>
          <w:vAlign w:val="bottom"/>
        </w:tcPr>
        <w:p w14:paraId="0C2D7CA6" w14:textId="77777777" w:rsidR="00527708" w:rsidRDefault="00527708" w:rsidP="00527708">
          <w:pPr>
            <w:pStyle w:val="Header"/>
          </w:pPr>
        </w:p>
      </w:tc>
      <w:tc>
        <w:tcPr>
          <w:tcW w:w="4920" w:type="dxa"/>
          <w:shd w:val="clear" w:color="auto" w:fill="auto"/>
          <w:vAlign w:val="bottom"/>
        </w:tcPr>
        <w:p w14:paraId="4813AB05" w14:textId="1B33D8C5" w:rsidR="00527708" w:rsidRPr="00527708" w:rsidRDefault="00527708" w:rsidP="00527708">
          <w:pPr>
            <w:pStyle w:val="Header"/>
            <w:spacing w:after="80"/>
            <w:jc w:val="right"/>
            <w:rPr>
              <w:b/>
            </w:rPr>
          </w:pPr>
          <w:r>
            <w:rPr>
              <w:b/>
            </w:rPr>
            <w:fldChar w:fldCharType="begin"/>
          </w:r>
          <w:r>
            <w:rPr>
              <w:b/>
            </w:rPr>
            <w:instrText xml:space="preserve"> DOCVARIABLE "Symbol1" \* MERGEFORMAT </w:instrText>
          </w:r>
          <w:r>
            <w:rPr>
              <w:b/>
            </w:rPr>
            <w:fldChar w:fldCharType="separate"/>
          </w:r>
          <w:r w:rsidR="00671B39">
            <w:rPr>
              <w:b/>
            </w:rPr>
            <w:t>CEDAW/C/PER/FCO/9</w:t>
          </w:r>
          <w:r>
            <w:rPr>
              <w:b/>
            </w:rPr>
            <w:fldChar w:fldCharType="end"/>
          </w:r>
        </w:p>
      </w:tc>
    </w:tr>
  </w:tbl>
  <w:p w14:paraId="25ADB482" w14:textId="77777777" w:rsidR="00527708" w:rsidRPr="00527708" w:rsidRDefault="00527708" w:rsidP="005277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27708" w14:paraId="57320577" w14:textId="77777777" w:rsidTr="00527708">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0E4040B4" w14:textId="77777777" w:rsidR="00527708" w:rsidRDefault="00527708" w:rsidP="00527708">
          <w:pPr>
            <w:pStyle w:val="Header"/>
            <w:spacing w:after="120"/>
          </w:pPr>
        </w:p>
      </w:tc>
      <w:tc>
        <w:tcPr>
          <w:tcW w:w="2059" w:type="dxa"/>
          <w:tcBorders>
            <w:bottom w:val="single" w:sz="4" w:space="0" w:color="auto"/>
          </w:tcBorders>
          <w:shd w:val="clear" w:color="auto" w:fill="auto"/>
          <w:vAlign w:val="bottom"/>
        </w:tcPr>
        <w:p w14:paraId="51FEF063" w14:textId="77777777" w:rsidR="00527708" w:rsidRPr="00527708" w:rsidRDefault="00527708" w:rsidP="0052770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C58EC3E" w14:textId="77777777" w:rsidR="00527708" w:rsidRDefault="00527708" w:rsidP="00527708">
          <w:pPr>
            <w:pStyle w:val="Header"/>
            <w:spacing w:after="120"/>
          </w:pPr>
        </w:p>
      </w:tc>
      <w:tc>
        <w:tcPr>
          <w:tcW w:w="6480" w:type="dxa"/>
          <w:gridSpan w:val="3"/>
          <w:tcBorders>
            <w:bottom w:val="single" w:sz="4" w:space="0" w:color="auto"/>
          </w:tcBorders>
          <w:shd w:val="clear" w:color="auto" w:fill="auto"/>
          <w:vAlign w:val="bottom"/>
        </w:tcPr>
        <w:p w14:paraId="3A6BDE0A" w14:textId="77777777" w:rsidR="00527708" w:rsidRPr="00527708" w:rsidRDefault="00527708" w:rsidP="00527708">
          <w:pPr>
            <w:spacing w:after="80" w:line="240" w:lineRule="auto"/>
            <w:jc w:val="right"/>
            <w:rPr>
              <w:position w:val="-4"/>
            </w:rPr>
          </w:pPr>
          <w:r>
            <w:rPr>
              <w:position w:val="-4"/>
              <w:sz w:val="40"/>
            </w:rPr>
            <w:t>CEDAW</w:t>
          </w:r>
          <w:r>
            <w:rPr>
              <w:position w:val="-4"/>
            </w:rPr>
            <w:t>/C/PER/FCO/9</w:t>
          </w:r>
        </w:p>
      </w:tc>
    </w:tr>
    <w:tr w:rsidR="00527708" w:rsidRPr="00527708" w14:paraId="2BDAD0CB" w14:textId="77777777" w:rsidTr="0052770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5088C49" w14:textId="77777777" w:rsidR="00527708" w:rsidRPr="00527708" w:rsidRDefault="00527708" w:rsidP="00527708">
          <w:pPr>
            <w:pStyle w:val="Header"/>
            <w:spacing w:before="120"/>
            <w:jc w:val="center"/>
          </w:pPr>
          <w:r>
            <w:t xml:space="preserve"> </w:t>
          </w:r>
          <w:r>
            <w:drawing>
              <wp:inline distT="0" distB="0" distL="0" distR="0" wp14:anchorId="2BBCC5E0" wp14:editId="03FFE8F6">
                <wp:extent cx="713232" cy="597103"/>
                <wp:effectExtent l="0" t="0" r="0" b="0"/>
                <wp:docPr id="1803397905" name="Picture 1"/>
                <wp:cNvGraphicFramePr/>
                <a:graphic xmlns:a="http://schemas.openxmlformats.org/drawingml/2006/main">
                  <a:graphicData uri="http://schemas.openxmlformats.org/drawingml/2006/picture">
                    <pic:pic xmlns:pic="http://schemas.openxmlformats.org/drawingml/2006/picture">
                      <pic:nvPicPr>
                        <pic:cNvPr id="180339790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3FA8F22" w14:textId="77777777" w:rsidR="00527708" w:rsidRPr="00527708" w:rsidRDefault="00527708" w:rsidP="0052770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E51D12F" w14:textId="77777777" w:rsidR="00527708" w:rsidRPr="00EA5B2D" w:rsidRDefault="00527708" w:rsidP="00527708">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03D2DD02" w14:textId="77777777" w:rsidR="00527708" w:rsidRDefault="00527708" w:rsidP="00527708">
          <w:pPr>
            <w:pStyle w:val="Distribution"/>
            <w:spacing w:before="240"/>
          </w:pPr>
          <w:r>
            <w:t>Distr. general</w:t>
          </w:r>
        </w:p>
        <w:p w14:paraId="4B753C8A" w14:textId="77777777" w:rsidR="00527708" w:rsidRDefault="00527708" w:rsidP="00527708">
          <w:pPr>
            <w:pStyle w:val="Publication"/>
          </w:pPr>
          <w:r>
            <w:t>15 de agosto de 2024</w:t>
          </w:r>
        </w:p>
        <w:p w14:paraId="6BA0576B" w14:textId="77777777" w:rsidR="00527708" w:rsidRDefault="00527708" w:rsidP="00527708">
          <w:r>
            <w:t>Español</w:t>
          </w:r>
        </w:p>
        <w:p w14:paraId="0146832F" w14:textId="7C82E01C" w:rsidR="00527708" w:rsidRDefault="00527708" w:rsidP="0057198F">
          <w:pPr>
            <w:pStyle w:val="Original"/>
          </w:pPr>
          <w:r>
            <w:t xml:space="preserve">Original: </w:t>
          </w:r>
          <w:r w:rsidR="0057198F" w:rsidRPr="0057198F">
            <w:t>español</w:t>
          </w:r>
        </w:p>
        <w:p w14:paraId="201313DE" w14:textId="77777777" w:rsidR="0057198F" w:rsidRPr="00C876FA" w:rsidRDefault="0057198F" w:rsidP="00C876FA">
          <w:pPr>
            <w:spacing w:line="120" w:lineRule="exact"/>
            <w:rPr>
              <w:sz w:val="10"/>
            </w:rPr>
          </w:pPr>
        </w:p>
        <w:p w14:paraId="671B497F" w14:textId="192E4B7F" w:rsidR="0057198F" w:rsidRPr="0057198F" w:rsidRDefault="0057198F" w:rsidP="00C876FA">
          <w:r w:rsidRPr="0057198F">
            <w:t>Español, francés e inglés únicamente</w:t>
          </w:r>
        </w:p>
        <w:p w14:paraId="0923575A" w14:textId="77777777" w:rsidR="00527708" w:rsidRPr="00527708" w:rsidRDefault="00527708" w:rsidP="00527708"/>
      </w:tc>
    </w:tr>
  </w:tbl>
  <w:p w14:paraId="0488CA76" w14:textId="77777777" w:rsidR="00527708" w:rsidRPr="00C876FA" w:rsidRDefault="00527708" w:rsidP="00527708">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596F45ED"/>
    <w:multiLevelType w:val="hybridMultilevel"/>
    <w:tmpl w:val="A05A4C84"/>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2300DB5"/>
    <w:multiLevelType w:val="multilevel"/>
    <w:tmpl w:val="042689BA"/>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3" w15:restartNumberingAfterBreak="0">
    <w:nsid w:val="62D26EA0"/>
    <w:multiLevelType w:val="singleLevel"/>
    <w:tmpl w:val="F9ACDF4E"/>
    <w:lvl w:ilvl="0">
      <w:start w:val="1"/>
      <w:numFmt w:val="decimal"/>
      <w:lvlRestart w:val="0"/>
      <w:lvlText w:val="%1."/>
      <w:lvlJc w:val="left"/>
      <w:pPr>
        <w:tabs>
          <w:tab w:val="num" w:pos="475"/>
        </w:tabs>
        <w:ind w:left="0" w:firstLine="0"/>
      </w:pPr>
      <w:rPr>
        <w:spacing w:val="0"/>
        <w:w w:val="100"/>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1"/>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1933852251">
    <w:abstractNumId w:val="10"/>
  </w:num>
  <w:num w:numId="27" w16cid:durableId="1478838419">
    <w:abstractNumId w:val="12"/>
  </w:num>
  <w:num w:numId="28" w16cid:durableId="400569035">
    <w:abstractNumId w:val="13"/>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revisionView w:markup="0"/>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4754*"/>
    <w:docVar w:name="CreationDt" w:val="03/09/2024 2:32: PM"/>
    <w:docVar w:name="DocCategory" w:val="Doc"/>
    <w:docVar w:name="DocType" w:val="Final"/>
    <w:docVar w:name="DutyStation" w:val="New York"/>
    <w:docVar w:name="FooterJN" w:val="24-14754"/>
    <w:docVar w:name="jobn" w:val="24-14754 (S)"/>
    <w:docVar w:name="jobnDT" w:val="24-14754 (S)   030924"/>
    <w:docVar w:name="jobnDTDT" w:val="24-14754 (S)   030924   030924"/>
    <w:docVar w:name="JobNo" w:val="2414754S"/>
    <w:docVar w:name="JobNo2" w:val="24242162:32: PM"/>
    <w:docVar w:name="LocalDrive" w:val="-1"/>
    <w:docVar w:name="OandT" w:val="pl"/>
    <w:docVar w:name="sss1" w:val="CEDAW/C/PER/FCO/9"/>
    <w:docVar w:name="sss2" w:val="-"/>
    <w:docVar w:name="Symbol1" w:val="CEDAW/C/PER/FCO/9"/>
    <w:docVar w:name="Symbol2" w:val="-"/>
    <w:docVar w:name="Title1" w:val="_x0009__x0009_Información suministrada por el Perú en relación con el seguimiento de las observaciones finales sobre su noveno informe periódico*_x000d_"/>
  </w:docVars>
  <w:rsids>
    <w:rsidRoot w:val="001049AE"/>
    <w:rsid w:val="00001169"/>
    <w:rsid w:val="00001967"/>
    <w:rsid w:val="00035E17"/>
    <w:rsid w:val="000A028D"/>
    <w:rsid w:val="000F673C"/>
    <w:rsid w:val="001049AE"/>
    <w:rsid w:val="00105618"/>
    <w:rsid w:val="001325B0"/>
    <w:rsid w:val="00151F81"/>
    <w:rsid w:val="00171CDD"/>
    <w:rsid w:val="00175DC4"/>
    <w:rsid w:val="001978D5"/>
    <w:rsid w:val="001F02FD"/>
    <w:rsid w:val="00203E6F"/>
    <w:rsid w:val="00205289"/>
    <w:rsid w:val="00247400"/>
    <w:rsid w:val="0027492E"/>
    <w:rsid w:val="002F4E90"/>
    <w:rsid w:val="00331D20"/>
    <w:rsid w:val="00365FD7"/>
    <w:rsid w:val="003A1ED5"/>
    <w:rsid w:val="003E5E54"/>
    <w:rsid w:val="003F5FFD"/>
    <w:rsid w:val="003F75F8"/>
    <w:rsid w:val="004116D2"/>
    <w:rsid w:val="0041735D"/>
    <w:rsid w:val="0047638E"/>
    <w:rsid w:val="00495E7B"/>
    <w:rsid w:val="0049669D"/>
    <w:rsid w:val="004B7CDB"/>
    <w:rsid w:val="004F5722"/>
    <w:rsid w:val="00515772"/>
    <w:rsid w:val="00527708"/>
    <w:rsid w:val="0054211F"/>
    <w:rsid w:val="005610B1"/>
    <w:rsid w:val="0057198F"/>
    <w:rsid w:val="00574522"/>
    <w:rsid w:val="005D4F00"/>
    <w:rsid w:val="005E1A31"/>
    <w:rsid w:val="005F71C5"/>
    <w:rsid w:val="00630C34"/>
    <w:rsid w:val="00662A9E"/>
    <w:rsid w:val="00671B39"/>
    <w:rsid w:val="00692626"/>
    <w:rsid w:val="006C3F88"/>
    <w:rsid w:val="006C7738"/>
    <w:rsid w:val="006E4A55"/>
    <w:rsid w:val="006F2BFB"/>
    <w:rsid w:val="0071450C"/>
    <w:rsid w:val="00727155"/>
    <w:rsid w:val="007633C9"/>
    <w:rsid w:val="00771371"/>
    <w:rsid w:val="00784AF7"/>
    <w:rsid w:val="007B4CD6"/>
    <w:rsid w:val="007C1E7D"/>
    <w:rsid w:val="007C2072"/>
    <w:rsid w:val="007E5FD2"/>
    <w:rsid w:val="008138CB"/>
    <w:rsid w:val="00833B3F"/>
    <w:rsid w:val="00847726"/>
    <w:rsid w:val="00863195"/>
    <w:rsid w:val="00866322"/>
    <w:rsid w:val="00871053"/>
    <w:rsid w:val="00871EFA"/>
    <w:rsid w:val="00877270"/>
    <w:rsid w:val="0088056D"/>
    <w:rsid w:val="008A2590"/>
    <w:rsid w:val="008F11CA"/>
    <w:rsid w:val="009705A8"/>
    <w:rsid w:val="00983734"/>
    <w:rsid w:val="009860EC"/>
    <w:rsid w:val="00987071"/>
    <w:rsid w:val="009B00E9"/>
    <w:rsid w:val="009B1643"/>
    <w:rsid w:val="009D56BA"/>
    <w:rsid w:val="00A332C2"/>
    <w:rsid w:val="00A33734"/>
    <w:rsid w:val="00A46C02"/>
    <w:rsid w:val="00A72797"/>
    <w:rsid w:val="00A731C1"/>
    <w:rsid w:val="00AA29EE"/>
    <w:rsid w:val="00B125A0"/>
    <w:rsid w:val="00B272FA"/>
    <w:rsid w:val="00B27698"/>
    <w:rsid w:val="00B43769"/>
    <w:rsid w:val="00B7299C"/>
    <w:rsid w:val="00B901FD"/>
    <w:rsid w:val="00B977AA"/>
    <w:rsid w:val="00BC2C8A"/>
    <w:rsid w:val="00BD4588"/>
    <w:rsid w:val="00BD6208"/>
    <w:rsid w:val="00C16A02"/>
    <w:rsid w:val="00C16D72"/>
    <w:rsid w:val="00C174A0"/>
    <w:rsid w:val="00C4703E"/>
    <w:rsid w:val="00C60123"/>
    <w:rsid w:val="00C6119A"/>
    <w:rsid w:val="00C809D7"/>
    <w:rsid w:val="00C876FA"/>
    <w:rsid w:val="00CC2D86"/>
    <w:rsid w:val="00CE35F9"/>
    <w:rsid w:val="00D019A5"/>
    <w:rsid w:val="00D14A66"/>
    <w:rsid w:val="00D23FFB"/>
    <w:rsid w:val="00D409D0"/>
    <w:rsid w:val="00D4447F"/>
    <w:rsid w:val="00D7200D"/>
    <w:rsid w:val="00DB0712"/>
    <w:rsid w:val="00DB1214"/>
    <w:rsid w:val="00DB652C"/>
    <w:rsid w:val="00DE254A"/>
    <w:rsid w:val="00DE3C40"/>
    <w:rsid w:val="00DF59BE"/>
    <w:rsid w:val="00E526B0"/>
    <w:rsid w:val="00E548DF"/>
    <w:rsid w:val="00E673EB"/>
    <w:rsid w:val="00E8036E"/>
    <w:rsid w:val="00EA1709"/>
    <w:rsid w:val="00EA5B2D"/>
    <w:rsid w:val="00EB3D58"/>
    <w:rsid w:val="00F05AC4"/>
    <w:rsid w:val="00F239DD"/>
    <w:rsid w:val="00F65F4F"/>
    <w:rsid w:val="00F95E56"/>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348013"/>
  <w15:chartTrackingRefBased/>
  <w15:docId w15:val="{377B1C9E-B4EC-4398-9FBB-6DAAF6D93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1049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49AE"/>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1049A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49AE"/>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1049A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049AE"/>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1049AE"/>
    <w:pPr>
      <w:ind w:left="720"/>
      <w:contextualSpacing/>
    </w:pPr>
  </w:style>
  <w:style w:type="character" w:styleId="IntenseEmphasis">
    <w:name w:val="Intense Emphasis"/>
    <w:basedOn w:val="DefaultParagraphFont"/>
    <w:uiPriority w:val="21"/>
    <w:qFormat/>
    <w:rsid w:val="001049AE"/>
    <w:rPr>
      <w:i/>
      <w:iCs/>
      <w:color w:val="2F5496" w:themeColor="accent1" w:themeShade="BF"/>
    </w:rPr>
  </w:style>
  <w:style w:type="paragraph" w:styleId="IntenseQuote">
    <w:name w:val="Intense Quote"/>
    <w:basedOn w:val="Normal"/>
    <w:next w:val="Normal"/>
    <w:link w:val="IntenseQuoteChar"/>
    <w:uiPriority w:val="30"/>
    <w:qFormat/>
    <w:rsid w:val="001049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49AE"/>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1049AE"/>
    <w:rPr>
      <w:b/>
      <w:bCs/>
      <w:smallCaps/>
      <w:color w:val="2F5496" w:themeColor="accent1" w:themeShade="BF"/>
      <w:spacing w:val="5"/>
    </w:rPr>
  </w:style>
  <w:style w:type="paragraph" w:styleId="CommentText">
    <w:name w:val="annotation text"/>
    <w:basedOn w:val="Normal"/>
    <w:link w:val="CommentTextChar"/>
    <w:uiPriority w:val="99"/>
    <w:semiHidden/>
    <w:unhideWhenUsed/>
    <w:rsid w:val="00527708"/>
    <w:pPr>
      <w:spacing w:line="240" w:lineRule="auto"/>
    </w:pPr>
    <w:rPr>
      <w:szCs w:val="20"/>
    </w:rPr>
  </w:style>
  <w:style w:type="character" w:customStyle="1" w:styleId="CommentTextChar">
    <w:name w:val="Comment Text Char"/>
    <w:basedOn w:val="DefaultParagraphFont"/>
    <w:link w:val="CommentText"/>
    <w:uiPriority w:val="99"/>
    <w:semiHidden/>
    <w:rsid w:val="00527708"/>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27708"/>
    <w:rPr>
      <w:b/>
      <w:bCs/>
    </w:rPr>
  </w:style>
  <w:style w:type="character" w:customStyle="1" w:styleId="CommentSubjectChar">
    <w:name w:val="Comment Subject Char"/>
    <w:basedOn w:val="CommentTextChar"/>
    <w:link w:val="CommentSubject"/>
    <w:uiPriority w:val="99"/>
    <w:semiHidden/>
    <w:rsid w:val="00527708"/>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866322"/>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repositorio.minedu.gob.pe/handle/20.500.12799/7639" TargetMode="External"/><Relationship Id="rId2" Type="http://schemas.openxmlformats.org/officeDocument/2006/relationships/hyperlink" Target="mailto:haguilera@mimp.gob.pe" TargetMode="External"/><Relationship Id="rId1" Type="http://schemas.openxmlformats.org/officeDocument/2006/relationships/hyperlink" Target="https://www.youtube.com/shorts/OaHAmBnZ-_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2780</Words>
  <Characters>15852</Characters>
  <Application>Microsoft Office Word</Application>
  <DocSecurity>0</DocSecurity>
  <Lines>132</Lines>
  <Paragraphs>37</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Comité para la Eliminación de la Discriminación contra la Mujer</vt:lpstr>
      <vt:lpstr>Información suministrada por el Perú en relación con el seguimiento de las obs</vt:lpstr>
      <vt:lpstr>Índice</vt:lpstr>
      <vt:lpstr>Siglas y abreviaturas</vt:lpstr>
      <vt:lpstr>I.	Introducción</vt:lpstr>
      <vt:lpstr>II.	Información solicitada a través del párrafo 57 de las observaciones finales</vt:lpstr>
      <vt:lpstr>A.	Estereotipos discriminatorios y prácticas nocivas</vt:lpstr>
      <vt:lpstr>B.	Violencia de género contra la mujer</vt:lpstr>
      <vt:lpstr>C.	Educación</vt:lpstr>
      <vt:lpstr>D.	Salud</vt:lpstr>
      <vt:lpstr>III.	Conclusiones</vt:lpstr>
    </vt:vector>
  </TitlesOfParts>
  <Company/>
  <LinksUpToDate>false</LinksUpToDate>
  <CharactersWithSpaces>18595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Spanish Text Processing</dc:creator>
  <cp:keywords/>
  <dc:description/>
  <cp:lastModifiedBy>Spanish Text Processing</cp:lastModifiedBy>
  <cp:revision>3</cp:revision>
  <cp:lastPrinted>2024-09-03T19:25:00Z</cp:lastPrinted>
  <dcterms:created xsi:type="dcterms:W3CDTF">2024-09-03T19:25:00Z</dcterms:created>
  <dcterms:modified xsi:type="dcterms:W3CDTF">2024-09-03T19:25:00Z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2414754</vt:lpwstr>
  </property>
  <property fmtid="{D5CDD505-2E9C-101B-9397-08002B2CF9AE}" pid="3" name="ODSRefJobNo">
    <vt:lpwstr>2424216</vt:lpwstr>
  </property>
  <property fmtid="{D5CDD505-2E9C-101B-9397-08002B2CF9AE}" pid="4" name="Symbol1">
    <vt:lpwstr>CEDAW/C/PER/FCO/9</vt:lpwstr>
  </property>
  <property fmtid="{D5CDD505-2E9C-101B-9397-08002B2CF9AE}" pid="5" name="Symbol2">
    <vt:lpwstr/>
  </property>
  <property fmtid="{D5CDD505-2E9C-101B-9397-08002B2CF9AE}" pid="6" name="Translator">
    <vt:lpwstr/>
  </property>
  <property fmtid="{D5CDD505-2E9C-101B-9397-08002B2CF9AE}" pid="7" name="Operator">
    <vt:lpwstr>pl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15 de agosto de 2024</vt:lpwstr>
  </property>
  <property fmtid="{D5CDD505-2E9C-101B-9397-08002B2CF9AE}" pid="14" name="Original">
    <vt:lpwstr>inglés</vt:lpwstr>
  </property>
  <property fmtid="{D5CDD505-2E9C-101B-9397-08002B2CF9AE}" pid="15" name="Release Date">
    <vt:lpwstr>030924</vt:lpwstr>
  </property>
  <property fmtid="{D5CDD505-2E9C-101B-9397-08002B2CF9AE}" pid="16" name="Title1">
    <vt:lpwstr>		Información suministrada por el Perú en relación con el seguimiento de las observaciones finales sobre su noveno informe periódico*_x000d_</vt:lpwstr>
  </property>
</Properties>
</file>