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B1A" w:rsidRDefault="00D44B1A" w:rsidP="00D44B1A">
      <w:pPr>
        <w:spacing w:line="60" w:lineRule="exact"/>
        <w:sectPr w:rsidR="00D44B1A" w:rsidSect="00D44B1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5Size =1Lang = C"/>
            <w10:wrap anchorx="page" anchory="page"/>
          </v:shape>
        </w:pict>
      </w:r>
      <w:commentRangeEnd w:id="0"/>
      <w:r>
        <w:rPr>
          <w:rStyle w:val="CommentReference"/>
        </w:rPr>
        <w:commentReference w:id="0"/>
      </w:r>
    </w:p>
    <w:p w:rsidR="00D44B1A" w:rsidRDefault="00D44B1A" w:rsidP="00D44B1A">
      <w:pPr>
        <w:spacing w:line="60" w:lineRule="exact"/>
      </w:pPr>
    </w:p>
    <w:p w:rsidR="00244E67" w:rsidRDefault="00244E67" w:rsidP="00244E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244E67" w:rsidRPr="00244E67" w:rsidRDefault="00244E67" w:rsidP="00244E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44E67" w:rsidRPr="00244E67" w:rsidRDefault="00244E67" w:rsidP="00244E67">
      <w:pPr>
        <w:pStyle w:val="SingleTxt"/>
        <w:spacing w:after="0" w:line="120" w:lineRule="exact"/>
        <w:rPr>
          <w:sz w:val="10"/>
        </w:rPr>
      </w:pPr>
    </w:p>
    <w:p w:rsidR="00244E67" w:rsidRPr="00244E67" w:rsidRDefault="00244E67" w:rsidP="00244E67">
      <w:pPr>
        <w:pStyle w:val="SingleTxt"/>
        <w:spacing w:after="0" w:line="120" w:lineRule="exact"/>
        <w:rPr>
          <w:sz w:val="10"/>
        </w:rPr>
      </w:pPr>
    </w:p>
    <w:p w:rsidR="00244E67" w:rsidRDefault="00244E67" w:rsidP="00244E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tab/>
      </w:r>
      <w:r>
        <w:rPr>
          <w:rFonts w:hint="eastAsia"/>
        </w:rPr>
        <w:t>与立陶宛第五次定期报告有关的议题和问题清单</w:t>
      </w:r>
      <w:r w:rsidRPr="00244E67">
        <w:rPr>
          <w:vertAlign w:val="superscript"/>
        </w:rPr>
        <w:t>*</w:t>
      </w:r>
    </w:p>
    <w:p w:rsidR="00244E67" w:rsidRPr="00244E67" w:rsidRDefault="00244E67" w:rsidP="00244E67">
      <w:pPr>
        <w:pStyle w:val="SingleTxt"/>
        <w:spacing w:after="0" w:line="120" w:lineRule="exact"/>
        <w:rPr>
          <w:sz w:val="10"/>
        </w:rPr>
      </w:pPr>
    </w:p>
    <w:p w:rsidR="00244E67" w:rsidRPr="00244E67" w:rsidRDefault="00244E67" w:rsidP="00244E67">
      <w:pPr>
        <w:pStyle w:val="SingleTxt"/>
        <w:spacing w:after="0" w:line="120" w:lineRule="exact"/>
        <w:rPr>
          <w:sz w:val="10"/>
        </w:rPr>
      </w:pPr>
    </w:p>
    <w:p w:rsidR="00244E67" w:rsidRPr="00244E67" w:rsidRDefault="00244E67" w:rsidP="00244E67">
      <w:pPr>
        <w:pStyle w:val="SingleTxt"/>
        <w:rPr>
          <w:rFonts w:ascii="SimHei" w:eastAsia="SimHei" w:hint="eastAsia"/>
        </w:rPr>
      </w:pPr>
      <w:r w:rsidRPr="00244E67">
        <w:rPr>
          <w:rFonts w:ascii="SimHei" w:eastAsia="SimHei" w:hint="eastAsia"/>
        </w:rPr>
        <w:t>司法救助和法律投诉机制</w:t>
      </w:r>
    </w:p>
    <w:p w:rsidR="00244E67" w:rsidRDefault="00244E67" w:rsidP="00244E67">
      <w:pPr>
        <w:pStyle w:val="SingleTxt"/>
      </w:pPr>
      <w:r>
        <w:rPr>
          <w:rFonts w:hint="eastAsia"/>
        </w:rPr>
        <w:t>1.</w:t>
      </w:r>
      <w:r>
        <w:tab/>
      </w:r>
      <w:r>
        <w:rPr>
          <w:rFonts w:hint="eastAsia"/>
        </w:rPr>
        <w:t>请提供资料，说明法院诉讼援引、直接适用或提及《公约》的情况，包括根据男女平等机会法或根据《刑法》第169和170条起诉的案件的情况。还请说明，除了2009年为法官和检察官举办的培训研讨会(第28段)，</w:t>
      </w:r>
      <w:r>
        <w:rPr>
          <w:rStyle w:val="FootnoteReference"/>
        </w:rPr>
        <w:footnoteReference w:id="1"/>
      </w:r>
      <w:r>
        <w:t xml:space="preserve"> </w:t>
      </w:r>
      <w:r>
        <w:rPr>
          <w:rFonts w:hint="eastAsia"/>
        </w:rPr>
        <w:t>是否定期为法官、检察官、律师和其他法律专业人员举办了培训活动，介绍国家、区域和国际立法框架中规定的妇女权利。还请说明，是否评估了上述培训的影响。请说明缔约国正如何加强妇女，特别是农村妇女、移徙妇女、罗姆妇女、寻求庇护妇女和难民妇女等处境最不利群体的妇女，对《公约》和相关国家立法规定的妇女权利的认识和了解。</w:t>
      </w:r>
    </w:p>
    <w:p w:rsidR="00244E67" w:rsidRDefault="00244E67" w:rsidP="00244E67">
      <w:pPr>
        <w:pStyle w:val="SingleTxt"/>
        <w:rPr>
          <w:rFonts w:hint="eastAsia"/>
        </w:rPr>
      </w:pPr>
      <w:r>
        <w:rPr>
          <w:rFonts w:hint="eastAsia"/>
        </w:rPr>
        <w:t>2.</w:t>
      </w:r>
      <w:r w:rsidRPr="00815B0E">
        <w:rPr>
          <w:spacing w:val="-2"/>
        </w:rPr>
        <w:tab/>
      </w:r>
      <w:r w:rsidRPr="00815B0E">
        <w:rPr>
          <w:rFonts w:hint="eastAsia"/>
          <w:spacing w:val="-2"/>
        </w:rPr>
        <w:t>请提供有关2010年以来，向机会均等监察员办公室提交的性别歧视投诉的数量、区域分布情况和结果的最新数据，说明在认定存在侵犯行为的案件中，是否为受害人提供了补偿。如委员会在其以往的结论意见中所建议(</w:t>
      </w:r>
      <w:hyperlink r:id="rId14" w:history="1">
        <w:r w:rsidRPr="00815B0E">
          <w:rPr>
            <w:rStyle w:val="Hyperlink"/>
            <w:rFonts w:hint="eastAsia"/>
            <w:spacing w:val="-2"/>
          </w:rPr>
          <w:t>CEDAW/C/LTU/CO/4</w:t>
        </w:r>
      </w:hyperlink>
      <w:r w:rsidRPr="00815B0E">
        <w:rPr>
          <w:rFonts w:hint="eastAsia"/>
          <w:spacing w:val="-2"/>
        </w:rPr>
        <w:t>，</w:t>
      </w:r>
      <w:r>
        <w:rPr>
          <w:rFonts w:hint="eastAsia"/>
        </w:rPr>
        <w:t>第11段)，请说明缔约国是否打算设立机会均等监察员办公室的区域和地方分支机构，以方便妇女利用这些投诉机制。</w:t>
      </w:r>
    </w:p>
    <w:p w:rsidR="00244E67" w:rsidRDefault="00244E67" w:rsidP="00244E67">
      <w:pPr>
        <w:pStyle w:val="SingleTxt"/>
        <w:rPr>
          <w:rFonts w:hint="eastAsia"/>
        </w:rPr>
      </w:pPr>
      <w:r>
        <w:rPr>
          <w:rFonts w:hint="eastAsia"/>
        </w:rPr>
        <w:t>3</w:t>
      </w:r>
      <w:r>
        <w:t>.</w:t>
      </w:r>
      <w:r>
        <w:tab/>
      </w:r>
      <w:r>
        <w:rPr>
          <w:rFonts w:hint="eastAsia"/>
        </w:rPr>
        <w:t>请提供最新资料，说明关于设立符合《巴黎原则》的独立国家人权机构的2011年法律草案的状况和内容，包括说明所设想机构的任务规定、申诉机制和组成。还请提供通过该法的时限。</w:t>
      </w:r>
    </w:p>
    <w:p w:rsidR="00244E67" w:rsidRPr="00244E67" w:rsidRDefault="00244E67" w:rsidP="00244E67">
      <w:pPr>
        <w:pStyle w:val="SingleTxt"/>
        <w:rPr>
          <w:rFonts w:ascii="SimHei" w:eastAsia="SimHei" w:hint="eastAsia"/>
        </w:rPr>
      </w:pPr>
      <w:r w:rsidRPr="00244E67">
        <w:rPr>
          <w:rFonts w:ascii="SimHei" w:eastAsia="SimHei" w:hint="eastAsia"/>
        </w:rPr>
        <w:t>提高妇女地位的国家机制</w:t>
      </w:r>
    </w:p>
    <w:p w:rsidR="00244E67" w:rsidRDefault="00244E67" w:rsidP="00244E67">
      <w:pPr>
        <w:pStyle w:val="SingleTxt"/>
        <w:rPr>
          <w:rFonts w:hint="eastAsia"/>
        </w:rPr>
      </w:pPr>
      <w:r>
        <w:rPr>
          <w:rFonts w:hint="eastAsia"/>
        </w:rPr>
        <w:t>4.</w:t>
      </w:r>
      <w:r>
        <w:tab/>
      </w:r>
      <w:r>
        <w:rPr>
          <w:rFonts w:hint="eastAsia"/>
        </w:rPr>
        <w:t>注意到男女机会平等委员会是《2010-2014年男女机会平等国家方案》的协调机构；请提供资料说明，为确保在市一级将性别平等纳入主流，改善国家和市两级之间的联系，已设立的协调机制的情况。还请提供有关社会保障和劳动部性别平等司现有人力和财政资源的最新资料，并说明是否向各部的性别平等问题协调人提供了培训。</w:t>
      </w:r>
    </w:p>
    <w:p w:rsidR="00244E67" w:rsidRDefault="00244E67" w:rsidP="00244E67">
      <w:pPr>
        <w:pStyle w:val="SingleTxt"/>
        <w:rPr>
          <w:rFonts w:hint="eastAsia"/>
        </w:rPr>
      </w:pPr>
      <w:r>
        <w:rPr>
          <w:rFonts w:hint="eastAsia"/>
        </w:rPr>
        <w:t>5</w:t>
      </w:r>
      <w:r>
        <w:t>.</w:t>
      </w:r>
      <w:r>
        <w:tab/>
      </w:r>
      <w:r>
        <w:rPr>
          <w:rFonts w:hint="eastAsia"/>
        </w:rPr>
        <w:t>请说明《2010-2014年男女机会平等国家方案》落实工作迄今所取得的成果，包括详细介绍为方案行动计划配置的物资和人力资源，以及是否利用已确定的、有时限的目标和各项指标来评估包括农村地区在内的缔约国各地区的执行进展情况。</w:t>
      </w:r>
    </w:p>
    <w:p w:rsidR="00244E67" w:rsidRPr="00244E67" w:rsidRDefault="00244E67" w:rsidP="00244E67">
      <w:pPr>
        <w:pStyle w:val="SingleTxt"/>
        <w:rPr>
          <w:rFonts w:ascii="SimHei" w:eastAsia="SimHei" w:hint="eastAsia"/>
        </w:rPr>
      </w:pPr>
      <w:r w:rsidRPr="00244E67">
        <w:rPr>
          <w:rFonts w:ascii="SimHei" w:eastAsia="SimHei" w:hint="eastAsia"/>
        </w:rPr>
        <w:t>暂行特别措施</w:t>
      </w:r>
    </w:p>
    <w:p w:rsidR="00244E67" w:rsidRDefault="00244E67" w:rsidP="00244E67">
      <w:pPr>
        <w:pStyle w:val="SingleTxt"/>
        <w:rPr>
          <w:rFonts w:hint="eastAsia"/>
        </w:rPr>
      </w:pPr>
      <w:r>
        <w:rPr>
          <w:rFonts w:hint="eastAsia"/>
        </w:rPr>
        <w:t>6</w:t>
      </w:r>
      <w:r>
        <w:t>.</w:t>
      </w:r>
      <w:r>
        <w:tab/>
      </w:r>
      <w:r>
        <w:rPr>
          <w:rFonts w:hint="eastAsia"/>
        </w:rPr>
        <w:t>报告指出，《2010-2014年男女机会平等国家方案》行动计划纳入一项措施，以拟定执行暂行特别措施的建议；上述措施计划于2011年执行，将对暂行特别措施的概念加以界定，并提出关于可能执行这些措施的建议(第98段)。请说明执行这一措施所取得的进展，以及是否已举办还设想的关于暂行特别措施的研讨会和培训(第99段)。此外，考虑到委员会以往的结论意见(</w:t>
      </w:r>
      <w:hyperlink r:id="rId15" w:history="1">
        <w:r w:rsidRPr="002F17E6">
          <w:rPr>
            <w:rStyle w:val="Hyperlink"/>
            <w:rFonts w:hint="eastAsia"/>
          </w:rPr>
          <w:t>CEDAW/C/LTU/CO/4</w:t>
        </w:r>
      </w:hyperlink>
      <w:r>
        <w:rPr>
          <w:rFonts w:hint="eastAsia"/>
        </w:rPr>
        <w:t>，第13段)，请说明是否已采取措施来简化实施暂行特别措施的程序。</w:t>
      </w:r>
    </w:p>
    <w:p w:rsidR="00244E67" w:rsidRPr="00244E67" w:rsidRDefault="00244E67" w:rsidP="00244E67">
      <w:pPr>
        <w:pStyle w:val="SingleTxt"/>
        <w:rPr>
          <w:rFonts w:ascii="SimHei" w:eastAsia="SimHei" w:hint="eastAsia"/>
        </w:rPr>
      </w:pPr>
      <w:r w:rsidRPr="00244E67">
        <w:rPr>
          <w:rFonts w:ascii="SimHei" w:eastAsia="SimHei" w:hint="eastAsia"/>
        </w:rPr>
        <w:t>陈规定型观念</w:t>
      </w:r>
    </w:p>
    <w:p w:rsidR="00244E67" w:rsidRDefault="00244E67" w:rsidP="00244E67">
      <w:pPr>
        <w:pStyle w:val="SingleTxt"/>
        <w:rPr>
          <w:rFonts w:hint="eastAsia"/>
        </w:rPr>
      </w:pPr>
      <w:r>
        <w:rPr>
          <w:rFonts w:hint="eastAsia"/>
        </w:rPr>
        <w:t>7.</w:t>
      </w:r>
      <w:r>
        <w:tab/>
      </w:r>
      <w:r>
        <w:rPr>
          <w:rFonts w:hint="eastAsia"/>
        </w:rPr>
        <w:t>请提供资料说明，自2010年以来如何努力通过大规模的提高认识和教育运动，消除对妇女和女童的陈规定型观念，包括消除对因族裔、年龄、残疾或其他特征而遭受多种形式歧视的妇女和女童的陈规定型观念。特别是，请解释为什么此问题未纳入《2005-2009年男女机会平等国家方案》(第47段)，以及此问题是否现已完全纳入2010-2014年方案。报告指出，作为2010-2014年方案的行动计划的一部分，将为媒体开展有关“公正和不歧视地展现妇女和男子形象的问题”的年度培训活动，为地方劳动力交流办公室工作人员开展有关“去除陈规定型观念的职业培训指导和信息”的年度培训活动(第109段)。请提供关于这些培训活动的更多资料，包括培训频率和内容，并说明是否开展了评价活动。委员会注意到2010年开展了对高中10年级教科书的定性分析(第195段)。请说明根据委员会先前的结论意见(</w:t>
      </w:r>
      <w:hyperlink r:id="rId16" w:history="1">
        <w:r w:rsidRPr="002F17E6">
          <w:rPr>
            <w:rStyle w:val="Hyperlink"/>
            <w:rFonts w:hint="eastAsia"/>
          </w:rPr>
          <w:t>CEDAW/C/LTU/CO/4</w:t>
        </w:r>
      </w:hyperlink>
      <w:r>
        <w:rPr>
          <w:rFonts w:hint="eastAsia"/>
        </w:rPr>
        <w:t>，第15段)审查各级教育教科书和教材以消除维持或强化性别定型观念的说法的进展情况，以及如何努力鼓励媒体反映妇女的正面和非性化形象。</w:t>
      </w:r>
    </w:p>
    <w:p w:rsidR="00244E67" w:rsidRPr="00244E67" w:rsidRDefault="00244E67" w:rsidP="00244E67">
      <w:pPr>
        <w:pStyle w:val="SingleTxt"/>
        <w:rPr>
          <w:rFonts w:ascii="SimHei" w:eastAsia="SimHei" w:hint="eastAsia"/>
        </w:rPr>
      </w:pPr>
      <w:r w:rsidRPr="00244E67">
        <w:rPr>
          <w:rFonts w:ascii="SimHei" w:eastAsia="SimHei" w:hint="eastAsia"/>
        </w:rPr>
        <w:t>暴力侵害妇女行为</w:t>
      </w:r>
    </w:p>
    <w:p w:rsidR="00244E67" w:rsidRDefault="00244E67" w:rsidP="00244E67">
      <w:pPr>
        <w:pStyle w:val="SingleTxt"/>
        <w:rPr>
          <w:rFonts w:hint="eastAsia"/>
        </w:rPr>
      </w:pPr>
      <w:r>
        <w:rPr>
          <w:rFonts w:hint="eastAsia"/>
        </w:rPr>
        <w:t>8</w:t>
      </w:r>
      <w:r>
        <w:t>.</w:t>
      </w:r>
      <w:r>
        <w:tab/>
      </w:r>
      <w:r>
        <w:rPr>
          <w:rFonts w:hint="eastAsia"/>
        </w:rPr>
        <w:t>请提供详细资料，说明已采取哪些措施来执行2011年5月颁布的防范家庭暴力法，特别是执行该法第8和第15条。请明确说明是否已根据该法或《刑法》，专门将婚内强奸列为刑事罪。请解释根据该法第5条签发保护令所需的举证责任，并说明对违反保护令行为的现有制裁措施。请提供数据，说明该法颁布以来，每年为保护家庭暴力受害妇女而签发的此种保护令数目；说明在报告所述期间包括该法通过前后提出的家庭暴力投诉的数目以及起诉、定罪和判刑数目，并说明施暴者与受害者之间的关系；说明多少案件使用了《刑法》第38条规定的和解程序来和解案件。请说明缔约国是否已经为警察和司法部门组织了有关新法的培训，并在执法人员、所有相关专业团体和民间社会中广泛传播该法。</w:t>
      </w:r>
    </w:p>
    <w:p w:rsidR="00244E67" w:rsidRDefault="00244E67" w:rsidP="00244E67">
      <w:pPr>
        <w:pStyle w:val="SingleTxt"/>
        <w:rPr>
          <w:rFonts w:hint="eastAsia"/>
        </w:rPr>
      </w:pPr>
      <w:r>
        <w:rPr>
          <w:rFonts w:hint="eastAsia"/>
        </w:rPr>
        <w:t>9.</w:t>
      </w:r>
      <w:r>
        <w:tab/>
      </w:r>
      <w:r>
        <w:rPr>
          <w:rFonts w:hint="eastAsia"/>
        </w:rPr>
        <w:t>请说明有关暴力侵害妇女行为的犯罪行为报告和调查数据收集系统所取得的进展(第15段)。请提供有关《2010-2012年打击暴力侵害妇女行为国家战略》执行情况评价的资料，特别是关于为暴力受害者提供更多法律援助方面的努力(第97段)。还请提供资料，说明有多少由国家供资、可供包括家庭暴力在内的暴力行为受害妇女使用的收容所和收容中心，其地理分布如何；并说明采取了哪些措施适当支助向受害者提供收容所以及法律、社会和心理援助的非政府组织。</w:t>
      </w:r>
    </w:p>
    <w:p w:rsidR="00244E67" w:rsidRPr="00244E67" w:rsidRDefault="00244E67" w:rsidP="00244E67">
      <w:pPr>
        <w:pStyle w:val="SingleTxt"/>
        <w:rPr>
          <w:rFonts w:ascii="SimHei" w:eastAsia="SimHei" w:hint="eastAsia"/>
        </w:rPr>
      </w:pPr>
      <w:r w:rsidRPr="00244E67">
        <w:rPr>
          <w:rFonts w:ascii="SimHei" w:eastAsia="SimHei" w:hint="eastAsia"/>
        </w:rPr>
        <w:t>贩运和利用妇女卖淫营利</w:t>
      </w:r>
    </w:p>
    <w:p w:rsidR="00244E67" w:rsidRDefault="00244E67" w:rsidP="00244E67">
      <w:pPr>
        <w:pStyle w:val="SingleTxt"/>
        <w:rPr>
          <w:rFonts w:hint="eastAsia"/>
        </w:rPr>
      </w:pPr>
      <w:r>
        <w:rPr>
          <w:rFonts w:hint="eastAsia"/>
        </w:rPr>
        <w:t>10.</w:t>
      </w:r>
      <w:r>
        <w:tab/>
      </w:r>
      <w:r>
        <w:rPr>
          <w:rFonts w:hint="eastAsia"/>
        </w:rPr>
        <w:t>请说明作为《2009-2012年预防和控制贩运人口方案》(第123段)的一部分所采取的具体措施，特别是提供关于预防活动和受害者援助的最新信息，并详细说明实施上述措施所产生的影响。还请说明，缔约国是否已根据对以往方案的评价设立了新方案；如果确实如此，请详细说明方案所设想的措施。请提供按性别、年龄和国籍分列的资料，说明2008年以来报告的人口贩运案件以及对犯罪人起诉、定罪和判刑的案件数量，此外说明有多少人口贩运受害妇女在刑事诉讼期间得到了法律援助。还请说明，有多少妇女根据《外国人法律地位法》(2008年)第26条的规定，因与检察机关合作获得临时居留证；并说明临时居留证到期后妇女的处境，以及不愿与当局合作的受害者的处境。请说明缔约国是否已采取措施，改进查验贩运受害者身份的工作，鼓励受害者举报罪行，并按照消除种族歧视委员会的建议(</w:t>
      </w:r>
      <w:hyperlink r:id="rId17" w:history="1">
        <w:r w:rsidRPr="002F17E6">
          <w:rPr>
            <w:rStyle w:val="Hyperlink"/>
            <w:rFonts w:hint="eastAsia"/>
          </w:rPr>
          <w:t>CERD/C/LTU/CO/4-5</w:t>
        </w:r>
      </w:hyperlink>
      <w:r>
        <w:rPr>
          <w:rFonts w:hint="eastAsia"/>
        </w:rPr>
        <w:t>，第20段)，解决贩运的外籍受害者对执法机关缺乏信任的问题。</w:t>
      </w:r>
    </w:p>
    <w:p w:rsidR="00244E67" w:rsidRDefault="00244E67" w:rsidP="00244E67">
      <w:pPr>
        <w:pStyle w:val="SingleTxt"/>
        <w:rPr>
          <w:rFonts w:hint="eastAsia"/>
        </w:rPr>
      </w:pPr>
      <w:r>
        <w:rPr>
          <w:rFonts w:hint="eastAsia"/>
        </w:rPr>
        <w:t>11.</w:t>
      </w:r>
      <w:r>
        <w:tab/>
      </w:r>
      <w:r>
        <w:rPr>
          <w:rFonts w:hint="eastAsia"/>
        </w:rPr>
        <w:t>鉴于报告未提及利用妇女卖淫营利问题，请提供最新资料，说明此现象在缔约国的普遍程度和已经采取何种措施来防止利用妇女和女童卖淫营利。请说明现有哪些</w:t>
      </w:r>
      <w:r w:rsidR="00172266">
        <w:rPr>
          <w:rFonts w:hint="eastAsia"/>
        </w:rPr>
        <w:t>保护机制保护根据目前法律框架可能面临行政罚款的卖淫妇女以及儿童</w:t>
      </w:r>
      <w:r>
        <w:rPr>
          <w:rFonts w:hint="eastAsia"/>
        </w:rPr>
        <w:t>，提高对卖淫的健康和安全风险的认识，确保卖淫妇女和女童重返社会，以及减少男性对卖淫的需求。</w:t>
      </w:r>
    </w:p>
    <w:p w:rsidR="00244E67" w:rsidRPr="00244E67" w:rsidRDefault="00244E67" w:rsidP="00244E67">
      <w:pPr>
        <w:pStyle w:val="SingleTxt"/>
        <w:rPr>
          <w:rFonts w:ascii="SimHei" w:eastAsia="SimHei" w:hint="eastAsia"/>
        </w:rPr>
      </w:pPr>
      <w:r w:rsidRPr="00244E67">
        <w:rPr>
          <w:rFonts w:ascii="SimHei" w:eastAsia="SimHei" w:hint="eastAsia"/>
        </w:rPr>
        <w:t>参与公共和政治生活</w:t>
      </w:r>
    </w:p>
    <w:p w:rsidR="00244E67" w:rsidRDefault="00244E67" w:rsidP="00244E67">
      <w:pPr>
        <w:pStyle w:val="SingleTxt"/>
        <w:rPr>
          <w:rFonts w:hint="eastAsia"/>
        </w:rPr>
      </w:pPr>
      <w:r>
        <w:rPr>
          <w:rFonts w:hint="eastAsia"/>
        </w:rPr>
        <w:t>12.</w:t>
      </w:r>
      <w:r>
        <w:tab/>
      </w:r>
      <w:r>
        <w:rPr>
          <w:rFonts w:hint="eastAsia"/>
        </w:rPr>
        <w:t>鉴于2012年举行了国家立法选举，2011年举行了市政选举，请提供政府、议会以及市议会中女性任职者人数和女市长人数的最新数据。请说明为女政治家俱乐部网所提供的支持，包括在农村地区的支持(第147段)。还请提供有关妇女在民政和外交事务以及司法部门中任职情况的最新资料。缔约国是否打算在其立法中纳入暂行特别措施，以增加妇女在任命的职位和选举产生的职位中的代表性，特别是担任领导和决策职位？</w:t>
      </w:r>
    </w:p>
    <w:p w:rsidR="00244E67" w:rsidRDefault="00244E67" w:rsidP="00244E67">
      <w:pPr>
        <w:pStyle w:val="SingleTxt"/>
      </w:pPr>
    </w:p>
    <w:p w:rsidR="00244E67" w:rsidRPr="00244E67" w:rsidRDefault="00244E67" w:rsidP="00244E67">
      <w:pPr>
        <w:pStyle w:val="SingleTxt"/>
        <w:rPr>
          <w:rFonts w:ascii="SimHei" w:eastAsia="SimHei" w:hint="eastAsia"/>
        </w:rPr>
      </w:pPr>
      <w:r w:rsidRPr="00244E67">
        <w:rPr>
          <w:rFonts w:ascii="SimHei" w:eastAsia="SimHei" w:hint="eastAsia"/>
        </w:rPr>
        <w:t>教育</w:t>
      </w:r>
    </w:p>
    <w:p w:rsidR="00244E67" w:rsidRDefault="00244E67" w:rsidP="00244E67">
      <w:pPr>
        <w:pStyle w:val="SingleTxt"/>
        <w:rPr>
          <w:rFonts w:hint="eastAsia"/>
        </w:rPr>
      </w:pPr>
      <w:r>
        <w:rPr>
          <w:rFonts w:hint="eastAsia"/>
        </w:rPr>
        <w:t>13</w:t>
      </w:r>
      <w:r>
        <w:t>.</w:t>
      </w:r>
      <w:r>
        <w:tab/>
      </w:r>
      <w:r>
        <w:rPr>
          <w:rFonts w:hint="eastAsia"/>
        </w:rPr>
        <w:t>请提供有关执行《确保高等教育中男女机会平等战略》(第189段)的资料，包括迄今为止执行的项目，并说明是否建立了评估其影响的评价机制。请说明2008年核准的“帮助校外儿童返校”方案所设想的数据编制工作(第213段)的进展。如果已获得上述数据，请将其提交给委员会。请提供资料，说明已采取哪些措施来消除包括职业培训在内的各级教育根据陈规定型观念选择科目和课程造成的横向隔离，并鼓励妇女和男子选择非传统的培训和教育领域。请提供详细数据，说明罗姆族女童的初等和中等教育入学率和辍学率，以及罗姆族妇女和女童参与高等教育的情况。还请说明自那时以来已采取哪些措施使罗姆族女童更多参与常规教育，而非进入特殊需求学校。</w:t>
      </w:r>
    </w:p>
    <w:p w:rsidR="00244E67" w:rsidRPr="00244E67" w:rsidRDefault="00244E67" w:rsidP="00244E67">
      <w:pPr>
        <w:pStyle w:val="SingleTxt"/>
        <w:rPr>
          <w:rFonts w:ascii="SimHei" w:eastAsia="SimHei" w:hint="eastAsia"/>
        </w:rPr>
      </w:pPr>
      <w:r w:rsidRPr="00244E67">
        <w:rPr>
          <w:rFonts w:ascii="SimHei" w:eastAsia="SimHei" w:hint="eastAsia"/>
        </w:rPr>
        <w:t>就业</w:t>
      </w:r>
    </w:p>
    <w:p w:rsidR="00244E67" w:rsidRDefault="00244E67" w:rsidP="00244E67">
      <w:pPr>
        <w:pStyle w:val="SingleTxt"/>
        <w:rPr>
          <w:rFonts w:hint="eastAsia"/>
        </w:rPr>
      </w:pPr>
      <w:r>
        <w:rPr>
          <w:rFonts w:hint="eastAsia"/>
        </w:rPr>
        <w:t>14.</w:t>
      </w:r>
      <w:r>
        <w:tab/>
      </w:r>
      <w:r>
        <w:rPr>
          <w:rFonts w:hint="eastAsia"/>
        </w:rPr>
        <w:t>请说明自2010年以来如何采取包括暂行特别措施在内的具体步骤，以消除劳动力市场上长期存在的横向和纵向职业隔离以及性别工资差异。报告提及了旨在确保“对需要同等资格和具有同等复杂性的工作规定平等薪酬条件”的《州和市级机构工作人员薪酬法》草案(第262段)。请说明该法案的情况，并明确说明该法是否体现了同值工作同等报酬原则。还请提供资料，说明对未保证男女同工同酬的雇主可采取哪些制裁措施。请提供数据说明，在报告所述期间针对妇女在工作场所遭受歧视，包括工资歧视和性骚扰，提出了哪些诉讼案，并说明这些案件的结果。</w:t>
      </w:r>
    </w:p>
    <w:p w:rsidR="00244E67" w:rsidRDefault="00244E67" w:rsidP="00244E67">
      <w:pPr>
        <w:pStyle w:val="SingleTxt"/>
        <w:rPr>
          <w:rFonts w:hint="eastAsia"/>
        </w:rPr>
      </w:pPr>
      <w:r>
        <w:rPr>
          <w:rFonts w:hint="eastAsia"/>
        </w:rPr>
        <w:t>15.</w:t>
      </w:r>
      <w:r>
        <w:tab/>
      </w:r>
      <w:r>
        <w:rPr>
          <w:rFonts w:hint="eastAsia"/>
        </w:rPr>
        <w:t>请提供最新数据，表明2010年以来男子利用陪产假、育儿假和灵活工作安排的百分比，说明缔约国是否已制订奖励办法，以促进男子使用育儿假，以及是否已采取措施增加缔约国现有托儿设施的数目。</w:t>
      </w:r>
    </w:p>
    <w:p w:rsidR="00244E67" w:rsidRPr="00244E67" w:rsidRDefault="00244E67" w:rsidP="00244E67">
      <w:pPr>
        <w:pStyle w:val="SingleTxt"/>
        <w:rPr>
          <w:rFonts w:ascii="SimHei" w:eastAsia="SimHei" w:hint="eastAsia"/>
        </w:rPr>
      </w:pPr>
      <w:r w:rsidRPr="00244E67">
        <w:rPr>
          <w:rFonts w:ascii="SimHei" w:eastAsia="SimHei" w:hint="eastAsia"/>
        </w:rPr>
        <w:t>保健</w:t>
      </w:r>
    </w:p>
    <w:p w:rsidR="00244E67" w:rsidRDefault="00244E67" w:rsidP="00244E67">
      <w:pPr>
        <w:pStyle w:val="SingleTxt"/>
        <w:rPr>
          <w:rFonts w:hint="eastAsia"/>
        </w:rPr>
      </w:pPr>
      <w:r>
        <w:rPr>
          <w:rFonts w:hint="eastAsia"/>
        </w:rPr>
        <w:t>16.</w:t>
      </w:r>
      <w:r>
        <w:tab/>
      </w:r>
      <w:r>
        <w:rPr>
          <w:rFonts w:hint="eastAsia"/>
        </w:rPr>
        <w:t>报</w:t>
      </w:r>
      <w:r w:rsidRPr="00815B0E">
        <w:rPr>
          <w:rFonts w:hint="eastAsia"/>
          <w:spacing w:val="-2"/>
        </w:rPr>
        <w:t>告指出，过去10年，人工流产数量减少了一倍多(第307段)。请详细说明有关保护产前生命的现有法律草案的内容和状况，说明它将如何影响妇女的生殖权利，特别是关于合法流产的规章和时限以及关于获得性权利和生殖权利的规定。鉴于缔约国受不孕症影响的家庭比率高，请说明关于辅助生殖的法律草案(第302段)的情况。请说明是否已按照委员会先前的结论性意见中的建议(</w:t>
      </w:r>
      <w:hyperlink r:id="rId18" w:history="1">
        <w:r w:rsidRPr="00815B0E">
          <w:rPr>
            <w:rStyle w:val="Hyperlink"/>
            <w:rFonts w:hint="eastAsia"/>
            <w:spacing w:val="-2"/>
          </w:rPr>
          <w:t>CEDAW/C/LTU/CO/4</w:t>
        </w:r>
      </w:hyperlink>
      <w:r w:rsidRPr="00815B0E">
        <w:rPr>
          <w:rFonts w:hint="eastAsia"/>
          <w:spacing w:val="-2"/>
        </w:rPr>
        <w:t>，</w:t>
      </w:r>
      <w:r>
        <w:rPr>
          <w:rFonts w:hint="eastAsia"/>
        </w:rPr>
        <w:t>第25段)，通过落实2008年5月通过的《为家庭生活做准备与性教育方案》(第218段)，将有关性和生殖健康和权利的适龄教育，包括负责任的性行为教育全面纳入学校课程，并对青春期男女进行全面的性教育。请提供资料，说明为防止和减少少女怀孕所采取或设想的措施。还请提供有关残疾妇女获得生殖保健服务机会的资料，包括关于为其提供法律保障以防止强迫堕胎和绝育的资料。</w:t>
      </w:r>
    </w:p>
    <w:p w:rsidR="00244E67" w:rsidRDefault="00244E67" w:rsidP="00244E67">
      <w:pPr>
        <w:pStyle w:val="SingleTxt"/>
      </w:pPr>
    </w:p>
    <w:p w:rsidR="00244E67" w:rsidRPr="00244E67" w:rsidRDefault="00244E67" w:rsidP="00244E67">
      <w:pPr>
        <w:pStyle w:val="SingleTxt"/>
        <w:rPr>
          <w:rFonts w:ascii="SimHei" w:eastAsia="SimHei" w:hint="eastAsia"/>
        </w:rPr>
      </w:pPr>
      <w:r w:rsidRPr="00244E67">
        <w:rPr>
          <w:rFonts w:ascii="SimHei" w:eastAsia="SimHei" w:hint="eastAsia"/>
        </w:rPr>
        <w:t>弱势妇女群体</w:t>
      </w:r>
    </w:p>
    <w:p w:rsidR="00244E67" w:rsidRDefault="00244E67" w:rsidP="00244E67">
      <w:pPr>
        <w:pStyle w:val="SingleTxt"/>
        <w:rPr>
          <w:rFonts w:hint="eastAsia"/>
        </w:rPr>
      </w:pPr>
      <w:r>
        <w:rPr>
          <w:rFonts w:hint="eastAsia"/>
        </w:rPr>
        <w:t>17.</w:t>
      </w:r>
      <w:r>
        <w:tab/>
      </w:r>
      <w:r>
        <w:rPr>
          <w:rFonts w:hint="eastAsia"/>
        </w:rPr>
        <w:t>委员会注意到缔约国为改善农村妇女状况作出全面努力。但是，委员会在其先前的结论意见中(</w:t>
      </w:r>
      <w:hyperlink r:id="rId19" w:history="1">
        <w:r w:rsidRPr="002F17E6">
          <w:rPr>
            <w:rStyle w:val="Hyperlink"/>
            <w:rFonts w:hint="eastAsia"/>
          </w:rPr>
          <w:t>CEDAW/C/LTU/CO/4</w:t>
        </w:r>
      </w:hyperlink>
      <w:r>
        <w:rPr>
          <w:rFonts w:hint="eastAsia"/>
        </w:rPr>
        <w:t>，第29段)，曾要求提供关于残疾妇女、罗姆妇女等少数族裔妇女、移徙妇女和老年妇女等其他弱势妇女群体状况的资料，尤其是在获得教育、就业、保健和适当住房方面继续受到歧视的情况。在此方面，请说明第337段中提及的研究的结果，提供缔约国在《公约》涵盖的所有领域采取的具体措施的最新资料，包括统计数据，并提供关于所采取措施的影响和取得的成果的资料。还请说明为《国家2009-2011年反歧视方案》(第336-337段)的目标群体即所有弱势妇女群体采取的措施；并提供最新资料，说明2008年开展有关劳动力市场上此类妇女状况的研究后执行《少数民族政策制订战略》的情况(第338段)。</w:t>
      </w:r>
    </w:p>
    <w:p w:rsidR="00244E67" w:rsidRDefault="00244E67" w:rsidP="00244E67">
      <w:pPr>
        <w:pStyle w:val="SingleTxt"/>
        <w:rPr>
          <w:rFonts w:hint="eastAsia"/>
        </w:rPr>
      </w:pPr>
      <w:r>
        <w:rPr>
          <w:rFonts w:hint="eastAsia"/>
        </w:rPr>
        <w:t>18.</w:t>
      </w:r>
      <w:r>
        <w:tab/>
      </w:r>
      <w:r>
        <w:rPr>
          <w:rFonts w:hint="eastAsia"/>
        </w:rPr>
        <w:t>报告提到，缔约国老年妇女比率日增的问题特别明显(第333段)。请提供按年龄组、婚姻状况和区域分列的老年妇女数据。还请提供资料，说明制订或设想了哪些政策，以确保老年妇女的社会和经济福祉，特别是为其提供经济安全、保健服务和创造有利环境。</w:t>
      </w:r>
    </w:p>
    <w:p w:rsidR="00244E67" w:rsidRPr="00244E67" w:rsidRDefault="00244E67" w:rsidP="00244E67">
      <w:pPr>
        <w:pStyle w:val="SingleTxt"/>
        <w:rPr>
          <w:rFonts w:ascii="SimHei" w:eastAsia="SimHei" w:hint="eastAsia"/>
        </w:rPr>
      </w:pPr>
      <w:r w:rsidRPr="00244E67">
        <w:rPr>
          <w:rFonts w:ascii="SimHei" w:eastAsia="SimHei" w:hint="eastAsia"/>
        </w:rPr>
        <w:t>婚姻和家庭关系</w:t>
      </w:r>
    </w:p>
    <w:p w:rsidR="00244E67" w:rsidRDefault="00244E67" w:rsidP="00244E67">
      <w:pPr>
        <w:pStyle w:val="SingleTxt"/>
        <w:rPr>
          <w:rFonts w:hint="eastAsia"/>
        </w:rPr>
      </w:pPr>
      <w:r>
        <w:rPr>
          <w:rFonts w:hint="eastAsia"/>
        </w:rPr>
        <w:t>19.</w:t>
      </w:r>
      <w:r>
        <w:tab/>
      </w:r>
      <w:r>
        <w:rPr>
          <w:rFonts w:hint="eastAsia"/>
        </w:rPr>
        <w:t>鉴于委员会在先前的结论意见中对114段提及的《全国家庭政策概念框架》表示关切(</w:t>
      </w:r>
      <w:hyperlink r:id="rId20" w:history="1">
        <w:r w:rsidRPr="002F17E6">
          <w:rPr>
            <w:rStyle w:val="Hyperlink"/>
            <w:rFonts w:hint="eastAsia"/>
          </w:rPr>
          <w:t>CEDAW/C/LTU/CO/4</w:t>
        </w:r>
      </w:hyperlink>
      <w:r>
        <w:rPr>
          <w:rFonts w:hint="eastAsia"/>
        </w:rPr>
        <w:t>，第22段)，且考虑到2011年9月28日宪法法院的裁决宣布该政策因其家庭概念有局限性而违宪，请提供资料，说明缔约国采取了哪些步骤落实委员会的建议和法院裁决，以便确保按照第21和29号一般性建议，将非传统家庭全面纳入所有国家政策、方案和战略所使用的家庭概念。</w:t>
      </w:r>
    </w:p>
    <w:p w:rsidR="00244E67" w:rsidRDefault="00244E67" w:rsidP="00244E67">
      <w:pPr>
        <w:pStyle w:val="SingleTxt"/>
        <w:rPr>
          <w:rFonts w:hint="eastAsia"/>
        </w:rPr>
      </w:pPr>
      <w:r>
        <w:rPr>
          <w:rFonts w:hint="eastAsia"/>
        </w:rPr>
        <w:t>20.</w:t>
      </w:r>
      <w:r>
        <w:tab/>
      </w:r>
      <w:r>
        <w:rPr>
          <w:rFonts w:hint="eastAsia"/>
        </w:rPr>
        <w:t>报告提到，2010年6月就《民法典》关于同意结婚的法定年龄作出修正，规定打算18岁以前结婚者如提出请求，法院可降低同意结婚的法定年龄，但降低年数不得超过两年；在当事人怀孕情况下，法院可允许其16岁之前结婚(第419段)。请就法院核准此种例外情况的案件提供按性别、年龄和族裔分列的数据。缔约国是否打算修正其立法，以确保废除基于怀孕的例外情况？还请提供资料，说明采取了哪些措施来解决委员会在以往的结论意见中对有关离婚时资产和财产分配的立法提出的关切(</w:t>
      </w:r>
      <w:hyperlink r:id="rId21" w:history="1">
        <w:r w:rsidRPr="002F17E6">
          <w:rPr>
            <w:rStyle w:val="Hyperlink"/>
            <w:rFonts w:hint="eastAsia"/>
          </w:rPr>
          <w:t>CEDAW/C/LTU/CO/4</w:t>
        </w:r>
      </w:hyperlink>
      <w:r>
        <w:rPr>
          <w:rFonts w:hint="eastAsia"/>
        </w:rPr>
        <w:t>，第30段)。</w:t>
      </w:r>
    </w:p>
    <w:p w:rsidR="00244E67" w:rsidRPr="00244E67" w:rsidRDefault="00244E67" w:rsidP="00244E67">
      <w:pPr>
        <w:pStyle w:val="SingleTxt"/>
        <w:spacing w:after="0" w:line="240" w:lineRule="auto"/>
        <w:rPr>
          <w:sz w:val="20"/>
        </w:rPr>
      </w:pPr>
      <w:r>
        <w:rPr>
          <w:noProof/>
          <w:sz w:val="20"/>
        </w:rPr>
        <w:pict>
          <v:line id="_x0000_s1027" style="position:absolute;left:0;text-align:left;z-index:2;mso-position-horizontal:center" from="0,30pt" to="1in,30pt" strokeweight=".25pt"/>
        </w:pict>
      </w:r>
    </w:p>
    <w:sectPr w:rsidR="00244E67" w:rsidRPr="00244E67" w:rsidSect="00D44B1A">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3T12:24:00Z" w:initials="Start">
    <w:p w:rsidR="00904E07" w:rsidRDefault="00904E0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NO&gt;&gt;N1353286C&lt;&lt;ODS JOB NO&gt;&gt;</w:t>
      </w:r>
    </w:p>
    <w:p w:rsidR="00904E07" w:rsidRDefault="00904E07">
      <w:pPr>
        <w:pStyle w:val="CommentText"/>
      </w:pPr>
      <w:r>
        <w:t>&lt;&lt;ODS DOC SYMBOL1&gt;&gt;CEDAW/C/LTU/Q/5&lt;&lt;ODS DOC SYMBOL1&gt;&gt;</w:t>
      </w:r>
    </w:p>
    <w:p w:rsidR="00904E07" w:rsidRDefault="00904E0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B74" w:rsidRDefault="00044B74">
      <w:r>
        <w:separator/>
      </w:r>
    </w:p>
  </w:endnote>
  <w:endnote w:type="continuationSeparator" w:id="0">
    <w:p w:rsidR="00044B74" w:rsidRDefault="00044B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04E07">
      <w:tblPrEx>
        <w:tblCellMar>
          <w:top w:w="0" w:type="dxa"/>
          <w:bottom w:w="0" w:type="dxa"/>
        </w:tblCellMar>
      </w:tblPrEx>
      <w:tc>
        <w:tcPr>
          <w:tcW w:w="5033" w:type="dxa"/>
          <w:shd w:val="clear" w:color="auto" w:fill="auto"/>
        </w:tcPr>
        <w:p w:rsidR="00904E07" w:rsidRPr="00D44B1A" w:rsidRDefault="00904E07" w:rsidP="00D44B1A">
          <w:pPr>
            <w:pStyle w:val="Footer"/>
            <w:jc w:val="right"/>
            <w:rPr>
              <w:b w:val="0"/>
              <w:w w:val="103"/>
              <w:sz w:val="14"/>
            </w:rPr>
          </w:pPr>
          <w:fldSimple w:instr=" DOCVARIABLE &quot;FooterJN&quot; \* MERGEFORMAT ">
            <w:r>
              <w:rPr>
                <w:b w:val="0"/>
                <w:w w:val="103"/>
                <w:sz w:val="14"/>
              </w:rPr>
              <w:t>13-53286 (C)</w:t>
            </w:r>
          </w:fldSimple>
        </w:p>
      </w:tc>
      <w:tc>
        <w:tcPr>
          <w:tcW w:w="5033" w:type="dxa"/>
          <w:shd w:val="clear" w:color="auto" w:fill="auto"/>
        </w:tcPr>
        <w:p w:rsidR="00904E07" w:rsidRPr="00D44B1A" w:rsidRDefault="00904E07" w:rsidP="00D44B1A">
          <w:pPr>
            <w:pStyle w:val="Footer"/>
            <w:jc w:val="left"/>
            <w:rPr>
              <w:w w:val="103"/>
            </w:rPr>
          </w:pPr>
          <w:r>
            <w:rPr>
              <w:w w:val="103"/>
            </w:rPr>
            <w:fldChar w:fldCharType="begin"/>
          </w:r>
          <w:r>
            <w:rPr>
              <w:w w:val="103"/>
            </w:rPr>
            <w:instrText xml:space="preserve"> PAGE  \* Arabic  \* MERGEFORMAT </w:instrText>
          </w:r>
          <w:r>
            <w:rPr>
              <w:w w:val="103"/>
            </w:rPr>
            <w:fldChar w:fldCharType="separate"/>
          </w:r>
          <w:r w:rsidR="00CD0FCE">
            <w:rPr>
              <w:w w:val="103"/>
            </w:rPr>
            <w:t>4</w:t>
          </w:r>
          <w:r>
            <w:rPr>
              <w:w w:val="103"/>
            </w:rPr>
            <w:fldChar w:fldCharType="end"/>
          </w:r>
          <w:r>
            <w:rPr>
              <w:w w:val="103"/>
            </w:rPr>
            <w:t>/</w:t>
          </w:r>
          <w:fldSimple w:instr=" NUMPAGES  \* Arabic  \* MERGEFORMAT ">
            <w:r w:rsidR="00C96FE8">
              <w:rPr>
                <w:w w:val="103"/>
              </w:rPr>
              <w:t>5</w:t>
            </w:r>
          </w:fldSimple>
        </w:p>
      </w:tc>
    </w:tr>
  </w:tbl>
  <w:p w:rsidR="00904E07" w:rsidRPr="00D44B1A" w:rsidRDefault="00904E07" w:rsidP="00D44B1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04E07">
      <w:tblPrEx>
        <w:tblCellMar>
          <w:top w:w="0" w:type="dxa"/>
          <w:bottom w:w="0" w:type="dxa"/>
        </w:tblCellMar>
      </w:tblPrEx>
      <w:tc>
        <w:tcPr>
          <w:tcW w:w="5033" w:type="dxa"/>
          <w:shd w:val="clear" w:color="auto" w:fill="auto"/>
        </w:tcPr>
        <w:p w:rsidR="00904E07" w:rsidRPr="00D44B1A" w:rsidRDefault="00904E07" w:rsidP="00D44B1A">
          <w:pPr>
            <w:pStyle w:val="Footer"/>
            <w:jc w:val="right"/>
          </w:pPr>
          <w:fldSimple w:instr=" PAGE  \* Arabic  \* MERGEFORMAT ">
            <w:r w:rsidR="00CD0FCE">
              <w:t>5</w:t>
            </w:r>
          </w:fldSimple>
          <w:r>
            <w:t>/</w:t>
          </w:r>
          <w:fldSimple w:instr=" NUMPAGES  \* Arabic  \* MERGEFORMAT ">
            <w:r>
              <w:t>5</w:t>
            </w:r>
          </w:fldSimple>
        </w:p>
      </w:tc>
      <w:tc>
        <w:tcPr>
          <w:tcW w:w="5033" w:type="dxa"/>
          <w:shd w:val="clear" w:color="auto" w:fill="auto"/>
        </w:tcPr>
        <w:p w:rsidR="00904E07" w:rsidRPr="00D44B1A" w:rsidRDefault="00904E07" w:rsidP="00D44B1A">
          <w:pPr>
            <w:pStyle w:val="Footer"/>
            <w:jc w:val="left"/>
            <w:rPr>
              <w:b w:val="0"/>
              <w:w w:val="103"/>
              <w:sz w:val="14"/>
            </w:rPr>
          </w:pPr>
          <w:fldSimple w:instr=" DOCVARIABLE &quot;FooterJN&quot; \* MERGEFORMAT ">
            <w:r>
              <w:rPr>
                <w:b w:val="0"/>
                <w:w w:val="103"/>
                <w:sz w:val="14"/>
              </w:rPr>
              <w:t>13-53286 (C)</w:t>
            </w:r>
          </w:fldSimple>
        </w:p>
      </w:tc>
    </w:tr>
  </w:tbl>
  <w:p w:rsidR="00904E07" w:rsidRPr="00D44B1A" w:rsidRDefault="00904E07" w:rsidP="00D44B1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904E07">
      <w:tblPrEx>
        <w:tblCellMar>
          <w:top w:w="0" w:type="dxa"/>
          <w:bottom w:w="0" w:type="dxa"/>
        </w:tblCellMar>
      </w:tblPrEx>
      <w:tc>
        <w:tcPr>
          <w:tcW w:w="5033" w:type="dxa"/>
        </w:tcPr>
        <w:p w:rsidR="00904E07" w:rsidRDefault="00904E07" w:rsidP="00D44B1A">
          <w:pPr>
            <w:pStyle w:val="Footer"/>
            <w:rPr>
              <w:b w:val="0"/>
              <w:sz w:val="21"/>
            </w:rPr>
          </w:pPr>
          <w:fldSimple w:instr=" DOCVARIABLE &quot;jobn&quot; \* MERGEFORMAT ">
            <w:r>
              <w:rPr>
                <w:b w:val="0"/>
                <w:sz w:val="21"/>
              </w:rPr>
              <w:t>13-53286 (C)</w:t>
            </w:r>
          </w:fldSimple>
          <w:r>
            <w:rPr>
              <w:b w:val="0"/>
              <w:sz w:val="21"/>
            </w:rPr>
            <w:t xml:space="preserve">    121113    181113</w:t>
          </w:r>
        </w:p>
        <w:p w:rsidR="00904E07" w:rsidRPr="00D44B1A" w:rsidRDefault="00904E07" w:rsidP="00D44B1A">
          <w:pPr>
            <w:spacing w:before="80" w:line="210" w:lineRule="exact"/>
            <w:rPr>
              <w:rFonts w:ascii="Barcode 3 of 9 by request" w:hAnsi="Barcode 3 of 9 by request"/>
              <w:sz w:val="24"/>
            </w:rPr>
          </w:pPr>
          <w:r>
            <w:rPr>
              <w:rFonts w:ascii="Barcode 3 of 9 by request" w:hAnsi="Barcode 3 of 9 by request" w:hint="eastAsia"/>
              <w:sz w:val="24"/>
            </w:rPr>
            <w:t>*1353286*</w:t>
          </w:r>
        </w:p>
      </w:tc>
      <w:tc>
        <w:tcPr>
          <w:tcW w:w="3686" w:type="dxa"/>
        </w:tcPr>
        <w:p w:rsidR="00904E07" w:rsidRDefault="00904E07" w:rsidP="00D44B1A">
          <w:pPr>
            <w:pStyle w:val="Footer"/>
            <w:jc w:val="right"/>
            <w:rPr>
              <w:b w:val="0"/>
              <w:sz w:val="21"/>
            </w:rPr>
          </w:pPr>
          <w:r w:rsidRPr="00D44B1A">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904E07" w:rsidRPr="00D44B1A" w:rsidRDefault="00904E07" w:rsidP="00D44B1A">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B74" w:rsidRPr="00244E67" w:rsidRDefault="00044B74" w:rsidP="00244E67">
      <w:pPr>
        <w:pStyle w:val="Footer"/>
        <w:spacing w:after="80"/>
        <w:ind w:left="792"/>
        <w:rPr>
          <w:sz w:val="16"/>
        </w:rPr>
      </w:pPr>
      <w:r w:rsidRPr="00244E67">
        <w:rPr>
          <w:sz w:val="16"/>
        </w:rPr>
        <w:t>__________________</w:t>
      </w:r>
    </w:p>
  </w:footnote>
  <w:footnote w:type="continuationSeparator" w:id="0">
    <w:p w:rsidR="00044B74" w:rsidRPr="00244E67" w:rsidRDefault="00044B74" w:rsidP="00244E67">
      <w:pPr>
        <w:pStyle w:val="Footer"/>
        <w:spacing w:after="80"/>
        <w:ind w:left="792"/>
        <w:rPr>
          <w:sz w:val="16"/>
        </w:rPr>
      </w:pPr>
      <w:r w:rsidRPr="00244E67">
        <w:rPr>
          <w:sz w:val="16"/>
        </w:rPr>
        <w:t>__________________</w:t>
      </w:r>
    </w:p>
  </w:footnote>
  <w:footnote w:id="1">
    <w:p w:rsidR="00904E07" w:rsidRPr="00244E67" w:rsidRDefault="00904E07" w:rsidP="00244E6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Pr="00244E67">
        <w:rPr>
          <w:vertAlign w:val="superscript"/>
        </w:rPr>
        <w:t>*</w:t>
      </w:r>
      <w:r>
        <w:tab/>
      </w:r>
      <w:r w:rsidRPr="00244E67">
        <w:rPr>
          <w:rFonts w:hint="eastAsia"/>
        </w:rPr>
        <w:t>第五十八届会议会前工作组通过，2013年10月21至25日会议。</w:t>
      </w:r>
    </w:p>
    <w:p w:rsidR="00904E07" w:rsidRPr="00244E67" w:rsidRDefault="00904E07" w:rsidP="00244E6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44E67">
        <w:rPr>
          <w:rFonts w:hint="eastAsia"/>
        </w:rPr>
        <w:t>除非另有说明，段落序号指缔约国第五次定期报告</w:t>
      </w:r>
      <w:r>
        <w:t>(</w:t>
      </w:r>
      <w:r w:rsidRPr="00244E67">
        <w:rPr>
          <w:rFonts w:hint="eastAsia"/>
        </w:rPr>
        <w:t>CEDAW/C/LTU/5</w:t>
      </w:r>
      <w:r>
        <w:t>)</w:t>
      </w:r>
      <w:r w:rsidRPr="00244E67">
        <w:rPr>
          <w:rFonts w:hint="eastAsia"/>
        </w:rPr>
        <w:t>中的段落。</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04E07">
      <w:tblPrEx>
        <w:tblCellMar>
          <w:top w:w="0" w:type="dxa"/>
          <w:bottom w:w="0" w:type="dxa"/>
        </w:tblCellMar>
      </w:tblPrEx>
      <w:trPr>
        <w:trHeight w:hRule="exact" w:val="864"/>
      </w:trPr>
      <w:tc>
        <w:tcPr>
          <w:tcW w:w="4838" w:type="dxa"/>
          <w:shd w:val="clear" w:color="auto" w:fill="auto"/>
          <w:vAlign w:val="bottom"/>
        </w:tcPr>
        <w:p w:rsidR="00904E07" w:rsidRPr="00D44B1A" w:rsidRDefault="00904E07" w:rsidP="00D44B1A">
          <w:pPr>
            <w:pStyle w:val="Header"/>
            <w:spacing w:after="80"/>
            <w:jc w:val="left"/>
            <w:rPr>
              <w:b/>
              <w:sz w:val="17"/>
            </w:rPr>
          </w:pPr>
          <w:fldSimple w:instr=" DOCVARIABLE &quot;sss1&quot; \* MERGEFORMAT ">
            <w:r>
              <w:rPr>
                <w:b/>
                <w:sz w:val="17"/>
              </w:rPr>
              <w:t>CEDAW/C/LTU/Q/5</w:t>
            </w:r>
          </w:fldSimple>
        </w:p>
      </w:tc>
      <w:tc>
        <w:tcPr>
          <w:tcW w:w="5033" w:type="dxa"/>
          <w:shd w:val="clear" w:color="auto" w:fill="auto"/>
          <w:vAlign w:val="bottom"/>
        </w:tcPr>
        <w:p w:rsidR="00904E07" w:rsidRDefault="00904E07" w:rsidP="00D44B1A">
          <w:pPr>
            <w:pStyle w:val="Header"/>
          </w:pPr>
        </w:p>
      </w:tc>
    </w:tr>
  </w:tbl>
  <w:p w:rsidR="00904E07" w:rsidRPr="00D44B1A" w:rsidRDefault="00904E07" w:rsidP="00D44B1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04E07">
      <w:tblPrEx>
        <w:tblCellMar>
          <w:top w:w="0" w:type="dxa"/>
          <w:bottom w:w="0" w:type="dxa"/>
        </w:tblCellMar>
      </w:tblPrEx>
      <w:trPr>
        <w:trHeight w:hRule="exact" w:val="864"/>
      </w:trPr>
      <w:tc>
        <w:tcPr>
          <w:tcW w:w="4838" w:type="dxa"/>
          <w:shd w:val="clear" w:color="auto" w:fill="auto"/>
          <w:vAlign w:val="bottom"/>
        </w:tcPr>
        <w:p w:rsidR="00904E07" w:rsidRDefault="00904E07" w:rsidP="00D44B1A">
          <w:pPr>
            <w:pStyle w:val="Header"/>
          </w:pPr>
        </w:p>
      </w:tc>
      <w:tc>
        <w:tcPr>
          <w:tcW w:w="5033" w:type="dxa"/>
          <w:shd w:val="clear" w:color="auto" w:fill="auto"/>
          <w:vAlign w:val="bottom"/>
        </w:tcPr>
        <w:p w:rsidR="00904E07" w:rsidRPr="00D44B1A" w:rsidRDefault="00904E07" w:rsidP="00D44B1A">
          <w:pPr>
            <w:pStyle w:val="Header"/>
            <w:spacing w:after="80"/>
            <w:jc w:val="right"/>
            <w:rPr>
              <w:b/>
              <w:sz w:val="17"/>
            </w:rPr>
          </w:pPr>
          <w:fldSimple w:instr=" DOCVARIABLE &quot;sss1&quot; \* MERGEFORMAT ">
            <w:r>
              <w:rPr>
                <w:b/>
                <w:sz w:val="17"/>
              </w:rPr>
              <w:t>CEDAW/C/LTU/Q/5</w:t>
            </w:r>
          </w:fldSimple>
        </w:p>
      </w:tc>
    </w:tr>
  </w:tbl>
  <w:p w:rsidR="00904E07" w:rsidRPr="00D44B1A" w:rsidRDefault="00904E07" w:rsidP="00D44B1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904E0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04E07" w:rsidRDefault="00904E07" w:rsidP="00D44B1A">
          <w:pPr>
            <w:pStyle w:val="Header"/>
            <w:spacing w:after="120"/>
          </w:pPr>
        </w:p>
      </w:tc>
      <w:tc>
        <w:tcPr>
          <w:tcW w:w="1872" w:type="dxa"/>
          <w:tcBorders>
            <w:bottom w:val="single" w:sz="4" w:space="0" w:color="auto"/>
          </w:tcBorders>
          <w:shd w:val="clear" w:color="auto" w:fill="auto"/>
          <w:vAlign w:val="bottom"/>
        </w:tcPr>
        <w:p w:rsidR="00904E07" w:rsidRPr="00D44B1A" w:rsidRDefault="00904E07" w:rsidP="00D44B1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04E07" w:rsidRDefault="00904E07" w:rsidP="00D44B1A">
          <w:pPr>
            <w:pStyle w:val="Header"/>
            <w:spacing w:after="120"/>
          </w:pPr>
        </w:p>
      </w:tc>
      <w:tc>
        <w:tcPr>
          <w:tcW w:w="6523" w:type="dxa"/>
          <w:gridSpan w:val="3"/>
          <w:tcBorders>
            <w:bottom w:val="single" w:sz="4" w:space="0" w:color="auto"/>
          </w:tcBorders>
          <w:shd w:val="clear" w:color="auto" w:fill="auto"/>
          <w:vAlign w:val="bottom"/>
        </w:tcPr>
        <w:p w:rsidR="00904E07" w:rsidRPr="00D44B1A" w:rsidRDefault="00904E07" w:rsidP="00D44B1A">
          <w:pPr>
            <w:spacing w:after="80" w:line="240" w:lineRule="auto"/>
            <w:jc w:val="right"/>
            <w:rPr>
              <w:rFonts w:ascii="Times New Roman"/>
              <w:position w:val="-4"/>
            </w:rPr>
          </w:pPr>
          <w:r>
            <w:rPr>
              <w:rFonts w:ascii="Times New Roman"/>
              <w:position w:val="-4"/>
              <w:sz w:val="40"/>
            </w:rPr>
            <w:t>CEDAW</w:t>
          </w:r>
          <w:r>
            <w:rPr>
              <w:rFonts w:ascii="Times New Roman"/>
              <w:position w:val="-4"/>
            </w:rPr>
            <w:t>/C/LTU/Q/5</w:t>
          </w:r>
        </w:p>
      </w:tc>
    </w:tr>
    <w:tr w:rsidR="00904E07" w:rsidRPr="00D44B1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04E07" w:rsidRDefault="00904E07" w:rsidP="00D44B1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04E07" w:rsidRPr="00D44B1A" w:rsidRDefault="00904E07" w:rsidP="00D44B1A">
          <w:pPr>
            <w:pStyle w:val="Header"/>
            <w:spacing w:before="109"/>
            <w:ind w:left="-72"/>
          </w:pPr>
        </w:p>
      </w:tc>
      <w:tc>
        <w:tcPr>
          <w:tcW w:w="5227" w:type="dxa"/>
          <w:gridSpan w:val="3"/>
          <w:tcBorders>
            <w:top w:val="single" w:sz="4" w:space="0" w:color="auto"/>
            <w:bottom w:val="single" w:sz="12" w:space="0" w:color="auto"/>
          </w:tcBorders>
          <w:shd w:val="clear" w:color="auto" w:fill="auto"/>
        </w:tcPr>
        <w:p w:rsidR="00904E07" w:rsidRPr="00D44B1A" w:rsidRDefault="00904E07" w:rsidP="00D44B1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04E07" w:rsidRPr="00D44B1A" w:rsidRDefault="00904E07" w:rsidP="00D44B1A">
          <w:pPr>
            <w:pStyle w:val="Header"/>
            <w:spacing w:before="109"/>
          </w:pPr>
        </w:p>
      </w:tc>
      <w:tc>
        <w:tcPr>
          <w:tcW w:w="3180" w:type="dxa"/>
          <w:gridSpan w:val="2"/>
          <w:tcBorders>
            <w:top w:val="single" w:sz="4" w:space="0" w:color="auto"/>
            <w:bottom w:val="single" w:sz="12" w:space="0" w:color="auto"/>
          </w:tcBorders>
          <w:shd w:val="clear" w:color="auto" w:fill="auto"/>
        </w:tcPr>
        <w:p w:rsidR="00904E07" w:rsidRDefault="00904E07" w:rsidP="00D44B1A">
          <w:pPr>
            <w:spacing w:before="240" w:line="240" w:lineRule="exact"/>
            <w:rPr>
              <w:rFonts w:ascii="Times New Roman"/>
            </w:rPr>
          </w:pPr>
          <w:r>
            <w:rPr>
              <w:rFonts w:ascii="Times New Roman"/>
            </w:rPr>
            <w:t>Distr.: General</w:t>
          </w:r>
        </w:p>
        <w:p w:rsidR="00904E07" w:rsidRDefault="00904E07" w:rsidP="00D44B1A">
          <w:pPr>
            <w:spacing w:line="240" w:lineRule="exact"/>
            <w:rPr>
              <w:rFonts w:ascii="Times New Roman"/>
            </w:rPr>
          </w:pPr>
          <w:r>
            <w:rPr>
              <w:rFonts w:ascii="Times New Roman"/>
            </w:rPr>
            <w:t>28 October 2013</w:t>
          </w:r>
        </w:p>
        <w:p w:rsidR="00904E07" w:rsidRDefault="00904E07" w:rsidP="00D44B1A">
          <w:pPr>
            <w:spacing w:line="240" w:lineRule="exact"/>
            <w:rPr>
              <w:rFonts w:ascii="Times New Roman"/>
            </w:rPr>
          </w:pPr>
          <w:r>
            <w:rPr>
              <w:rFonts w:ascii="Times New Roman"/>
            </w:rPr>
            <w:t>Chinese</w:t>
          </w:r>
        </w:p>
        <w:p w:rsidR="00904E07" w:rsidRPr="00D44B1A" w:rsidRDefault="00904E07" w:rsidP="00D44B1A">
          <w:pPr>
            <w:spacing w:line="240" w:lineRule="exact"/>
            <w:rPr>
              <w:rFonts w:ascii="Times New Roman"/>
            </w:rPr>
          </w:pPr>
          <w:r>
            <w:rPr>
              <w:rFonts w:ascii="Times New Roman"/>
            </w:rPr>
            <w:t>Original: English</w:t>
          </w:r>
        </w:p>
      </w:tc>
    </w:tr>
  </w:tbl>
  <w:p w:rsidR="00904E07" w:rsidRPr="00D44B1A" w:rsidRDefault="00904E07" w:rsidP="00D44B1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86*"/>
    <w:docVar w:name="CreationDt" w:val="13/11/2013 12:18:29"/>
    <w:docVar w:name="DocCategory" w:val="Doc"/>
    <w:docVar w:name="DocType" w:val="Final"/>
    <w:docVar w:name="FooterJN" w:val="13-53286 (C)"/>
    <w:docVar w:name="jobn" w:val="13-53286 (C)"/>
    <w:docVar w:name="jobnDT" w:val="13-53286 (C)   131113"/>
    <w:docVar w:name="jobnDTDT" w:val="13-53286 (C)   131113   131113"/>
    <w:docVar w:name="JobNo" w:val="1353286C"/>
    <w:docVar w:name="OandT" w:val="Hao sl"/>
    <w:docVar w:name="sss1" w:val="CEDAW/C/LTU/Q/5"/>
    <w:docVar w:name="sss2" w:val="-"/>
    <w:docVar w:name="Symbol1" w:val="CEDAW/C/LTU/Q/5"/>
    <w:docVar w:name="Symbol2" w:val="-"/>
  </w:docVars>
  <w:rsids>
    <w:rsidRoot w:val="00FE02F2"/>
    <w:rsid w:val="0000347C"/>
    <w:rsid w:val="000125BC"/>
    <w:rsid w:val="0001645E"/>
    <w:rsid w:val="00021A2B"/>
    <w:rsid w:val="00024E72"/>
    <w:rsid w:val="00034465"/>
    <w:rsid w:val="00036AA2"/>
    <w:rsid w:val="00036F1B"/>
    <w:rsid w:val="00037444"/>
    <w:rsid w:val="00037B39"/>
    <w:rsid w:val="00044B74"/>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16F3"/>
    <w:rsid w:val="00114F57"/>
    <w:rsid w:val="001212F9"/>
    <w:rsid w:val="00121328"/>
    <w:rsid w:val="0012708E"/>
    <w:rsid w:val="00130EE5"/>
    <w:rsid w:val="001329F7"/>
    <w:rsid w:val="00141322"/>
    <w:rsid w:val="0015066B"/>
    <w:rsid w:val="00150D3A"/>
    <w:rsid w:val="00153D29"/>
    <w:rsid w:val="00161E69"/>
    <w:rsid w:val="00161F54"/>
    <w:rsid w:val="00170FBE"/>
    <w:rsid w:val="00172266"/>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4E6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17E6"/>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0599"/>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57BBB"/>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15B0E"/>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8F75DF"/>
    <w:rsid w:val="00904E07"/>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7ED"/>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96FE8"/>
    <w:rsid w:val="00CA450F"/>
    <w:rsid w:val="00CA4BBC"/>
    <w:rsid w:val="00CA7E8C"/>
    <w:rsid w:val="00CB2B1E"/>
    <w:rsid w:val="00CC053E"/>
    <w:rsid w:val="00CC1E2C"/>
    <w:rsid w:val="00CC3E8B"/>
    <w:rsid w:val="00CC4E84"/>
    <w:rsid w:val="00CD0FCE"/>
    <w:rsid w:val="00CD5641"/>
    <w:rsid w:val="00CE474E"/>
    <w:rsid w:val="00CE64AC"/>
    <w:rsid w:val="00CE7DFC"/>
    <w:rsid w:val="00CF02D3"/>
    <w:rsid w:val="00CF49BA"/>
    <w:rsid w:val="00CF7718"/>
    <w:rsid w:val="00D177F1"/>
    <w:rsid w:val="00D25E6B"/>
    <w:rsid w:val="00D32015"/>
    <w:rsid w:val="00D323B5"/>
    <w:rsid w:val="00D42ACC"/>
    <w:rsid w:val="00D44B1A"/>
    <w:rsid w:val="00D51DC5"/>
    <w:rsid w:val="00D54D61"/>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C6F60"/>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02F2"/>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CEDAW/C/LTU/CO/4" TargetMode="External"/><Relationship Id="rId3" Type="http://schemas.openxmlformats.org/officeDocument/2006/relationships/webSettings" Target="webSettings.xml"/><Relationship Id="rId21" Type="http://schemas.openxmlformats.org/officeDocument/2006/relationships/hyperlink" Target="http://undocs.org/ch/CEDAW/C/LTU/CO/4"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RD/C/LTU/CO/4" TargetMode="External"/><Relationship Id="rId2" Type="http://schemas.openxmlformats.org/officeDocument/2006/relationships/settings" Target="settings.xml"/><Relationship Id="rId16" Type="http://schemas.openxmlformats.org/officeDocument/2006/relationships/hyperlink" Target="http://undocs.org/ch/CEDAW/C/LTU/CO/4" TargetMode="External"/><Relationship Id="rId20" Type="http://schemas.openxmlformats.org/officeDocument/2006/relationships/hyperlink" Target="http://undocs.org/ch/CEDAW/C/LTU/CO/4"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CEDAW/C/LTU/CO/4"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h/CEDAW/C/LTU/CO/4"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LTU/CO/4"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97</TotalTime>
  <Pages>1</Pages>
  <Words>2555</Words>
  <Characters>2735</Characters>
  <Application>Microsoft Office Outlook</Application>
  <DocSecurity>4</DocSecurity>
  <Lines>94</Lines>
  <Paragraphs>37</Paragraphs>
  <ScaleCrop>false</ScaleCrop>
  <Company>United Nations</Company>
  <LinksUpToDate>false</LinksUpToDate>
  <CharactersWithSpaces>5253</CharactersWithSpaces>
  <SharedDoc>false</SharedDoc>
  <HLinks>
    <vt:vector size="48" baseType="variant">
      <vt:variant>
        <vt:i4>262159</vt:i4>
      </vt:variant>
      <vt:variant>
        <vt:i4>21</vt:i4>
      </vt:variant>
      <vt:variant>
        <vt:i4>0</vt:i4>
      </vt:variant>
      <vt:variant>
        <vt:i4>5</vt:i4>
      </vt:variant>
      <vt:variant>
        <vt:lpwstr>http://undocs.org/ch/CEDAW/C/LTU/CO/4</vt:lpwstr>
      </vt:variant>
      <vt:variant>
        <vt:lpwstr/>
      </vt:variant>
      <vt:variant>
        <vt:i4>262159</vt:i4>
      </vt:variant>
      <vt:variant>
        <vt:i4>18</vt:i4>
      </vt:variant>
      <vt:variant>
        <vt:i4>0</vt:i4>
      </vt:variant>
      <vt:variant>
        <vt:i4>5</vt:i4>
      </vt:variant>
      <vt:variant>
        <vt:lpwstr>http://undocs.org/ch/CEDAW/C/LTU/CO/4</vt:lpwstr>
      </vt:variant>
      <vt:variant>
        <vt:lpwstr/>
      </vt:variant>
      <vt:variant>
        <vt:i4>262159</vt:i4>
      </vt:variant>
      <vt:variant>
        <vt:i4>15</vt:i4>
      </vt:variant>
      <vt:variant>
        <vt:i4>0</vt:i4>
      </vt:variant>
      <vt:variant>
        <vt:i4>5</vt:i4>
      </vt:variant>
      <vt:variant>
        <vt:lpwstr>http://undocs.org/ch/CEDAW/C/LTU/CO/4</vt:lpwstr>
      </vt:variant>
      <vt:variant>
        <vt:lpwstr/>
      </vt:variant>
      <vt:variant>
        <vt:i4>262159</vt:i4>
      </vt:variant>
      <vt:variant>
        <vt:i4>12</vt:i4>
      </vt:variant>
      <vt:variant>
        <vt:i4>0</vt:i4>
      </vt:variant>
      <vt:variant>
        <vt:i4>5</vt:i4>
      </vt:variant>
      <vt:variant>
        <vt:lpwstr>http://undocs.org/ch/CEDAW/C/LTU/CO/4</vt:lpwstr>
      </vt:variant>
      <vt:variant>
        <vt:lpwstr/>
      </vt:variant>
      <vt:variant>
        <vt:i4>5439496</vt:i4>
      </vt:variant>
      <vt:variant>
        <vt:i4>9</vt:i4>
      </vt:variant>
      <vt:variant>
        <vt:i4>0</vt:i4>
      </vt:variant>
      <vt:variant>
        <vt:i4>5</vt:i4>
      </vt:variant>
      <vt:variant>
        <vt:lpwstr>http://undocs.org/ch/CERD/C/LTU/CO/4</vt:lpwstr>
      </vt:variant>
      <vt:variant>
        <vt:lpwstr/>
      </vt:variant>
      <vt:variant>
        <vt:i4>262159</vt:i4>
      </vt:variant>
      <vt:variant>
        <vt:i4>6</vt:i4>
      </vt:variant>
      <vt:variant>
        <vt:i4>0</vt:i4>
      </vt:variant>
      <vt:variant>
        <vt:i4>5</vt:i4>
      </vt:variant>
      <vt:variant>
        <vt:lpwstr>http://undocs.org/ch/CEDAW/C/LTU/CO/4</vt:lpwstr>
      </vt:variant>
      <vt:variant>
        <vt:lpwstr/>
      </vt:variant>
      <vt:variant>
        <vt:i4>262159</vt:i4>
      </vt:variant>
      <vt:variant>
        <vt:i4>3</vt:i4>
      </vt:variant>
      <vt:variant>
        <vt:i4>0</vt:i4>
      </vt:variant>
      <vt:variant>
        <vt:i4>5</vt:i4>
      </vt:variant>
      <vt:variant>
        <vt:lpwstr>http://undocs.org/ch/CEDAW/C/LTU/CO/4</vt:lpwstr>
      </vt:variant>
      <vt:variant>
        <vt:lpwstr/>
      </vt:variant>
      <vt:variant>
        <vt:i4>262159</vt:i4>
      </vt:variant>
      <vt:variant>
        <vt:i4>0</vt:i4>
      </vt:variant>
      <vt:variant>
        <vt:i4>0</vt:i4>
      </vt:variant>
      <vt:variant>
        <vt:i4>5</vt:i4>
      </vt:variant>
      <vt:variant>
        <vt:lpwstr>http://undocs.org/ch/CEDAW/C/LTU/CO/4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Shengli.Hao</dc:creator>
  <cp:keywords/>
  <dc:description/>
  <cp:lastModifiedBy>Huangui.Du</cp:lastModifiedBy>
  <cp:revision>16</cp:revision>
  <cp:lastPrinted>2013-11-13T11:24:00Z</cp:lastPrinted>
  <dcterms:created xsi:type="dcterms:W3CDTF">2013-11-13T11:17:00Z</dcterms:created>
  <dcterms:modified xsi:type="dcterms:W3CDTF">2013-11-13T13:13:00Z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1353286</vt:lpwstr>
  </property>
  <property fmtid="{D5CDD505-2E9C-101B-9397-08002B2CF9AE}" pid="3" name="Symbol1">
    <vt:lpwstr>CEDAW/C/LTU/Q/5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Hao sl</vt:lpwstr>
  </property>
</Properties>
</file>