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7EB" w:rsidRDefault="00B357EB" w:rsidP="00B357EB">
      <w:pPr>
        <w:spacing w:line="60" w:lineRule="exact"/>
        <w:rPr>
          <w:sz w:val="6"/>
        </w:rPr>
        <w:sectPr w:rsidR="00B357EB" w:rsidSect="00B357E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B357EB" w:rsidRDefault="00B357EB" w:rsidP="00B357EB">
      <w:pPr>
        <w:spacing w:line="60" w:lineRule="exact"/>
        <w:rPr>
          <w:sz w:val="6"/>
        </w:rPr>
      </w:pPr>
    </w:p>
    <w:p w:rsidR="00363EA1" w:rsidRDefault="00363EA1" w:rsidP="00363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ab/>
        <w:t>消除对妇女歧视委员会</w:t>
      </w:r>
    </w:p>
    <w:p w:rsidR="00363EA1" w:rsidRPr="00363EA1" w:rsidRDefault="00363EA1" w:rsidP="00363EA1">
      <w:pPr>
        <w:pStyle w:val="SingleTxt"/>
        <w:spacing w:after="60"/>
        <w:ind w:left="0"/>
        <w:rPr>
          <w:rFonts w:ascii="SimHei" w:eastAsia="SimHei" w:hint="eastAsia"/>
          <w:color w:val="FF0000"/>
        </w:rPr>
      </w:pPr>
      <w:r w:rsidRPr="00363EA1">
        <w:rPr>
          <w:rFonts w:ascii="SimHei" w:eastAsia="SimHei" w:hint="eastAsia"/>
          <w:color w:val="FF0000"/>
        </w:rPr>
        <w:t>会前工作组</w:t>
      </w:r>
    </w:p>
    <w:p w:rsidR="00363EA1" w:rsidRDefault="00363EA1" w:rsidP="00363EA1">
      <w:pPr>
        <w:pStyle w:val="SingleTxt"/>
        <w:spacing w:after="60"/>
        <w:ind w:left="0"/>
        <w:rPr>
          <w:rFonts w:hint="eastAsia"/>
        </w:rPr>
      </w:pPr>
      <w:r w:rsidRPr="00363EA1">
        <w:rPr>
          <w:rFonts w:ascii="SimHei" w:eastAsia="SimHei" w:hint="eastAsia"/>
          <w:color w:val="FF0000"/>
        </w:rPr>
        <w:t>第四十届和四十一届会议</w:t>
      </w:r>
    </w:p>
    <w:p w:rsidR="00363EA1" w:rsidRDefault="00363EA1" w:rsidP="00363EA1">
      <w:pPr>
        <w:pStyle w:val="SingleTxt"/>
        <w:spacing w:after="60"/>
        <w:ind w:left="0"/>
        <w:rPr>
          <w:rFonts w:hint="eastAsia"/>
        </w:rPr>
      </w:pPr>
      <w:r>
        <w:rPr>
          <w:rFonts w:hint="eastAsia"/>
        </w:rPr>
        <w:t>2007年7月16日至20日</w:t>
      </w:r>
    </w:p>
    <w:p w:rsidR="00363EA1" w:rsidRPr="00363EA1" w:rsidRDefault="00363EA1" w:rsidP="00363EA1">
      <w:pPr>
        <w:pStyle w:val="SingleTxt"/>
        <w:spacing w:after="0" w:line="120" w:lineRule="exact"/>
        <w:rPr>
          <w:sz w:val="10"/>
        </w:rPr>
      </w:pPr>
    </w:p>
    <w:p w:rsidR="00363EA1" w:rsidRPr="00363EA1" w:rsidRDefault="00363EA1" w:rsidP="00363EA1">
      <w:pPr>
        <w:pStyle w:val="SingleTxt"/>
        <w:spacing w:after="0" w:line="120" w:lineRule="exact"/>
        <w:rPr>
          <w:sz w:val="10"/>
        </w:rPr>
      </w:pPr>
    </w:p>
    <w:p w:rsidR="00363EA1" w:rsidRPr="00363EA1" w:rsidRDefault="00363EA1" w:rsidP="00363EA1">
      <w:pPr>
        <w:pStyle w:val="SingleTxt"/>
        <w:spacing w:after="0" w:line="120" w:lineRule="exact"/>
        <w:rPr>
          <w:sz w:val="10"/>
        </w:rPr>
      </w:pPr>
    </w:p>
    <w:p w:rsidR="00363EA1" w:rsidRDefault="00363EA1" w:rsidP="00363EA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363EA1" w:rsidRPr="00363EA1" w:rsidRDefault="00363EA1" w:rsidP="00363EA1">
      <w:pPr>
        <w:pStyle w:val="SingleTxt"/>
        <w:spacing w:after="0" w:line="120" w:lineRule="exact"/>
        <w:rPr>
          <w:sz w:val="10"/>
        </w:rPr>
      </w:pPr>
    </w:p>
    <w:p w:rsidR="00363EA1" w:rsidRPr="00363EA1" w:rsidRDefault="00363EA1" w:rsidP="00363EA1">
      <w:pPr>
        <w:pStyle w:val="SingleTxt"/>
        <w:spacing w:after="0" w:line="120" w:lineRule="exact"/>
        <w:rPr>
          <w:sz w:val="10"/>
        </w:rPr>
      </w:pPr>
    </w:p>
    <w:p w:rsidR="00363EA1" w:rsidRDefault="00363EA1" w:rsidP="00363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摩洛哥</w:t>
      </w:r>
    </w:p>
    <w:p w:rsidR="00363EA1" w:rsidRPr="00363EA1" w:rsidRDefault="00363EA1" w:rsidP="00363EA1">
      <w:pPr>
        <w:pStyle w:val="SingleTxt"/>
        <w:spacing w:after="0" w:line="120" w:lineRule="exact"/>
        <w:rPr>
          <w:sz w:val="10"/>
        </w:rPr>
      </w:pPr>
    </w:p>
    <w:p w:rsidR="00363EA1" w:rsidRPr="00363EA1" w:rsidRDefault="00363EA1" w:rsidP="00363EA1">
      <w:pPr>
        <w:pStyle w:val="SingleTxt"/>
        <w:spacing w:after="0" w:line="120" w:lineRule="exact"/>
        <w:rPr>
          <w:sz w:val="10"/>
        </w:rPr>
      </w:pPr>
    </w:p>
    <w:p w:rsidR="00363EA1" w:rsidRDefault="00ED2213" w:rsidP="00363EA1">
      <w:pPr>
        <w:pStyle w:val="SingleTxt"/>
        <w:rPr>
          <w:rFonts w:hint="eastAsia"/>
        </w:rPr>
      </w:pPr>
      <w:r>
        <w:rPr>
          <w:rFonts w:hint="eastAsia"/>
        </w:rPr>
        <w:tab/>
      </w:r>
      <w:r w:rsidR="00363EA1">
        <w:rPr>
          <w:rFonts w:hint="eastAsia"/>
        </w:rPr>
        <w:t>会前工作组审查了摩洛哥第三和第四次合并定期报告</w:t>
      </w:r>
      <w:r w:rsidR="00C77FE2">
        <w:rPr>
          <w:rFonts w:hint="eastAsia"/>
        </w:rPr>
        <w:t>（</w:t>
      </w:r>
      <w:r w:rsidR="00363EA1">
        <w:rPr>
          <w:rFonts w:hint="eastAsia"/>
        </w:rPr>
        <w:t>CEDAW/C/MAR/4</w:t>
      </w:r>
      <w:r w:rsidR="00C77FE2">
        <w:rPr>
          <w:rFonts w:hint="eastAsia"/>
        </w:rPr>
        <w:t>）</w:t>
      </w:r>
      <w:r w:rsidR="00363EA1">
        <w:rPr>
          <w:rFonts w:hint="eastAsia"/>
        </w:rPr>
        <w:t>。</w:t>
      </w:r>
    </w:p>
    <w:p w:rsidR="00363EA1" w:rsidRDefault="00363EA1" w:rsidP="00363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概要</w:t>
      </w:r>
    </w:p>
    <w:p w:rsidR="00363EA1" w:rsidRPr="00363EA1" w:rsidRDefault="00363EA1" w:rsidP="00363EA1">
      <w:pPr>
        <w:pStyle w:val="SingleTxt"/>
        <w:spacing w:after="0" w:line="120" w:lineRule="exact"/>
        <w:rPr>
          <w:rFonts w:hint="eastAsia"/>
          <w:sz w:val="10"/>
        </w:rPr>
      </w:pPr>
    </w:p>
    <w:p w:rsidR="00363EA1" w:rsidRDefault="00363EA1" w:rsidP="00363EA1">
      <w:pPr>
        <w:pStyle w:val="SingleTxt"/>
        <w:rPr>
          <w:rFonts w:hint="eastAsia"/>
        </w:rPr>
      </w:pPr>
      <w:r>
        <w:rPr>
          <w:rFonts w:hint="eastAsia"/>
        </w:rPr>
        <w:t>1.</w:t>
      </w:r>
      <w:r w:rsidR="00C77FE2">
        <w:rPr>
          <w:rFonts w:hint="eastAsia"/>
        </w:rPr>
        <w:tab/>
      </w:r>
      <w:r>
        <w:rPr>
          <w:rFonts w:hint="eastAsia"/>
        </w:rPr>
        <w:t>报告指出，摩洛哥司法部于2006年3月发表公报宣布，取消对第九条第2款、第十五条第4款、第十六条第1款f项和第十六条第2款的保留；以解释性声明取代对第十六条第1款其他诸项和对第二条第2款发表的声明（第29段</w:t>
      </w:r>
      <w:r w:rsidR="00C77FE2">
        <w:rPr>
          <w:rFonts w:hint="eastAsia"/>
        </w:rPr>
        <w:t>）</w:t>
      </w:r>
      <w:r>
        <w:rPr>
          <w:rFonts w:hint="eastAsia"/>
        </w:rPr>
        <w:t>。 鉴于保留撤销书还未提交给秘书长，因此请说明撤销保留的时间。</w:t>
      </w:r>
    </w:p>
    <w:p w:rsidR="00363EA1" w:rsidRDefault="00363EA1" w:rsidP="00363EA1">
      <w:pPr>
        <w:pStyle w:val="SingleTxt"/>
        <w:rPr>
          <w:rFonts w:hint="eastAsia"/>
        </w:rPr>
      </w:pPr>
      <w:r>
        <w:rPr>
          <w:rFonts w:hint="eastAsia"/>
        </w:rPr>
        <w:t>2.</w:t>
      </w:r>
      <w:r w:rsidR="00C77FE2">
        <w:rPr>
          <w:rFonts w:hint="eastAsia"/>
        </w:rPr>
        <w:tab/>
      </w:r>
      <w:r>
        <w:rPr>
          <w:rFonts w:hint="eastAsia"/>
        </w:rPr>
        <w:t>报告表示，一个部际技术委员会正在研究加入《任择议定书》的可能性（第30段</w:t>
      </w:r>
      <w:r w:rsidR="00C77FE2">
        <w:rPr>
          <w:rFonts w:hint="eastAsia"/>
        </w:rPr>
        <w:t>）</w:t>
      </w:r>
      <w:r>
        <w:rPr>
          <w:rFonts w:hint="eastAsia"/>
        </w:rPr>
        <w:t>。请说明在这方面取得的进展以及设想加入《任择议定书》的时间。</w:t>
      </w:r>
    </w:p>
    <w:p w:rsidR="00363EA1" w:rsidRDefault="00363EA1" w:rsidP="00363EA1">
      <w:pPr>
        <w:pStyle w:val="SingleTxt"/>
        <w:rPr>
          <w:rFonts w:hint="eastAsia"/>
        </w:rPr>
      </w:pPr>
      <w:r>
        <w:rPr>
          <w:rFonts w:hint="eastAsia"/>
        </w:rPr>
        <w:t>3.</w:t>
      </w:r>
      <w:r w:rsidR="00C77FE2">
        <w:rPr>
          <w:rFonts w:hint="eastAsia"/>
        </w:rPr>
        <w:tab/>
      </w:r>
      <w:r>
        <w:rPr>
          <w:rFonts w:hint="eastAsia"/>
        </w:rPr>
        <w:t>报告表示，在编写报告过程中与政府机构、非政府组织、国际组织和联合国专门机构进行了协商（第2和第3段）。请说明报告是否已提交议会并由议会审议。</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宪法、立法和国家机构</w:t>
      </w:r>
    </w:p>
    <w:p w:rsidR="00C77FE2" w:rsidRPr="00C77FE2" w:rsidRDefault="00C77FE2" w:rsidP="00C77FE2">
      <w:pPr>
        <w:pStyle w:val="SingleTxt"/>
        <w:spacing w:after="0" w:line="120" w:lineRule="exact"/>
        <w:rPr>
          <w:rFonts w:hint="eastAsia"/>
          <w:sz w:val="10"/>
        </w:rPr>
      </w:pPr>
    </w:p>
    <w:p w:rsidR="00363EA1" w:rsidRDefault="00363EA1" w:rsidP="00363EA1">
      <w:pPr>
        <w:pStyle w:val="SingleTxt"/>
        <w:rPr>
          <w:rFonts w:hint="eastAsia"/>
        </w:rPr>
      </w:pPr>
      <w:r>
        <w:rPr>
          <w:rFonts w:hint="eastAsia"/>
        </w:rPr>
        <w:t>4.</w:t>
      </w:r>
      <w:r w:rsidR="00C77FE2">
        <w:rPr>
          <w:rFonts w:hint="eastAsia"/>
        </w:rPr>
        <w:tab/>
      </w:r>
      <w:r>
        <w:rPr>
          <w:rFonts w:hint="eastAsia"/>
        </w:rPr>
        <w:t>报告表示，“已经正式批准并在《官方公报》上发布的国际公约，一旦与国内法律发生冲突，以国际公约为准，在这方面的例证有多项最高法院的裁定”</w:t>
      </w:r>
      <w:r w:rsidR="00C77FE2">
        <w:rPr>
          <w:rFonts w:hint="eastAsia"/>
        </w:rPr>
        <w:t>（</w:t>
      </w:r>
      <w:r>
        <w:rPr>
          <w:rFonts w:hint="eastAsia"/>
        </w:rPr>
        <w:t>第32段）。请具体说明援引《公约》的法院裁定。</w:t>
      </w:r>
    </w:p>
    <w:p w:rsidR="00363EA1" w:rsidRPr="006B45B9" w:rsidRDefault="00363EA1" w:rsidP="00363EA1">
      <w:pPr>
        <w:pStyle w:val="SingleTxt"/>
        <w:rPr>
          <w:rFonts w:hint="eastAsia"/>
          <w:spacing w:val="4"/>
        </w:rPr>
      </w:pPr>
      <w:r w:rsidRPr="006B45B9">
        <w:rPr>
          <w:rFonts w:hint="eastAsia"/>
          <w:spacing w:val="4"/>
        </w:rPr>
        <w:t>5.</w:t>
      </w:r>
      <w:r w:rsidR="00C77FE2" w:rsidRPr="006B45B9">
        <w:rPr>
          <w:rFonts w:hint="eastAsia"/>
          <w:spacing w:val="4"/>
        </w:rPr>
        <w:tab/>
      </w:r>
      <w:r w:rsidRPr="006B45B9">
        <w:rPr>
          <w:rFonts w:hint="eastAsia"/>
          <w:spacing w:val="4"/>
        </w:rPr>
        <w:t>报告承认，尽管摩洛哥已经进行了各项法律改革，但是法律中还保留了一些歧视性的规定，例如：如果夫妻双方都参加了社会保险，家庭补贴只发给丈夫</w:t>
      </w:r>
      <w:r w:rsidR="00C77FE2" w:rsidRPr="006B45B9">
        <w:rPr>
          <w:rFonts w:hint="eastAsia"/>
          <w:spacing w:val="4"/>
        </w:rPr>
        <w:t>（</w:t>
      </w:r>
      <w:r w:rsidRPr="006B45B9">
        <w:rPr>
          <w:rFonts w:hint="eastAsia"/>
          <w:spacing w:val="4"/>
        </w:rPr>
        <w:t>第48段</w:t>
      </w:r>
      <w:r w:rsidR="00C77FE2" w:rsidRPr="006B45B9">
        <w:rPr>
          <w:rFonts w:hint="eastAsia"/>
          <w:spacing w:val="4"/>
        </w:rPr>
        <w:t>）</w:t>
      </w:r>
      <w:r w:rsidRPr="006B45B9">
        <w:rPr>
          <w:rFonts w:hint="eastAsia"/>
          <w:spacing w:val="4"/>
        </w:rPr>
        <w:t>。请说明对此问题及其他歧视条款进行改革的措施以及预期改革时间框架。</w:t>
      </w:r>
    </w:p>
    <w:p w:rsidR="00363EA1" w:rsidRPr="006B45B9" w:rsidRDefault="00363EA1" w:rsidP="00363EA1">
      <w:pPr>
        <w:pStyle w:val="SingleTxt"/>
        <w:rPr>
          <w:rFonts w:hint="eastAsia"/>
          <w:spacing w:val="4"/>
        </w:rPr>
      </w:pPr>
      <w:r w:rsidRPr="006B45B9">
        <w:rPr>
          <w:rFonts w:hint="eastAsia"/>
          <w:spacing w:val="4"/>
        </w:rPr>
        <w:t>6.</w:t>
      </w:r>
      <w:r w:rsidR="00C77FE2" w:rsidRPr="006B45B9">
        <w:rPr>
          <w:rFonts w:hint="eastAsia"/>
          <w:spacing w:val="4"/>
        </w:rPr>
        <w:tab/>
      </w:r>
      <w:r w:rsidRPr="006B45B9">
        <w:rPr>
          <w:rFonts w:hint="eastAsia"/>
          <w:spacing w:val="4"/>
        </w:rPr>
        <w:t>报告表示，摩洛哥一直在采取各种旨在促进人权和两性平等文化的举措，这一趋势显而易见，但这方面所作的努力受到缺乏协调、工作过于分散、财政和人力资源不足等因素的影响</w:t>
      </w:r>
      <w:r w:rsidR="00C77FE2" w:rsidRPr="006B45B9">
        <w:rPr>
          <w:rFonts w:hint="eastAsia"/>
          <w:spacing w:val="4"/>
        </w:rPr>
        <w:t>（</w:t>
      </w:r>
      <w:r w:rsidRPr="006B45B9">
        <w:rPr>
          <w:rFonts w:hint="eastAsia"/>
          <w:spacing w:val="4"/>
        </w:rPr>
        <w:t>第96</w:t>
      </w:r>
      <w:r w:rsidR="00C77FE2" w:rsidRPr="006B45B9">
        <w:rPr>
          <w:rFonts w:hint="eastAsia"/>
          <w:spacing w:val="4"/>
        </w:rPr>
        <w:t>段）</w:t>
      </w:r>
      <w:r w:rsidRPr="006B45B9">
        <w:rPr>
          <w:rFonts w:hint="eastAsia"/>
          <w:spacing w:val="4"/>
        </w:rPr>
        <w:t>。请说明为解决这些障碍而正在采取的措施，包括（从财务和人力资源两方面）加强家庭、儿童福利和残疾人事务国务秘书处，使其作为提高妇女地位的国家机构能够发挥作用，协调和巩固促进两性平等的工作。</w:t>
      </w:r>
    </w:p>
    <w:p w:rsidR="00363EA1" w:rsidRPr="006B45B9" w:rsidRDefault="00363EA1" w:rsidP="00363EA1">
      <w:pPr>
        <w:pStyle w:val="SingleTxt"/>
        <w:rPr>
          <w:rFonts w:hint="eastAsia"/>
          <w:spacing w:val="4"/>
        </w:rPr>
      </w:pPr>
      <w:r w:rsidRPr="006B45B9">
        <w:rPr>
          <w:rFonts w:hint="eastAsia"/>
          <w:spacing w:val="4"/>
        </w:rPr>
        <w:t>7.</w:t>
      </w:r>
      <w:r w:rsidR="00C77FE2" w:rsidRPr="006B45B9">
        <w:rPr>
          <w:rFonts w:hint="eastAsia"/>
          <w:spacing w:val="4"/>
        </w:rPr>
        <w:tab/>
      </w:r>
      <w:r w:rsidRPr="006B45B9">
        <w:rPr>
          <w:rFonts w:hint="eastAsia"/>
          <w:spacing w:val="4"/>
        </w:rPr>
        <w:t>报告表示，2002年12月，财政部长启动了将性别观点纳入政府预算编制与工作分析的进程，并编写了一份性别报告，附在经济和财政报告内，连同2006年财政法草案送交议会（第69段</w:t>
      </w:r>
      <w:r w:rsidR="00C77FE2" w:rsidRPr="006B45B9">
        <w:rPr>
          <w:rFonts w:hint="eastAsia"/>
          <w:spacing w:val="4"/>
        </w:rPr>
        <w:t>）</w:t>
      </w:r>
      <w:r w:rsidRPr="006B45B9">
        <w:rPr>
          <w:rFonts w:hint="eastAsia"/>
          <w:spacing w:val="4"/>
        </w:rPr>
        <w:t>。请说明性别观点是否以及如何纳入2006年财政法草案。请同时说明分配给提高妇女地位国家机构的预算比例。</w:t>
      </w:r>
    </w:p>
    <w:p w:rsidR="00363EA1" w:rsidRPr="006B45B9"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pacing w:val="4"/>
        </w:rPr>
      </w:pPr>
      <w:r w:rsidRPr="006B45B9">
        <w:rPr>
          <w:rFonts w:hint="eastAsia"/>
          <w:spacing w:val="4"/>
        </w:rPr>
        <w:tab/>
      </w:r>
      <w:r w:rsidRPr="006B45B9">
        <w:rPr>
          <w:rFonts w:hint="eastAsia"/>
          <w:spacing w:val="4"/>
        </w:rPr>
        <w:tab/>
      </w:r>
      <w:r w:rsidR="00363EA1" w:rsidRPr="006B45B9">
        <w:rPr>
          <w:rFonts w:hint="eastAsia"/>
          <w:spacing w:val="4"/>
        </w:rPr>
        <w:t>妇女参与公共生活与决策</w:t>
      </w:r>
    </w:p>
    <w:p w:rsidR="00C77FE2" w:rsidRPr="006B45B9" w:rsidRDefault="00C77FE2" w:rsidP="00C77FE2">
      <w:pPr>
        <w:pStyle w:val="SingleTxt"/>
        <w:spacing w:after="0" w:line="120" w:lineRule="exact"/>
        <w:rPr>
          <w:rFonts w:hint="eastAsia"/>
          <w:spacing w:val="4"/>
          <w:sz w:val="10"/>
        </w:rPr>
      </w:pPr>
    </w:p>
    <w:p w:rsidR="00363EA1" w:rsidRPr="006B45B9" w:rsidRDefault="00363EA1" w:rsidP="00C77FE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hint="eastAsia"/>
          <w:spacing w:val="4"/>
        </w:rPr>
      </w:pPr>
      <w:r w:rsidRPr="006B45B9">
        <w:rPr>
          <w:rFonts w:hint="eastAsia"/>
          <w:spacing w:val="4"/>
        </w:rPr>
        <w:t>8.</w:t>
      </w:r>
      <w:r w:rsidR="00C77FE2" w:rsidRPr="006B45B9">
        <w:rPr>
          <w:rFonts w:hint="eastAsia"/>
          <w:spacing w:val="4"/>
        </w:rPr>
        <w:tab/>
      </w:r>
      <w:r w:rsidRPr="006B45B9">
        <w:rPr>
          <w:rFonts w:hint="eastAsia"/>
          <w:spacing w:val="4"/>
        </w:rPr>
        <w:t>报告表示，政府引入了新制度，各政党承诺在众议院中为妇女保留10</w:t>
      </w:r>
      <w:r w:rsidR="00ED2213">
        <w:rPr>
          <w:rFonts w:hint="eastAsia"/>
          <w:spacing w:val="4"/>
        </w:rPr>
        <w:t>％</w:t>
      </w:r>
      <w:r w:rsidRPr="006B45B9">
        <w:rPr>
          <w:rFonts w:hint="eastAsia"/>
          <w:spacing w:val="4"/>
        </w:rPr>
        <w:t>的席位，从而使摩洛哥妇女的代表性从1997年的0.6</w:t>
      </w:r>
      <w:r w:rsidR="00C77FE2" w:rsidRPr="006B45B9">
        <w:rPr>
          <w:rFonts w:hint="eastAsia"/>
          <w:noProof/>
          <w:spacing w:val="4"/>
          <w:w w:val="103"/>
        </w:rPr>
        <w:t>％</w:t>
      </w:r>
      <w:r w:rsidRPr="006B45B9">
        <w:rPr>
          <w:rFonts w:hint="eastAsia"/>
          <w:spacing w:val="4"/>
        </w:rPr>
        <w:t>上升到2002年选举时的10.7</w:t>
      </w:r>
      <w:r w:rsidR="00C77FE2" w:rsidRPr="006B45B9">
        <w:rPr>
          <w:rFonts w:hint="eastAsia"/>
          <w:spacing w:val="4"/>
        </w:rPr>
        <w:t>％</w:t>
      </w:r>
      <w:r w:rsidRPr="006B45B9">
        <w:rPr>
          <w:rFonts w:hint="eastAsia"/>
          <w:spacing w:val="4"/>
        </w:rPr>
        <w:t>。现在妇女团体正在为2007年的选举努力宣传，为妇女争取30</w:t>
      </w:r>
      <w:r w:rsidR="00ED2213">
        <w:rPr>
          <w:rFonts w:hint="eastAsia"/>
          <w:spacing w:val="4"/>
        </w:rPr>
        <w:t>％</w:t>
      </w:r>
      <w:r w:rsidRPr="006B45B9">
        <w:rPr>
          <w:rFonts w:hint="eastAsia"/>
          <w:spacing w:val="4"/>
        </w:rPr>
        <w:t>的席位配额（第77和78段，第122至125段</w:t>
      </w:r>
      <w:r w:rsidR="00C77FE2" w:rsidRPr="006B45B9">
        <w:rPr>
          <w:rFonts w:hint="eastAsia"/>
          <w:spacing w:val="4"/>
        </w:rPr>
        <w:t>）</w:t>
      </w:r>
      <w:r w:rsidRPr="006B45B9">
        <w:rPr>
          <w:rFonts w:hint="eastAsia"/>
          <w:spacing w:val="4"/>
        </w:rPr>
        <w:t>。请说明为实施这些配额而采取的措施以及修订2007年《众议院组织法》的预期时间框架。</w:t>
      </w:r>
    </w:p>
    <w:p w:rsidR="00363EA1" w:rsidRPr="006B45B9" w:rsidRDefault="00363EA1" w:rsidP="00363EA1">
      <w:pPr>
        <w:pStyle w:val="SingleTxt"/>
        <w:rPr>
          <w:rFonts w:hint="eastAsia"/>
          <w:spacing w:val="4"/>
        </w:rPr>
      </w:pPr>
      <w:r w:rsidRPr="006B45B9">
        <w:rPr>
          <w:rFonts w:hint="eastAsia"/>
          <w:spacing w:val="4"/>
        </w:rPr>
        <w:t>9.</w:t>
      </w:r>
      <w:r w:rsidR="00C77FE2" w:rsidRPr="006B45B9">
        <w:rPr>
          <w:rFonts w:hint="eastAsia"/>
          <w:spacing w:val="4"/>
        </w:rPr>
        <w:tab/>
      </w:r>
      <w:r w:rsidRPr="006B45B9">
        <w:rPr>
          <w:rFonts w:hint="eastAsia"/>
          <w:spacing w:val="4"/>
        </w:rPr>
        <w:t>根据报告，在市一级并没有配额规定或政党为妇女候选人保留席位的承诺。其结果是，2003年，在市一级的当选候选人中只有0.53</w:t>
      </w:r>
      <w:r w:rsidR="00C77FE2" w:rsidRPr="006B45B9">
        <w:rPr>
          <w:rFonts w:hint="eastAsia"/>
          <w:spacing w:val="4"/>
        </w:rPr>
        <w:t>％</w:t>
      </w:r>
      <w:r w:rsidRPr="006B45B9">
        <w:rPr>
          <w:rFonts w:hint="eastAsia"/>
          <w:spacing w:val="4"/>
        </w:rPr>
        <w:t>为妇女。请说明摩洛哥为增加市一级妇女立法者人数正采取哪些措施，包括根据《公约》第四条第1款和委员会一般性建议25采取的暂行特别措施，以及预期时间框架，特别是考虑到委员会此前的结论意见（A/58/38，第165段）。</w:t>
      </w:r>
    </w:p>
    <w:p w:rsidR="00363EA1" w:rsidRPr="006B45B9" w:rsidRDefault="00363EA1" w:rsidP="00363EA1">
      <w:pPr>
        <w:pStyle w:val="SingleTxt"/>
        <w:rPr>
          <w:rFonts w:hint="eastAsia"/>
          <w:spacing w:val="4"/>
        </w:rPr>
      </w:pPr>
      <w:r w:rsidRPr="006B45B9">
        <w:rPr>
          <w:rFonts w:hint="eastAsia"/>
          <w:spacing w:val="4"/>
        </w:rPr>
        <w:t>10.</w:t>
      </w:r>
      <w:r w:rsidR="00C77FE2" w:rsidRPr="006B45B9">
        <w:rPr>
          <w:rFonts w:hint="eastAsia"/>
          <w:spacing w:val="4"/>
        </w:rPr>
        <w:tab/>
      </w:r>
      <w:r w:rsidRPr="006B45B9">
        <w:rPr>
          <w:rFonts w:hint="eastAsia"/>
          <w:spacing w:val="4"/>
        </w:rPr>
        <w:t>在此前的结论意见中，委员会呼吁缔约国根据《公约》第四条第1款和委员会一般性建议25，提高所有领域的决策职位中妇女所占比例（</w:t>
      </w:r>
      <w:r w:rsidR="00C77FE2" w:rsidRPr="006B45B9">
        <w:rPr>
          <w:rFonts w:hint="eastAsia"/>
          <w:spacing w:val="4"/>
        </w:rPr>
        <w:t>A/58/38，</w:t>
      </w:r>
      <w:r w:rsidRPr="006B45B9">
        <w:rPr>
          <w:rFonts w:hint="eastAsia"/>
          <w:spacing w:val="4"/>
        </w:rPr>
        <w:t>第165段）。然而，报告指出：“担任决策职务的妇女不仅人数相对较少，而且职务都主要集中在社会和教育领域”（第145段）。请说明为提高妇女参与决策人数而正在采取的措施，包括暂行特别措施，特别是在男子主导的领域采取的措施，以及这些措施的影响。</w:t>
      </w:r>
    </w:p>
    <w:p w:rsidR="00363EA1" w:rsidRDefault="00363EA1" w:rsidP="00363EA1">
      <w:pPr>
        <w:pStyle w:val="SingleTxt"/>
        <w:rPr>
          <w:rFonts w:hint="eastAsia"/>
        </w:rPr>
      </w:pPr>
      <w:r w:rsidRPr="006B45B9">
        <w:rPr>
          <w:rFonts w:hint="eastAsia"/>
          <w:spacing w:val="4"/>
        </w:rPr>
        <w:t>11.</w:t>
      </w:r>
      <w:r w:rsidR="00C77FE2" w:rsidRPr="006B45B9">
        <w:rPr>
          <w:rFonts w:hint="eastAsia"/>
          <w:spacing w:val="4"/>
        </w:rPr>
        <w:tab/>
      </w:r>
      <w:r w:rsidRPr="006B45B9">
        <w:rPr>
          <w:rFonts w:hint="eastAsia"/>
          <w:spacing w:val="4"/>
        </w:rPr>
        <w:t>请说明政府为增加妇女在外交领域和国际一级的人数而正在采取的措施。</w:t>
      </w:r>
    </w:p>
    <w:p w:rsidR="00363EA1" w:rsidRDefault="006B45B9"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sidR="00C77FE2">
        <w:rPr>
          <w:rFonts w:hint="eastAsia"/>
        </w:rPr>
        <w:tab/>
      </w:r>
      <w:r w:rsidR="00C77FE2">
        <w:rPr>
          <w:rFonts w:hint="eastAsia"/>
        </w:rPr>
        <w:tab/>
      </w:r>
      <w:r w:rsidR="00363EA1">
        <w:rPr>
          <w:rFonts w:hint="eastAsia"/>
        </w:rPr>
        <w:t>暴力侵害妇女行为</w:t>
      </w:r>
    </w:p>
    <w:p w:rsidR="00F50BBA" w:rsidRPr="00F50BBA" w:rsidRDefault="00F50BBA" w:rsidP="00F50BBA">
      <w:pPr>
        <w:pStyle w:val="SingleTxt"/>
        <w:spacing w:after="0" w:line="120" w:lineRule="exact"/>
        <w:rPr>
          <w:rFonts w:hint="eastAsia"/>
          <w:sz w:val="10"/>
        </w:rPr>
      </w:pPr>
    </w:p>
    <w:p w:rsidR="00363EA1" w:rsidRDefault="00363EA1" w:rsidP="00363EA1">
      <w:pPr>
        <w:pStyle w:val="SingleTxt"/>
        <w:rPr>
          <w:rFonts w:hint="eastAsia"/>
        </w:rPr>
      </w:pPr>
      <w:r>
        <w:rPr>
          <w:rFonts w:hint="eastAsia"/>
        </w:rPr>
        <w:t>12.</w:t>
      </w:r>
      <w:r w:rsidR="00C77FE2">
        <w:rPr>
          <w:rFonts w:hint="eastAsia"/>
        </w:rPr>
        <w:tab/>
      </w:r>
      <w:r>
        <w:rPr>
          <w:rFonts w:hint="eastAsia"/>
        </w:rPr>
        <w:t>报告表示，摩洛哥已指示该国所有警局每月收集关于暴力侵害妇女行为的数据和信息（第47段）。请提供过去三年收集的信息，并说明在这些案件中，有多少侵害者被起诉、被定罪以及量刑情况。</w:t>
      </w:r>
    </w:p>
    <w:p w:rsidR="00363EA1" w:rsidRDefault="00363EA1" w:rsidP="00363EA1">
      <w:pPr>
        <w:pStyle w:val="SingleTxt"/>
        <w:rPr>
          <w:rFonts w:hint="eastAsia"/>
        </w:rPr>
      </w:pPr>
      <w:r>
        <w:rPr>
          <w:rFonts w:hint="eastAsia"/>
        </w:rPr>
        <w:t>13.</w:t>
      </w:r>
      <w:r w:rsidR="00C77FE2">
        <w:rPr>
          <w:rFonts w:hint="eastAsia"/>
        </w:rPr>
        <w:tab/>
      </w:r>
      <w:r>
        <w:rPr>
          <w:rFonts w:hint="eastAsia"/>
        </w:rPr>
        <w:t>经济、社会和文化权利委员会近期对家庭暴力和性骚扰不在《刑法》所列罪行范畴表示关切，并建议将家庭暴力和工作场所中的性骚扰纳入《刑法》所列的刑事犯罪范围，对执法人员和法官进行培训，使他们了解家庭暴力的刑事性质（E/C.12/MAR/CO/3，第23和50段</w:t>
      </w:r>
      <w:r w:rsidR="00C77FE2">
        <w:rPr>
          <w:rFonts w:hint="eastAsia"/>
        </w:rPr>
        <w:t>）</w:t>
      </w:r>
      <w:r>
        <w:rPr>
          <w:rFonts w:hint="eastAsia"/>
        </w:rPr>
        <w:t>。请说明根据这些建议所采取的措施。</w:t>
      </w:r>
    </w:p>
    <w:p w:rsidR="00363EA1" w:rsidRDefault="00363EA1" w:rsidP="00363EA1">
      <w:pPr>
        <w:pStyle w:val="SingleTxt"/>
        <w:rPr>
          <w:rFonts w:hint="eastAsia"/>
        </w:rPr>
      </w:pPr>
      <w:r>
        <w:rPr>
          <w:rFonts w:hint="eastAsia"/>
        </w:rPr>
        <w:t>14.</w:t>
      </w:r>
      <w:r w:rsidR="00C77FE2">
        <w:rPr>
          <w:rFonts w:hint="eastAsia"/>
        </w:rPr>
        <w:tab/>
      </w:r>
      <w:r>
        <w:rPr>
          <w:rFonts w:hint="eastAsia"/>
        </w:rPr>
        <w:t>报告指出，2002年，摩洛哥通过了消除暴力侵害妇女行为的国家战略，在战略的四个目标中包括“将各种形式的暴力侵害妇女行为定为刑事犯罪和侵犯人权行为”（第394和398段</w:t>
      </w:r>
      <w:r w:rsidR="00C77FE2">
        <w:rPr>
          <w:rFonts w:hint="eastAsia"/>
        </w:rPr>
        <w:t>）</w:t>
      </w:r>
      <w:r>
        <w:rPr>
          <w:rFonts w:hint="eastAsia"/>
        </w:rPr>
        <w:t>。然而，2004年该战略实施计划所列的五个优先领域却并未包括将暴力侵害妇女行为定为刑事犯罪（第399和400段）。请解释这一不一致之处的原因。</w:t>
      </w:r>
    </w:p>
    <w:p w:rsidR="00363EA1" w:rsidRDefault="00363EA1" w:rsidP="00363EA1">
      <w:pPr>
        <w:pStyle w:val="SingleTxt"/>
        <w:rPr>
          <w:rFonts w:hint="eastAsia"/>
        </w:rPr>
      </w:pPr>
      <w:r>
        <w:rPr>
          <w:rFonts w:hint="eastAsia"/>
        </w:rPr>
        <w:t>15.</w:t>
      </w:r>
      <w:r w:rsidR="00C77FE2">
        <w:rPr>
          <w:rFonts w:hint="eastAsia"/>
        </w:rPr>
        <w:tab/>
      </w:r>
      <w:r>
        <w:rPr>
          <w:rFonts w:hint="eastAsia"/>
        </w:rPr>
        <w:t>根据报告，解决暴力侵害妇女问题的主要制约因素是受暴力侵害妇女收容所数量不足（第49段）。请说明为改善这种局面并建立更多收容所而正在采取的措施。还请说明政府正采取哪些步骤以支持非政府组织应对暴力侵害妇女行为问题。</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贩运人口和利用妇女卖淫营利</w:t>
      </w:r>
    </w:p>
    <w:p w:rsidR="00C77FE2" w:rsidRPr="00C77FE2" w:rsidRDefault="00C77FE2" w:rsidP="00C77FE2">
      <w:pPr>
        <w:pStyle w:val="SingleTxt"/>
        <w:spacing w:after="0" w:line="120" w:lineRule="exact"/>
        <w:rPr>
          <w:rFonts w:hint="eastAsia"/>
          <w:sz w:val="10"/>
        </w:rPr>
      </w:pPr>
    </w:p>
    <w:p w:rsidR="00363EA1" w:rsidRDefault="00363EA1" w:rsidP="00363EA1">
      <w:pPr>
        <w:pStyle w:val="SingleTxt"/>
        <w:rPr>
          <w:rFonts w:hint="eastAsia"/>
        </w:rPr>
      </w:pPr>
      <w:r>
        <w:rPr>
          <w:rFonts w:hint="eastAsia"/>
        </w:rPr>
        <w:t>16.</w:t>
      </w:r>
      <w:r w:rsidR="00C77FE2">
        <w:rPr>
          <w:rFonts w:hint="eastAsia"/>
        </w:rPr>
        <w:tab/>
      </w:r>
      <w:r>
        <w:rPr>
          <w:rFonts w:hint="eastAsia"/>
        </w:rPr>
        <w:t>报告指出，根据《刑法》，利用他人卖淫营利是刑事犯罪行为（第109段）。请提供信息说明过去三年因为利用他人卖淫营利而被逮捕、定罪的人数以及量刑情况。</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就业</w:t>
      </w:r>
    </w:p>
    <w:p w:rsidR="00C77FE2" w:rsidRPr="00C77FE2" w:rsidRDefault="00C77FE2" w:rsidP="00C77FE2">
      <w:pPr>
        <w:pStyle w:val="SingleTxt"/>
        <w:spacing w:after="0" w:line="120" w:lineRule="exact"/>
        <w:rPr>
          <w:rFonts w:hint="eastAsia"/>
          <w:sz w:val="10"/>
        </w:rPr>
      </w:pPr>
    </w:p>
    <w:p w:rsidR="00363EA1" w:rsidRDefault="00363EA1" w:rsidP="00363EA1">
      <w:pPr>
        <w:pStyle w:val="SingleTxt"/>
        <w:rPr>
          <w:rFonts w:hint="eastAsia"/>
        </w:rPr>
      </w:pPr>
      <w:r>
        <w:rPr>
          <w:rFonts w:hint="eastAsia"/>
        </w:rPr>
        <w:t>17.</w:t>
      </w:r>
      <w:r w:rsidR="00C77FE2">
        <w:rPr>
          <w:rFonts w:hint="eastAsia"/>
        </w:rPr>
        <w:tab/>
      </w:r>
      <w:r>
        <w:rPr>
          <w:rFonts w:hint="eastAsia"/>
        </w:rPr>
        <w:t>根据报告，创造就业一直是摩洛哥发展战略的重要特点，但是，促进就业的各种举措“都明显缺乏对性别平等的考虑”（第246和247段），性别观点还未充分纳入经济发展战略的主流（第292段）。当前妇女的失业率高于男子，妇女失业更多为结构性失业，而歧视妇女是就业市场中的一个普遍现象（第240段，第244和245段）。请说明在这种形势下，摩洛哥采取哪些步骤并在怎样的时间目标下把两性平等关切问题纳入就业创造与经济发展战略的主流。</w:t>
      </w:r>
    </w:p>
    <w:p w:rsidR="00363EA1" w:rsidRDefault="00363EA1" w:rsidP="00363EA1">
      <w:pPr>
        <w:pStyle w:val="SingleTxt"/>
        <w:rPr>
          <w:rFonts w:hint="eastAsia"/>
        </w:rPr>
      </w:pPr>
      <w:r>
        <w:rPr>
          <w:rFonts w:hint="eastAsia"/>
        </w:rPr>
        <w:t>18.</w:t>
      </w:r>
      <w:r w:rsidR="00C77FE2">
        <w:rPr>
          <w:rFonts w:hint="eastAsia"/>
        </w:rPr>
        <w:tab/>
      </w:r>
      <w:r>
        <w:rPr>
          <w:rFonts w:hint="eastAsia"/>
        </w:rPr>
        <w:t>报告承认，虽然《劳动法》禁止性骚扰，国家也颁布了保护家庭雇工的法律（第262和263段），但是这些措施“因为缺乏配套措施，所以未能成为消除性骚扰的有效手段”（第264段）。请说明解决工作场所性骚扰问题的各种配套措施。</w:t>
      </w:r>
    </w:p>
    <w:p w:rsidR="00363EA1" w:rsidRDefault="00363EA1" w:rsidP="00363EA1">
      <w:pPr>
        <w:pStyle w:val="SingleTxt"/>
        <w:rPr>
          <w:rFonts w:hint="eastAsia"/>
        </w:rPr>
      </w:pPr>
      <w:r>
        <w:rPr>
          <w:rFonts w:hint="eastAsia"/>
        </w:rPr>
        <w:t>19.</w:t>
      </w:r>
      <w:r w:rsidR="00C77FE2">
        <w:rPr>
          <w:rFonts w:hint="eastAsia"/>
        </w:rPr>
        <w:tab/>
      </w:r>
      <w:r>
        <w:rPr>
          <w:rFonts w:hint="eastAsia"/>
        </w:rPr>
        <w:t>报告表示，“主要由于文化因素，两性在使用资源、信贷和资本方面的不平等依然很突出”，由妇女建立的企业在融资时受到多种贷款条件限制（第295段</w:t>
      </w:r>
      <w:r w:rsidR="00C77FE2">
        <w:rPr>
          <w:rFonts w:hint="eastAsia"/>
        </w:rPr>
        <w:t>）</w:t>
      </w:r>
      <w:r>
        <w:rPr>
          <w:rFonts w:hint="eastAsia"/>
        </w:rPr>
        <w:t>。委员会在此前的结论意见中建议缔约国确保妇女平等获得贷款及其它形式的金融支持</w:t>
      </w:r>
      <w:r w:rsidR="00ED2213">
        <w:rPr>
          <w:rFonts w:hint="eastAsia"/>
        </w:rPr>
        <w:t>（</w:t>
      </w:r>
      <w:r>
        <w:rPr>
          <w:rFonts w:hint="eastAsia"/>
        </w:rPr>
        <w:t>A/58/38</w:t>
      </w:r>
      <w:r w:rsidR="00C77FE2">
        <w:rPr>
          <w:rFonts w:hint="eastAsia"/>
        </w:rPr>
        <w:t>，</w:t>
      </w:r>
      <w:r>
        <w:rPr>
          <w:rFonts w:hint="eastAsia"/>
        </w:rPr>
        <w:t>第175段</w:t>
      </w:r>
      <w:r w:rsidR="00ED2213">
        <w:rPr>
          <w:rFonts w:hint="eastAsia"/>
        </w:rPr>
        <w:t>）</w:t>
      </w:r>
      <w:r>
        <w:rPr>
          <w:rFonts w:hint="eastAsia"/>
        </w:rPr>
        <w:t>。请说明摩洛哥正采取哪些措施，便利妇女获得信贷和低息贷款。</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教育和陈规定型观念</w:t>
      </w:r>
    </w:p>
    <w:p w:rsidR="00C77FE2" w:rsidRPr="00C77FE2" w:rsidRDefault="00C77FE2" w:rsidP="00C77FE2">
      <w:pPr>
        <w:pStyle w:val="SingleTxt"/>
        <w:spacing w:after="0" w:line="120" w:lineRule="exact"/>
        <w:rPr>
          <w:rFonts w:hint="eastAsia"/>
          <w:sz w:val="10"/>
        </w:rPr>
      </w:pPr>
    </w:p>
    <w:p w:rsidR="00363EA1" w:rsidRDefault="00363EA1" w:rsidP="00363EA1">
      <w:pPr>
        <w:pStyle w:val="SingleTxt"/>
        <w:rPr>
          <w:rFonts w:hint="eastAsia"/>
        </w:rPr>
      </w:pPr>
      <w:r>
        <w:rPr>
          <w:rFonts w:hint="eastAsia"/>
        </w:rPr>
        <w:t>20.</w:t>
      </w:r>
      <w:r w:rsidR="00C77FE2">
        <w:rPr>
          <w:rFonts w:hint="eastAsia"/>
        </w:rPr>
        <w:tab/>
      </w:r>
      <w:r>
        <w:rPr>
          <w:rFonts w:hint="eastAsia"/>
        </w:rPr>
        <w:t>报告指出，摩洛哥妇女，特别是农村妇女的低识字率是实现两性平等的一大障碍（第49段）。由于扫盲政策和方案的设计者之间缺乏协调，影响了这些政策和方案的效果，以致许多扫盲项目都止步于试验阶段（第198段）。请说明摩洛哥正采取哪些措施来协调提高妇女识字率的政策和方案，增强它们的效果。</w:t>
      </w:r>
    </w:p>
    <w:p w:rsidR="00363EA1" w:rsidRDefault="00363EA1" w:rsidP="00363EA1">
      <w:pPr>
        <w:pStyle w:val="SingleTxt"/>
        <w:rPr>
          <w:rFonts w:hint="eastAsia"/>
        </w:rPr>
      </w:pPr>
      <w:r>
        <w:rPr>
          <w:rFonts w:hint="eastAsia"/>
        </w:rPr>
        <w:t>21.</w:t>
      </w:r>
      <w:r w:rsidR="00C77FE2">
        <w:rPr>
          <w:rFonts w:hint="eastAsia"/>
        </w:rPr>
        <w:tab/>
      </w:r>
      <w:r>
        <w:rPr>
          <w:rFonts w:hint="eastAsia"/>
        </w:rPr>
        <w:t>报告指出，1997年，国家对120种教科书进行了分析，发现其中含有性别歧视的内容（第81段）。请说明这些教科书是否已经修改，是否删除了有关性别的陈旧定型观念，并说明摩洛哥采取了哪些措施，确保学校的教科书与课程设置不再反映关于男女角色方面的陈旧定型观念。</w:t>
      </w:r>
    </w:p>
    <w:p w:rsidR="00363EA1" w:rsidRDefault="00363EA1" w:rsidP="00363EA1">
      <w:pPr>
        <w:pStyle w:val="SingleTxt"/>
        <w:rPr>
          <w:rFonts w:hint="eastAsia"/>
        </w:rPr>
      </w:pPr>
      <w:r>
        <w:rPr>
          <w:rFonts w:hint="eastAsia"/>
        </w:rPr>
        <w:t>22.</w:t>
      </w:r>
      <w:r w:rsidR="00C77FE2">
        <w:rPr>
          <w:rFonts w:hint="eastAsia"/>
        </w:rPr>
        <w:tab/>
      </w:r>
      <w:r>
        <w:rPr>
          <w:rFonts w:hint="eastAsia"/>
        </w:rPr>
        <w:t>报告表示，女孩受教育的领域多“为家庭范畴的延伸”，是“劳动力市场上不热门的技能”（第201段）。请说明摩洛哥订立了哪些战略和目标，用以提高非传统学习领域女性学生的人数，如：工业领域和科学领域，并说明这些战略的影响。</w:t>
      </w:r>
    </w:p>
    <w:p w:rsidR="00363EA1" w:rsidRDefault="00363EA1" w:rsidP="00363EA1">
      <w:pPr>
        <w:pStyle w:val="SingleTxt"/>
        <w:rPr>
          <w:rFonts w:hint="eastAsia"/>
        </w:rPr>
      </w:pPr>
      <w:r>
        <w:rPr>
          <w:rFonts w:hint="eastAsia"/>
        </w:rPr>
        <w:t>23.</w:t>
      </w:r>
      <w:r w:rsidR="00C77FE2">
        <w:rPr>
          <w:rFonts w:hint="eastAsia"/>
        </w:rPr>
        <w:tab/>
      </w:r>
      <w:r>
        <w:rPr>
          <w:rFonts w:hint="eastAsia"/>
        </w:rPr>
        <w:t>请提供更多准确信息，说明大学中妇女与男子的人数，按学科分列，包括妇女学生及妇女教职工人数。</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卫生保健</w:t>
      </w:r>
    </w:p>
    <w:p w:rsidR="00F50BBA" w:rsidRPr="00F50BBA" w:rsidRDefault="00F50BBA" w:rsidP="00F50BBA">
      <w:pPr>
        <w:pStyle w:val="SingleTxt"/>
        <w:spacing w:after="0" w:line="120" w:lineRule="exact"/>
        <w:rPr>
          <w:rFonts w:hint="eastAsia"/>
          <w:sz w:val="10"/>
        </w:rPr>
      </w:pPr>
    </w:p>
    <w:p w:rsidR="00363EA1" w:rsidRDefault="00363EA1" w:rsidP="00363EA1">
      <w:pPr>
        <w:pStyle w:val="SingleTxt"/>
        <w:rPr>
          <w:rFonts w:hint="eastAsia"/>
        </w:rPr>
      </w:pPr>
      <w:r>
        <w:rPr>
          <w:rFonts w:hint="eastAsia"/>
        </w:rPr>
        <w:t>24.</w:t>
      </w:r>
      <w:r w:rsidR="00C77FE2">
        <w:rPr>
          <w:rFonts w:hint="eastAsia"/>
        </w:rPr>
        <w:tab/>
      </w:r>
      <w:r>
        <w:rPr>
          <w:rFonts w:hint="eastAsia"/>
        </w:rPr>
        <w:t>报告表示，2004年，妇女占所有据报艾滋病毒/艾滋病病例的38</w:t>
      </w:r>
      <w:r w:rsidR="00C77FE2">
        <w:rPr>
          <w:rFonts w:hint="eastAsia"/>
        </w:rPr>
        <w:t>％</w:t>
      </w:r>
      <w:r>
        <w:rPr>
          <w:rFonts w:hint="eastAsia"/>
        </w:rPr>
        <w:t>（第284段）。请说明当前应对艾滋病毒/艾滋病的方案是否结合了两性观点，是否有特别针对妇女的预防措施。</w:t>
      </w:r>
    </w:p>
    <w:p w:rsidR="00363EA1" w:rsidRDefault="00363EA1" w:rsidP="00363EA1">
      <w:pPr>
        <w:pStyle w:val="SingleTxt"/>
        <w:rPr>
          <w:rFonts w:hint="eastAsia"/>
        </w:rPr>
      </w:pPr>
      <w:r>
        <w:rPr>
          <w:rFonts w:hint="eastAsia"/>
        </w:rPr>
        <w:t>25.</w:t>
      </w:r>
      <w:r w:rsidR="00C77FE2">
        <w:rPr>
          <w:rFonts w:hint="eastAsia"/>
        </w:rPr>
        <w:tab/>
      </w:r>
      <w:r>
        <w:rPr>
          <w:rFonts w:hint="eastAsia"/>
        </w:rPr>
        <w:t>委员会在此前的结论意见中对医疗设施不足、农村妇女缺乏医疗服务表示关切（A/58/38</w:t>
      </w:r>
      <w:r w:rsidR="00C77FE2">
        <w:rPr>
          <w:rFonts w:hint="eastAsia"/>
        </w:rPr>
        <w:t>，</w:t>
      </w:r>
      <w:r>
        <w:rPr>
          <w:rFonts w:hint="eastAsia"/>
        </w:rPr>
        <w:t>第172段）。然而，报告未就医疗设施的数量，特别是农村及边远地区的设施数量以及妇女获得医疗服务的状况提供充分信息。请提供这方面信息。</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婚姻与家庭关系</w:t>
      </w:r>
    </w:p>
    <w:p w:rsidR="00F50BBA" w:rsidRPr="00F50BBA" w:rsidRDefault="00F50BBA" w:rsidP="00F50BBA">
      <w:pPr>
        <w:pStyle w:val="SingleTxt"/>
        <w:spacing w:after="0" w:line="120" w:lineRule="exact"/>
        <w:rPr>
          <w:rFonts w:hint="eastAsia"/>
          <w:sz w:val="10"/>
        </w:rPr>
      </w:pPr>
    </w:p>
    <w:p w:rsidR="00363EA1" w:rsidRDefault="00363EA1" w:rsidP="00363EA1">
      <w:pPr>
        <w:pStyle w:val="SingleTxt"/>
        <w:rPr>
          <w:rFonts w:hint="eastAsia"/>
        </w:rPr>
      </w:pPr>
      <w:r>
        <w:rPr>
          <w:rFonts w:hint="eastAsia"/>
        </w:rPr>
        <w:t>26.</w:t>
      </w:r>
      <w:r w:rsidR="00C77FE2">
        <w:rPr>
          <w:rFonts w:hint="eastAsia"/>
        </w:rPr>
        <w:tab/>
      </w:r>
      <w:r>
        <w:rPr>
          <w:rFonts w:hint="eastAsia"/>
        </w:rPr>
        <w:t>报告表示，宗教和伊斯兰事务部发布了星期五在清真寺布道的准则，其中更重视人的尊严和节制（第93段</w:t>
      </w:r>
      <w:r w:rsidR="00C77FE2">
        <w:rPr>
          <w:rFonts w:hint="eastAsia"/>
        </w:rPr>
        <w:t>）</w:t>
      </w:r>
      <w:r>
        <w:rPr>
          <w:rFonts w:hint="eastAsia"/>
        </w:rPr>
        <w:t>。请说明这些准则以及宗教和伊斯兰事务部其它举措是否注重性别平等与非歧视，特别是该事务部是否支持新的家庭法，是否利用星期五的布道向妇女宣传家庭法中规定的妇女权利。</w:t>
      </w:r>
    </w:p>
    <w:p w:rsidR="00363EA1" w:rsidRDefault="00363EA1" w:rsidP="00363EA1">
      <w:pPr>
        <w:pStyle w:val="SingleTxt"/>
        <w:rPr>
          <w:rFonts w:hint="eastAsia"/>
        </w:rPr>
      </w:pPr>
      <w:r>
        <w:rPr>
          <w:rFonts w:hint="eastAsia"/>
        </w:rPr>
        <w:t>27.</w:t>
      </w:r>
      <w:r w:rsidR="00C77FE2">
        <w:rPr>
          <w:rFonts w:hint="eastAsia"/>
        </w:rPr>
        <w:tab/>
      </w:r>
      <w:r>
        <w:rPr>
          <w:rFonts w:hint="eastAsia"/>
        </w:rPr>
        <w:t>法律禁止伊斯兰妇女与非伊斯兰男子通婚，新家庭法未禁止一夫多妻制，人权事务委员会对此表示关切，建议对适用法律进行修订</w:t>
      </w:r>
      <w:r w:rsidR="00C77FE2">
        <w:rPr>
          <w:rFonts w:hint="eastAsia"/>
        </w:rPr>
        <w:t>（</w:t>
      </w:r>
      <w:r>
        <w:rPr>
          <w:rFonts w:hint="eastAsia"/>
        </w:rPr>
        <w:t>CCPR/CO/82/MAR，第27段</w:t>
      </w:r>
      <w:r w:rsidR="00C77FE2">
        <w:rPr>
          <w:rFonts w:hint="eastAsia"/>
        </w:rPr>
        <w:t>）</w:t>
      </w:r>
      <w:r>
        <w:rPr>
          <w:rFonts w:hint="eastAsia"/>
        </w:rPr>
        <w:t>。请说明在这方面正采取的措施以及设想修订相关法律的时间。</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农村妇女</w:t>
      </w:r>
    </w:p>
    <w:p w:rsidR="00C77FE2" w:rsidRPr="00C77FE2" w:rsidRDefault="00C77FE2" w:rsidP="00C77FE2">
      <w:pPr>
        <w:pStyle w:val="SingleTxt"/>
        <w:spacing w:after="0" w:line="120" w:lineRule="exact"/>
        <w:rPr>
          <w:rFonts w:hint="eastAsia"/>
          <w:sz w:val="10"/>
        </w:rPr>
      </w:pPr>
    </w:p>
    <w:p w:rsidR="00363EA1" w:rsidRDefault="00363EA1" w:rsidP="00363EA1">
      <w:pPr>
        <w:pStyle w:val="SingleTxt"/>
        <w:rPr>
          <w:rFonts w:hint="eastAsia"/>
        </w:rPr>
      </w:pPr>
      <w:r>
        <w:rPr>
          <w:rFonts w:hint="eastAsia"/>
        </w:rPr>
        <w:t>28.</w:t>
      </w:r>
      <w:r w:rsidR="00C77FE2">
        <w:rPr>
          <w:rFonts w:hint="eastAsia"/>
        </w:rPr>
        <w:tab/>
      </w:r>
      <w:r>
        <w:rPr>
          <w:rFonts w:hint="eastAsia"/>
        </w:rPr>
        <w:t>报告表示，在报告提交时，摩洛哥正在拟定一项行动计划，旨在将两性平等方针纳入农业及农村发展的政策、方案和项目（第310段）。请说明行动计划的状况以及有时间框架的惠及农村妇女的目标。</w:t>
      </w:r>
    </w:p>
    <w:p w:rsidR="00363EA1" w:rsidRDefault="00C77FE2" w:rsidP="00C77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363EA1">
        <w:rPr>
          <w:rFonts w:hint="eastAsia"/>
        </w:rPr>
        <w:t>第二十条第1款</w:t>
      </w:r>
    </w:p>
    <w:p w:rsidR="004113D1" w:rsidRPr="004113D1" w:rsidRDefault="004113D1" w:rsidP="004113D1">
      <w:pPr>
        <w:pStyle w:val="SingleTxt"/>
        <w:spacing w:after="0" w:line="120" w:lineRule="exact"/>
        <w:rPr>
          <w:rFonts w:hint="eastAsia"/>
          <w:sz w:val="10"/>
        </w:rPr>
      </w:pPr>
    </w:p>
    <w:p w:rsidR="00EA31C3" w:rsidRDefault="00363EA1" w:rsidP="00363EA1">
      <w:pPr>
        <w:pStyle w:val="SingleTxt"/>
        <w:rPr>
          <w:rFonts w:hint="eastAsia"/>
        </w:rPr>
      </w:pPr>
      <w:r>
        <w:rPr>
          <w:rFonts w:hint="eastAsia"/>
        </w:rPr>
        <w:t>29.</w:t>
      </w:r>
      <w:r w:rsidR="00C77FE2">
        <w:rPr>
          <w:rFonts w:hint="eastAsia"/>
        </w:rPr>
        <w:tab/>
      </w:r>
      <w:r>
        <w:rPr>
          <w:rFonts w:hint="eastAsia"/>
        </w:rPr>
        <w:t>请说明缔约国打算何时接受《公约》第二十条第1段有关委员会会议时间的修正。</w:t>
      </w:r>
    </w:p>
    <w:p w:rsidR="00C77FE2" w:rsidRPr="00C77FE2" w:rsidRDefault="00C77FE2" w:rsidP="00C77FE2">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77FE2" w:rsidRPr="00C77FE2" w:rsidSect="00B357EB">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7:34:00Z" w:initials="Start">
    <w:p w:rsidR="00AC6F2B" w:rsidRDefault="00AC6F2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224FA7">
        <w:fldChar w:fldCharType="separate"/>
      </w:r>
      <w:r w:rsidR="00224FA7">
        <w:rPr>
          <w:rFonts w:hint="eastAsia"/>
          <w:noProof/>
        </w:rPr>
        <w:t xml:space="preserve">页: </w:t>
      </w:r>
      <w:r w:rsidR="00224FA7">
        <w:rPr>
          <w:noProof/>
        </w:rPr>
        <w:t>1</w:t>
      </w:r>
      <w:r w:rsidR="00224FA7">
        <w:rPr>
          <w:rFonts w:hint="eastAsia"/>
          <w:noProof/>
        </w:rPr>
        <w:br/>
      </w:r>
      <w:r>
        <w:fldChar w:fldCharType="end"/>
      </w:r>
      <w:r>
        <w:rPr>
          <w:rStyle w:val="CommentReference"/>
        </w:rPr>
        <w:annotationRef/>
      </w:r>
      <w:r>
        <w:t>&lt;&lt;ODS JOB NO&gt;&gt;N0746364C&lt;&lt;ODS JOB NO&gt;&gt;</w:t>
      </w:r>
    </w:p>
    <w:p w:rsidR="00AC6F2B" w:rsidRDefault="00AC6F2B">
      <w:pPr>
        <w:pStyle w:val="CommentText"/>
      </w:pPr>
      <w:r>
        <w:t>&lt;&lt;ODS DOC SYMBOL1&gt;&gt;CEDAW/C/MAR/Q/4&lt;&lt;ODS DOC SYMBOL1&gt;&gt;</w:t>
      </w:r>
    </w:p>
    <w:p w:rsidR="00AC6F2B" w:rsidRDefault="00AC6F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5AF" w:rsidRDefault="00C555AF" w:rsidP="00B357EB">
      <w:r>
        <w:separator/>
      </w:r>
    </w:p>
  </w:endnote>
  <w:endnote w:type="continuationSeparator" w:id="0">
    <w:p w:rsidR="00C555AF" w:rsidRDefault="00C555AF" w:rsidP="00B3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6F2B" w:rsidTr="00B357EB">
      <w:tblPrEx>
        <w:tblCellMar>
          <w:top w:w="0" w:type="dxa"/>
          <w:bottom w:w="0" w:type="dxa"/>
        </w:tblCellMar>
      </w:tblPrEx>
      <w:tc>
        <w:tcPr>
          <w:tcW w:w="5033" w:type="dxa"/>
          <w:shd w:val="clear" w:color="auto" w:fill="auto"/>
        </w:tcPr>
        <w:p w:rsidR="00AC6F2B" w:rsidRPr="00B357EB" w:rsidRDefault="00AC6F2B" w:rsidP="00B357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4FA7">
            <w:rPr>
              <w:b w:val="0"/>
              <w:w w:val="103"/>
              <w:sz w:val="14"/>
            </w:rPr>
            <w:t>07-46364</w:t>
          </w:r>
          <w:r>
            <w:rPr>
              <w:b w:val="0"/>
              <w:w w:val="103"/>
              <w:sz w:val="14"/>
            </w:rPr>
            <w:fldChar w:fldCharType="end"/>
          </w:r>
        </w:p>
      </w:tc>
      <w:tc>
        <w:tcPr>
          <w:tcW w:w="5033" w:type="dxa"/>
          <w:shd w:val="clear" w:color="auto" w:fill="auto"/>
        </w:tcPr>
        <w:p w:rsidR="00AC6F2B" w:rsidRPr="00B357EB" w:rsidRDefault="00AC6F2B" w:rsidP="00B357EB">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24FA7">
            <w:rPr>
              <w:w w:val="103"/>
              <w:sz w:val="17"/>
            </w:rPr>
            <w:t>1</w:t>
          </w:r>
          <w:r>
            <w:rPr>
              <w:w w:val="103"/>
              <w:sz w:val="17"/>
            </w:rPr>
            <w:fldChar w:fldCharType="end"/>
          </w:r>
        </w:p>
      </w:tc>
    </w:tr>
  </w:tbl>
  <w:p w:rsidR="00AC6F2B" w:rsidRPr="00B357EB" w:rsidRDefault="00AC6F2B" w:rsidP="00B357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6F2B" w:rsidTr="00B357EB">
      <w:tblPrEx>
        <w:tblCellMar>
          <w:top w:w="0" w:type="dxa"/>
          <w:bottom w:w="0" w:type="dxa"/>
        </w:tblCellMar>
      </w:tblPrEx>
      <w:tc>
        <w:tcPr>
          <w:tcW w:w="5033" w:type="dxa"/>
          <w:shd w:val="clear" w:color="auto" w:fill="auto"/>
        </w:tcPr>
        <w:p w:rsidR="00AC6F2B" w:rsidRPr="00B357EB" w:rsidRDefault="00AC6F2B" w:rsidP="00B357EB">
          <w:pPr>
            <w:pStyle w:val="Footer"/>
            <w:jc w:val="right"/>
          </w:pPr>
          <w:r>
            <w:fldChar w:fldCharType="begin"/>
          </w:r>
          <w:r>
            <w:instrText xml:space="preserve"> PAGE  \* MERGEFORMAT </w:instrText>
          </w:r>
          <w:r>
            <w:fldChar w:fldCharType="separate"/>
          </w:r>
          <w:r w:rsidR="00224FA7">
            <w:t>1</w:t>
          </w:r>
          <w:r>
            <w:fldChar w:fldCharType="end"/>
          </w:r>
        </w:p>
      </w:tc>
      <w:tc>
        <w:tcPr>
          <w:tcW w:w="5033" w:type="dxa"/>
          <w:shd w:val="clear" w:color="auto" w:fill="auto"/>
        </w:tcPr>
        <w:p w:rsidR="00AC6F2B" w:rsidRPr="00B357EB" w:rsidRDefault="00AC6F2B" w:rsidP="00B357EB">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4FA7">
            <w:rPr>
              <w:b w:val="0"/>
              <w:w w:val="103"/>
              <w:sz w:val="14"/>
            </w:rPr>
            <w:t>07-46364</w:t>
          </w:r>
          <w:r>
            <w:rPr>
              <w:b w:val="0"/>
              <w:w w:val="103"/>
              <w:sz w:val="14"/>
            </w:rPr>
            <w:fldChar w:fldCharType="end"/>
          </w:r>
        </w:p>
      </w:tc>
    </w:tr>
  </w:tbl>
  <w:p w:rsidR="00AC6F2B" w:rsidRPr="00B357EB" w:rsidRDefault="00AC6F2B" w:rsidP="00B357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F2B" w:rsidRDefault="00AC6F2B" w:rsidP="00B357E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24FA7">
      <w:rPr>
        <w:b w:val="0"/>
        <w:sz w:val="21"/>
      </w:rPr>
      <w:t>07-46364 (C)</w:t>
    </w:r>
    <w:r>
      <w:rPr>
        <w:b w:val="0"/>
        <w:sz w:val="21"/>
      </w:rPr>
      <w:fldChar w:fldCharType="end"/>
    </w:r>
    <w:r>
      <w:rPr>
        <w:b w:val="0"/>
        <w:sz w:val="21"/>
      </w:rPr>
      <w:t xml:space="preserve">    </w:t>
    </w:r>
    <w:r>
      <w:rPr>
        <w:rFonts w:hint="eastAsia"/>
        <w:b w:val="0"/>
        <w:sz w:val="21"/>
      </w:rPr>
      <w:t>3108</w:t>
    </w:r>
    <w:r>
      <w:rPr>
        <w:b w:val="0"/>
        <w:sz w:val="21"/>
      </w:rPr>
      <w:t>07    0</w:t>
    </w:r>
    <w:r>
      <w:rPr>
        <w:rFonts w:hint="eastAsia"/>
        <w:b w:val="0"/>
        <w:sz w:val="21"/>
      </w:rPr>
      <w:t>5</w:t>
    </w:r>
    <w:r>
      <w:rPr>
        <w:b w:val="0"/>
        <w:sz w:val="21"/>
      </w:rPr>
      <w:t>0907</w:t>
    </w:r>
  </w:p>
  <w:p w:rsidR="00AC6F2B" w:rsidRPr="00B357EB" w:rsidRDefault="00AC6F2B" w:rsidP="00B357EB">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24FA7">
      <w:rPr>
        <w:rFonts w:ascii="Barcode 3 of 9 by request" w:hAnsi="Barcode 3 of 9 by request"/>
        <w:sz w:val="24"/>
      </w:rPr>
      <w:t>*0746364*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5AF" w:rsidRDefault="00C555AF" w:rsidP="00B357EB">
      <w:r>
        <w:separator/>
      </w:r>
    </w:p>
  </w:footnote>
  <w:footnote w:type="continuationSeparator" w:id="0">
    <w:p w:rsidR="00C555AF" w:rsidRDefault="00C555AF" w:rsidP="00B35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6F2B" w:rsidTr="00B357EB">
      <w:tblPrEx>
        <w:tblCellMar>
          <w:top w:w="0" w:type="dxa"/>
          <w:bottom w:w="0" w:type="dxa"/>
        </w:tblCellMar>
      </w:tblPrEx>
      <w:trPr>
        <w:trHeight w:hRule="exact" w:val="864"/>
      </w:trPr>
      <w:tc>
        <w:tcPr>
          <w:tcW w:w="4838" w:type="dxa"/>
          <w:shd w:val="clear" w:color="auto" w:fill="auto"/>
          <w:vAlign w:val="bottom"/>
        </w:tcPr>
        <w:p w:rsidR="00AC6F2B" w:rsidRPr="00B357EB" w:rsidRDefault="00AC6F2B" w:rsidP="00B357E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24FA7">
            <w:rPr>
              <w:b/>
              <w:sz w:val="17"/>
            </w:rPr>
            <w:t>CEDAW/C/MAR/Q/4</w:t>
          </w:r>
          <w:r>
            <w:rPr>
              <w:b/>
              <w:sz w:val="17"/>
            </w:rPr>
            <w:fldChar w:fldCharType="end"/>
          </w:r>
        </w:p>
      </w:tc>
      <w:tc>
        <w:tcPr>
          <w:tcW w:w="5033" w:type="dxa"/>
          <w:shd w:val="clear" w:color="auto" w:fill="auto"/>
          <w:vAlign w:val="bottom"/>
        </w:tcPr>
        <w:p w:rsidR="00AC6F2B" w:rsidRDefault="00AC6F2B" w:rsidP="00B357EB">
          <w:pPr>
            <w:pStyle w:val="Header"/>
          </w:pPr>
        </w:p>
      </w:tc>
    </w:tr>
  </w:tbl>
  <w:p w:rsidR="00AC6F2B" w:rsidRPr="00B357EB" w:rsidRDefault="00AC6F2B" w:rsidP="00B357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6F2B" w:rsidTr="00B357EB">
      <w:tblPrEx>
        <w:tblCellMar>
          <w:top w:w="0" w:type="dxa"/>
          <w:bottom w:w="0" w:type="dxa"/>
        </w:tblCellMar>
      </w:tblPrEx>
      <w:trPr>
        <w:trHeight w:hRule="exact" w:val="864"/>
      </w:trPr>
      <w:tc>
        <w:tcPr>
          <w:tcW w:w="4838" w:type="dxa"/>
          <w:shd w:val="clear" w:color="auto" w:fill="auto"/>
          <w:vAlign w:val="bottom"/>
        </w:tcPr>
        <w:p w:rsidR="00AC6F2B" w:rsidRDefault="00AC6F2B" w:rsidP="00B357EB">
          <w:pPr>
            <w:pStyle w:val="Header"/>
          </w:pPr>
        </w:p>
      </w:tc>
      <w:tc>
        <w:tcPr>
          <w:tcW w:w="5033" w:type="dxa"/>
          <w:shd w:val="clear" w:color="auto" w:fill="auto"/>
          <w:vAlign w:val="bottom"/>
        </w:tcPr>
        <w:p w:rsidR="00AC6F2B" w:rsidRPr="00B357EB" w:rsidRDefault="00AC6F2B" w:rsidP="00B357E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24FA7">
            <w:rPr>
              <w:b/>
              <w:sz w:val="17"/>
            </w:rPr>
            <w:t>CEDAW/C/MAR/Q/4</w:t>
          </w:r>
          <w:r>
            <w:rPr>
              <w:b/>
              <w:sz w:val="17"/>
            </w:rPr>
            <w:fldChar w:fldCharType="end"/>
          </w:r>
        </w:p>
      </w:tc>
    </w:tr>
  </w:tbl>
  <w:p w:rsidR="00AC6F2B" w:rsidRPr="00B357EB" w:rsidRDefault="00AC6F2B" w:rsidP="00B357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C6F2B" w:rsidTr="00B357E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6F2B" w:rsidRDefault="00AC6F2B" w:rsidP="00B357EB">
          <w:pPr>
            <w:pStyle w:val="Header"/>
            <w:spacing w:after="120"/>
          </w:pPr>
        </w:p>
      </w:tc>
      <w:tc>
        <w:tcPr>
          <w:tcW w:w="1872" w:type="dxa"/>
          <w:tcBorders>
            <w:bottom w:val="single" w:sz="4" w:space="0" w:color="auto"/>
          </w:tcBorders>
          <w:shd w:val="clear" w:color="auto" w:fill="auto"/>
          <w:vAlign w:val="bottom"/>
        </w:tcPr>
        <w:p w:rsidR="00AC6F2B" w:rsidRPr="00B357EB" w:rsidRDefault="00AC6F2B" w:rsidP="00B357E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C6F2B" w:rsidRDefault="00AC6F2B" w:rsidP="00B357EB">
          <w:pPr>
            <w:pStyle w:val="Header"/>
            <w:spacing w:after="120"/>
          </w:pPr>
        </w:p>
      </w:tc>
      <w:tc>
        <w:tcPr>
          <w:tcW w:w="6523" w:type="dxa"/>
          <w:gridSpan w:val="3"/>
          <w:tcBorders>
            <w:bottom w:val="single" w:sz="4" w:space="0" w:color="auto"/>
          </w:tcBorders>
          <w:shd w:val="clear" w:color="auto" w:fill="auto"/>
          <w:vAlign w:val="bottom"/>
        </w:tcPr>
        <w:p w:rsidR="00AC6F2B" w:rsidRPr="00B357EB" w:rsidRDefault="00AC6F2B" w:rsidP="00B357EB">
          <w:pPr>
            <w:spacing w:after="80" w:line="240" w:lineRule="auto"/>
            <w:jc w:val="right"/>
            <w:rPr>
              <w:rFonts w:ascii="Times New Roman"/>
              <w:position w:val="-4"/>
            </w:rPr>
          </w:pPr>
          <w:r>
            <w:rPr>
              <w:rFonts w:ascii="Times New Roman"/>
              <w:position w:val="-4"/>
              <w:sz w:val="40"/>
            </w:rPr>
            <w:t>CEDAW</w:t>
          </w:r>
          <w:r>
            <w:rPr>
              <w:rFonts w:ascii="Times New Roman"/>
              <w:position w:val="-4"/>
            </w:rPr>
            <w:t>/C/MAR/Q/4</w:t>
          </w:r>
        </w:p>
      </w:tc>
    </w:tr>
    <w:tr w:rsidR="00AC6F2B" w:rsidRPr="00B357EB" w:rsidTr="00B357E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6F2B" w:rsidRDefault="00AC6F2B" w:rsidP="00B357E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6F2B" w:rsidRPr="00B357EB" w:rsidRDefault="00AC6F2B" w:rsidP="00B357EB">
          <w:pPr>
            <w:pStyle w:val="Header"/>
            <w:spacing w:before="109"/>
            <w:ind w:left="-72"/>
          </w:pPr>
        </w:p>
      </w:tc>
      <w:tc>
        <w:tcPr>
          <w:tcW w:w="5227" w:type="dxa"/>
          <w:gridSpan w:val="3"/>
          <w:tcBorders>
            <w:top w:val="single" w:sz="4" w:space="0" w:color="auto"/>
            <w:bottom w:val="single" w:sz="12" w:space="0" w:color="auto"/>
          </w:tcBorders>
          <w:shd w:val="clear" w:color="auto" w:fill="auto"/>
        </w:tcPr>
        <w:p w:rsidR="00AC6F2B" w:rsidRPr="00B357EB" w:rsidRDefault="00AC6F2B" w:rsidP="00B357E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C6F2B" w:rsidRPr="00B357EB" w:rsidRDefault="00AC6F2B" w:rsidP="00B357EB">
          <w:pPr>
            <w:pStyle w:val="Header"/>
            <w:spacing w:before="109"/>
          </w:pPr>
        </w:p>
      </w:tc>
      <w:tc>
        <w:tcPr>
          <w:tcW w:w="3180" w:type="dxa"/>
          <w:gridSpan w:val="2"/>
          <w:tcBorders>
            <w:top w:val="single" w:sz="4" w:space="0" w:color="auto"/>
            <w:bottom w:val="single" w:sz="12" w:space="0" w:color="auto"/>
          </w:tcBorders>
          <w:shd w:val="clear" w:color="auto" w:fill="auto"/>
        </w:tcPr>
        <w:p w:rsidR="00AC6F2B" w:rsidRDefault="00AC6F2B" w:rsidP="00B357EB">
          <w:pPr>
            <w:spacing w:before="240" w:line="240" w:lineRule="exact"/>
            <w:rPr>
              <w:rFonts w:ascii="Times New Roman"/>
            </w:rPr>
          </w:pPr>
          <w:r>
            <w:rPr>
              <w:rFonts w:ascii="Times New Roman"/>
            </w:rPr>
            <w:t>Distr.: General</w:t>
          </w:r>
        </w:p>
        <w:p w:rsidR="00AC6F2B" w:rsidRDefault="00AC6F2B" w:rsidP="00B357EB">
          <w:pPr>
            <w:spacing w:line="240" w:lineRule="exact"/>
            <w:rPr>
              <w:rFonts w:ascii="Times New Roman"/>
            </w:rPr>
          </w:pPr>
          <w:r>
            <w:rPr>
              <w:rFonts w:ascii="Times New Roman"/>
            </w:rPr>
            <w:t>16 August 2007</w:t>
          </w:r>
        </w:p>
        <w:p w:rsidR="00AC6F2B" w:rsidRDefault="00AC6F2B" w:rsidP="00B357EB">
          <w:pPr>
            <w:spacing w:line="240" w:lineRule="exact"/>
            <w:rPr>
              <w:rFonts w:ascii="Times New Roman"/>
            </w:rPr>
          </w:pPr>
          <w:r>
            <w:rPr>
              <w:rFonts w:ascii="Times New Roman"/>
            </w:rPr>
            <w:t>Chinese</w:t>
          </w:r>
        </w:p>
        <w:p w:rsidR="00AC6F2B" w:rsidRPr="00B357EB" w:rsidRDefault="00AC6F2B" w:rsidP="00B357EB">
          <w:pPr>
            <w:spacing w:line="240" w:lineRule="exact"/>
            <w:rPr>
              <w:rFonts w:ascii="Times New Roman"/>
            </w:rPr>
          </w:pPr>
          <w:r>
            <w:rPr>
              <w:rFonts w:ascii="Times New Roman"/>
            </w:rPr>
            <w:t>Original: English</w:t>
          </w:r>
        </w:p>
      </w:tc>
    </w:tr>
  </w:tbl>
  <w:p w:rsidR="00AC6F2B" w:rsidRPr="00B357EB" w:rsidRDefault="00AC6F2B" w:rsidP="00B357E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4*"/>
    <w:docVar w:name="CreationDt" w:val="04/09/2007 14:30:14"/>
    <w:docVar w:name="DocCategory" w:val="Doc"/>
    <w:docVar w:name="DocType" w:val="Final"/>
    <w:docVar w:name="FooterJN" w:val="07-46364"/>
    <w:docVar w:name="jobn" w:val="07-46364 (C)"/>
    <w:docVar w:name="jobnDT" w:val="07-46364 (C)   040907"/>
    <w:docVar w:name="jobnDTDT" w:val="07-46364 (C)   040907   040907"/>
    <w:docVar w:name="JobNo" w:val="0746364C"/>
    <w:docVar w:name="OandT" w:val="Hao sl"/>
    <w:docVar w:name="sss1" w:val="CEDAW/C/MAR/Q/4"/>
    <w:docVar w:name="sss2" w:val="-"/>
    <w:docVar w:name="Symbol1" w:val="CEDAW/C/MAR/Q/4"/>
    <w:docVar w:name="Symbol2" w:val="-"/>
  </w:docVars>
  <w:rsids>
    <w:rsidRoot w:val="007B26E1"/>
    <w:rsid w:val="000035F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24FA7"/>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3EA1"/>
    <w:rsid w:val="003649EE"/>
    <w:rsid w:val="00371BC6"/>
    <w:rsid w:val="00373A15"/>
    <w:rsid w:val="00394A02"/>
    <w:rsid w:val="003C7B20"/>
    <w:rsid w:val="003E4565"/>
    <w:rsid w:val="003E748F"/>
    <w:rsid w:val="003E7612"/>
    <w:rsid w:val="004113D1"/>
    <w:rsid w:val="00414423"/>
    <w:rsid w:val="0043460D"/>
    <w:rsid w:val="004411AD"/>
    <w:rsid w:val="004424EF"/>
    <w:rsid w:val="00453BB0"/>
    <w:rsid w:val="00460162"/>
    <w:rsid w:val="004620A8"/>
    <w:rsid w:val="00487444"/>
    <w:rsid w:val="00487E35"/>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B45B9"/>
    <w:rsid w:val="006E2924"/>
    <w:rsid w:val="006E7A26"/>
    <w:rsid w:val="006F2B3D"/>
    <w:rsid w:val="007319E0"/>
    <w:rsid w:val="00737B00"/>
    <w:rsid w:val="0075155C"/>
    <w:rsid w:val="00753A05"/>
    <w:rsid w:val="00761190"/>
    <w:rsid w:val="00776537"/>
    <w:rsid w:val="00783A25"/>
    <w:rsid w:val="007877F4"/>
    <w:rsid w:val="007B26E1"/>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82880"/>
    <w:rsid w:val="00A95404"/>
    <w:rsid w:val="00A968C5"/>
    <w:rsid w:val="00AA188F"/>
    <w:rsid w:val="00AA3C28"/>
    <w:rsid w:val="00AB2786"/>
    <w:rsid w:val="00AC6F2B"/>
    <w:rsid w:val="00AD3AB6"/>
    <w:rsid w:val="00AD4308"/>
    <w:rsid w:val="00AF2A33"/>
    <w:rsid w:val="00B309DD"/>
    <w:rsid w:val="00B357EB"/>
    <w:rsid w:val="00B36621"/>
    <w:rsid w:val="00B36D64"/>
    <w:rsid w:val="00B41B48"/>
    <w:rsid w:val="00B56194"/>
    <w:rsid w:val="00B61A34"/>
    <w:rsid w:val="00B64E8E"/>
    <w:rsid w:val="00B65E8B"/>
    <w:rsid w:val="00B8025A"/>
    <w:rsid w:val="00B827B1"/>
    <w:rsid w:val="00BB23A4"/>
    <w:rsid w:val="00BB3C9C"/>
    <w:rsid w:val="00BC2276"/>
    <w:rsid w:val="00BD2150"/>
    <w:rsid w:val="00BE1CC3"/>
    <w:rsid w:val="00BE365A"/>
    <w:rsid w:val="00BE47C4"/>
    <w:rsid w:val="00C052A2"/>
    <w:rsid w:val="00C06A4A"/>
    <w:rsid w:val="00C1391A"/>
    <w:rsid w:val="00C14CE6"/>
    <w:rsid w:val="00C15218"/>
    <w:rsid w:val="00C2725D"/>
    <w:rsid w:val="00C42033"/>
    <w:rsid w:val="00C464DD"/>
    <w:rsid w:val="00C555AF"/>
    <w:rsid w:val="00C76854"/>
    <w:rsid w:val="00C77FE2"/>
    <w:rsid w:val="00CB2B1E"/>
    <w:rsid w:val="00CC3E8B"/>
    <w:rsid w:val="00CC4E84"/>
    <w:rsid w:val="00CD5641"/>
    <w:rsid w:val="00CE64AC"/>
    <w:rsid w:val="00CF7718"/>
    <w:rsid w:val="00D177F1"/>
    <w:rsid w:val="00D323B5"/>
    <w:rsid w:val="00D42ACC"/>
    <w:rsid w:val="00D51DC5"/>
    <w:rsid w:val="00D6235B"/>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D2213"/>
    <w:rsid w:val="00EE0913"/>
    <w:rsid w:val="00F01440"/>
    <w:rsid w:val="00F13305"/>
    <w:rsid w:val="00F40463"/>
    <w:rsid w:val="00F50336"/>
    <w:rsid w:val="00F50BBA"/>
    <w:rsid w:val="00F62E3F"/>
    <w:rsid w:val="00F62FAC"/>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556</Words>
  <Characters>3172</Characters>
  <Application>Microsoft Office Word</Application>
  <DocSecurity>4</DocSecurity>
  <Lines>26</Lines>
  <Paragraphs>7</Paragraphs>
  <ScaleCrop>false</ScaleCrop>
  <Company>United Nations</Company>
  <LinksUpToDate>false</LinksUpToDate>
  <CharactersWithSpaces>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Shengli.Hao</dc:creator>
  <cp:keywords/>
  <dc:description/>
  <cp:lastModifiedBy>ctpu2</cp:lastModifiedBy>
  <cp:revision>22</cp:revision>
  <cp:lastPrinted>2007-09-05T15:34:00Z</cp:lastPrinted>
  <dcterms:created xsi:type="dcterms:W3CDTF">2007-09-04T12:28:00Z</dcterms:created>
  <dcterms:modified xsi:type="dcterms:W3CDTF">2007-09-05T15:34:00Z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0746364</vt:lpwstr>
  </property>
  <property fmtid="{D5CDD505-2E9C-101B-9397-08002B2CF9AE}" pid="3" name="Symbol1">
    <vt:lpwstr>CEDAW/C/MAR/Q/4</vt:lpwstr>
  </property>
  <property fmtid="{D5CDD505-2E9C-101B-9397-08002B2CF9AE}" pid="4" name="Symbol2">
    <vt:lpwstr/>
  </property>
  <property fmtid="{D5CDD505-2E9C-101B-9397-08002B2CF9AE}" pid="5" name="Translator">
    <vt:lpwstr/>
  </property>
  <property fmtid="{D5CDD505-2E9C-101B-9397-08002B2CF9AE}" pid="6" name="Operator">
    <vt:lpwstr>Hao sl</vt:lpwstr>
  </property>
  <property fmtid="{D5CDD505-2E9C-101B-9397-08002B2CF9AE}" pid="7" name="DraftPages">
    <vt:lpwstr> </vt:lpwstr>
  </property>
  <property fmtid="{D5CDD505-2E9C-101B-9397-08002B2CF9AE}" pid="8" name="Comment">
    <vt:lpwstr/>
  </property>
</Properties>
</file>