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16 января — 3 февраля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Эритрея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рассмотрела сведенные воедино первон</w:t>
      </w:r>
      <w:r>
        <w:t>а</w:t>
      </w:r>
      <w:r>
        <w:t>чальный, второй и третий периодические доклады Эритреи (CEDAW/C/ERI/</w:t>
      </w:r>
      <w:r>
        <w:br/>
        <w:t>1–2 и CEDAW/C/ERI/1–3/Corr.1).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1–2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В докладе упоминается, что в 1997 году для пересмотра или отмены Гр</w:t>
      </w:r>
      <w:r>
        <w:t>а</w:t>
      </w:r>
      <w:r>
        <w:t>жданского и Уголовного кодексов, сохранившихся с колониальных времен, был учрежден комитет по реформе законодательства и что в настоящее время де</w:t>
      </w:r>
      <w:r>
        <w:t>й</w:t>
      </w:r>
      <w:r>
        <w:t>ствует Переходный кодекс, из которого исключены все дискриминационные положения и коннотации, но включены правовые нормы защитительного х</w:t>
      </w:r>
      <w:r>
        <w:t>а</w:t>
      </w:r>
      <w:r>
        <w:t>рактера (см. там же, стр. 9–10). Как обстоит дело с этим Переходным кодексом и каким образом он содействует осуществлению обязательств правительства по Конве</w:t>
      </w:r>
      <w:r>
        <w:t>н</w:t>
      </w:r>
      <w:r>
        <w:t>ции?</w:t>
      </w:r>
    </w:p>
    <w:p w:rsidR="00000000" w:rsidRDefault="00000000">
      <w:pPr>
        <w:pStyle w:val="SingleTxt"/>
      </w:pPr>
      <w:r>
        <w:t>3.</w:t>
      </w:r>
      <w:r>
        <w:tab/>
        <w:t>Просьба указать статус Конвенции в национальной правовой системе. В случае коллизии положений Конвенции и национального законодательства к</w:t>
      </w:r>
      <w:r>
        <w:t>а</w:t>
      </w:r>
      <w:r>
        <w:t>кие положения будут иметь преимущественную силу?</w:t>
      </w:r>
    </w:p>
    <w:p w:rsidR="00000000" w:rsidRDefault="00000000">
      <w:pPr>
        <w:pStyle w:val="SingleTxt"/>
      </w:pPr>
      <w:r>
        <w:t>4.</w:t>
      </w:r>
      <w:r>
        <w:tab/>
        <w:t>Просьба описать механизмы и средства правовой защиты, которые им</w:t>
      </w:r>
      <w:r>
        <w:t>е</w:t>
      </w:r>
      <w:r>
        <w:t>ются в распоряжении женщин, жалующихся на дискриминацию по признаку пола, включая независимые механизмы (как, например, омбудсмен).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3</w:t>
      </w:r>
    </w:p>
    <w:p w:rsidR="00000000" w:rsidRDefault="00000000">
      <w:pPr>
        <w:pStyle w:val="SingleTxt"/>
        <w:keepNext/>
        <w:keepLines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keepLines/>
      </w:pPr>
      <w:r>
        <w:t>5.</w:t>
      </w:r>
      <w:r>
        <w:tab/>
        <w:t>В докладе упоминается необходимость общего и упорядоченного подхода к системе сбора статистических данных в разбивке по признаку пола, объед</w:t>
      </w:r>
      <w:r>
        <w:t>и</w:t>
      </w:r>
      <w:r>
        <w:t>няющего все профильные правительственные министерства, частный сектор, неправительственные организации и другие заинтересованные учреждения (см. там же, стр. 8). Был ли разработан и принят такой подход или политика и как будут использоваться такие статистические данные с разбивкой по призн</w:t>
      </w:r>
      <w:r>
        <w:t>а</w:t>
      </w:r>
      <w:r>
        <w:t>ку пола для содействия лучшему осуществлению Конвенции?</w:t>
      </w:r>
    </w:p>
    <w:p w:rsidR="00000000" w:rsidRDefault="00000000">
      <w:pPr>
        <w:pStyle w:val="SingleTxt"/>
      </w:pPr>
      <w:r>
        <w:t>6.</w:t>
      </w:r>
      <w:r>
        <w:tab/>
        <w:t>Национальный совет эритрейских женщин является неправительственной организацией, на которую возложена задача выполнения функций национал</w:t>
      </w:r>
      <w:r>
        <w:t>ь</w:t>
      </w:r>
      <w:r>
        <w:t>ного механизма по улучшению положения женщин (см. там же, стр. 6), в том числе в связи с осуществлением Конвенции. В докладе говорится, что в н</w:t>
      </w:r>
      <w:r>
        <w:t>а</w:t>
      </w:r>
      <w:r>
        <w:t>стоящее время для того чтобы Союз «мог серьезно способствовать актуализ</w:t>
      </w:r>
      <w:r>
        <w:t>а</w:t>
      </w:r>
      <w:r>
        <w:t>ции гендерной проблематики в правительственном секторе и других учрежд</w:t>
      </w:r>
      <w:r>
        <w:t>е</w:t>
      </w:r>
      <w:r>
        <w:t>ниях, ему необходимо структурное укрепление» (см. там же, стр. 14). В Пла</w:t>
      </w:r>
      <w:r>
        <w:t>т</w:t>
      </w:r>
      <w:r>
        <w:t>форме действий излагаются параметры для национальных механизмов. Сущ</w:t>
      </w:r>
      <w:r>
        <w:t>е</w:t>
      </w:r>
      <w:r>
        <w:t>ствуют ли планы создания национального механизма в соответствии с ко</w:t>
      </w:r>
      <w:r>
        <w:t>н</w:t>
      </w:r>
      <w:r>
        <w:t>кретными установками, содержащимися в Пекинской декларации и Платформе действий, который также отвечал бы за содействие осуществлению Конве</w:t>
      </w:r>
      <w:r>
        <w:t>н</w:t>
      </w:r>
      <w:r>
        <w:t>ции?</w:t>
      </w:r>
    </w:p>
    <w:p w:rsidR="00000000" w:rsidRDefault="00000000">
      <w:pPr>
        <w:pStyle w:val="SingleTxt"/>
      </w:pPr>
      <w:r>
        <w:t>7.</w:t>
      </w:r>
      <w:r>
        <w:tab/>
        <w:t>В докладе говорится, что Национальный союз эритрейских женщин пре</w:t>
      </w:r>
      <w:r>
        <w:t>д</w:t>
      </w:r>
      <w:r>
        <w:t>ложил пятилетний национальный план действий по решению гендерных в</w:t>
      </w:r>
      <w:r>
        <w:t>о</w:t>
      </w:r>
      <w:r>
        <w:t>просов (см. там же, стр. 7). Как в настоящее время обстоит дело с этим наци</w:t>
      </w:r>
      <w:r>
        <w:t>о</w:t>
      </w:r>
      <w:r>
        <w:t>нальным планом? Просьба указать, включены ли в структуру этого национал</w:t>
      </w:r>
      <w:r>
        <w:t>ь</w:t>
      </w:r>
      <w:r>
        <w:t>н</w:t>
      </w:r>
      <w:r>
        <w:t>о</w:t>
      </w:r>
      <w:r>
        <w:t>го плана нормы и положения Конвенции.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В докладе говорится, что правительство планирует разработку «основ н</w:t>
      </w:r>
      <w:r>
        <w:t>а</w:t>
      </w:r>
      <w:r>
        <w:t>циональной гендерной политики и соответствующего плана действий, охват</w:t>
      </w:r>
      <w:r>
        <w:t>ы</w:t>
      </w:r>
      <w:r>
        <w:t>вающего все сектора и учреждения и предусматривающего актуализацию ге</w:t>
      </w:r>
      <w:r>
        <w:t>н</w:t>
      </w:r>
      <w:r>
        <w:t>дерной проблематики путем принятия позитивных действий» (см. там же, стр. 12–13). Просьба уточнить, как правительство понимает «позитивные де</w:t>
      </w:r>
      <w:r>
        <w:t>й</w:t>
      </w:r>
      <w:r>
        <w:t>ствия» в свете общей рекомендации № 25 Комитета, и конкретно указать, какие временные специальные меры рассматриваются.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9.</w:t>
      </w:r>
      <w:r>
        <w:tab/>
        <w:t>В докладе отмечается широкое воздействие глубоко укоренившихся кул</w:t>
      </w:r>
      <w:r>
        <w:t>ь</w:t>
      </w:r>
      <w:r>
        <w:t>турных стереотипов на осуществление женщинами своих прав по Конвенции (см. там же, стр. 11 и 12) и говорится о необходимости принятия долговреме</w:t>
      </w:r>
      <w:r>
        <w:t>н</w:t>
      </w:r>
      <w:r>
        <w:t xml:space="preserve">ных мер в самых различных секторах с выделением значительных бюджетных средств для борьбы с гендерными стереотипами (см. там же, стр. 15). Просьба указать, какие конкретные шаги предприняты для разработки и осуществления таких мер. </w:t>
      </w:r>
    </w:p>
    <w:p w:rsidR="00000000" w:rsidRDefault="00000000">
      <w:pPr>
        <w:pStyle w:val="SingleTxt"/>
      </w:pPr>
      <w:r>
        <w:t>10.</w:t>
      </w:r>
      <w:r>
        <w:tab/>
        <w:t>В докладе Специального докладчика по вопросу о насилии в отношении женщин, о его причинах и последствиях (E/CN.4/2003/75/Add.1) говорится, что насилие в отношении женщин широко распространено в Эритрее. В докладе содержится мало информации о насилии в отношении женщин. Просьба пре</w:t>
      </w:r>
      <w:r>
        <w:t>д</w:t>
      </w:r>
      <w:r>
        <w:t>ставить подробную информацию о формах и масштабах насилия в отношении женщин, в частности о насилии в быту, в Эритрее. Просьба указать, имеется ли всеобъемлющая и многосторонняя стратегия борьбы со всеми формами нас</w:t>
      </w:r>
      <w:r>
        <w:t>и</w:t>
      </w:r>
      <w:r>
        <w:t>лия в отношении женщин, и, если такая стратегия имеется, просьба изложить ее.</w:t>
      </w:r>
    </w:p>
    <w:p w:rsidR="00000000" w:rsidRDefault="00000000">
      <w:pPr>
        <w:pStyle w:val="SingleTxt"/>
      </w:pPr>
      <w:r>
        <w:t>11.</w:t>
      </w:r>
      <w:r>
        <w:tab/>
        <w:t>В докладе отмечается, что насильникам удается избежать судебного пр</w:t>
      </w:r>
      <w:r>
        <w:t>е</w:t>
      </w:r>
      <w:r>
        <w:t>следования и наказания путем заключения брака со своими жертвами и что о</w:t>
      </w:r>
      <w:r>
        <w:t>п</w:t>
      </w:r>
      <w:r>
        <w:t>ределение изнасилования не включает изнасилование в браке (см. там же, стр. 79). Просьба указать, принимались ли какие</w:t>
      </w:r>
      <w:r>
        <w:noBreakHyphen/>
        <w:t>либо меры, в том числе зак</w:t>
      </w:r>
      <w:r>
        <w:t>о</w:t>
      </w:r>
      <w:r>
        <w:t>нодательные, для решения этих проблем.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Согласно докладу, незаконная торговля и «повторная эксплуатация ам</w:t>
      </w:r>
      <w:r>
        <w:t>о</w:t>
      </w:r>
      <w:r>
        <w:t>рального поведения других» запрещены законом и считаются уголовно нак</w:t>
      </w:r>
      <w:r>
        <w:t>а</w:t>
      </w:r>
      <w:r>
        <w:t>зуемым деянием (см. там же, стр. 17). Просьба привести данные и рассказать о тенденциях, характерных для возбуждения дел по случаям, подпадающим под действие статей 604 и 605 Уголовного кодекса. Какими мерами защиты, если таковые имеются, располагают жертвы незаконной торговли?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7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13.</w:t>
      </w:r>
      <w:r>
        <w:tab/>
        <w:t>В докладе говорится, что очень немногие женщины занимают высокое положение в политической и общественной жизни (см. там же, стр. 19</w:t>
      </w:r>
      <w:r>
        <w:noBreakHyphen/>
        <w:t>22). Помимо введения системы квот, которая предусматривает резервирование для женщин 30 процентов мест в ассамблеях провинций и в национальном парл</w:t>
      </w:r>
      <w:r>
        <w:t>а</w:t>
      </w:r>
      <w:r>
        <w:t>менте, какие другие меры приняты для обеспечения всестороннего и равного участия и представительства женщин на всех уровнях управления, включая к</w:t>
      </w:r>
      <w:r>
        <w:t>а</w:t>
      </w:r>
      <w:r>
        <w:t>бинет министров, политбюро и центральный комитет, а также на уровне ра</w:t>
      </w:r>
      <w:r>
        <w:t>й</w:t>
      </w:r>
      <w:r>
        <w:t>онов и деревень с учетом общей рекомендации № 25 Комитета по пункту 1 ст</w:t>
      </w:r>
      <w:r>
        <w:t>а</w:t>
      </w:r>
      <w:r>
        <w:t>тьи 4 Конвенции и общей рекомендацией № 23, касающейся участия женщин в общес</w:t>
      </w:r>
      <w:r>
        <w:t>т</w:t>
      </w:r>
      <w:r>
        <w:t>венной жизни?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8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говорится, что широкого представительства женщин в области международных отношений страны не наблюдается, особенно когда речь идет о должностях более высокого уровня в управленческих подразделениях и зар</w:t>
      </w:r>
      <w:r>
        <w:t>у</w:t>
      </w:r>
      <w:r>
        <w:t>бежных представителях, и что женщины, как правило, редко участвуют в пр</w:t>
      </w:r>
      <w:r>
        <w:t>а</w:t>
      </w:r>
      <w:r>
        <w:t>вительственных зарубежных делегациях и представляют правительство на ра</w:t>
      </w:r>
      <w:r>
        <w:t>з</w:t>
      </w:r>
      <w:r>
        <w:t>личных международных форумах и в делегациях (см. там же, стр. 22). Просьба указать, какие меры принимаются для расширения участия женщин в этих о</w:t>
      </w:r>
      <w:r>
        <w:t>б</w:t>
      </w:r>
      <w:r>
        <w:t>ластях.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В докладе отмечается, что: 52 процента женщин не имеют образования (см. там же, стр. 26); показатели посещаемости школ у женщин из сельской местности значительно ниже по сравнению с городскими женщинами (см. там же, стр. 27 и 59); женщины составляют только 13</w:t>
      </w:r>
      <w:r>
        <w:noBreakHyphen/>
        <w:t>14 процентов от студентов университетов (см. там же, стр. 31); и доля женщин в сфере технического обр</w:t>
      </w:r>
      <w:r>
        <w:t>а</w:t>
      </w:r>
      <w:r>
        <w:t>зования составляет лишь 14 процентов (см. там же, стр. 33). В докладе далее говорится, что в настоящее время при содействии Детского фонда Организации Объединенных Наций (ЮНИСЕФ) осуществляется проект, направленный на разработку национальной политики в области образования девочек (см. там же, стр. 34). Просьба указать, как в настоящее время обстоит дело с этой полит</w:t>
      </w:r>
      <w:r>
        <w:t>и</w:t>
      </w:r>
      <w:r>
        <w:t>кой и какие намечены меры для расширения доступа женщин к образованию на всех уровнях и во всех областях.</w:t>
      </w:r>
    </w:p>
    <w:p w:rsidR="00000000" w:rsidRDefault="00000000">
      <w:pPr>
        <w:pStyle w:val="SingleTxt"/>
      </w:pPr>
      <w:r>
        <w:t>16.</w:t>
      </w:r>
      <w:r>
        <w:tab/>
        <w:t>В докладе отмечается, что министерство образования предприняло ко</w:t>
      </w:r>
      <w:r>
        <w:t>н</w:t>
      </w:r>
      <w:r>
        <w:t>кретные шаги по борьбе с гендерными стереотипами в системе образования путем пересмотра учебных программ и введения профессиональной подгото</w:t>
      </w:r>
      <w:r>
        <w:t>в</w:t>
      </w:r>
      <w:r>
        <w:t>ки по гендерным вопросам (см. там же, стр. 15 и 33). Просьба уточнить во</w:t>
      </w:r>
      <w:r>
        <w:t>з</w:t>
      </w:r>
      <w:r>
        <w:t>действие этих мер и указать, принимаются ли какие</w:t>
      </w:r>
      <w:r>
        <w:noBreakHyphen/>
        <w:t>либо другие всеобъемл</w:t>
      </w:r>
      <w:r>
        <w:t>ю</w:t>
      </w:r>
      <w:r>
        <w:t>щие меры по борьбе с гендерными стереотипами в рамках системы образов</w:t>
      </w:r>
      <w:r>
        <w:t>а</w:t>
      </w:r>
      <w:r>
        <w:t>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17.</w:t>
      </w:r>
      <w:r>
        <w:tab/>
        <w:t>В докладе говорится, что женщины составляют очень маленькую часть экономически активного населения (5,1 процента из них заняты на квалифиц</w:t>
      </w:r>
      <w:r>
        <w:t>и</w:t>
      </w:r>
      <w:r>
        <w:t>рованной и технической работе, 0,2 процента занимают административные и руководящие должности, 5 процентов являются государственными и конто</w:t>
      </w:r>
      <w:r>
        <w:t>р</w:t>
      </w:r>
      <w:r>
        <w:t>скими служащими, 5,7 процента работают в торговле, 17,3 процента  — в сф</w:t>
      </w:r>
      <w:r>
        <w:t>е</w:t>
      </w:r>
      <w:r>
        <w:t>ре услуг, 50 процентов — в сельском хозяйстве, а 15,5 процента — на прои</w:t>
      </w:r>
      <w:r>
        <w:t>з</w:t>
      </w:r>
      <w:r>
        <w:t>водстве и в связанных с ним областях) (см. там же, стр. 37). Какие шаги пре</w:t>
      </w:r>
      <w:r>
        <w:t>д</w:t>
      </w:r>
      <w:r>
        <w:t>приняты, включая временные специальные меры и организацию професси</w:t>
      </w:r>
      <w:r>
        <w:t>о</w:t>
      </w:r>
      <w:r>
        <w:t>нал</w:t>
      </w:r>
      <w:r>
        <w:t>ь</w:t>
      </w:r>
      <w:r>
        <w:t>но-технического обучения, для обеспечения равенства в сфере занятости?</w:t>
      </w:r>
    </w:p>
    <w:p w:rsidR="00000000" w:rsidRDefault="00000000">
      <w:pPr>
        <w:pStyle w:val="SingleTxt"/>
      </w:pPr>
      <w:r>
        <w:t>18.</w:t>
      </w:r>
      <w:r>
        <w:tab/>
        <w:t>Просьба предоставить информацию об участии женщин в неформальном секторе, включая число женщин в неформальной экономике в сравнении с чи</w:t>
      </w:r>
      <w:r>
        <w:t>с</w:t>
      </w:r>
      <w:r>
        <w:t>лом женщин, занятых в формальной экономике, а также сектора неформальной экономики с самой большой долей женщин.</w:t>
      </w:r>
    </w:p>
    <w:p w:rsidR="00000000" w:rsidRDefault="00000000">
      <w:pPr>
        <w:pStyle w:val="SingleTxt"/>
      </w:pPr>
      <w:r>
        <w:t>19.</w:t>
      </w:r>
      <w:r>
        <w:tab/>
        <w:t>В докладе отмечается, что согласно постановлению о труде № 118/2001 дискриминация на основании половой принадлежности в области занятости (возможности, обращение и вознаграждение) запрещена и женщины могут о</w:t>
      </w:r>
      <w:r>
        <w:t>б</w:t>
      </w:r>
      <w:r>
        <w:t>ращаться к министру с жалобой на любую дискриминацию и имеют право о</w:t>
      </w:r>
      <w:r>
        <w:t>б</w:t>
      </w:r>
      <w:r>
        <w:t>жаловать решение министра в Верховном суде (см. там же, стр. 39). В докладе также говорится, что на практике работающие мужчины получают бóльшую заработную плату и прибавку к окладу и чаще получают повышение по слу</w:t>
      </w:r>
      <w:r>
        <w:t>ж</w:t>
      </w:r>
      <w:r>
        <w:t>бе, чем работающие женщины (см. там же, стр. 42). Просьба указать, успешно ли женщины используют постановление о труде № 118/2001 для борьбы с т</w:t>
      </w:r>
      <w:r>
        <w:t>а</w:t>
      </w:r>
      <w:r>
        <w:t>кой дискриминационной практикой, а также сообщить, какие другие меры приняты для эффективного обеспечения соблюдения и выполнения этого п</w:t>
      </w:r>
      <w:r>
        <w:t>о</w:t>
      </w:r>
      <w:r>
        <w:t>становления.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20.</w:t>
      </w:r>
      <w:r>
        <w:tab/>
        <w:t>В докладе отмечается, что коэффициент материнской смертности, по оценкам, достиг 998 на 100 000 живорождений (см. там же, стр. 51) и что большая доля женского населения не имеет доступа к медицинским учрежд</w:t>
      </w:r>
      <w:r>
        <w:t>е</w:t>
      </w:r>
      <w:r>
        <w:t>ниям, оказывающим помощь при родах (см. там же, стр. 47 и 60). Осуществл</w:t>
      </w:r>
      <w:r>
        <w:t>я</w:t>
      </w:r>
      <w:r>
        <w:t>лась программа подготовки традиционных повитух с целью улучшения посл</w:t>
      </w:r>
      <w:r>
        <w:t>е</w:t>
      </w:r>
      <w:r>
        <w:t>родового ухода и оказания помощи при родах женщинам в сельских и отдале</w:t>
      </w:r>
      <w:r>
        <w:t>н</w:t>
      </w:r>
      <w:r>
        <w:t>ных районах, однако она не дала желаемого результата (см. там же, стр. 48). Имеются ли другие планы или политика, направленные на расширение доступа женщин к медицинским учреждениям для получения дородового и послерод</w:t>
      </w:r>
      <w:r>
        <w:t>о</w:t>
      </w:r>
      <w:r>
        <w:t>вого ухода и помощи при родах?</w:t>
      </w:r>
    </w:p>
    <w:p w:rsidR="00000000" w:rsidRDefault="00000000">
      <w:pPr>
        <w:pStyle w:val="SingleTxt"/>
      </w:pPr>
      <w:r>
        <w:t>21.</w:t>
      </w:r>
      <w:r>
        <w:tab/>
        <w:t>В докладе говорится, что 89 процентов женщин подверглись калечащим операциям на женских половых органах, и особо подчеркивается необход</w:t>
      </w:r>
      <w:r>
        <w:t>и</w:t>
      </w:r>
      <w:r>
        <w:t>мость надлежащим образом скоординированной и комплексной межсекторал</w:t>
      </w:r>
      <w:r>
        <w:t>ь</w:t>
      </w:r>
      <w:r>
        <w:t>ной кампании с участием всех заинтересованных сторон для решения этой проблемы (см. там же, стр. 54). Просьба указать, какие меры приняты с этой целью, в том числе в области законодательства и распространения информ</w:t>
      </w:r>
      <w:r>
        <w:t>а</w:t>
      </w:r>
      <w:r>
        <w:t>ции.</w:t>
      </w:r>
    </w:p>
    <w:p w:rsidR="00000000" w:rsidRDefault="00000000">
      <w:pPr>
        <w:pStyle w:val="SingleTxt"/>
      </w:pPr>
      <w:r>
        <w:t>22.</w:t>
      </w:r>
      <w:r>
        <w:tab/>
        <w:t>В докладе отмечается, что: информированность о методах планирования семьи низка (см. там же, стр. 52); число случаев беременности в подростковом возрасте высоко (см. там же, стр. 52); аборты, производимые по причинам, п</w:t>
      </w:r>
      <w:r>
        <w:t>о</w:t>
      </w:r>
      <w:r>
        <w:t>мимо тех, которые установлены на основании строгих медицинских критериев, запрещены в законодательном порядке (см. там же, стр. 53); а нелегальные аборты являются одной из причин высокой материнской смертности (см. там же, стр. 51). Просьба привести подробную информацию о мерах, принимаемых для информирования как женщин, так и мужчин по вопросам контрацепции и планирования семьи и облегчения доступа к услугам в области планирования семьи и их использования.</w:t>
      </w:r>
    </w:p>
    <w:p w:rsidR="00000000" w:rsidRDefault="00000000">
      <w:pPr>
        <w:pStyle w:val="SingleTxt"/>
      </w:pPr>
      <w:r>
        <w:t>23.</w:t>
      </w:r>
      <w:r>
        <w:tab/>
        <w:t>Просьба указать, включают ли существующие программы борьбы с ВИЧ/СПИДом гендерные аспекты и принимаются ли какие</w:t>
      </w:r>
      <w:r>
        <w:noBreakHyphen/>
        <w:t>либо особые пр</w:t>
      </w:r>
      <w:r>
        <w:t>о</w:t>
      </w:r>
      <w:r>
        <w:t>филактические меры, предназначенные специально для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13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24.</w:t>
      </w:r>
      <w:r>
        <w:tab/>
        <w:t>В докладе говорится, что программы микрокредитования, осуществля</w:t>
      </w:r>
      <w:r>
        <w:t>е</w:t>
      </w:r>
      <w:r>
        <w:t>мые как правительством, так и неправительственными организациями, пред</w:t>
      </w:r>
      <w:r>
        <w:t>у</w:t>
      </w:r>
      <w:r>
        <w:t>сматривают равный доступ и что в некоторых случаях женщинам отдается предпочтение в порядке «дискриминации наоборот» (см. там же, стр. 57). О</w:t>
      </w:r>
      <w:r>
        <w:t>д</w:t>
      </w:r>
      <w:r>
        <w:t>нако из доклада неясно, какая программная и практическая поддержка оказ</w:t>
      </w:r>
      <w:r>
        <w:t>ы</w:t>
      </w:r>
      <w:r>
        <w:t>вается женщинам-предпринимателям. Какие меры принимаются для поддер</w:t>
      </w:r>
      <w:r>
        <w:t>ж</w:t>
      </w:r>
      <w:r>
        <w:t>ки женщин-предпринимателей в различных, в том числе нетрадиционных, се</w:t>
      </w:r>
      <w:r>
        <w:t>к</w:t>
      </w:r>
      <w:r>
        <w:t>торах?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14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25.</w:t>
      </w:r>
      <w:r>
        <w:tab/>
        <w:t>В докладе отмечается, что Эритрейский фонд реабилитации общин ос</w:t>
      </w:r>
      <w:r>
        <w:t>у</w:t>
      </w:r>
      <w:r>
        <w:t>ществил ряд мероприятий в целях развития сельских общин и что во время представления доклада планировалось проведение комплексной оценки во</w:t>
      </w:r>
      <w:r>
        <w:t>з</w:t>
      </w:r>
      <w:r>
        <w:t>действия этих программ на сельских женщин (см. там же, стр. 60–61). Была ли проведена такая оценка? Если оценка проводилась, просьба указать ее резул</w:t>
      </w:r>
      <w:r>
        <w:t>ь</w:t>
      </w:r>
      <w:r>
        <w:t>таты.</w:t>
      </w:r>
    </w:p>
    <w:p w:rsidR="00000000" w:rsidRDefault="00000000">
      <w:pPr>
        <w:pStyle w:val="SingleTxt"/>
      </w:pPr>
      <w:r>
        <w:t>26.</w:t>
      </w:r>
      <w:r>
        <w:tab/>
        <w:t>В докладе отмечается, что, хотя в соответствии с политикой земельной реформы женщины получили юридическое право пользоваться землей для сельскохозяйственной обработки, строительства и вложения капитала, сущес</w:t>
      </w:r>
      <w:r>
        <w:t>т</w:t>
      </w:r>
      <w:r>
        <w:t>вуют «психологические препятствия», затрудняющие применение таких пол</w:t>
      </w:r>
      <w:r>
        <w:t>о</w:t>
      </w:r>
      <w:r>
        <w:t>жений на практике (см. там же, стр. 62 и 70). Просьба изложить трудности, к</w:t>
      </w:r>
      <w:r>
        <w:t>о</w:t>
      </w:r>
      <w:r>
        <w:t>торые связаны с одинаковым применением политики земельной реформы к женщинам, и указать, какие меры приняты для устранения указанных препя</w:t>
      </w:r>
      <w:r>
        <w:t>т</w:t>
      </w:r>
      <w:r>
        <w:t>ствий.</w:t>
      </w:r>
    </w:p>
    <w:p w:rsidR="00000000" w:rsidRDefault="00000000">
      <w:pPr>
        <w:pStyle w:val="SingleTxt"/>
      </w:pPr>
      <w:r>
        <w:t>27.</w:t>
      </w:r>
      <w:r>
        <w:tab/>
        <w:t>В докладе отмечается необходимость участия женщин-фермеров в уче</w:t>
      </w:r>
      <w:r>
        <w:t>б</w:t>
      </w:r>
      <w:r>
        <w:t>ных курсах, организуемых Службой консультирования фермеров, и рекоменд</w:t>
      </w:r>
      <w:r>
        <w:t>у</w:t>
      </w:r>
      <w:r>
        <w:t>ется привлечь Национальный союз эритрейских женщин и другие заинтерес</w:t>
      </w:r>
      <w:r>
        <w:t>о</w:t>
      </w:r>
      <w:r>
        <w:t>ванные стороны к координации работы Службы в целях повышения ее эффе</w:t>
      </w:r>
      <w:r>
        <w:t>к</w:t>
      </w:r>
      <w:r>
        <w:t>тивности (см. там же, стр. 64). Были ли приняты какие</w:t>
      </w:r>
      <w:r>
        <w:noBreakHyphen/>
        <w:t>либо меры для вовлеч</w:t>
      </w:r>
      <w:r>
        <w:t>е</w:t>
      </w:r>
      <w:r>
        <w:t>ния Союза и других женских организаций в работу Службы в целях обеспеч</w:t>
      </w:r>
      <w:r>
        <w:t>е</w:t>
      </w:r>
      <w:r>
        <w:t>ния получения сельскими женщинами пользы от этих консультативных и уче</w:t>
      </w:r>
      <w:r>
        <w:t>б</w:t>
      </w:r>
      <w:r>
        <w:t>ных услуг и расширения доступа сельских женщин к процессу принятия реш</w:t>
      </w:r>
      <w:r>
        <w:t>е</w:t>
      </w:r>
      <w:r>
        <w:t>ний?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15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докладе отмечается, что, хотя женщины обладают такой же правосуб</w:t>
      </w:r>
      <w:r>
        <w:t>ъ</w:t>
      </w:r>
      <w:r>
        <w:t>ектностью, как и мужчины, у них нет информации о своих правах и правосуб</w:t>
      </w:r>
      <w:r>
        <w:t>ъ</w:t>
      </w:r>
      <w:r>
        <w:t>ектности и что Национальный союз эритрейских женщин создал отдел юрид</w:t>
      </w:r>
      <w:r>
        <w:t>и</w:t>
      </w:r>
      <w:r>
        <w:t>ческих консультаций для повышения информированности о законоположениях по всем вопросам, касающимся женщин (см. там же, стр. 73). Осуществляет ли правительство финансирование и поддержку этого отдела юридических ко</w:t>
      </w:r>
      <w:r>
        <w:t>н</w:t>
      </w:r>
      <w:r>
        <w:t>сультаций и распространяются ли его программы повышения информирова</w:t>
      </w:r>
      <w:r>
        <w:t>н</w:t>
      </w:r>
      <w:r>
        <w:t>ности на сельских женщин?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29.</w:t>
      </w:r>
      <w:r>
        <w:tab/>
        <w:t>В докладе отмечается, что, хотя установленный законом возраст для вст</w:t>
      </w:r>
      <w:r>
        <w:t>у</w:t>
      </w:r>
      <w:r>
        <w:t>пления в брак как для мужчин, так и для женщин составляет 18 лет и для этого необходимо согласие обеих сторон, браки между несовершеннолетними, н</w:t>
      </w:r>
      <w:r>
        <w:t>а</w:t>
      </w:r>
      <w:r>
        <w:t>сильственные браки и помолвки являются широко распространенной практ</w:t>
      </w:r>
      <w:r>
        <w:t>и</w:t>
      </w:r>
      <w:r>
        <w:t>кой (см. там же, стр. 74 и 76). Просьба привести подробную информацию о масштабах распространения такой практики и изложить инициативы по пов</w:t>
      </w:r>
      <w:r>
        <w:t>ы</w:t>
      </w:r>
      <w:r>
        <w:t>шению информированности и другие программы, которые осуществляются или планируются в целях ликвидации практики ранних и насильственных браков и обеспечения более строго соблюдений Конвенции.</w:t>
      </w:r>
    </w:p>
    <w:p w:rsidR="00000000" w:rsidRDefault="00000000">
      <w:pPr>
        <w:pStyle w:val="SingleTxt"/>
      </w:pPr>
      <w:r>
        <w:t>30.</w:t>
      </w:r>
      <w:r>
        <w:tab/>
        <w:t>В докладе отмечается, что признаются церковные браки и браки по об</w:t>
      </w:r>
      <w:r>
        <w:t>ы</w:t>
      </w:r>
      <w:r>
        <w:t>чаю (см. там же, стр. 74) и что правила вступления в брак и получения развода в случае таких браков являются дискриминационными по отношению к же</w:t>
      </w:r>
      <w:r>
        <w:t>н</w:t>
      </w:r>
      <w:r>
        <w:t>щинам (см. там же, стр. 74–76). Какие усилия предпринимаются для распр</w:t>
      </w:r>
      <w:r>
        <w:t>о</w:t>
      </w:r>
      <w:r>
        <w:t>странения действия положений семейного права в рамках Переходного кодекса на церковные браки и браки по обычаю и обеспечения соблюдения Ко</w:t>
      </w:r>
      <w:r>
        <w:t>н</w:t>
      </w:r>
      <w:r>
        <w:t>венции?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NO&gt;&gt;N0545826R&lt;&lt;ODS JOB NO&gt;&gt;</w:t>
      </w:r>
    </w:p>
    <w:p w:rsidR="00000000" w:rsidRDefault="00000000">
      <w:pPr>
        <w:pStyle w:val="CommentText"/>
      </w:pPr>
      <w:r>
        <w:t>&lt;&lt;ODS DOC SYMBOL1&gt;&gt;CEDAW/C/ERI/Q/1-3&lt;&lt;ODS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6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5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05-45826 (R)    311005    311005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*0545826*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CEDAW/C/ERI/Q/1-3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CEDAW/C/ERI/Q/1-3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/C/ERI/Q/1-3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29 July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31/10/2005 7:51::10"/>
    <w:docVar w:name="DocCategory" w:val="Doc"/>
    <w:docVar w:name="DocType" w:val="Final"/>
    <w:docVar w:name="JobNo" w:val="0545826R"/>
    <w:docVar w:name="OandT" w:val=" "/>
    <w:docVar w:name="Symbol1" w:val="CEDAW/C/ERI/Q/1-3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2171</Words>
  <Characters>12376</Characters>
  <Application>Microsoft Office Outlook</Application>
  <DocSecurity>4</DocSecurity>
  <Lines>103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Olga.Filippova</dc:creator>
  <cp:keywords/>
  <dc:description/>
  <cp:lastModifiedBy>DGAACS User</cp:lastModifiedBy>
  <cp:revision>5</cp:revision>
  <cp:lastPrinted>2005-11-01T10:04:00Z</cp:lastPrinted>
  <dcterms:created xsi:type="dcterms:W3CDTF">2005-11-01T09:51:00Z</dcterms:created>
  <dcterms:modified xsi:type="dcterms:W3CDTF">2005-11-01T10:10:00Z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0545826</vt:lpwstr>
  </property>
  <property fmtid="{D5CDD505-2E9C-101B-9397-08002B2CF9AE}" pid="3" name="Symbol1">
    <vt:lpwstr>CEDAW/C/ERI/Q/1-3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Marukova</vt:lpwstr>
  </property>
</Properties>
</file>