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56FB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00A73" w:rsidP="00400A73">
            <w:pPr>
              <w:spacing w:after="20"/>
              <w:jc w:val="right"/>
            </w:pPr>
            <w:r w:rsidRPr="00400A73">
              <w:rPr>
                <w:sz w:val="40"/>
              </w:rPr>
              <w:t>CRC</w:t>
            </w:r>
            <w:r>
              <w:t xml:space="preserve">/C/OPAC/MKD/1  </w:t>
            </w:r>
          </w:p>
        </w:tc>
      </w:tr>
      <w:tr w:rsidR="002D5AAC" w:rsidTr="00F56FB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400A73" w:rsidRDefault="00400A73" w:rsidP="00400A73">
            <w:pPr>
              <w:spacing w:before="240"/>
            </w:pPr>
            <w:r>
              <w:t>Distr. general</w:t>
            </w:r>
          </w:p>
          <w:p w:rsidR="00400A73" w:rsidRDefault="00400A73" w:rsidP="00400A73">
            <w:r>
              <w:t>5 de junio de 2009</w:t>
            </w:r>
          </w:p>
          <w:p w:rsidR="00400A73" w:rsidRDefault="00400A73" w:rsidP="00400A73">
            <w:r>
              <w:t>Español</w:t>
            </w:r>
          </w:p>
          <w:p w:rsidR="002D5AAC" w:rsidRDefault="00400A73" w:rsidP="00400A73">
            <w:r>
              <w:t>Original: inglés</w:t>
            </w:r>
          </w:p>
        </w:tc>
      </w:tr>
    </w:tbl>
    <w:p w:rsidR="00F56FB4" w:rsidRPr="001B34DF" w:rsidRDefault="00F56FB4" w:rsidP="00F56FB4">
      <w:pPr>
        <w:spacing w:before="120"/>
        <w:rPr>
          <w:b/>
          <w:sz w:val="24"/>
          <w:szCs w:val="24"/>
        </w:rPr>
      </w:pPr>
      <w:r w:rsidRPr="001B34DF">
        <w:rPr>
          <w:b/>
          <w:sz w:val="24"/>
          <w:szCs w:val="24"/>
        </w:rPr>
        <w:t>Comité de los Derechos del Niño</w:t>
      </w:r>
    </w:p>
    <w:p w:rsidR="00F56FB4" w:rsidRPr="00D15CDB" w:rsidRDefault="00F56FB4" w:rsidP="00F56FB4">
      <w:pPr>
        <w:pStyle w:val="HMG"/>
      </w:pPr>
      <w:r>
        <w:tab/>
      </w:r>
      <w:r>
        <w:tab/>
      </w:r>
      <w:r w:rsidRPr="00D15CDB">
        <w:t>Consideración de los informes presentados por los Estados partes c</w:t>
      </w:r>
      <w:r>
        <w:t>on arreglo al párrafo 1 del artí</w:t>
      </w:r>
      <w:r w:rsidRPr="00D15CDB">
        <w:t xml:space="preserve">culo 8 del Protocolo </w:t>
      </w:r>
      <w:r>
        <w:t>f</w:t>
      </w:r>
      <w:r w:rsidRPr="00D15CDB">
        <w:t>acultativo de la Convención sobre los Derechos del Niño relativo a la participación de niños en los conflictos armados</w:t>
      </w:r>
    </w:p>
    <w:p w:rsidR="00F56FB4" w:rsidRPr="00D15CDB" w:rsidRDefault="00F56FB4" w:rsidP="00F56FB4">
      <w:pPr>
        <w:pStyle w:val="HChG"/>
      </w:pPr>
      <w:r>
        <w:tab/>
      </w:r>
      <w:r>
        <w:tab/>
      </w:r>
      <w:r w:rsidRPr="00D15CDB">
        <w:t>Informe inicial que los Estados partes debían presentar</w:t>
      </w:r>
      <w:r>
        <w:br/>
      </w:r>
      <w:r w:rsidRPr="00D15CDB">
        <w:t>en 2005</w:t>
      </w:r>
    </w:p>
    <w:p w:rsidR="00F56FB4" w:rsidRPr="00D15CDB" w:rsidRDefault="00F56FB4" w:rsidP="00F56FB4">
      <w:pPr>
        <w:pStyle w:val="HChG"/>
      </w:pPr>
      <w:r>
        <w:tab/>
      </w:r>
      <w:r>
        <w:tab/>
        <w:t>E</w:t>
      </w:r>
      <w:r w:rsidRPr="00D15CDB">
        <w:t>x República Yugoslava de Macedonia</w:t>
      </w:r>
      <w:r w:rsidRPr="001B34DF">
        <w:rPr>
          <w:rStyle w:val="FootnoteReference"/>
          <w:b w:val="0"/>
          <w:sz w:val="20"/>
          <w:vertAlign w:val="baseline"/>
        </w:rPr>
        <w:footnoteReference w:customMarkFollows="1" w:id="1"/>
        <w:t>*</w:t>
      </w:r>
    </w:p>
    <w:p w:rsidR="00F56FB4" w:rsidRPr="00D15CDB" w:rsidRDefault="00F56FB4" w:rsidP="00F56FB4">
      <w:pPr>
        <w:pStyle w:val="SingleTxtG"/>
        <w:jc w:val="right"/>
      </w:pPr>
      <w:r w:rsidRPr="00D15CDB">
        <w:t>[24 de julio de 2008]</w:t>
      </w:r>
    </w:p>
    <w:p w:rsidR="00F56FB4" w:rsidRDefault="00F56FB4" w:rsidP="00F56FB4">
      <w:pPr>
        <w:pStyle w:val="SingleTxtG"/>
        <w:ind w:left="0" w:right="0"/>
        <w:jc w:val="left"/>
        <w:rPr>
          <w:sz w:val="28"/>
        </w:rPr>
      </w:pPr>
      <w:r>
        <w:br w:type="page"/>
      </w:r>
      <w:r>
        <w:rPr>
          <w:sz w:val="28"/>
        </w:rPr>
        <w:t>Índice</w:t>
      </w:r>
    </w:p>
    <w:p w:rsidR="00F56FB4" w:rsidRDefault="00F56FB4" w:rsidP="00F56FB4">
      <w:pPr>
        <w:pStyle w:val="SingleTxtG"/>
        <w:tabs>
          <w:tab w:val="right" w:pos="8929"/>
          <w:tab w:val="right" w:pos="9638"/>
        </w:tabs>
        <w:ind w:left="283" w:right="0"/>
        <w:jc w:val="left"/>
        <w:rPr>
          <w:sz w:val="18"/>
        </w:rPr>
      </w:pPr>
      <w:r>
        <w:rPr>
          <w:i/>
          <w:sz w:val="18"/>
        </w:rPr>
        <w:tab/>
        <w:t>Párrafos</w:t>
      </w:r>
      <w:r>
        <w:rPr>
          <w:i/>
          <w:sz w:val="18"/>
        </w:rPr>
        <w:tab/>
        <w:t>Página</w:t>
      </w:r>
    </w:p>
    <w:p w:rsidR="00F56FB4" w:rsidRDefault="00F56FB4" w:rsidP="00F56FB4">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tab/>
      </w:r>
      <w:r>
        <w:tab/>
        <w:t>1–7</w:t>
      </w:r>
      <w:r>
        <w:tab/>
        <w:t>3</w:t>
      </w:r>
    </w:p>
    <w:p w:rsidR="00F56FB4" w:rsidRDefault="00F56FB4" w:rsidP="00F56FB4">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Prevención</w:t>
      </w:r>
      <w:r>
        <w:tab/>
      </w:r>
      <w:r>
        <w:tab/>
        <w:t>8–29</w:t>
      </w:r>
      <w:r>
        <w:tab/>
        <w:t>3</w:t>
      </w:r>
    </w:p>
    <w:p w:rsidR="00F56FB4" w:rsidRDefault="00F56FB4" w:rsidP="00F56FB4">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t>Prohibiciones y otras cuestiones conexas</w:t>
      </w:r>
      <w:r>
        <w:tab/>
      </w:r>
      <w:r>
        <w:tab/>
        <w:t>30–31</w:t>
      </w:r>
      <w:r>
        <w:tab/>
        <w:t>6</w:t>
      </w:r>
    </w:p>
    <w:p w:rsidR="00F56FB4" w:rsidRDefault="00F56FB4" w:rsidP="00F56FB4">
      <w:pPr>
        <w:pStyle w:val="SingleTxtG"/>
        <w:tabs>
          <w:tab w:val="right" w:pos="850"/>
          <w:tab w:val="left" w:pos="1134"/>
          <w:tab w:val="left" w:pos="1559"/>
          <w:tab w:val="left" w:pos="1984"/>
          <w:tab w:val="left" w:leader="dot" w:pos="7654"/>
          <w:tab w:val="right" w:pos="8929"/>
          <w:tab w:val="right" w:pos="9638"/>
        </w:tabs>
        <w:ind w:left="0" w:right="0"/>
        <w:jc w:val="left"/>
      </w:pPr>
      <w:r>
        <w:tab/>
        <w:t>IV.</w:t>
      </w:r>
      <w:r>
        <w:tab/>
        <w:t>Protección, rehabilitación y reintegración</w:t>
      </w:r>
      <w:r>
        <w:tab/>
      </w:r>
      <w:r>
        <w:tab/>
        <w:t>32–46</w:t>
      </w:r>
      <w:r>
        <w:tab/>
        <w:t>6</w:t>
      </w:r>
    </w:p>
    <w:p w:rsidR="00F56FB4" w:rsidRDefault="00F56FB4" w:rsidP="00F56FB4">
      <w:pPr>
        <w:pStyle w:val="SingleTxtG"/>
        <w:tabs>
          <w:tab w:val="right" w:pos="850"/>
          <w:tab w:val="left" w:pos="1134"/>
          <w:tab w:val="left" w:pos="1559"/>
          <w:tab w:val="left" w:pos="1984"/>
          <w:tab w:val="left" w:leader="dot" w:pos="7654"/>
          <w:tab w:val="right" w:pos="8929"/>
          <w:tab w:val="right" w:pos="9638"/>
        </w:tabs>
        <w:ind w:left="0" w:right="0"/>
        <w:jc w:val="left"/>
      </w:pPr>
      <w:r>
        <w:tab/>
        <w:t>V.</w:t>
      </w:r>
      <w:r>
        <w:tab/>
        <w:t>Asistencia y cooperación internacional</w:t>
      </w:r>
      <w:r>
        <w:tab/>
      </w:r>
      <w:r>
        <w:tab/>
        <w:t>47–49</w:t>
      </w:r>
      <w:r>
        <w:tab/>
        <w:t>9</w:t>
      </w:r>
    </w:p>
    <w:p w:rsidR="00F56FB4" w:rsidRDefault="00F56FB4" w:rsidP="00F56FB4">
      <w:pPr>
        <w:pStyle w:val="SingleTxtG"/>
        <w:tabs>
          <w:tab w:val="right" w:pos="850"/>
          <w:tab w:val="left" w:pos="1134"/>
          <w:tab w:val="left" w:pos="1559"/>
          <w:tab w:val="left" w:pos="1984"/>
          <w:tab w:val="left" w:leader="dot" w:pos="7654"/>
          <w:tab w:val="right" w:pos="8929"/>
          <w:tab w:val="right" w:pos="9638"/>
        </w:tabs>
        <w:ind w:left="0" w:right="0"/>
        <w:jc w:val="left"/>
      </w:pPr>
      <w:r>
        <w:tab/>
        <w:t>VI.</w:t>
      </w:r>
      <w:r>
        <w:tab/>
        <w:t>Otras disposiciones legales</w:t>
      </w:r>
      <w:r>
        <w:tab/>
      </w:r>
      <w:r>
        <w:tab/>
        <w:t>50</w:t>
      </w:r>
      <w:r>
        <w:tab/>
        <w:t>9</w:t>
      </w:r>
    </w:p>
    <w:p w:rsidR="00F56FB4" w:rsidRPr="00D15CDB" w:rsidRDefault="00F56FB4" w:rsidP="00F56FB4">
      <w:pPr>
        <w:pStyle w:val="HChG"/>
      </w:pPr>
      <w:r>
        <w:br w:type="page"/>
      </w:r>
      <w:r>
        <w:tab/>
      </w:r>
      <w:r w:rsidRPr="00D15CDB">
        <w:t>I.</w:t>
      </w:r>
      <w:r>
        <w:tab/>
      </w:r>
      <w:bookmarkStart w:id="0" w:name="_Hlk235527241"/>
      <w:r w:rsidRPr="00D15CDB">
        <w:t>Introducción</w:t>
      </w:r>
      <w:bookmarkEnd w:id="0"/>
    </w:p>
    <w:p w:rsidR="00F56FB4" w:rsidRPr="00D15CDB" w:rsidRDefault="00F56FB4" w:rsidP="00F56FB4">
      <w:pPr>
        <w:pStyle w:val="SingleTxtG"/>
      </w:pPr>
      <w:r w:rsidRPr="00D15CDB">
        <w:t>1.</w:t>
      </w:r>
      <w:r>
        <w:tab/>
      </w:r>
      <w:r w:rsidRPr="00D15CDB">
        <w:t xml:space="preserve">El Protocolo </w:t>
      </w:r>
      <w:r>
        <w:t>f</w:t>
      </w:r>
      <w:r w:rsidRPr="00D15CDB">
        <w:t xml:space="preserve">acultativo de la Convención sobre los Derechos del Niño relativo a la participación de niños en los conflictos armados se aprobó en Nueva York el 25 de mayo de 2000 y la ex República Yugoslava de Macedonia lo ratificó el 12 de enero de 2004. Con arreglo al artículo 118 de la Constitución de la ex República Yugoslava de Macedonia, </w:t>
      </w:r>
      <w:r>
        <w:t>"</w:t>
      </w:r>
      <w:r w:rsidRPr="00D15CDB">
        <w:t>los acuerdos internacionales ratificados de conformidad con la Constitución forman parte del ordenamiento jurídico interno y no pueden ser modificados por ley</w:t>
      </w:r>
      <w:r>
        <w:t>"</w:t>
      </w:r>
      <w:r w:rsidRPr="00D15CDB">
        <w:t>.</w:t>
      </w:r>
    </w:p>
    <w:p w:rsidR="00F56FB4" w:rsidRPr="00D15CDB" w:rsidRDefault="00F56FB4" w:rsidP="00F56FB4">
      <w:pPr>
        <w:pStyle w:val="SingleTxtG"/>
      </w:pPr>
      <w:r w:rsidRPr="00D15CDB">
        <w:t>2.</w:t>
      </w:r>
      <w:r>
        <w:tab/>
      </w:r>
      <w:r w:rsidRPr="00D15CDB">
        <w:t xml:space="preserve">Tras la ratificación, la ex República Yugoslava de Macedonia no formuló ninguna reserva </w:t>
      </w:r>
      <w:r>
        <w:t>a</w:t>
      </w:r>
      <w:r w:rsidRPr="00D15CDB">
        <w:t>l texto del Protocolo.</w:t>
      </w:r>
    </w:p>
    <w:p w:rsidR="00F56FB4" w:rsidRPr="00D15CDB" w:rsidRDefault="00F56FB4" w:rsidP="00F56FB4">
      <w:pPr>
        <w:pStyle w:val="SingleTxtG"/>
      </w:pPr>
      <w:r w:rsidRPr="00D15CDB">
        <w:t>3.</w:t>
      </w:r>
      <w:r>
        <w:tab/>
      </w:r>
      <w:r w:rsidRPr="00D15CDB">
        <w:t xml:space="preserve">El informe inicial sobre el Protocolo se ha preparado de conformidad con las recomendaciones generales </w:t>
      </w:r>
      <w:r>
        <w:t>d</w:t>
      </w:r>
      <w:r w:rsidRPr="00D15CDB">
        <w:t>el Comité de los Derechos del Niño de 19 de octubre de 2007 sobre la forma y el contenido de los informes que los países deben presentar de conformidad con el párrafo 1 del artículo 8 del Protocolo facultativo de la Convención sobre los Derechos del Niño relativo a la participación de niños en los conflictos armados.</w:t>
      </w:r>
    </w:p>
    <w:p w:rsidR="00F56FB4" w:rsidRPr="00D15CDB" w:rsidRDefault="00F56FB4" w:rsidP="00F56FB4">
      <w:pPr>
        <w:pStyle w:val="SingleTxtG"/>
      </w:pPr>
      <w:r w:rsidRPr="00D15CDB">
        <w:t>4.</w:t>
      </w:r>
      <w:r>
        <w:tab/>
      </w:r>
      <w:r w:rsidRPr="00D15CDB">
        <w:t>Los siguientes ministerios han participado en la preparación del informe: Ministerio de Defensa, Ministerio de Justicia, Ministerio del Interior, Ministerio de Trabajo y Política Social</w:t>
      </w:r>
      <w:r>
        <w:t xml:space="preserve"> y</w:t>
      </w:r>
      <w:r w:rsidRPr="00D15CDB">
        <w:t xml:space="preserve"> Ministerio de Salud.</w:t>
      </w:r>
    </w:p>
    <w:p w:rsidR="00F56FB4" w:rsidRPr="00D15CDB" w:rsidRDefault="00F56FB4" w:rsidP="00F56FB4">
      <w:pPr>
        <w:pStyle w:val="SingleTxtG"/>
      </w:pPr>
      <w:r w:rsidRPr="00D15CDB">
        <w:t>5.</w:t>
      </w:r>
      <w:r>
        <w:tab/>
        <w:t xml:space="preserve">El </w:t>
      </w:r>
      <w:r w:rsidRPr="00D15CDB">
        <w:t>Protocolo</w:t>
      </w:r>
      <w:r>
        <w:t xml:space="preserve"> </w:t>
      </w:r>
      <w:r w:rsidRPr="00D15CDB">
        <w:t xml:space="preserve">es un elemento adicional de la Convención sobre los Derechos del Niño por el que los </w:t>
      </w:r>
      <w:bookmarkStart w:id="1" w:name="_Hlk235602158"/>
      <w:r w:rsidRPr="00D15CDB">
        <w:t>Estados partes</w:t>
      </w:r>
      <w:bookmarkEnd w:id="1"/>
      <w:r w:rsidRPr="00D15CDB">
        <w:t xml:space="preserve"> se obligan a adoptar un marco legislativo que proteja a los niños de toda forma de participación en conflictos armados y </w:t>
      </w:r>
      <w:r>
        <w:t xml:space="preserve">de </w:t>
      </w:r>
      <w:r w:rsidRPr="00D15CDB">
        <w:t>sus consecuencias perjudiciales en el desarrollo psicofísico</w:t>
      </w:r>
      <w:r>
        <w:t xml:space="preserve"> de los niños</w:t>
      </w:r>
      <w:r w:rsidRPr="00D15CDB">
        <w:t xml:space="preserve">, con el fin de impedir que se abuse de </w:t>
      </w:r>
      <w:r>
        <w:t xml:space="preserve">estos </w:t>
      </w:r>
      <w:r w:rsidRPr="00D15CDB">
        <w:t xml:space="preserve">haciéndolos blancos de agresiones. Su ratificación constituye un importante paso en el proceso de aplicación </w:t>
      </w:r>
      <w:r>
        <w:t>efectiva</w:t>
      </w:r>
      <w:r w:rsidRPr="00D15CDB">
        <w:t xml:space="preserve"> de la Convención por la ex República Yugoslava de Macedonia.</w:t>
      </w:r>
    </w:p>
    <w:p w:rsidR="00F56FB4" w:rsidRPr="00D15CDB" w:rsidRDefault="00F56FB4" w:rsidP="00F56FB4">
      <w:pPr>
        <w:pStyle w:val="SingleTxtG"/>
      </w:pPr>
      <w:r w:rsidRPr="00D15CDB">
        <w:t>6.</w:t>
      </w:r>
      <w:r>
        <w:tab/>
      </w:r>
      <w:r w:rsidRPr="00D15CDB">
        <w:t xml:space="preserve">Según las estadísticas, los órganos competentes no han registrado </w:t>
      </w:r>
      <w:r>
        <w:t xml:space="preserve">ningún </w:t>
      </w:r>
      <w:r w:rsidRPr="00D15CDB">
        <w:t xml:space="preserve">caso de participación directa </w:t>
      </w:r>
      <w:r>
        <w:t>o de</w:t>
      </w:r>
      <w:r w:rsidRPr="00D15CDB">
        <w:t xml:space="preserve"> otra </w:t>
      </w:r>
      <w:r>
        <w:t xml:space="preserve">clase </w:t>
      </w:r>
      <w:r w:rsidRPr="00D15CDB">
        <w:t>de menores en conflictos armados.</w:t>
      </w:r>
    </w:p>
    <w:p w:rsidR="00F56FB4" w:rsidRPr="00D15CDB" w:rsidRDefault="00F56FB4" w:rsidP="00F56FB4">
      <w:pPr>
        <w:pStyle w:val="SingleTxtG"/>
      </w:pPr>
      <w:r w:rsidRPr="00D15CDB">
        <w:t>7.</w:t>
      </w:r>
      <w:r>
        <w:tab/>
      </w:r>
      <w:r w:rsidRPr="00D15CDB">
        <w:t xml:space="preserve">Hasta el momento, el problema de la participación de niños en conflictos armados no se ha abordado desde la perspectiva de la atención de salud. Debido a </w:t>
      </w:r>
      <w:r>
        <w:t>los limitados</w:t>
      </w:r>
      <w:r w:rsidRPr="00D15CDB">
        <w:t xml:space="preserve"> recursos y datos disponibles, todavía no </w:t>
      </w:r>
      <w:r>
        <w:t xml:space="preserve">se </w:t>
      </w:r>
      <w:r w:rsidRPr="00D15CDB">
        <w:t>puede presentar debidamente información sobre la violencia colectiva y ciertas formas de violencia institucional. Sin embargo, se está redactando un proyecto de ley sobre el registro de la atención de salud que aba</w:t>
      </w:r>
      <w:r>
        <w:t>r</w:t>
      </w:r>
      <w:r w:rsidRPr="00D15CDB">
        <w:t xml:space="preserve">cará, entre otras cosas, </w:t>
      </w:r>
      <w:r>
        <w:t>un</w:t>
      </w:r>
      <w:r w:rsidRPr="00D15CDB">
        <w:t xml:space="preserve"> registro de las víctimas en los conflictos armados.</w:t>
      </w:r>
    </w:p>
    <w:p w:rsidR="00F56FB4" w:rsidRPr="00D15CDB" w:rsidRDefault="00F56FB4" w:rsidP="00F56FB4">
      <w:pPr>
        <w:pStyle w:val="HChG"/>
      </w:pPr>
      <w:r>
        <w:tab/>
      </w:r>
      <w:r w:rsidRPr="00D15CDB">
        <w:t>II.</w:t>
      </w:r>
      <w:r>
        <w:tab/>
      </w:r>
      <w:r w:rsidRPr="00D15CDB">
        <w:t>Prevención</w:t>
      </w:r>
      <w:r>
        <w:br/>
      </w:r>
      <w:r w:rsidRPr="00D15CDB">
        <w:t>(</w:t>
      </w:r>
      <w:r>
        <w:t>a</w:t>
      </w:r>
      <w:r w:rsidRPr="00D15CDB">
        <w:t>rtículos 1, 2, 4, párrafo 2, y artículo 6, párrafo 2)</w:t>
      </w:r>
    </w:p>
    <w:p w:rsidR="00F56FB4" w:rsidRPr="00D15CDB" w:rsidRDefault="00F56FB4" w:rsidP="00F56FB4">
      <w:pPr>
        <w:pStyle w:val="H1G"/>
      </w:pPr>
      <w:r>
        <w:tab/>
      </w:r>
      <w:r>
        <w:tab/>
      </w:r>
      <w:r w:rsidRPr="00D15CDB">
        <w:t>Artículo 1</w:t>
      </w:r>
    </w:p>
    <w:p w:rsidR="00F56FB4" w:rsidRPr="00D15CDB" w:rsidRDefault="00F56FB4" w:rsidP="00F56FB4">
      <w:pPr>
        <w:pStyle w:val="SingleTxtG"/>
      </w:pPr>
      <w:r w:rsidRPr="00D15CDB">
        <w:t>8.</w:t>
      </w:r>
      <w:r>
        <w:tab/>
      </w:r>
      <w:r w:rsidRPr="00D15CDB">
        <w:t>La Ley de defensa de la ex República Yugoslava de Macedonia</w:t>
      </w:r>
      <w:r>
        <w:t>,</w:t>
      </w:r>
      <w:r w:rsidRPr="00D15CDB">
        <w:t xml:space="preserve"> la Ley por la que se enmienda y complementa la Ley de defensa (</w:t>
      </w:r>
      <w:r w:rsidRPr="00D604C7">
        <w:rPr>
          <w:i/>
        </w:rPr>
        <w:t>Diario Oficial</w:t>
      </w:r>
      <w:r w:rsidRPr="00D15CDB">
        <w:t xml:space="preserve"> de la ex República Yugoslava de Macedonia N</w:t>
      </w:r>
      <w:r>
        <w:t>os.</w:t>
      </w:r>
      <w:r w:rsidRPr="00D15CDB">
        <w:t xml:space="preserve"> 42/01, 5/03, 58/06 y 110/08) y la Ley sobre el servicio militar de la ex República Yugoslava de Macedonia (</w:t>
      </w:r>
      <w:r w:rsidRPr="00D604C7">
        <w:rPr>
          <w:i/>
        </w:rPr>
        <w:t>Diario Oficial</w:t>
      </w:r>
      <w:r w:rsidRPr="00D15CDB">
        <w:t xml:space="preserve"> N</w:t>
      </w:r>
      <w:r>
        <w:t>os.</w:t>
      </w:r>
      <w:r w:rsidRPr="00D15CDB">
        <w:t xml:space="preserve"> 62/02, 98/02, 25/03, 71/03, 112/05 y 134/07) </w:t>
      </w:r>
      <w:r>
        <w:t>con</w:t>
      </w:r>
      <w:r w:rsidRPr="00D15CDB">
        <w:t xml:space="preserve">tienen disposiciones relativas a la participación, </w:t>
      </w:r>
      <w:r>
        <w:t xml:space="preserve">el </w:t>
      </w:r>
      <w:r w:rsidRPr="00D15CDB">
        <w:t xml:space="preserve">reclutamiento, </w:t>
      </w:r>
      <w:r>
        <w:t xml:space="preserve">el </w:t>
      </w:r>
      <w:r w:rsidRPr="00D15CDB">
        <w:t xml:space="preserve">adiestramiento y </w:t>
      </w:r>
      <w:r>
        <w:t xml:space="preserve">la </w:t>
      </w:r>
      <w:r w:rsidRPr="00D15CDB">
        <w:t>utilización</w:t>
      </w:r>
      <w:r>
        <w:t xml:space="preserve"> </w:t>
      </w:r>
      <w:r w:rsidRPr="00D15CDB">
        <w:t>de niños en hostilidades dentro y fuera del territorio nacional, así como disposiciones vinculadas con el objetivo de no permitir la participación en hostilidades de miembros de las fuerzas armadas menores de 18 años de edad.</w:t>
      </w:r>
    </w:p>
    <w:p w:rsidR="00F56FB4" w:rsidRPr="00D15CDB" w:rsidRDefault="00F56FB4" w:rsidP="00F56FB4">
      <w:pPr>
        <w:pStyle w:val="SingleTxtG"/>
      </w:pPr>
      <w:r w:rsidRPr="00D15CDB">
        <w:t>9.</w:t>
      </w:r>
      <w:r>
        <w:tab/>
        <w:t>En particular, l</w:t>
      </w:r>
      <w:r w:rsidRPr="00D15CDB">
        <w:t xml:space="preserve">as enmiendas y complementos de la Ley de </w:t>
      </w:r>
      <w:r>
        <w:t>d</w:t>
      </w:r>
      <w:r w:rsidRPr="00D15CDB">
        <w:t xml:space="preserve">efensa de mayo de 2006 disponen que todos los nacionales de la ex República Yugoslava de Macedonia de 18 a 55 años de edad están sujetos </w:t>
      </w:r>
      <w:r>
        <w:t>al cumplimiento del servicio</w:t>
      </w:r>
      <w:r w:rsidRPr="00D15CDB">
        <w:t xml:space="preserve"> militar (artículo 3 de la Ley de defensa).</w:t>
      </w:r>
    </w:p>
    <w:p w:rsidR="00F56FB4" w:rsidRPr="00D15CDB" w:rsidRDefault="00F56FB4" w:rsidP="00F56FB4">
      <w:pPr>
        <w:pStyle w:val="SingleTxtG"/>
      </w:pPr>
      <w:r w:rsidRPr="00D15CDB">
        <w:t>10.</w:t>
      </w:r>
      <w:r>
        <w:tab/>
      </w:r>
      <w:r w:rsidRPr="00D15CDB">
        <w:t xml:space="preserve">Los ciudadanos tienen derecho a hacer el servicio militar como voluntarios en la forma y condiciones establecidas por la Ley de defensa. En la ex República Yugoslava de Macedonia, el servicio militar voluntario dura tres meses. Las obligaciones militares de los ciudadanos consisten en </w:t>
      </w:r>
      <w:r>
        <w:t>el servicio</w:t>
      </w:r>
      <w:r w:rsidRPr="00D15CDB">
        <w:t xml:space="preserve"> en las fuerzas de reserva.</w:t>
      </w:r>
    </w:p>
    <w:p w:rsidR="00F56FB4" w:rsidRPr="00D15CDB" w:rsidRDefault="00F56FB4" w:rsidP="00F56FB4">
      <w:pPr>
        <w:pStyle w:val="SingleTxtG"/>
      </w:pPr>
      <w:r w:rsidRPr="00D15CDB">
        <w:t>11.</w:t>
      </w:r>
      <w:r>
        <w:tab/>
      </w:r>
      <w:r w:rsidRPr="00D15CDB">
        <w:t xml:space="preserve">Todos los nacionales de la ex República Yugoslava de Macedonia que hayan sido declarados </w:t>
      </w:r>
      <w:r>
        <w:t>"</w:t>
      </w:r>
      <w:r w:rsidRPr="00D15CDB">
        <w:t>aptos para el servicio militar</w:t>
      </w:r>
      <w:r>
        <w:t>"</w:t>
      </w:r>
      <w:r w:rsidRPr="00D15CDB">
        <w:t xml:space="preserve"> y así lo soliciten, </w:t>
      </w:r>
      <w:r>
        <w:t xml:space="preserve">pueden </w:t>
      </w:r>
      <w:r w:rsidRPr="00D15CDB">
        <w:t>servir en las fuerzas armadas después de cumplir los 18 años de edad.</w:t>
      </w:r>
    </w:p>
    <w:p w:rsidR="00F56FB4" w:rsidRPr="00D15CDB" w:rsidRDefault="00F56FB4" w:rsidP="00F56FB4">
      <w:pPr>
        <w:pStyle w:val="SingleTxtG"/>
      </w:pPr>
      <w:r w:rsidRPr="00D15CDB">
        <w:t>12.</w:t>
      </w:r>
      <w:r>
        <w:tab/>
      </w:r>
      <w:r w:rsidRPr="00D15CDB">
        <w:t xml:space="preserve">Antes del inicio del servicio militar se comunica a los ciudadanos que deseen servir como voluntarios el </w:t>
      </w:r>
      <w:r>
        <w:t xml:space="preserve">departamento </w:t>
      </w:r>
      <w:r w:rsidRPr="00D15CDB">
        <w:t xml:space="preserve">en </w:t>
      </w:r>
      <w:r>
        <w:t>el</w:t>
      </w:r>
      <w:r w:rsidRPr="00D15CDB">
        <w:t xml:space="preserve"> que prestarán </w:t>
      </w:r>
      <w:r>
        <w:t>su</w:t>
      </w:r>
      <w:r w:rsidRPr="00D15CDB">
        <w:t xml:space="preserve"> servicio.</w:t>
      </w:r>
    </w:p>
    <w:p w:rsidR="00F56FB4" w:rsidRPr="00D15CDB" w:rsidRDefault="00F56FB4" w:rsidP="00F56FB4">
      <w:pPr>
        <w:pStyle w:val="SingleTxtG"/>
      </w:pPr>
      <w:r w:rsidRPr="00D15CDB">
        <w:t>13.</w:t>
      </w:r>
      <w:r>
        <w:tab/>
      </w:r>
      <w:r w:rsidRPr="00D15CDB">
        <w:t>Los ciudadanos deben probar su edad con la presentación de un documento expedido por el departamento competente del Ministerio del Interior.</w:t>
      </w:r>
    </w:p>
    <w:p w:rsidR="00F56FB4" w:rsidRPr="00D15CDB" w:rsidRDefault="00F56FB4" w:rsidP="00F56FB4">
      <w:pPr>
        <w:pStyle w:val="SingleTxtG"/>
      </w:pPr>
      <w:r w:rsidRPr="00D15CDB">
        <w:t>14.</w:t>
      </w:r>
      <w:r>
        <w:tab/>
      </w:r>
      <w:r w:rsidRPr="00D15CDB">
        <w:t xml:space="preserve">El examen médico y psicológico de los ciudadanos para determinar su aptitud para el servicio militar está a cargo de los servicios médicos competentes del Ministerio de Defensa, </w:t>
      </w:r>
      <w:r>
        <w:t>por</w:t>
      </w:r>
      <w:r w:rsidRPr="00D15CDB">
        <w:t xml:space="preserve"> acuerdo con el Ministerio de Salud. Sobre la base de las conclusiones </w:t>
      </w:r>
      <w:r>
        <w:t>del reconocimiento</w:t>
      </w:r>
      <w:r w:rsidRPr="00D15CDB">
        <w:t xml:space="preserve"> médico y </w:t>
      </w:r>
      <w:r>
        <w:t xml:space="preserve">de </w:t>
      </w:r>
      <w:r w:rsidRPr="00D15CDB">
        <w:t>la evaluación psicológica, un comité establecido por el Ministerio de Defensa evalúa la aptitud de los ciudadanos para prestar servicio en las fuerzas armadas.</w:t>
      </w:r>
    </w:p>
    <w:p w:rsidR="00F56FB4" w:rsidRPr="00D15CDB" w:rsidRDefault="00F56FB4" w:rsidP="00F56FB4">
      <w:pPr>
        <w:pStyle w:val="SingleTxtG"/>
      </w:pPr>
      <w:r w:rsidRPr="00D15CDB">
        <w:t>15.</w:t>
      </w:r>
      <w:r>
        <w:tab/>
      </w:r>
      <w:r w:rsidRPr="00D15CDB">
        <w:t xml:space="preserve">La comisión determina el arma en la que servirá la persona declarada </w:t>
      </w:r>
      <w:r>
        <w:t>"</w:t>
      </w:r>
      <w:r w:rsidRPr="00D15CDB">
        <w:t>apta para el servicio militar</w:t>
      </w:r>
      <w:r>
        <w:t>"</w:t>
      </w:r>
      <w:r w:rsidRPr="00D15CDB">
        <w:t xml:space="preserve">. La especialidad de los ciudadanos se determina sobre la base de su estado de salud y fisiológico, su tipo y nivel de educación, su profesión y </w:t>
      </w:r>
      <w:r>
        <w:t>formación</w:t>
      </w:r>
      <w:r w:rsidRPr="00D15CDB">
        <w:t xml:space="preserve"> y sus actividades deportivas, en </w:t>
      </w:r>
      <w:r>
        <w:t>razón de</w:t>
      </w:r>
      <w:r w:rsidRPr="00D15CDB">
        <w:t xml:space="preserve"> su pertinencia para las fuerzas armadas. </w:t>
      </w:r>
    </w:p>
    <w:p w:rsidR="00F56FB4" w:rsidRPr="00D15CDB" w:rsidRDefault="00F56FB4" w:rsidP="00F56FB4">
      <w:pPr>
        <w:pStyle w:val="SingleTxtG"/>
      </w:pPr>
      <w:r w:rsidRPr="00D15CDB">
        <w:t>16.</w:t>
      </w:r>
      <w:r>
        <w:tab/>
      </w:r>
      <w:r w:rsidRPr="00D15CDB">
        <w:t xml:space="preserve">La Ley de servicio militar de la ex República Yugoslava de Macedonia regula, entre otras cosas, la </w:t>
      </w:r>
      <w:r>
        <w:t xml:space="preserve">manera en que se admite a </w:t>
      </w:r>
      <w:r w:rsidRPr="00D15CDB">
        <w:t xml:space="preserve">las personas en las fuerzas armadas. Una de las condiciones generales de admisión es haber </w:t>
      </w:r>
      <w:r>
        <w:t>alcanzado</w:t>
      </w:r>
      <w:r w:rsidRPr="00D15CDB">
        <w:t xml:space="preserve"> la mayoría de edad, que la Constitución y las disposiciones legales de la ex República Yugoslava de Macedonia fijan en 18 años.</w:t>
      </w:r>
    </w:p>
    <w:p w:rsidR="00F56FB4" w:rsidRPr="00D15CDB" w:rsidRDefault="00F56FB4" w:rsidP="00F56FB4">
      <w:pPr>
        <w:pStyle w:val="SingleTxtG"/>
      </w:pPr>
      <w:r w:rsidRPr="00D15CDB">
        <w:t>17.</w:t>
      </w:r>
      <w:r>
        <w:tab/>
      </w:r>
      <w:r w:rsidRPr="00D15CDB">
        <w:t xml:space="preserve">A la luz de lo mencionado, </w:t>
      </w:r>
      <w:r>
        <w:t xml:space="preserve">se </w:t>
      </w:r>
      <w:r w:rsidRPr="00D15CDB">
        <w:t xml:space="preserve">puede concluir que </w:t>
      </w:r>
      <w:r>
        <w:t xml:space="preserve">ningún miembro de </w:t>
      </w:r>
      <w:r w:rsidRPr="00D15CDB">
        <w:t xml:space="preserve">las </w:t>
      </w:r>
      <w:r>
        <w:t>F</w:t>
      </w:r>
      <w:r w:rsidRPr="00D15CDB">
        <w:t xml:space="preserve">uerzas </w:t>
      </w:r>
      <w:r>
        <w:t>A</w:t>
      </w:r>
      <w:r w:rsidRPr="00D15CDB">
        <w:t xml:space="preserve">rmadas de la ex República Yugoslava de Macedonia </w:t>
      </w:r>
      <w:r>
        <w:t>es</w:t>
      </w:r>
      <w:r w:rsidRPr="00D15CDB">
        <w:t xml:space="preserve"> menor de 18 años.</w:t>
      </w:r>
    </w:p>
    <w:p w:rsidR="00F56FB4" w:rsidRPr="00D15CDB" w:rsidRDefault="00F56FB4" w:rsidP="00F56FB4">
      <w:pPr>
        <w:pStyle w:val="SingleTxtG"/>
      </w:pPr>
      <w:r w:rsidRPr="00D15CDB">
        <w:t>18.</w:t>
      </w:r>
      <w:r>
        <w:tab/>
      </w:r>
      <w:r w:rsidRPr="00D15CDB">
        <w:t xml:space="preserve">En lo que respecta a las disposiciones del artículo 4 del Protocolo, el artículo 20, párrafo 4, de la Constitución de la ex República Yugoslava de Macedonia prohíbe </w:t>
      </w:r>
      <w:r>
        <w:t>la existencia de</w:t>
      </w:r>
      <w:r w:rsidRPr="00D15CDB">
        <w:t xml:space="preserve"> grupos militares o paramilitares ajenos a las Fuerzas Armadas de la ex República Yugoslava de Macedonia.</w:t>
      </w:r>
    </w:p>
    <w:p w:rsidR="00F56FB4" w:rsidRPr="00D15CDB" w:rsidRDefault="00F56FB4" w:rsidP="00F56FB4">
      <w:pPr>
        <w:pStyle w:val="SingleTxtG"/>
      </w:pPr>
      <w:r w:rsidRPr="00D15CDB">
        <w:t>19.</w:t>
      </w:r>
      <w:r>
        <w:tab/>
      </w:r>
      <w:r w:rsidRPr="00D15CDB">
        <w:t>E</w:t>
      </w:r>
      <w:r>
        <w:t>ll</w:t>
      </w:r>
      <w:r w:rsidRPr="00D15CDB">
        <w:t>o contribuye a impedir la participación de niños menores de 18 años de edad en grupos armados distintos de las fuerzas armadas.</w:t>
      </w:r>
    </w:p>
    <w:p w:rsidR="00F56FB4" w:rsidRPr="00D15CDB" w:rsidRDefault="00F56FB4" w:rsidP="00F56FB4">
      <w:pPr>
        <w:pStyle w:val="SingleTxtG"/>
      </w:pPr>
      <w:r w:rsidRPr="00D15CDB">
        <w:t>20.</w:t>
      </w:r>
      <w:r>
        <w:tab/>
      </w:r>
      <w:r w:rsidRPr="00D15CDB">
        <w:t xml:space="preserve">De conformidad con las disposiciones del Protocolo, la prevención de la violencia contra los niños y </w:t>
      </w:r>
      <w:r>
        <w:t xml:space="preserve">de </w:t>
      </w:r>
      <w:r w:rsidRPr="00D15CDB">
        <w:t>su participación en conflictos armados es una prioridad en la ex República Yugoslava de Macedonia</w:t>
      </w:r>
      <w:r>
        <w:t xml:space="preserve">, lo que </w:t>
      </w:r>
      <w:r w:rsidRPr="00D15CDB">
        <w:t>supone, en primer lugar</w:t>
      </w:r>
      <w:r>
        <w:t>,</w:t>
      </w:r>
      <w:r w:rsidRPr="00D15CDB">
        <w:t xml:space="preserve"> el fortalecimiento de la prevención primaria por medio de la introducción de programas educativos para los niños, que les enseñen a reconocer las situaciones peligrosas y a protegerse de los abusos.</w:t>
      </w:r>
    </w:p>
    <w:p w:rsidR="00F56FB4" w:rsidRPr="00D15CDB" w:rsidRDefault="00F56FB4" w:rsidP="00F56FB4">
      <w:pPr>
        <w:pStyle w:val="SingleTxtG"/>
      </w:pPr>
      <w:r w:rsidRPr="00D15CDB">
        <w:t>21</w:t>
      </w:r>
      <w:r>
        <w:t>.</w:t>
      </w:r>
      <w:r>
        <w:tab/>
        <w:t>La función</w:t>
      </w:r>
      <w:r w:rsidRPr="00D15CDB">
        <w:t xml:space="preserve"> del Ministerio del Interior es especialmente importante en lo que hace a las medidas adoptadas para impedir la participación de los niños en conflictos armados. </w:t>
      </w:r>
      <w:r>
        <w:t>Así, los f</w:t>
      </w:r>
      <w:r w:rsidRPr="00D15CDB">
        <w:t xml:space="preserve">uncionarios del Ministerio del Interior participaron </w:t>
      </w:r>
      <w:r>
        <w:t>sistemáticamente</w:t>
      </w:r>
      <w:r w:rsidRPr="00D15CDB">
        <w:t xml:space="preserve"> en el proceso de preparación de la Ley sobre la justicia </w:t>
      </w:r>
      <w:r>
        <w:t>de menores</w:t>
      </w:r>
      <w:r w:rsidRPr="00D15CDB">
        <w:t>, que fue aprobada el 4 de julio de 2007 y que entrará en vigor el 1</w:t>
      </w:r>
      <w:r>
        <w:t>º</w:t>
      </w:r>
      <w:r w:rsidRPr="00D15CDB">
        <w:t xml:space="preserve"> de enero de 2009. La ley reforma la legislación en materia de justicia </w:t>
      </w:r>
      <w:r>
        <w:t>de menores</w:t>
      </w:r>
      <w:r w:rsidRPr="00D15CDB">
        <w:t xml:space="preserve"> de la ex República Yugoslava de Macedonia</w:t>
      </w:r>
      <w:r>
        <w:t xml:space="preserve"> y c</w:t>
      </w:r>
      <w:r w:rsidRPr="00D15CDB">
        <w:t xml:space="preserve">ontribuye a establecer </w:t>
      </w:r>
      <w:r>
        <w:t>el marco</w:t>
      </w:r>
      <w:r w:rsidRPr="00D15CDB">
        <w:t xml:space="preserve"> jurídic</w:t>
      </w:r>
      <w:r>
        <w:t>o</w:t>
      </w:r>
      <w:r w:rsidRPr="00D15CDB">
        <w:t xml:space="preserve"> e institucional de un nuevo sistema coherente y codificado</w:t>
      </w:r>
      <w:r>
        <w:t xml:space="preserve"> de justicia de menores</w:t>
      </w:r>
      <w:r w:rsidRPr="00D15CDB">
        <w:t xml:space="preserve"> en </w:t>
      </w:r>
      <w:r>
        <w:t>e</w:t>
      </w:r>
      <w:r w:rsidRPr="00D15CDB">
        <w:t>l</w:t>
      </w:r>
      <w:r>
        <w:t xml:space="preserve"> país</w:t>
      </w:r>
      <w:r w:rsidRPr="00D15CDB">
        <w:t xml:space="preserve">. El sistema separa el tratamiento jurídico que </w:t>
      </w:r>
      <w:r>
        <w:t xml:space="preserve">se da a </w:t>
      </w:r>
      <w:r w:rsidRPr="00D15CDB">
        <w:t xml:space="preserve">los niños, </w:t>
      </w:r>
      <w:r>
        <w:t xml:space="preserve">desde los puntos de vista </w:t>
      </w:r>
      <w:r w:rsidRPr="00D15CDB">
        <w:t xml:space="preserve">procesal y sustantivo, del </w:t>
      </w:r>
      <w:r>
        <w:t xml:space="preserve">que se da a </w:t>
      </w:r>
      <w:r w:rsidRPr="00D15CDB">
        <w:t xml:space="preserve">los adultos delincuentes. Lo que es más, </w:t>
      </w:r>
      <w:r>
        <w:t>esta</w:t>
      </w:r>
      <w:r w:rsidRPr="00D15CDB">
        <w:t xml:space="preserve"> ley </w:t>
      </w:r>
      <w:r>
        <w:t xml:space="preserve">incorpora </w:t>
      </w:r>
      <w:r w:rsidRPr="00D15CDB">
        <w:t xml:space="preserve">las </w:t>
      </w:r>
      <w:r>
        <w:t>disposiciones</w:t>
      </w:r>
      <w:r w:rsidRPr="00D15CDB">
        <w:t xml:space="preserve"> de las convenciones y documentos internacionales ratificados sobre derechos del niño </w:t>
      </w:r>
      <w:r>
        <w:t>—</w:t>
      </w:r>
      <w:r w:rsidRPr="00D15CDB">
        <w:t>la Convención sobre los Derechos del Niño de las Naciones Unidas, los protocolos facultativos de la Convención relativos a la participación de niños en los conflictos armados y a la venta de niños,</w:t>
      </w:r>
      <w:r>
        <w:t xml:space="preserve"> </w:t>
      </w:r>
      <w:r w:rsidRPr="00D15CDB">
        <w:t>la prostitución infantil y la utilización de niños en la pornografía, las Directrices de las Naciones Unidas para la prevención de la delincuencia juvenil (Directrices de Riad) de 1990 y la Recomendación del Consejo de Europa Nº R (87) 20 sobre reacciones sociales ante la delincuencia juvenil.</w:t>
      </w:r>
    </w:p>
    <w:p w:rsidR="00F56FB4" w:rsidRPr="00D15CDB" w:rsidRDefault="00F56FB4" w:rsidP="00F56FB4">
      <w:pPr>
        <w:pStyle w:val="SingleTxtG"/>
      </w:pPr>
      <w:r w:rsidRPr="00D15CDB">
        <w:t>22.</w:t>
      </w:r>
      <w:r>
        <w:tab/>
      </w:r>
      <w:r w:rsidRPr="00D15CDB">
        <w:t xml:space="preserve">Según esta ley, en el contexto del Programa de capacitación anual de 2008, los servicios profesionales pertinentes han concebido </w:t>
      </w:r>
      <w:r>
        <w:t>e impartido en parte</w:t>
      </w:r>
      <w:r w:rsidRPr="00D15CDB">
        <w:t xml:space="preserve"> capacitación a los </w:t>
      </w:r>
      <w:r>
        <w:t xml:space="preserve">agentes </w:t>
      </w:r>
      <w:r w:rsidRPr="00D15CDB">
        <w:t>de la policía uniformada y</w:t>
      </w:r>
      <w:r>
        <w:t xml:space="preserve"> a</w:t>
      </w:r>
      <w:r w:rsidRPr="00D15CDB">
        <w:t xml:space="preserve"> los inspectores que </w:t>
      </w:r>
      <w:r>
        <w:t>trabajan</w:t>
      </w:r>
      <w:r w:rsidRPr="00D15CDB">
        <w:t xml:space="preserve"> en este </w:t>
      </w:r>
      <w:r>
        <w:t>sector</w:t>
      </w:r>
      <w:r w:rsidRPr="00D15CDB">
        <w:t xml:space="preserve">. A continuación, </w:t>
      </w:r>
      <w:r>
        <w:t xml:space="preserve">se </w:t>
      </w:r>
      <w:r w:rsidRPr="00D15CDB">
        <w:t xml:space="preserve">realizarán actividades destinadas a formar a los </w:t>
      </w:r>
      <w:r>
        <w:t>agentes</w:t>
      </w:r>
      <w:r w:rsidRPr="00D15CDB">
        <w:t xml:space="preserve"> de policía en protección de los niños y menores y a sensibilizarlos acerca de la necesidad de un enfoque especial en los procedimientos con menores, centrado en el respeto y la protección de los derechos del niño. La protección de los niños en los conflictos armados y el reclutamiento en las fuerzas armadas de menores de 18 años se </w:t>
      </w:r>
      <w:r>
        <w:t>aborda también</w:t>
      </w:r>
      <w:r w:rsidRPr="00D15CDB">
        <w:t xml:space="preserve"> en este contexto.</w:t>
      </w:r>
    </w:p>
    <w:p w:rsidR="00F56FB4" w:rsidRPr="00D15CDB" w:rsidRDefault="00F56FB4" w:rsidP="00F56FB4">
      <w:pPr>
        <w:pStyle w:val="SingleTxtG"/>
      </w:pPr>
      <w:r w:rsidRPr="00D15CDB">
        <w:t>23.</w:t>
      </w:r>
      <w:r>
        <w:tab/>
      </w:r>
      <w:r w:rsidRPr="00D15CDB">
        <w:t xml:space="preserve">El Ministerio coopera permanentemente con las instituciones que trabajan en esa esfera, en particular con los centros de acción social, las instituciones de atención de la salud, las fiscalías locales, los jueces de </w:t>
      </w:r>
      <w:r>
        <w:t>menores</w:t>
      </w:r>
      <w:r w:rsidRPr="00D15CDB">
        <w:t xml:space="preserve"> y las organizaciones no gubernamentales y asociaciones </w:t>
      </w:r>
      <w:r>
        <w:t>cívicas</w:t>
      </w:r>
      <w:r w:rsidRPr="00D15CDB">
        <w:t xml:space="preserve"> que se ocupan de la protecc</w:t>
      </w:r>
      <w:r>
        <w:t>ión de los niños y los menores.</w:t>
      </w:r>
    </w:p>
    <w:p w:rsidR="00F56FB4" w:rsidRPr="00D15CDB" w:rsidRDefault="00F56FB4" w:rsidP="00F56FB4">
      <w:pPr>
        <w:pStyle w:val="SingleTxtG"/>
      </w:pPr>
      <w:r w:rsidRPr="00D15CDB">
        <w:t>24.</w:t>
      </w:r>
      <w:r>
        <w:tab/>
        <w:t>Además</w:t>
      </w:r>
      <w:r w:rsidRPr="00D15CDB">
        <w:t xml:space="preserve">, el proyecto </w:t>
      </w:r>
      <w:r>
        <w:t>"</w:t>
      </w:r>
      <w:r w:rsidRPr="00D15CDB">
        <w:t>Cooperación de la policía con la población local</w:t>
      </w:r>
      <w:r>
        <w:t>"</w:t>
      </w:r>
      <w:r w:rsidRPr="00D15CDB">
        <w:t xml:space="preserve">, </w:t>
      </w:r>
      <w:r>
        <w:t>abarca</w:t>
      </w:r>
      <w:r w:rsidRPr="00D15CDB">
        <w:t xml:space="preserve"> actividades de fomento de la cooperación con las comunidades locales. </w:t>
      </w:r>
      <w:r>
        <w:t xml:space="preserve">Por este medio se </w:t>
      </w:r>
      <w:r w:rsidRPr="00D15CDB">
        <w:t xml:space="preserve">pretende establecer relaciones de colaboración dinámicas y </w:t>
      </w:r>
      <w:r>
        <w:t>de igualdad</w:t>
      </w:r>
      <w:r w:rsidRPr="00D15CDB">
        <w:t xml:space="preserve"> entre la policía y las comunidades, </w:t>
      </w:r>
      <w:r>
        <w:t xml:space="preserve">con objeto </w:t>
      </w:r>
      <w:r w:rsidRPr="00D15CDB">
        <w:t xml:space="preserve">principalmente </w:t>
      </w:r>
      <w:r>
        <w:t>de</w:t>
      </w:r>
      <w:r w:rsidRPr="00D15CDB">
        <w:t xml:space="preserve"> prevenir, reducir, detectar y eliminar las conductas </w:t>
      </w:r>
      <w:r>
        <w:t>anti</w:t>
      </w:r>
      <w:r w:rsidRPr="00D15CDB">
        <w:t xml:space="preserve">sociales de los menores, así como </w:t>
      </w:r>
      <w:r>
        <w:t>de</w:t>
      </w:r>
      <w:r w:rsidRPr="00D15CDB">
        <w:t xml:space="preserve"> protegerlos de influencias que pu</w:t>
      </w:r>
      <w:r>
        <w:t>e</w:t>
      </w:r>
      <w:r w:rsidRPr="00D15CDB">
        <w:t xml:space="preserve">dan perjudicar </w:t>
      </w:r>
      <w:r>
        <w:t xml:space="preserve">a largo plazo </w:t>
      </w:r>
      <w:r w:rsidRPr="00D15CDB">
        <w:t>su crecimiento, desarro</w:t>
      </w:r>
      <w:r>
        <w:t>llo, educación, paz y seguridad.</w:t>
      </w:r>
    </w:p>
    <w:p w:rsidR="00F56FB4" w:rsidRPr="00D15CDB" w:rsidRDefault="00F56FB4" w:rsidP="00F56FB4">
      <w:pPr>
        <w:pStyle w:val="SingleTxtG"/>
      </w:pPr>
      <w:r w:rsidRPr="00D15CDB">
        <w:t>25.</w:t>
      </w:r>
      <w:r>
        <w:tab/>
      </w:r>
      <w:r w:rsidRPr="00D15CDB">
        <w:t xml:space="preserve">Una importante novedad a este respecto es la creación </w:t>
      </w:r>
      <w:r>
        <w:t xml:space="preserve">de un puesto preciso en el Ministerio: </w:t>
      </w:r>
      <w:r w:rsidRPr="00D15CDB">
        <w:t>inspector</w:t>
      </w:r>
      <w:r>
        <w:t>es</w:t>
      </w:r>
      <w:r w:rsidRPr="00D15CDB">
        <w:t xml:space="preserve"> de prevención, encargado</w:t>
      </w:r>
      <w:r>
        <w:t xml:space="preserve">s principalmente </w:t>
      </w:r>
      <w:r w:rsidRPr="00D15CDB">
        <w:t xml:space="preserve">de mantener una comunicación permanente con los órganos de </w:t>
      </w:r>
      <w:r>
        <w:t>la administración</w:t>
      </w:r>
      <w:r w:rsidRPr="00D15CDB">
        <w:t xml:space="preserve"> autónom</w:t>
      </w:r>
      <w:r>
        <w:t>a</w:t>
      </w:r>
      <w:r w:rsidRPr="00D15CDB">
        <w:t xml:space="preserve"> local, las organizaciones no gubernamentales y las instituciones que se ocupan de los mismos temas</w:t>
      </w:r>
      <w:r>
        <w:t xml:space="preserve">, pero también </w:t>
      </w:r>
      <w:r w:rsidRPr="00D15CDB">
        <w:t>de problemas de seguridad específicos</w:t>
      </w:r>
      <w:r>
        <w:t xml:space="preserve"> y</w:t>
      </w:r>
      <w:r w:rsidRPr="00D15CDB">
        <w:t xml:space="preserve"> de la población juvenil </w:t>
      </w:r>
      <w:r>
        <w:t xml:space="preserve">involucrada </w:t>
      </w:r>
      <w:r w:rsidRPr="00D15CDB">
        <w:t>en esos problemas. Además</w:t>
      </w:r>
      <w:r>
        <w:t xml:space="preserve">, estos inspectores </w:t>
      </w:r>
      <w:r w:rsidRPr="00D15CDB">
        <w:t xml:space="preserve">participarán activamente en la realización de campañas de prevención mediante la preparación de manuales, publicaciones, folletos, </w:t>
      </w:r>
      <w:r>
        <w:t>carteles</w:t>
      </w:r>
      <w:r w:rsidRPr="00D15CDB">
        <w:t xml:space="preserve"> y otro tipo de material promocional.</w:t>
      </w:r>
    </w:p>
    <w:p w:rsidR="00F56FB4" w:rsidRPr="00D15CDB" w:rsidRDefault="00F56FB4" w:rsidP="00F56FB4">
      <w:pPr>
        <w:pStyle w:val="SingleTxtG"/>
      </w:pPr>
      <w:r w:rsidRPr="00D15CDB">
        <w:t>26.</w:t>
      </w:r>
      <w:r>
        <w:tab/>
      </w:r>
      <w:r w:rsidRPr="00D15CDB">
        <w:t>El Ministerio de Trabajo y Política Social diseña las políticas de atención y protección de los niños en la ex República Yugoslava de Macedonia sobre la base del principio del interés superior del niño, de conformidad con la Convención de las Naciones Unidas sobre los Derechos del Niño.</w:t>
      </w:r>
    </w:p>
    <w:p w:rsidR="00F56FB4" w:rsidRPr="00D15CDB" w:rsidRDefault="00F56FB4" w:rsidP="00F56FB4">
      <w:pPr>
        <w:pStyle w:val="SingleTxtG"/>
      </w:pPr>
      <w:r w:rsidRPr="00D15CDB">
        <w:t>27.</w:t>
      </w:r>
      <w:r>
        <w:tab/>
      </w:r>
      <w:r w:rsidRPr="00D15CDB">
        <w:t xml:space="preserve">Según la Constitución, la protección de los derechos e intereses del niño </w:t>
      </w:r>
      <w:r>
        <w:t>está regulada en</w:t>
      </w:r>
      <w:r w:rsidRPr="00D15CDB">
        <w:t xml:space="preserve"> la Ley de protección de la infancia, la Ley de la familia y la Ley de protección social.</w:t>
      </w:r>
    </w:p>
    <w:p w:rsidR="00F56FB4" w:rsidRPr="00D15CDB" w:rsidRDefault="00F56FB4" w:rsidP="00F56FB4">
      <w:pPr>
        <w:pStyle w:val="SingleTxtG"/>
      </w:pPr>
      <w:r w:rsidRPr="00D15CDB">
        <w:t>28.</w:t>
      </w:r>
      <w:r>
        <w:tab/>
      </w:r>
      <w:r w:rsidRPr="00D15CDB">
        <w:t xml:space="preserve">Los niños en situación de riesgo debido a relaciones familiares </w:t>
      </w:r>
      <w:r>
        <w:t xml:space="preserve">perturbadas </w:t>
      </w:r>
      <w:r w:rsidRPr="00D15CDB">
        <w:t>(niños huérfanos, privados del cuidado de sus padres, desatendidos, víctimas de abusos o socialmente desamparados), niños con problemas de comportamiento y niños con discapacidad física o mental, es decir</w:t>
      </w:r>
      <w:r>
        <w:t>,</w:t>
      </w:r>
      <w:r w:rsidRPr="00D15CDB">
        <w:t xml:space="preserve"> los niños objeto de medidas especiales de reintegración</w:t>
      </w:r>
      <w:r>
        <w:t>,</w:t>
      </w:r>
      <w:r w:rsidRPr="00D15CDB">
        <w:t xml:space="preserve"> rehabilitación e inclusión social, reciben plena protección en la ex República Yugoslava de Macedonia.</w:t>
      </w:r>
    </w:p>
    <w:p w:rsidR="00F56FB4" w:rsidRPr="00D15CDB" w:rsidRDefault="00F56FB4" w:rsidP="00F56FB4">
      <w:pPr>
        <w:pStyle w:val="SingleTxtG"/>
      </w:pPr>
      <w:r w:rsidRPr="00D15CDB">
        <w:t>29.</w:t>
      </w:r>
      <w:r>
        <w:tab/>
      </w:r>
      <w:r w:rsidRPr="00D15CDB">
        <w:t xml:space="preserve">La permanente protección de los niños en la ex República Yugoslava de Macedonia se </w:t>
      </w:r>
      <w:r>
        <w:t>lleva a cabo mediante</w:t>
      </w:r>
      <w:r w:rsidRPr="00D15CDB">
        <w:t xml:space="preserve"> un sistema organizado de medidas centradas en los niños y adaptadas a </w:t>
      </w:r>
      <w:r>
        <w:t>ellos</w:t>
      </w:r>
      <w:r w:rsidRPr="00D15CDB">
        <w:t>, que también comprende la protección de los niños implicados en conflictos armados.</w:t>
      </w:r>
    </w:p>
    <w:p w:rsidR="00F56FB4" w:rsidRPr="00D15CDB" w:rsidRDefault="00F56FB4" w:rsidP="00F56FB4">
      <w:pPr>
        <w:pStyle w:val="HChG"/>
      </w:pPr>
      <w:r>
        <w:tab/>
      </w:r>
      <w:r w:rsidRPr="00D15CDB">
        <w:t>III.</w:t>
      </w:r>
      <w:r>
        <w:tab/>
      </w:r>
      <w:r w:rsidRPr="00D15CDB">
        <w:t>Prohibiciones y otras cuestiones conexas</w:t>
      </w:r>
      <w:r>
        <w:br/>
      </w:r>
      <w:r w:rsidRPr="00D15CDB">
        <w:t>(</w:t>
      </w:r>
      <w:r>
        <w:t>a</w:t>
      </w:r>
      <w:r w:rsidRPr="00D15CDB">
        <w:t>rtículos 1, 2 y 4</w:t>
      </w:r>
      <w:r>
        <w:t>,</w:t>
      </w:r>
      <w:r w:rsidRPr="00D15CDB">
        <w:t xml:space="preserve"> párrafos 1</w:t>
      </w:r>
      <w:r w:rsidR="00A03C62">
        <w:t xml:space="preserve"> </w:t>
      </w:r>
      <w:r w:rsidRPr="00D15CDB">
        <w:t>y 2)</w:t>
      </w:r>
    </w:p>
    <w:p w:rsidR="00F56FB4" w:rsidRPr="00D15CDB" w:rsidRDefault="00F56FB4" w:rsidP="00F56FB4">
      <w:pPr>
        <w:pStyle w:val="SingleTxtG"/>
      </w:pPr>
      <w:r w:rsidRPr="00D15CDB">
        <w:t>30.</w:t>
      </w:r>
      <w:r>
        <w:tab/>
      </w:r>
      <w:r w:rsidRPr="00D15CDB">
        <w:t>La legislación de la ex República Yugoslava de Macedonia no contiene disposiciones que prevean sanciones p</w:t>
      </w:r>
      <w:r>
        <w:t>o</w:t>
      </w:r>
      <w:r w:rsidRPr="00D15CDB">
        <w:t>r la participación directa o indirecta de niños en conflictos armados</w:t>
      </w:r>
      <w:r>
        <w:t xml:space="preserve"> ni</w:t>
      </w:r>
      <w:r w:rsidRPr="00D15CDB">
        <w:t xml:space="preserve"> para las personas que los recluten, aparte de las disposiciones de la Ley de defensa que fija la edad mínima para participar en las fuerzas armadas</w:t>
      </w:r>
      <w:r>
        <w:t xml:space="preserve"> en 18 años</w:t>
      </w:r>
      <w:r w:rsidRPr="00D15CDB">
        <w:t>.</w:t>
      </w:r>
    </w:p>
    <w:p w:rsidR="00F56FB4" w:rsidRPr="00D15CDB" w:rsidRDefault="00F56FB4" w:rsidP="00F56FB4">
      <w:pPr>
        <w:pStyle w:val="SingleTxtG"/>
      </w:pPr>
      <w:r w:rsidRPr="00D15CDB">
        <w:t>31.</w:t>
      </w:r>
      <w:r>
        <w:tab/>
      </w:r>
      <w:r w:rsidRPr="00D15CDB">
        <w:t xml:space="preserve">Con el fin de castigar este tipo de </w:t>
      </w:r>
      <w:r>
        <w:t>maltrato</w:t>
      </w:r>
      <w:r w:rsidRPr="00D15CDB">
        <w:t xml:space="preserve"> de los niños y aplicar plenamente las disposiciones del Protocolo en el futuro, se otorgará </w:t>
      </w:r>
      <w:r>
        <w:t>una</w:t>
      </w:r>
      <w:r w:rsidRPr="00D15CDB">
        <w:t xml:space="preserve"> atención </w:t>
      </w:r>
      <w:r>
        <w:t xml:space="preserve">máxima </w:t>
      </w:r>
      <w:r w:rsidRPr="00D15CDB">
        <w:t xml:space="preserve">a la adopción de disposiciones que </w:t>
      </w:r>
      <w:r>
        <w:t>regulen</w:t>
      </w:r>
      <w:r w:rsidRPr="00D15CDB">
        <w:t xml:space="preserve"> esa cuestión.</w:t>
      </w:r>
    </w:p>
    <w:p w:rsidR="00F56FB4" w:rsidRPr="00D15CDB" w:rsidRDefault="00F56FB4" w:rsidP="00F56FB4">
      <w:pPr>
        <w:pStyle w:val="HChG"/>
      </w:pPr>
      <w:r>
        <w:tab/>
      </w:r>
      <w:r w:rsidRPr="00D15CDB">
        <w:t>IV.</w:t>
      </w:r>
      <w:r>
        <w:tab/>
      </w:r>
      <w:r w:rsidRPr="00D15CDB">
        <w:t>Protección</w:t>
      </w:r>
      <w:r>
        <w:t>,</w:t>
      </w:r>
      <w:r w:rsidRPr="00D15CDB">
        <w:t xml:space="preserve"> rehabilitación y reintegración</w:t>
      </w:r>
      <w:r>
        <w:br/>
      </w:r>
      <w:r w:rsidRPr="00D15CDB">
        <w:t>(</w:t>
      </w:r>
      <w:r>
        <w:t>a</w:t>
      </w:r>
      <w:r w:rsidRPr="00D15CDB">
        <w:t>rtículo 6, párrafo 3)</w:t>
      </w:r>
    </w:p>
    <w:p w:rsidR="00F56FB4" w:rsidRPr="00D15CDB" w:rsidRDefault="00F56FB4" w:rsidP="00F56FB4">
      <w:pPr>
        <w:pStyle w:val="SingleTxtG"/>
      </w:pPr>
      <w:r w:rsidRPr="00D15CDB">
        <w:t>32.</w:t>
      </w:r>
      <w:r>
        <w:tab/>
      </w:r>
      <w:r w:rsidRPr="00D15CDB">
        <w:t xml:space="preserve">De conformidad con la competencia de los órganos estatales pertinentes, se han adoptado las medidas que se enumeran a continuación para velar por el respeto del principio del interés superior del niño, protegerlo </w:t>
      </w:r>
      <w:r>
        <w:t>del maltrato</w:t>
      </w:r>
      <w:r w:rsidRPr="00D15CDB">
        <w:t xml:space="preserve"> que supondría su participación en conflictos armados y, en su caso, asegurar su</w:t>
      </w:r>
      <w:r>
        <w:t xml:space="preserve"> rehabilitación y reintegración:</w:t>
      </w:r>
    </w:p>
    <w:p w:rsidR="00F56FB4" w:rsidRPr="00D15CDB" w:rsidRDefault="00F56FB4" w:rsidP="00F56FB4">
      <w:pPr>
        <w:pStyle w:val="SingleTxtG"/>
      </w:pPr>
      <w:r>
        <w:tab/>
      </w:r>
      <w:r w:rsidRPr="00D15CDB">
        <w:t>a)</w:t>
      </w:r>
      <w:r>
        <w:tab/>
      </w:r>
      <w:r w:rsidRPr="00D15CDB">
        <w:t xml:space="preserve">Seguimiento del desarrollo social, centrado en las capacidades y </w:t>
      </w:r>
      <w:r>
        <w:t>aptitudes</w:t>
      </w:r>
      <w:r w:rsidRPr="00D15CDB">
        <w:t xml:space="preserve"> de socialización de los niños de edad preescolar y escolar, por medio de programas de colaboración entre los hogares y la escuela, que promuevan</w:t>
      </w:r>
      <w:r>
        <w:t xml:space="preserve"> la participación de los padres.</w:t>
      </w:r>
    </w:p>
    <w:p w:rsidR="00F56FB4" w:rsidRPr="00D15CDB" w:rsidRDefault="00F56FB4" w:rsidP="00F56FB4">
      <w:pPr>
        <w:pStyle w:val="SingleTxtG"/>
      </w:pPr>
      <w:r>
        <w:tab/>
      </w:r>
      <w:r w:rsidRPr="00D15CDB">
        <w:t>b)</w:t>
      </w:r>
      <w:r>
        <w:tab/>
      </w:r>
      <w:r w:rsidRPr="00D15CDB">
        <w:t>Educación de los padres, para ampliar sus aptitudes como padres y enseñarles a disciplinar a sus hijos sin utilizar la violencia, y reeducación de los padres c</w:t>
      </w:r>
      <w:r>
        <w:t>ulpables de violencia doméstica.</w:t>
      </w:r>
    </w:p>
    <w:p w:rsidR="00F56FB4" w:rsidRPr="00D15CDB" w:rsidRDefault="00F56FB4" w:rsidP="00F56FB4">
      <w:pPr>
        <w:pStyle w:val="SingleTxtG"/>
      </w:pPr>
      <w:r>
        <w:tab/>
      </w:r>
      <w:r w:rsidRPr="00D15CDB">
        <w:t>c)</w:t>
      </w:r>
      <w:r>
        <w:tab/>
      </w:r>
      <w:r w:rsidRPr="00D15CDB">
        <w:t xml:space="preserve">Programas de formación parental destinados a mejorar las relaciones emocionales entre padres </w:t>
      </w:r>
      <w:r>
        <w:t>e</w:t>
      </w:r>
      <w:r w:rsidRPr="00D15CDB">
        <w:t xml:space="preserve"> hijos, alentando a los </w:t>
      </w:r>
      <w:r>
        <w:t>primeros</w:t>
      </w:r>
      <w:r w:rsidRPr="00D15CDB">
        <w:t xml:space="preserve"> a aplicar métodos coherentes </w:t>
      </w:r>
      <w:r>
        <w:t>para el</w:t>
      </w:r>
      <w:r w:rsidRPr="00D15CDB">
        <w:t xml:space="preserve"> desarrollo del niño y fomenta</w:t>
      </w:r>
      <w:r>
        <w:t>ndo</w:t>
      </w:r>
      <w:r w:rsidRPr="00D15CDB">
        <w:t xml:space="preserve"> el autocontrol en </w:t>
      </w:r>
      <w:r>
        <w:t>la</w:t>
      </w:r>
      <w:r w:rsidRPr="00D15CDB">
        <w:t xml:space="preserve"> educación y programas de terapia familiar para mejorar las relaciones y la comunicación e</w:t>
      </w:r>
      <w:r>
        <w:t>ntre los miembros de la familia.</w:t>
      </w:r>
    </w:p>
    <w:p w:rsidR="00F56FB4" w:rsidRPr="00D15CDB" w:rsidRDefault="00F56FB4" w:rsidP="00F56FB4">
      <w:pPr>
        <w:pStyle w:val="SingleTxtG"/>
      </w:pPr>
      <w:r>
        <w:tab/>
      </w:r>
      <w:r w:rsidRPr="00D15CDB">
        <w:t>d)</w:t>
      </w:r>
      <w:r>
        <w:tab/>
      </w:r>
      <w:r w:rsidRPr="00D15CDB">
        <w:t>Programa de visitas periódicas de médicos o profesionales de la salud a los hogares que necesiten apoyo y asistencia para criar a sus hijos o a familias en las que el niño corra un riesgo probado de sufrir malos tratos. Las visitas permite</w:t>
      </w:r>
      <w:r>
        <w:t>n prevenir conductas delictivas.</w:t>
      </w:r>
    </w:p>
    <w:p w:rsidR="00F56FB4" w:rsidRPr="00D15CDB" w:rsidRDefault="00F56FB4" w:rsidP="00F56FB4">
      <w:pPr>
        <w:pStyle w:val="SingleTxtG"/>
      </w:pPr>
      <w:r>
        <w:tab/>
      </w:r>
      <w:r w:rsidRPr="00D15CDB">
        <w:t>e)</w:t>
      </w:r>
      <w:r>
        <w:tab/>
      </w:r>
      <w:r w:rsidRPr="00D15CDB">
        <w:t xml:space="preserve">Adopción de políticas y estrategias claras para combatir todas las formas de violencia contra los niños y de abuso de </w:t>
      </w:r>
      <w:r>
        <w:t>e</w:t>
      </w:r>
      <w:r w:rsidRPr="00D15CDB">
        <w:t>stos. E</w:t>
      </w:r>
      <w:r>
        <w:t>ll</w:t>
      </w:r>
      <w:r w:rsidRPr="00D15CDB">
        <w:t>o comprende la preparación de instrucciones y de protocolos de tratamiento para los niños víctimas de violencia</w:t>
      </w:r>
      <w:r>
        <w:t>, así como</w:t>
      </w:r>
      <w:r w:rsidRPr="00D15CDB">
        <w:t xml:space="preserve"> el desarrollo de servicios de prevención de la violencia y </w:t>
      </w:r>
      <w:r>
        <w:t>el</w:t>
      </w:r>
      <w:r w:rsidRPr="00D15CDB">
        <w:t xml:space="preserve"> abuso y servicios de tratamiento de las víctimas a cargo de un equipo de profesionales capacitados para registrar esos casos, remitir a los niños víctimas a la atención y prestarles esa atención.</w:t>
      </w:r>
    </w:p>
    <w:p w:rsidR="00F56FB4" w:rsidRPr="00D15CDB" w:rsidRDefault="00F56FB4" w:rsidP="00F56FB4">
      <w:pPr>
        <w:pStyle w:val="SingleTxtG"/>
      </w:pPr>
      <w:r>
        <w:tab/>
      </w:r>
      <w:r w:rsidRPr="00D15CDB">
        <w:t>f)</w:t>
      </w:r>
      <w:r>
        <w:tab/>
      </w:r>
      <w:r w:rsidRPr="00D15CDB">
        <w:t xml:space="preserve">Elaboración de directrices sobre el ejercicio de los derechos del niño en varios sectores, así como de mecanismos de cooperación entre las instituciones pertinentes, control y evaluación de la calidad de los servicios destinados a los niños víctimas de violencia o abuso </w:t>
      </w:r>
      <w:r>
        <w:t xml:space="preserve">o </w:t>
      </w:r>
      <w:r w:rsidRPr="00D15CDB">
        <w:t>que hayan participado directa o indir</w:t>
      </w:r>
      <w:r>
        <w:t>ectamente en conflictos armados.</w:t>
      </w:r>
    </w:p>
    <w:p w:rsidR="00F56FB4" w:rsidRPr="00D15CDB" w:rsidRDefault="00F56FB4" w:rsidP="00F56FB4">
      <w:pPr>
        <w:pStyle w:val="SingleTxtG"/>
      </w:pPr>
      <w:r>
        <w:tab/>
      </w:r>
      <w:r w:rsidRPr="00D15CDB">
        <w:t>g)</w:t>
      </w:r>
      <w:r>
        <w:tab/>
      </w:r>
      <w:r w:rsidRPr="00D15CDB">
        <w:t>Mejora del seguimiento de las víctimas de abuso</w:t>
      </w:r>
      <w:r>
        <w:t xml:space="preserve"> </w:t>
      </w:r>
      <w:r w:rsidRPr="00D15CDB">
        <w:t xml:space="preserve">en conflictos armados en períodos determinados y prescripción de tratamiento adicional, como procedimientos psicoterapéuticos y </w:t>
      </w:r>
      <w:bookmarkStart w:id="2" w:name="_Hlk235854290"/>
      <w:r w:rsidRPr="00D15CDB">
        <w:t>socioterapéutico</w:t>
      </w:r>
      <w:bookmarkEnd w:id="2"/>
      <w:r>
        <w:t>s</w:t>
      </w:r>
      <w:r w:rsidRPr="00D15CDB">
        <w:t xml:space="preserve"> que aseguren el desarrollo futuro </w:t>
      </w:r>
      <w:r>
        <w:t xml:space="preserve">sin trabas </w:t>
      </w:r>
      <w:r w:rsidRPr="00D15CDB">
        <w:t>d</w:t>
      </w:r>
      <w:r>
        <w:t>el niño en su entorno familiar.</w:t>
      </w:r>
    </w:p>
    <w:p w:rsidR="00F56FB4" w:rsidRPr="00D15CDB" w:rsidRDefault="00F56FB4" w:rsidP="00F56FB4">
      <w:pPr>
        <w:pStyle w:val="SingleTxtG"/>
      </w:pPr>
      <w:r w:rsidRPr="00D15CDB">
        <w:t>33.</w:t>
      </w:r>
      <w:r>
        <w:tab/>
      </w:r>
      <w:r w:rsidRPr="00D15CDB">
        <w:t xml:space="preserve">En la ex República Yugoslava de Macedonia, el marco jurídico que protege el interés superior del niño prevé numerosas medidas de protección de los niños víctimas de delitos en todas las </w:t>
      </w:r>
      <w:r>
        <w:t>fases</w:t>
      </w:r>
      <w:r w:rsidRPr="00D15CDB">
        <w:t xml:space="preserve"> del procedimiento penal.</w:t>
      </w:r>
    </w:p>
    <w:p w:rsidR="00F56FB4" w:rsidRPr="00D15CDB" w:rsidRDefault="00F56FB4" w:rsidP="00F56FB4">
      <w:pPr>
        <w:pStyle w:val="SingleTxtG"/>
      </w:pPr>
      <w:r w:rsidRPr="00D15CDB">
        <w:t>34.</w:t>
      </w:r>
      <w:r>
        <w:tab/>
      </w:r>
      <w:r w:rsidRPr="00D15CDB">
        <w:t xml:space="preserve">De conformidad con las disposiciones de la legislación pertinente de la ex República Yugoslava de Macedonia, los niños víctimas </w:t>
      </w:r>
      <w:r>
        <w:t xml:space="preserve">tienen un </w:t>
      </w:r>
      <w:r w:rsidRPr="00D15CDB">
        <w:t xml:space="preserve">representante legal, que les informa de sus derechos, papel y objetivos, </w:t>
      </w:r>
      <w:r>
        <w:t xml:space="preserve">de </w:t>
      </w:r>
      <w:r w:rsidRPr="00D15CDB">
        <w:t xml:space="preserve">las condiciones y el avance del procedimiento y de la decisión en su caso (artículo 50 de la Ley de procedimiento penal). Se prevé que: </w:t>
      </w:r>
      <w:r>
        <w:t>"</w:t>
      </w:r>
      <w:r w:rsidRPr="00D15CDB">
        <w:t>Si la parte perjudicada es menor de edad o ha sido declarada incapaz, su representante legal estará autorizado a presentar todas las declaraciones y realizar todas las actividades a las que la parte perjudicada tenga derecho en virtud de la presente ley</w:t>
      </w:r>
      <w:r>
        <w:t>"</w:t>
      </w:r>
      <w:r w:rsidRPr="00D15CDB">
        <w:t xml:space="preserve"> (artículo 60 de la Ley de procedimiento penal). </w:t>
      </w:r>
    </w:p>
    <w:p w:rsidR="00F56FB4" w:rsidRPr="00D15CDB" w:rsidRDefault="00F56FB4" w:rsidP="00F56FB4">
      <w:pPr>
        <w:pStyle w:val="SingleTxtG"/>
      </w:pPr>
      <w:r w:rsidRPr="00D15CDB">
        <w:t>35.</w:t>
      </w:r>
      <w:r>
        <w:tab/>
      </w:r>
      <w:r w:rsidRPr="00D15CDB">
        <w:t xml:space="preserve">El apoyo a los niños víctimas durante el procedimiento </w:t>
      </w:r>
      <w:r>
        <w:t>judicial</w:t>
      </w:r>
      <w:r w:rsidRPr="00D15CDB">
        <w:t xml:space="preserve"> está garantizado por la posibilidad de que: </w:t>
      </w:r>
      <w:r>
        <w:t>"</w:t>
      </w:r>
      <w:r w:rsidRPr="00D15CDB">
        <w:t xml:space="preserve">en un procedimiento iniciado por la parte perjudicada, en calidad de </w:t>
      </w:r>
      <w:r>
        <w:t>querellante</w:t>
      </w:r>
      <w:r w:rsidRPr="00D15CDB">
        <w:t xml:space="preserve">, por un delito para el cual la ley prescriba una pena de prisión </w:t>
      </w:r>
      <w:r>
        <w:t>superior</w:t>
      </w:r>
      <w:r w:rsidRPr="00D15CDB">
        <w:t xml:space="preserve"> a cinco años, el tribunal podrá, a solicitud de dicha parte y en </w:t>
      </w:r>
      <w:r>
        <w:t>interés del</w:t>
      </w:r>
      <w:r w:rsidRPr="00D15CDB">
        <w:t xml:space="preserve"> procedimiento, nombrar un abogado cuando la situación material del </w:t>
      </w:r>
      <w:r>
        <w:t>querellante</w:t>
      </w:r>
      <w:r w:rsidRPr="00D15CDB">
        <w:t xml:space="preserve"> le impida sufragarlo</w:t>
      </w:r>
      <w:r>
        <w:t>"</w:t>
      </w:r>
      <w:r w:rsidRPr="00D15CDB">
        <w:t xml:space="preserve"> (</w:t>
      </w:r>
      <w:r>
        <w:t xml:space="preserve">párrafo 2 del </w:t>
      </w:r>
      <w:r w:rsidRPr="00D15CDB">
        <w:t>artículo 61 de la Ley de procedimiento penal).</w:t>
      </w:r>
    </w:p>
    <w:p w:rsidR="00F56FB4" w:rsidRPr="00D15CDB" w:rsidRDefault="00F56FB4" w:rsidP="00F56FB4">
      <w:pPr>
        <w:pStyle w:val="SingleTxtG"/>
      </w:pPr>
      <w:r w:rsidRPr="00D15CDB">
        <w:t>36.</w:t>
      </w:r>
      <w:r>
        <w:tab/>
      </w:r>
      <w:r w:rsidRPr="00D15CDB">
        <w:t xml:space="preserve">En el caso de que el niño víctima inicie un procedimiento civil de indemnización por daños y perjuicios, las normas de procedimiento </w:t>
      </w:r>
      <w:r>
        <w:t xml:space="preserve">permiten </w:t>
      </w:r>
      <w:r w:rsidRPr="00D15CDB">
        <w:t>también exonerarlo del pago de las costas</w:t>
      </w:r>
      <w:r>
        <w:t xml:space="preserve"> y prever</w:t>
      </w:r>
      <w:r w:rsidRPr="00D15CDB">
        <w:t xml:space="preserve"> el nombramiento de un abogado </w:t>
      </w:r>
      <w:r>
        <w:t xml:space="preserve">de oficio </w:t>
      </w:r>
      <w:r w:rsidRPr="00D15CDB">
        <w:t>como representante legal (artículos 163 y 165 de la Ley de procedimiento penal</w:t>
      </w:r>
      <w:r>
        <w:t>)</w:t>
      </w:r>
      <w:r w:rsidRPr="00D15CDB">
        <w:t>.</w:t>
      </w:r>
    </w:p>
    <w:p w:rsidR="00F56FB4" w:rsidRPr="00D15CDB" w:rsidRDefault="00F56FB4" w:rsidP="00F56FB4">
      <w:pPr>
        <w:pStyle w:val="SingleTxtG"/>
      </w:pPr>
      <w:r w:rsidRPr="00D15CDB">
        <w:t>37.</w:t>
      </w:r>
      <w:r>
        <w:tab/>
      </w:r>
      <w:r w:rsidRPr="00D15CDB">
        <w:t xml:space="preserve">Por consiguiente, se garantiza a los niños víctimas de delitos asistencia profesional </w:t>
      </w:r>
      <w:r>
        <w:t xml:space="preserve">y </w:t>
      </w:r>
      <w:r w:rsidRPr="00D15CDB">
        <w:t>gratuita en todos los procedimientos civiles y penales.</w:t>
      </w:r>
    </w:p>
    <w:p w:rsidR="00F56FB4" w:rsidRPr="00D15CDB" w:rsidRDefault="00F56FB4" w:rsidP="00F56FB4">
      <w:pPr>
        <w:pStyle w:val="SingleTxtG"/>
      </w:pPr>
      <w:r w:rsidRPr="00D15CDB">
        <w:t>38.</w:t>
      </w:r>
      <w:r>
        <w:tab/>
      </w:r>
      <w:r w:rsidRPr="00D15CDB">
        <w:t xml:space="preserve">Con el fin de evitar demoras en los casos y </w:t>
      </w:r>
      <w:r>
        <w:t xml:space="preserve">en </w:t>
      </w:r>
      <w:r w:rsidRPr="00D15CDB">
        <w:t xml:space="preserve">la aplicación de las decisiones </w:t>
      </w:r>
      <w:r>
        <w:t>u</w:t>
      </w:r>
      <w:r w:rsidRPr="00D15CDB">
        <w:t xml:space="preserve"> órdenes que dispongan el pago de indemnizaciones a los niños víctimas, la Ley de procedimiento penal dispone que </w:t>
      </w:r>
      <w:r>
        <w:t>"</w:t>
      </w:r>
      <w:r w:rsidRPr="00D15CDB">
        <w:t>en el veredicto que declare culpables a los acusados</w:t>
      </w:r>
      <w:r>
        <w:t>,</w:t>
      </w:r>
      <w:r w:rsidRPr="00D15CDB">
        <w:t xml:space="preserve"> el tribunal deberá pronunciarse en </w:t>
      </w:r>
      <w:r>
        <w:t>todo o en parte</w:t>
      </w:r>
      <w:r w:rsidRPr="00D15CDB">
        <w:t xml:space="preserve"> sobre la demanda de indemnización por daños y perjuicios</w:t>
      </w:r>
      <w:r>
        <w:t>" (art. 102, párr.</w:t>
      </w:r>
      <w:r w:rsidRPr="00D15CDB">
        <w:t xml:space="preserve"> 2).</w:t>
      </w:r>
      <w:r>
        <w:t xml:space="preserve"> </w:t>
      </w:r>
    </w:p>
    <w:p w:rsidR="00F56FB4" w:rsidRPr="00D15CDB" w:rsidRDefault="00F56FB4" w:rsidP="00F56FB4">
      <w:pPr>
        <w:pStyle w:val="SingleTxtG"/>
      </w:pPr>
      <w:r w:rsidRPr="00D15CDB">
        <w:t>39.</w:t>
      </w:r>
      <w:r>
        <w:tab/>
      </w:r>
      <w:r w:rsidRPr="00D15CDB">
        <w:t xml:space="preserve">La </w:t>
      </w:r>
      <w:r>
        <w:t>incertidumbre sobre</w:t>
      </w:r>
      <w:r w:rsidRPr="00D15CDB">
        <w:t xml:space="preserve"> la edad exacta de las víctimas no puede impedir el inicio de una investigación penal</w:t>
      </w:r>
      <w:r>
        <w:t>. Esa investigación penal abarcará</w:t>
      </w:r>
      <w:r w:rsidRPr="00D15CDB">
        <w:t xml:space="preserve"> la investigación destinada a establecer la edad de la víctima. A este respecto, la Ley de procedimiento penal dispone que se lleve a cabo un procedimiento de </w:t>
      </w:r>
      <w:r>
        <w:t>instrucción</w:t>
      </w:r>
      <w:r w:rsidRPr="00D15CDB">
        <w:t xml:space="preserve"> en el que el </w:t>
      </w:r>
      <w:r>
        <w:t>"</w:t>
      </w:r>
      <w:r w:rsidRPr="00D15CDB">
        <w:t xml:space="preserve">Ministerio del Interior </w:t>
      </w:r>
      <w:r>
        <w:t>podrá</w:t>
      </w:r>
      <w:r w:rsidRPr="00D15CDB">
        <w:t xml:space="preserve"> adoptar las medidas necesarias para </w:t>
      </w:r>
      <w:r>
        <w:t xml:space="preserve">la </w:t>
      </w:r>
      <w:r w:rsidRPr="00D15CDB">
        <w:t>identifica</w:t>
      </w:r>
      <w:r>
        <w:t>ción de</w:t>
      </w:r>
      <w:r w:rsidRPr="00D15CDB">
        <w:t xml:space="preserve"> las personas y los objetos</w:t>
      </w:r>
      <w:r>
        <w:t>"</w:t>
      </w:r>
      <w:r w:rsidRPr="00D15CDB">
        <w:t xml:space="preserve"> (art</w:t>
      </w:r>
      <w:r>
        <w:t>.</w:t>
      </w:r>
      <w:r w:rsidRPr="00D15CDB">
        <w:t xml:space="preserve"> 144, párr</w:t>
      </w:r>
      <w:r>
        <w:t>.</w:t>
      </w:r>
      <w:r w:rsidRPr="00D15CDB">
        <w:t xml:space="preserve"> 2, </w:t>
      </w:r>
      <w:r>
        <w:t>apartado</w:t>
      </w:r>
      <w:r w:rsidRPr="00D15CDB">
        <w:t xml:space="preserve"> 4). En este caso, la determinación de la identidad y la edad de la víctima no es una condición para el inicio de la investigación, sino una de las muchas medidas de </w:t>
      </w:r>
      <w:r>
        <w:t>instrucción</w:t>
      </w:r>
      <w:r w:rsidRPr="00D15CDB">
        <w:t xml:space="preserve"> y de investigación previstas.</w:t>
      </w:r>
    </w:p>
    <w:p w:rsidR="00F56FB4" w:rsidRPr="00D15CDB" w:rsidRDefault="00F56FB4" w:rsidP="00F56FB4">
      <w:pPr>
        <w:pStyle w:val="SingleTxtG"/>
      </w:pPr>
      <w:r w:rsidRPr="00D15CDB">
        <w:t>40.</w:t>
      </w:r>
      <w:r>
        <w:tab/>
      </w:r>
      <w:r w:rsidRPr="00D15CDB">
        <w:t>En los procedimientos en que intervienen niños víctimas</w:t>
      </w:r>
      <w:r>
        <w:t xml:space="preserve"> de delitos</w:t>
      </w:r>
      <w:r w:rsidRPr="00D15CDB">
        <w:t xml:space="preserve">, se presta especial atención a las disposiciones de la Ley </w:t>
      </w:r>
      <w:r>
        <w:t>de</w:t>
      </w:r>
      <w:r w:rsidRPr="00D15CDB">
        <w:t xml:space="preserve"> procedimiento penal que define</w:t>
      </w:r>
      <w:r>
        <w:t>n</w:t>
      </w:r>
      <w:r w:rsidRPr="00D15CDB">
        <w:t xml:space="preserve"> la figura de protección de los testigos, </w:t>
      </w:r>
      <w:r>
        <w:t xml:space="preserve">de </w:t>
      </w:r>
      <w:r w:rsidRPr="00D15CDB">
        <w:t xml:space="preserve">las personas que colaboran con la justicia y </w:t>
      </w:r>
      <w:r>
        <w:t xml:space="preserve">de </w:t>
      </w:r>
      <w:r w:rsidRPr="00D15CDB">
        <w:t>las víctimas, así como a las disposiciones de la Ley de protección de testigos.</w:t>
      </w:r>
    </w:p>
    <w:p w:rsidR="00F56FB4" w:rsidRPr="00D15CDB" w:rsidRDefault="00F56FB4" w:rsidP="00F56FB4">
      <w:pPr>
        <w:pStyle w:val="SingleTxtG"/>
      </w:pPr>
      <w:r w:rsidRPr="00D15CDB">
        <w:t>41.</w:t>
      </w:r>
      <w:r>
        <w:tab/>
      </w:r>
      <w:r w:rsidRPr="00D15CDB">
        <w:t xml:space="preserve">En el contexto de las actividades </w:t>
      </w:r>
      <w:r>
        <w:t>emprendidas para enmendar</w:t>
      </w:r>
      <w:r w:rsidRPr="00D15CDB">
        <w:t xml:space="preserve"> y comple</w:t>
      </w:r>
      <w:r>
        <w:t>tar</w:t>
      </w:r>
      <w:r w:rsidRPr="00D15CDB">
        <w:t xml:space="preserve"> la legislación penal con el fin de proteger a los menores víctimas de la trata de seres humanos, violencia o abuso sexual se prevé que la audiencia de las víctimas esté a cargo del juez de instrucción, un pedagogo, un </w:t>
      </w:r>
      <w:r>
        <w:t>p</w:t>
      </w:r>
      <w:r w:rsidRPr="00D15CDB">
        <w:t xml:space="preserve">sicólogo u otro profesional. El tribunal podrá decidir que la audiencia se grabe en un soporte audiovisual y utilizar la grabación como prueba en el juicio o que las declaraciones del testigo se sigan en </w:t>
      </w:r>
      <w:r>
        <w:t>directo a través</w:t>
      </w:r>
      <w:r w:rsidRPr="00D15CDB">
        <w:t xml:space="preserve"> de medios técnicos de comunicación (videoconferencia u otro tipo de </w:t>
      </w:r>
      <w:r>
        <w:t>enlace</w:t>
      </w:r>
      <w:r w:rsidRPr="00D15CDB">
        <w:t xml:space="preserve"> vídeo).</w:t>
      </w:r>
    </w:p>
    <w:p w:rsidR="00F56FB4" w:rsidRPr="00D15CDB" w:rsidRDefault="00F56FB4" w:rsidP="00F56FB4">
      <w:pPr>
        <w:pStyle w:val="SingleTxtG"/>
      </w:pPr>
      <w:r w:rsidRPr="00D15CDB">
        <w:t>42.</w:t>
      </w:r>
      <w:r>
        <w:tab/>
      </w:r>
      <w:r w:rsidRPr="00D15CDB">
        <w:t xml:space="preserve">La nueva Ley de justicia </w:t>
      </w:r>
      <w:r>
        <w:t>de menores</w:t>
      </w:r>
      <w:r w:rsidRPr="00D15CDB">
        <w:t xml:space="preserve"> (aprobada en julio de 2007 y que entrará en vigor el 1º de enero de 2009) dispone que los funcionarios que participen en los procedimientos con niños víctimas deberán tener conocimientos especializados y experiencia en </w:t>
      </w:r>
      <w:r>
        <w:t>materia</w:t>
      </w:r>
      <w:r w:rsidRPr="00D15CDB">
        <w:t xml:space="preserve"> de derechos del niño. Por consiguiente</w:t>
      </w:r>
      <w:r>
        <w:t>,</w:t>
      </w:r>
      <w:r w:rsidRPr="00D15CDB">
        <w:t xml:space="preserve"> los jueces, fiscales, abogados, funcionarios del Ministerio del Interior y trabajadores sociales deben recibir formación especial y adquirir </w:t>
      </w:r>
      <w:r>
        <w:t>conocimientos</w:t>
      </w:r>
      <w:r w:rsidRPr="00D15CDB">
        <w:t xml:space="preserve"> que les permitan brindar la protección y </w:t>
      </w:r>
      <w:r>
        <w:t xml:space="preserve">la </w:t>
      </w:r>
      <w:r w:rsidRPr="00D15CDB">
        <w:t>atención adecuadas a los niños víctimas de delitos.</w:t>
      </w:r>
    </w:p>
    <w:p w:rsidR="00F56FB4" w:rsidRPr="00D15CDB" w:rsidRDefault="00F56FB4" w:rsidP="00F56FB4">
      <w:pPr>
        <w:pStyle w:val="SingleTxtG"/>
      </w:pPr>
      <w:r w:rsidRPr="00D15CDB">
        <w:t>43.</w:t>
      </w:r>
      <w:r>
        <w:tab/>
      </w:r>
      <w:r w:rsidRPr="00D15CDB">
        <w:t xml:space="preserve">La Ley de justicia </w:t>
      </w:r>
      <w:r>
        <w:t>de menores</w:t>
      </w:r>
      <w:r w:rsidRPr="00D15CDB">
        <w:t xml:space="preserve"> prevé una protección especial para los niños en situación de riesgo, esto </w:t>
      </w:r>
      <w:r>
        <w:t xml:space="preserve">es, </w:t>
      </w:r>
      <w:r w:rsidRPr="00D15CDB">
        <w:t xml:space="preserve">niños que usen </w:t>
      </w:r>
      <w:r>
        <w:t>"</w:t>
      </w:r>
      <w:r w:rsidRPr="00D15CDB">
        <w:t xml:space="preserve">drogas, substancias psicotrópicas o alcohol, tengan problemas de desarrollo o sufran violencia o descuido educativo y social, en una </w:t>
      </w:r>
      <w:r>
        <w:t xml:space="preserve">contexto en el </w:t>
      </w:r>
      <w:r w:rsidRPr="00D15CDB">
        <w:t xml:space="preserve">que resulte difícil o imposible que la familia desempeñe su función educativa y en </w:t>
      </w:r>
      <w:r>
        <w:t>el</w:t>
      </w:r>
      <w:r w:rsidRPr="00D15CDB">
        <w:t xml:space="preserve"> que, por consiguiente</w:t>
      </w:r>
      <w:r>
        <w:t>,</w:t>
      </w:r>
      <w:r w:rsidRPr="00D15CDB">
        <w:t xml:space="preserve"> el niño se encuentre o pueda encontrarse en conflicto con la ley</w:t>
      </w:r>
      <w:r>
        <w:t>"</w:t>
      </w:r>
      <w:r w:rsidRPr="00D15CDB">
        <w:t xml:space="preserve"> (art</w:t>
      </w:r>
      <w:r>
        <w:t xml:space="preserve">. </w:t>
      </w:r>
      <w:r w:rsidRPr="00D15CDB">
        <w:t>12). Se prevé un procedimiento especial articulado en torno al centro de acción social que, en cooperación con otras instituciones pertinentes, adopta</w:t>
      </w:r>
      <w:r>
        <w:t>rá</w:t>
      </w:r>
      <w:r w:rsidRPr="00D15CDB">
        <w:t xml:space="preserve"> las medidas </w:t>
      </w:r>
      <w:r>
        <w:t xml:space="preserve">necesarias </w:t>
      </w:r>
      <w:r w:rsidRPr="00D15CDB">
        <w:t xml:space="preserve">de protección </w:t>
      </w:r>
      <w:r>
        <w:t>de</w:t>
      </w:r>
      <w:r w:rsidRPr="00D15CDB">
        <w:t xml:space="preserve"> esas personas.</w:t>
      </w:r>
    </w:p>
    <w:p w:rsidR="00F56FB4" w:rsidRPr="00D15CDB" w:rsidRDefault="00F56FB4" w:rsidP="00F56FB4">
      <w:pPr>
        <w:pStyle w:val="SingleTxtG"/>
      </w:pPr>
      <w:r w:rsidRPr="00D15CDB">
        <w:t>44.</w:t>
      </w:r>
      <w:r>
        <w:tab/>
        <w:t>La l</w:t>
      </w:r>
      <w:r w:rsidRPr="00D15CDB">
        <w:t xml:space="preserve">ey dispone que los procedimientos por delitos en los que la víctima es menor de edad son urgentes. A este respecto, el menor víctima sólo será oído como testigo si esto no tiene un efecto negativo en su desarrollo psicosocial. El menor podrá declarar dos veces como testigo y, excepcionalmente, tres. Según su edad y </w:t>
      </w:r>
      <w:r>
        <w:t>grado</w:t>
      </w:r>
      <w:r w:rsidRPr="00D15CDB">
        <w:t xml:space="preserve"> de desarrollo, el tribunal celebrará la audiencia en presencia de un psicólogo, un pedagogo u otro profesional. La audiencia podrá </w:t>
      </w:r>
      <w:r>
        <w:t>tener lugar a través</w:t>
      </w:r>
      <w:r w:rsidRPr="00D15CDB">
        <w:t xml:space="preserve"> de medios técnicos de transmisión de imagen y sonido</w:t>
      </w:r>
      <w:r>
        <w:t xml:space="preserve"> fuera de</w:t>
      </w:r>
      <w:r w:rsidRPr="00D15CDB">
        <w:t xml:space="preserve"> la presencia de las partes y demás personas </w:t>
      </w:r>
      <w:r>
        <w:t xml:space="preserve">que intervienen </w:t>
      </w:r>
      <w:r w:rsidRPr="00D15CDB">
        <w:t xml:space="preserve">en el procedimiento, en una </w:t>
      </w:r>
      <w:r>
        <w:t>sala</w:t>
      </w:r>
      <w:r w:rsidRPr="00D15CDB">
        <w:t xml:space="preserve"> aparte, y las preguntas se harán </w:t>
      </w:r>
      <w:r>
        <w:t xml:space="preserve">en ese caso </w:t>
      </w:r>
      <w:r w:rsidRPr="00D15CDB">
        <w:t xml:space="preserve">por intermedio del pedagogo, psicólogo </w:t>
      </w:r>
      <w:r>
        <w:t xml:space="preserve">u </w:t>
      </w:r>
      <w:r w:rsidRPr="00D15CDB">
        <w:t>o</w:t>
      </w:r>
      <w:r>
        <w:t>tro</w:t>
      </w:r>
      <w:r w:rsidRPr="00D15CDB">
        <w:t xml:space="preserve"> profesional (art</w:t>
      </w:r>
      <w:r>
        <w:t xml:space="preserve">. </w:t>
      </w:r>
      <w:r w:rsidRPr="00D15CDB">
        <w:t>138).</w:t>
      </w:r>
    </w:p>
    <w:p w:rsidR="00F56FB4" w:rsidRPr="00D15CDB" w:rsidRDefault="00F56FB4" w:rsidP="00F56FB4">
      <w:pPr>
        <w:pStyle w:val="SingleTxtG"/>
      </w:pPr>
      <w:r w:rsidRPr="00D15CDB">
        <w:t>45.</w:t>
      </w:r>
      <w:r>
        <w:tab/>
      </w:r>
      <w:r w:rsidRPr="00D15CDB">
        <w:t>La víctima debe</w:t>
      </w:r>
      <w:r>
        <w:t>rá</w:t>
      </w:r>
      <w:r w:rsidRPr="00D15CDB">
        <w:t xml:space="preserve"> tener un representante en la primera audiencia del acusado. En ausencia</w:t>
      </w:r>
      <w:r>
        <w:t xml:space="preserve"> de ese representante</w:t>
      </w:r>
      <w:r w:rsidRPr="00D15CDB">
        <w:t>, el Presidente del tribunal le asignará uno de oficio</w:t>
      </w:r>
      <w:r>
        <w:t xml:space="preserve"> y el coste de esa representación legal se sufragará con</w:t>
      </w:r>
      <w:r w:rsidRPr="00D15CDB">
        <w:t xml:space="preserve"> el presupuesto del tribunal.</w:t>
      </w:r>
    </w:p>
    <w:p w:rsidR="00F56FB4" w:rsidRPr="00D15CDB" w:rsidRDefault="00F56FB4" w:rsidP="00F56FB4">
      <w:pPr>
        <w:pStyle w:val="SingleTxtG"/>
      </w:pPr>
      <w:r w:rsidRPr="00D15CDB">
        <w:t>46.</w:t>
      </w:r>
      <w:r>
        <w:tab/>
      </w:r>
      <w:r w:rsidRPr="00D15CDB">
        <w:t xml:space="preserve">Se planea establecer un </w:t>
      </w:r>
      <w:r>
        <w:t>f</w:t>
      </w:r>
      <w:r w:rsidRPr="00D15CDB">
        <w:t xml:space="preserve">ondo de indemnización para pagar indemnizaciones por daños y perjuicios a </w:t>
      </w:r>
      <w:r>
        <w:t>los menores</w:t>
      </w:r>
      <w:r w:rsidRPr="00D15CDB">
        <w:t xml:space="preserve"> víctimas o </w:t>
      </w:r>
      <w:r>
        <w:t xml:space="preserve">que hayan sido perjudicados </w:t>
      </w:r>
      <w:r w:rsidRPr="00D15CDB">
        <w:t xml:space="preserve">por </w:t>
      </w:r>
      <w:r>
        <w:t>un</w:t>
      </w:r>
      <w:r w:rsidRPr="00D15CDB">
        <w:t xml:space="preserve"> delito de violencia u otros delitos de violencia individual</w:t>
      </w:r>
      <w:r>
        <w:t xml:space="preserve"> o colectiva</w:t>
      </w:r>
      <w:r w:rsidRPr="00D15CDB">
        <w:t xml:space="preserve">. El Fondo recibirá el 2% de los fondos del presupuesto de la ex República Yugoslava de Macedonia recaudados por concepto de multas impuestas por los tribunales por delitos y </w:t>
      </w:r>
      <w:r>
        <w:t>faltas y</w:t>
      </w:r>
      <w:r w:rsidRPr="00D15CDB">
        <w:t xml:space="preserve"> pagadas el año anterior (art</w:t>
      </w:r>
      <w:r>
        <w:t xml:space="preserve">. </w:t>
      </w:r>
      <w:r w:rsidRPr="00D15CDB">
        <w:t xml:space="preserve">141). Cuando en sentencia </w:t>
      </w:r>
      <w:r>
        <w:t>firme</w:t>
      </w:r>
      <w:r w:rsidRPr="00D15CDB">
        <w:t xml:space="preserve"> se haya establecido que un menor ha sido víctima de un delito </w:t>
      </w:r>
      <w:r>
        <w:t>—</w:t>
      </w:r>
      <w:r w:rsidRPr="00D15CDB">
        <w:t>es decir, que se ha visto perjudicado por el delito de violencia u otros delitos de violencia</w:t>
      </w:r>
      <w:r>
        <w:t>—</w:t>
      </w:r>
      <w:r w:rsidRPr="00D15CDB">
        <w:t xml:space="preserve"> y, después del segundo intento, no se pueda obtener el pago de la indemnización por daños y perjuicios </w:t>
      </w:r>
      <w:r>
        <w:t>con cargo a</w:t>
      </w:r>
      <w:r w:rsidRPr="00D15CDB">
        <w:t xml:space="preserve"> la propiedad del culpable, la víctima podrá presentar una demanda de indemnización por daños y perjuicios al Fondo de indemnización por conducto del tribunal pertinente (art</w:t>
      </w:r>
      <w:r>
        <w:t xml:space="preserve">. </w:t>
      </w:r>
      <w:r w:rsidRPr="00D15CDB">
        <w:t xml:space="preserve">142). </w:t>
      </w:r>
    </w:p>
    <w:p w:rsidR="00F56FB4" w:rsidRPr="00D15CDB" w:rsidRDefault="00F56FB4" w:rsidP="00F56FB4">
      <w:pPr>
        <w:pStyle w:val="HChG"/>
      </w:pPr>
      <w:r>
        <w:tab/>
      </w:r>
      <w:r w:rsidRPr="00D15CDB">
        <w:t>V.</w:t>
      </w:r>
      <w:r>
        <w:tab/>
      </w:r>
      <w:r w:rsidRPr="00D15CDB">
        <w:t>Asistencia y cooperación internacional</w:t>
      </w:r>
      <w:r>
        <w:br/>
      </w:r>
      <w:r w:rsidRPr="00D15CDB">
        <w:t>(</w:t>
      </w:r>
      <w:r>
        <w:t>a</w:t>
      </w:r>
      <w:r w:rsidRPr="00D15CDB">
        <w:t>rtículo 7, párrafo 1)</w:t>
      </w:r>
    </w:p>
    <w:p w:rsidR="00F56FB4" w:rsidRPr="00D15CDB" w:rsidRDefault="00F56FB4" w:rsidP="00F56FB4">
      <w:pPr>
        <w:pStyle w:val="SingleTxtG"/>
      </w:pPr>
      <w:r w:rsidRPr="00D15CDB">
        <w:t>47.</w:t>
      </w:r>
      <w:r>
        <w:tab/>
      </w:r>
      <w:r w:rsidRPr="00D15CDB">
        <w:t xml:space="preserve">La ex República Yugoslava de Macedonia ha demostrado claramente su voluntad de apoyar, a nivel nacional y mundial, la lucha contra el </w:t>
      </w:r>
      <w:r>
        <w:t xml:space="preserve">maltrato </w:t>
      </w:r>
      <w:r w:rsidRPr="00D15CDB">
        <w:t xml:space="preserve">de niños que constituye su participación directa o indirecta en conflictos armados. </w:t>
      </w:r>
    </w:p>
    <w:p w:rsidR="00F56FB4" w:rsidRPr="00D15CDB" w:rsidRDefault="00F56FB4" w:rsidP="00F56FB4">
      <w:pPr>
        <w:pStyle w:val="SingleTxtG"/>
      </w:pPr>
      <w:r w:rsidRPr="00D15CDB">
        <w:t>48.</w:t>
      </w:r>
      <w:r>
        <w:tab/>
      </w:r>
      <w:r w:rsidRPr="00D15CDB">
        <w:t xml:space="preserve">En concreto, en la reunión sobre los niños soldado </w:t>
      </w:r>
      <w:r>
        <w:t>que tuvo lugar</w:t>
      </w:r>
      <w:r w:rsidRPr="00D15CDB">
        <w:t xml:space="preserve"> el 26 de septiembre de 2008 en Nueva York paralelamente a la Asamblea General de las Naciones Unidas, la ex República Yugoslava de Macedonia apoyó el compromiso adoptado en la Conferencia de París denominada </w:t>
      </w:r>
      <w:r>
        <w:t>"</w:t>
      </w:r>
      <w:r w:rsidRPr="00D15CDB">
        <w:t>Liberemos a los niños de la guerra</w:t>
      </w:r>
      <w:r>
        <w:t>"</w:t>
      </w:r>
      <w:r w:rsidRPr="00D15CDB">
        <w:t xml:space="preserve"> </w:t>
      </w:r>
      <w:r>
        <w:t>celebrada</w:t>
      </w:r>
      <w:r w:rsidRPr="00D15CDB">
        <w:t xml:space="preserve"> el año pasado y pasó a integrar el grupo de 76 países que adhirieron al compromiso.</w:t>
      </w:r>
    </w:p>
    <w:p w:rsidR="00F56FB4" w:rsidRPr="00D15CDB" w:rsidRDefault="00F56FB4" w:rsidP="00F56FB4">
      <w:pPr>
        <w:pStyle w:val="SingleTxtG"/>
      </w:pPr>
      <w:r w:rsidRPr="00D15CDB">
        <w:t>49.</w:t>
      </w:r>
      <w:r>
        <w:tab/>
        <w:t>Además</w:t>
      </w:r>
      <w:r w:rsidRPr="00D15CDB">
        <w:t xml:space="preserve">, la ex República Yugoslava de Macedonia apoya firmemente la labor </w:t>
      </w:r>
      <w:r>
        <w:t xml:space="preserve">del </w:t>
      </w:r>
      <w:r w:rsidRPr="00D15CDB">
        <w:t>Grupo de Trabajo del Consejo de Seguridad sobre los niños y los conflictos armados y del Representante Especial del Secretario General para la cuestión de los niños y los conflictos armados</w:t>
      </w:r>
      <w:r>
        <w:t>.</w:t>
      </w:r>
    </w:p>
    <w:p w:rsidR="00F56FB4" w:rsidRPr="00D15CDB" w:rsidRDefault="00F56FB4" w:rsidP="00F56FB4">
      <w:pPr>
        <w:pStyle w:val="HChG"/>
      </w:pPr>
      <w:r>
        <w:tab/>
      </w:r>
      <w:r w:rsidRPr="00D15CDB">
        <w:t>VI.</w:t>
      </w:r>
      <w:r>
        <w:tab/>
      </w:r>
      <w:r w:rsidRPr="00D15CDB">
        <w:t>Otras disposiciones legales</w:t>
      </w:r>
      <w:r>
        <w:br/>
      </w:r>
      <w:r w:rsidRPr="00D15CDB">
        <w:t>(</w:t>
      </w:r>
      <w:r>
        <w:t>ar</w:t>
      </w:r>
      <w:r w:rsidRPr="00D15CDB">
        <w:t>tículo 5)</w:t>
      </w:r>
    </w:p>
    <w:p w:rsidR="00F56FB4" w:rsidRDefault="00F56FB4" w:rsidP="00F56FB4">
      <w:pPr>
        <w:pStyle w:val="SingleTxtG"/>
        <w:spacing w:after="240"/>
      </w:pPr>
      <w:r w:rsidRPr="00D15CDB">
        <w:t>50.</w:t>
      </w:r>
      <w:r>
        <w:tab/>
      </w:r>
      <w:r w:rsidRPr="00D15CDB">
        <w:t xml:space="preserve">Además de la Ley de defensa y la Ley de servicio militar de la ex República Yugoslava de Macedonia, también son importantes en lo que hace a la protección de </w:t>
      </w:r>
      <w:r>
        <w:t xml:space="preserve">los </w:t>
      </w:r>
      <w:r w:rsidRPr="00D15CDB">
        <w:t xml:space="preserve">niños menores de 18 años y </w:t>
      </w:r>
      <w:r>
        <w:t xml:space="preserve">a </w:t>
      </w:r>
      <w:r w:rsidRPr="00D15CDB">
        <w:t>la prevención de su participación en conflictos armados o similares las siguientes leyes: Ley de protección de testigos (</w:t>
      </w:r>
      <w:r w:rsidRPr="00E5010E">
        <w:rPr>
          <w:i/>
        </w:rPr>
        <w:t>Diario Oficial</w:t>
      </w:r>
      <w:r w:rsidRPr="00D15CDB">
        <w:t xml:space="preserve"> de la ex República Yugoslava de Macedonia N</w:t>
      </w:r>
      <w:r>
        <w:t>º</w:t>
      </w:r>
      <w:r w:rsidRPr="00D15CDB">
        <w:t xml:space="preserve"> 67/2005, de 26 de mayo de 2005</w:t>
      </w:r>
      <w:r>
        <w:t xml:space="preserve">, </w:t>
      </w:r>
      <w:r w:rsidRPr="00D15CDB">
        <w:t>y N</w:t>
      </w:r>
      <w:r>
        <w:t xml:space="preserve">º </w:t>
      </w:r>
      <w:r w:rsidRPr="00D15CDB">
        <w:t>58/05, de 19 de julio de 2005); Ley de procedimiento penal (texto revisado) (</w:t>
      </w:r>
      <w:r w:rsidRPr="00E5010E">
        <w:rPr>
          <w:i/>
        </w:rPr>
        <w:t>Diario Oficial</w:t>
      </w:r>
      <w:r w:rsidRPr="00D15CDB">
        <w:t xml:space="preserve"> Nº 15/05 de fecha 7 de marzo de 2005); Ley de justicia </w:t>
      </w:r>
      <w:r>
        <w:t>de menores</w:t>
      </w:r>
      <w:r w:rsidRPr="00D15CDB">
        <w:t xml:space="preserve"> (</w:t>
      </w:r>
      <w:r w:rsidRPr="00E5010E">
        <w:rPr>
          <w:i/>
        </w:rPr>
        <w:t>Diario Oficial</w:t>
      </w:r>
      <w:r>
        <w:t xml:space="preserve"> </w:t>
      </w:r>
      <w:r w:rsidRPr="00D15CDB">
        <w:t>Nº 87/07, de fecha 12 de julio de 2007); Código Penal (</w:t>
      </w:r>
      <w:r w:rsidRPr="00E5010E">
        <w:rPr>
          <w:i/>
        </w:rPr>
        <w:t>Diario Oficial</w:t>
      </w:r>
      <w:r w:rsidRPr="00D15CDB">
        <w:t xml:space="preserve"> N</w:t>
      </w:r>
      <w:r>
        <w:t>os.</w:t>
      </w:r>
      <w:r w:rsidRPr="00D15CDB">
        <w:t xml:space="preserve"> 37/96, 80/99,</w:t>
      </w:r>
      <w:r>
        <w:t xml:space="preserve"> </w:t>
      </w:r>
      <w:r w:rsidRPr="00D15CDB">
        <w:t>4/02,</w:t>
      </w:r>
      <w:r>
        <w:t xml:space="preserve"> </w:t>
      </w:r>
      <w:r w:rsidRPr="00D15CDB">
        <w:t>43/03,</w:t>
      </w:r>
      <w:r>
        <w:t xml:space="preserve"> </w:t>
      </w:r>
      <w:r w:rsidRPr="00D15CDB">
        <w:t xml:space="preserve">19/04 y 81/05, 60/2006, 73/2006 y </w:t>
      </w:r>
      <w:r>
        <w:t xml:space="preserve">la </w:t>
      </w:r>
      <w:r w:rsidRPr="00D15CDB">
        <w:t>decisi</w:t>
      </w:r>
      <w:r>
        <w:t>ón</w:t>
      </w:r>
      <w:r w:rsidRPr="00D15CDB">
        <w:t xml:space="preserve"> del Tribunal Constitucional Nº U228/2005-0-1).</w:t>
      </w:r>
    </w:p>
    <w:p w:rsidR="00F56FB4" w:rsidRPr="0089622F" w:rsidRDefault="00F56FB4" w:rsidP="00F56FB4">
      <w:pPr>
        <w:pStyle w:val="SingleTxtG"/>
        <w:jc w:val="center"/>
        <w:rPr>
          <w:u w:val="single"/>
        </w:rPr>
      </w:pPr>
      <w:r>
        <w:rPr>
          <w:u w:val="single"/>
        </w:rPr>
        <w:tab/>
      </w:r>
      <w:r>
        <w:rPr>
          <w:u w:val="single"/>
        </w:rPr>
        <w:tab/>
      </w:r>
      <w:r>
        <w:rPr>
          <w:u w:val="single"/>
        </w:rPr>
        <w:tab/>
      </w:r>
    </w:p>
    <w:p w:rsidR="00400A73" w:rsidRDefault="00400A73" w:rsidP="001075E9"/>
    <w:p w:rsidR="00381C24" w:rsidRPr="001075E9" w:rsidRDefault="00381C24" w:rsidP="001075E9"/>
    <w:sectPr w:rsidR="00381C24" w:rsidRPr="001075E9" w:rsidSect="00400A73">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54F9" w:rsidRDefault="00E154F9">
      <w:r>
        <w:separator/>
      </w:r>
    </w:p>
  </w:endnote>
  <w:endnote w:type="continuationSeparator" w:id="0">
    <w:p w:rsidR="00E154F9" w:rsidRDefault="00E15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A73" w:rsidRPr="00400A73" w:rsidRDefault="00400A73" w:rsidP="00400A73">
    <w:pPr>
      <w:pStyle w:val="Footer"/>
      <w:tabs>
        <w:tab w:val="right" w:pos="9598"/>
      </w:tabs>
    </w:pPr>
    <w:r w:rsidRPr="00400A73">
      <w:rPr>
        <w:b/>
        <w:sz w:val="18"/>
      </w:rPr>
      <w:fldChar w:fldCharType="begin"/>
    </w:r>
    <w:r w:rsidRPr="00400A73">
      <w:rPr>
        <w:b/>
        <w:sz w:val="18"/>
      </w:rPr>
      <w:instrText xml:space="preserve"> PAGE  \* MERGEFORMAT </w:instrText>
    </w:r>
    <w:r w:rsidRPr="00400A73">
      <w:rPr>
        <w:b/>
        <w:sz w:val="18"/>
      </w:rPr>
      <w:fldChar w:fldCharType="separate"/>
    </w:r>
    <w:r w:rsidR="00B21C6B">
      <w:rPr>
        <w:b/>
        <w:noProof/>
        <w:sz w:val="18"/>
      </w:rPr>
      <w:t>8</w:t>
    </w:r>
    <w:r w:rsidRPr="00400A73">
      <w:rPr>
        <w:b/>
        <w:sz w:val="18"/>
      </w:rPr>
      <w:fldChar w:fldCharType="end"/>
    </w:r>
    <w:r>
      <w:rPr>
        <w:b/>
        <w:sz w:val="18"/>
      </w:rPr>
      <w:tab/>
    </w:r>
    <w:r>
      <w:t>GE.09-42836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A73" w:rsidRPr="00400A73" w:rsidRDefault="00400A73" w:rsidP="00400A73">
    <w:pPr>
      <w:pStyle w:val="Footer"/>
      <w:tabs>
        <w:tab w:val="right" w:pos="9598"/>
      </w:tabs>
      <w:rPr>
        <w:b/>
        <w:sz w:val="18"/>
      </w:rPr>
    </w:pPr>
    <w:r>
      <w:t>GE.09-42836</w:t>
    </w:r>
    <w:r>
      <w:tab/>
    </w:r>
    <w:r w:rsidRPr="00400A73">
      <w:rPr>
        <w:b/>
        <w:sz w:val="18"/>
      </w:rPr>
      <w:fldChar w:fldCharType="begin"/>
    </w:r>
    <w:r w:rsidRPr="00400A73">
      <w:rPr>
        <w:b/>
        <w:sz w:val="18"/>
      </w:rPr>
      <w:instrText xml:space="preserve"> PAGE  \* MERGEFORMAT </w:instrText>
    </w:r>
    <w:r w:rsidRPr="00400A73">
      <w:rPr>
        <w:b/>
        <w:sz w:val="18"/>
      </w:rPr>
      <w:fldChar w:fldCharType="separate"/>
    </w:r>
    <w:r w:rsidR="00B21C6B">
      <w:rPr>
        <w:b/>
        <w:noProof/>
        <w:sz w:val="18"/>
      </w:rPr>
      <w:t>9</w:t>
    </w:r>
    <w:r w:rsidRPr="00400A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0CE" w:rsidRDefault="00400A73" w:rsidP="00C0422A">
    <w:pPr>
      <w:pStyle w:val="Footer"/>
      <w:tabs>
        <w:tab w:val="left" w:pos="1890"/>
      </w:tabs>
    </w:pPr>
    <w:r>
      <w:rPr>
        <w:sz w:val="20"/>
      </w:rPr>
      <w:t>GE.09-42836</w:t>
    </w:r>
    <w:r w:rsidR="00A440C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C0422A">
      <w:rPr>
        <w:sz w:val="20"/>
      </w:rPr>
      <w:t xml:space="preserve">    140909    251109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54F9" w:rsidRPr="001075E9" w:rsidRDefault="00E154F9" w:rsidP="001075E9">
      <w:pPr>
        <w:tabs>
          <w:tab w:val="right" w:pos="2155"/>
        </w:tabs>
        <w:spacing w:after="80" w:line="240" w:lineRule="auto"/>
        <w:ind w:left="680"/>
        <w:rPr>
          <w:u w:val="single"/>
        </w:rPr>
      </w:pPr>
      <w:r>
        <w:rPr>
          <w:u w:val="single"/>
        </w:rPr>
        <w:tab/>
      </w:r>
    </w:p>
  </w:footnote>
  <w:footnote w:type="continuationSeparator" w:id="0">
    <w:p w:rsidR="00E154F9" w:rsidRDefault="00E154F9">
      <w:r>
        <w:continuationSeparator/>
      </w:r>
    </w:p>
  </w:footnote>
  <w:footnote w:id="1">
    <w:p w:rsidR="00F56FB4" w:rsidRPr="001B34DF" w:rsidRDefault="00F56FB4" w:rsidP="00F56FB4">
      <w:pPr>
        <w:pStyle w:val="FootnoteText"/>
        <w:rPr>
          <w:sz w:val="20"/>
        </w:rPr>
      </w:pPr>
      <w:r>
        <w:tab/>
      </w:r>
      <w:r w:rsidRPr="001B34DF">
        <w:rPr>
          <w:rStyle w:val="FootnoteReference"/>
          <w:sz w:val="20"/>
          <w:vertAlign w:val="baseline"/>
        </w:rPr>
        <w:t>*</w:t>
      </w:r>
      <w:r w:rsidRPr="001B34DF">
        <w:tab/>
        <w:t xml:space="preserve">Con arreglo a la información transmitida a los Estados </w:t>
      </w:r>
      <w:r>
        <w:t>p</w:t>
      </w:r>
      <w:r w:rsidRPr="001B34DF">
        <w:t>artes acerca de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A73" w:rsidRPr="00400A73" w:rsidRDefault="00400A73" w:rsidP="00400A73">
    <w:pPr>
      <w:pStyle w:val="Header"/>
    </w:pPr>
    <w:r w:rsidRPr="00400A73">
      <w:t xml:space="preserve">CRC/C/OPAC/MKD/1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A73" w:rsidRPr="00400A73" w:rsidRDefault="00400A73" w:rsidP="00400A73">
    <w:pPr>
      <w:pStyle w:val="Header"/>
      <w:jc w:val="right"/>
    </w:pPr>
    <w:r w:rsidRPr="00400A73">
      <w:t xml:space="preserve">CRC/C/OPAC/MKD/1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22A" w:rsidRDefault="00C042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40CE"/>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400A73"/>
    <w:rsid w:val="00414A16"/>
    <w:rsid w:val="00427F10"/>
    <w:rsid w:val="00454E07"/>
    <w:rsid w:val="004D45DB"/>
    <w:rsid w:val="0050108D"/>
    <w:rsid w:val="00536DF4"/>
    <w:rsid w:val="00572E19"/>
    <w:rsid w:val="005C43E4"/>
    <w:rsid w:val="005D7179"/>
    <w:rsid w:val="005F0B42"/>
    <w:rsid w:val="005F2AD1"/>
    <w:rsid w:val="006B3A76"/>
    <w:rsid w:val="006E01A9"/>
    <w:rsid w:val="006F35EE"/>
    <w:rsid w:val="007021FF"/>
    <w:rsid w:val="00757357"/>
    <w:rsid w:val="007A059A"/>
    <w:rsid w:val="007E16A7"/>
    <w:rsid w:val="007F4281"/>
    <w:rsid w:val="00834B71"/>
    <w:rsid w:val="0086445C"/>
    <w:rsid w:val="008A08D7"/>
    <w:rsid w:val="008C2B1A"/>
    <w:rsid w:val="008E1429"/>
    <w:rsid w:val="00906890"/>
    <w:rsid w:val="00951972"/>
    <w:rsid w:val="009C646E"/>
    <w:rsid w:val="00A03C62"/>
    <w:rsid w:val="00A43957"/>
    <w:rsid w:val="00A440CE"/>
    <w:rsid w:val="00A917B3"/>
    <w:rsid w:val="00A97C80"/>
    <w:rsid w:val="00AB4B51"/>
    <w:rsid w:val="00B10CC7"/>
    <w:rsid w:val="00B21C6B"/>
    <w:rsid w:val="00B62458"/>
    <w:rsid w:val="00B8687E"/>
    <w:rsid w:val="00BD33EE"/>
    <w:rsid w:val="00BF3832"/>
    <w:rsid w:val="00C0422A"/>
    <w:rsid w:val="00C60F0C"/>
    <w:rsid w:val="00C67843"/>
    <w:rsid w:val="00C805C9"/>
    <w:rsid w:val="00CA1679"/>
    <w:rsid w:val="00D15EAE"/>
    <w:rsid w:val="00D33D63"/>
    <w:rsid w:val="00D90138"/>
    <w:rsid w:val="00DF63E3"/>
    <w:rsid w:val="00E154F9"/>
    <w:rsid w:val="00E23796"/>
    <w:rsid w:val="00E73F76"/>
    <w:rsid w:val="00EF1360"/>
    <w:rsid w:val="00EF3220"/>
    <w:rsid w:val="00F23FB6"/>
    <w:rsid w:val="00F56FB4"/>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9</Pages>
  <Words>3740</Words>
  <Characters>20575</Characters>
  <Application>Microsoft Office Word</Application>
  <DocSecurity>4</DocSecurity>
  <Lines>171</Lines>
  <Paragraphs>48</Paragraphs>
  <ScaleCrop>false</ScaleCrop>
  <HeadingPairs>
    <vt:vector size="2" baseType="variant">
      <vt:variant>
        <vt:lpstr>Título</vt:lpstr>
      </vt:variant>
      <vt:variant>
        <vt:i4>1</vt:i4>
      </vt:variant>
    </vt:vector>
  </HeadingPairs>
  <TitlesOfParts>
    <vt:vector size="1" baseType="lpstr">
      <vt:lpstr>CRC/C/OPAC/MKD/1  -09-42836</vt:lpstr>
    </vt:vector>
  </TitlesOfParts>
  <Company/>
  <LinksUpToDate>false</LinksUpToDate>
  <CharactersWithSpaces>24267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CRC/C/OPAC/MKD/1  -09-42836</dc:title>
  <dc:subject>Final</dc:subject>
  <dc:creator>Romina Meriño</dc:creator>
  <cp:keywords/>
  <dc:description/>
  <cp:lastModifiedBy>Admieng</cp:lastModifiedBy>
  <cp:revision>2</cp:revision>
  <cp:lastPrinted>2009-11-25T13:49:00Z</cp:lastPrinted>
  <dcterms:created xsi:type="dcterms:W3CDTF">2009-11-25T14:57:00Z</dcterms:created>
  <dcterms:modified xsi:type="dcterms:W3CDTF">2009-11-25T14:57:00Z</dcterms:modified>
</cp:coreProperties>
</file>