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/>
    <w:tbl>
      <w:tblPr>
        <w:tblW w:w="0" w:type="auto"/>
        <w:tblInd w:w="793" w:type="dxa"/>
        <w:tblLayout w:type="fixed"/>
        <w:tblCellMar>
          <w:left w:w="793" w:type="dxa"/>
          <w:right w:w="793" w:type="dxa"/>
        </w:tblCellMar>
        <w:tblLook w:val="0000" w:firstRow="0" w:lastRow="0" w:firstColumn="0" w:lastColumn="0" w:noHBand="0" w:noVBand="0"/>
      </w:tblPr>
      <w:tblGrid>
        <w:gridCol w:w="4734"/>
        <w:gridCol w:w="2091"/>
        <w:gridCol w:w="2643"/>
        <w:gridCol w:w="127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825" w:type="dxa"/>
            <w:gridSpan w:val="2"/>
          </w:tcPr>
          <w:p w:rsidR="00000000" w:rsidRDefault="00000000">
            <w:pPr>
              <w:pStyle w:val="Heading2"/>
              <w:ind w:left="0" w:firstLine="0"/>
              <w:rPr>
                <w:rFonts w:ascii="Courier New" w:hAnsi="Courier New"/>
                <w:sz w:val="20"/>
              </w:rPr>
            </w:pPr>
            <w:r>
              <w:rPr>
                <w:rFonts w:ascii="Courier New" w:hAnsi="Courier New"/>
                <w:noProof/>
                <w:snapToGrid/>
                <w:sz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margin-left:86.4pt;margin-top:1in;width:86.4pt;height:42.65pt;z-index:3;mso-position-horizontal-relative:page;mso-position-vertical-relative:page" o:allowincell="f" filled="f" stroked="f">
                  <v:textbox inset="0">
                    <w:txbxContent>
                      <w:p w:rsidR="00000000" w:rsidRDefault="00000000">
                        <w:pPr>
                          <w:pStyle w:val="BodyText"/>
                        </w:pPr>
                        <w:r>
                          <w:t>NATIONS UNIES</w:t>
                        </w:r>
                      </w:p>
                    </w:txbxContent>
                  </v:textbox>
                  <w10:wrap anchorx="page" anchory="page"/>
                </v:shape>
              </w:pict>
            </w:r>
          </w:p>
        </w:tc>
        <w:tc>
          <w:tcPr>
            <w:tcW w:w="3915" w:type="dxa"/>
            <w:gridSpan w:val="2"/>
          </w:tcPr>
          <w:p w:rsidR="00000000" w:rsidRDefault="00000000">
            <w:pPr>
              <w:pStyle w:val="Heading1"/>
              <w:tabs>
                <w:tab w:val="clear" w:pos="3195"/>
              </w:tabs>
              <w:ind w:left="-481" w:right="392" w:hanging="39"/>
              <w:rPr>
                <w:rFonts w:ascii="Arial" w:hAnsi="Arial"/>
                <w:sz w:val="20"/>
              </w:rPr>
            </w:pPr>
            <w:r>
              <w:rPr>
                <w:rFonts w:ascii="Arial" w:hAnsi="Arial"/>
              </w:rPr>
              <w:t>CAT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272" w:type="dxa"/>
        </w:trPr>
        <w:tc>
          <w:tcPr>
            <w:tcW w:w="4734" w:type="dxa"/>
          </w:tcPr>
          <w:p w:rsidR="00000000" w:rsidRDefault="00000000">
            <w:pPr>
              <w:tabs>
                <w:tab w:val="right" w:pos="3195"/>
              </w:tabs>
              <w:spacing w:after="58"/>
              <w:ind w:firstLine="3139"/>
              <w:rPr>
                <w:rFonts w:ascii="Courier New" w:hAnsi="Courier New"/>
                <w:sz w:val="20"/>
              </w:rPr>
            </w:pPr>
          </w:p>
        </w:tc>
        <w:tc>
          <w:tcPr>
            <w:tcW w:w="4734" w:type="dxa"/>
            <w:gridSpan w:val="2"/>
          </w:tcPr>
          <w:p w:rsidR="00000000" w:rsidRDefault="00000000">
            <w:pPr>
              <w:tabs>
                <w:tab w:val="right" w:pos="3195"/>
              </w:tabs>
              <w:spacing w:after="58"/>
              <w:ind w:firstLine="3139"/>
              <w:rPr>
                <w:rFonts w:ascii="Courier New" w:hAnsi="Courier New"/>
                <w:sz w:val="20"/>
              </w:rPr>
            </w:pPr>
          </w:p>
        </w:tc>
      </w:tr>
    </w:tbl>
    <w:p w:rsidR="00000000" w:rsidRDefault="00000000">
      <w:pPr>
        <w:tabs>
          <w:tab w:val="right" w:pos="3195"/>
        </w:tabs>
        <w:ind w:right="228" w:hanging="1"/>
        <w:rPr>
          <w:rFonts w:ascii="Courier New" w:hAnsi="Courier New"/>
          <w:sz w:val="20"/>
        </w:rPr>
      </w:pPr>
      <w:r>
        <w:rPr>
          <w:noProof/>
        </w:rPr>
        <w:pict>
          <v:rect id="_x0000_s1026" style="position:absolute;margin-left:86.4pt;margin-top:0;width:467.7pt;height:.95pt;z-index:-3;mso-position-horizontal-relative:page;mso-position-vertical-relative:text" o:allowincell="f" fillcolor="black" stroked="f" strokeweight="0">
            <v:fill color2="black"/>
            <w10:wrap anchorx="page"/>
            <w10:anchorlock/>
          </v:rect>
        </w:pict>
      </w: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30"/>
        <w:gridCol w:w="4534"/>
        <w:gridCol w:w="340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30" w:type="dxa"/>
          </w:tcPr>
          <w:bookmarkStart w:id="0" w:name="_MON_992768308"/>
          <w:bookmarkStart w:id="1" w:name="_MON_992768431"/>
          <w:bookmarkEnd w:id="0"/>
          <w:bookmarkEnd w:id="1"/>
          <w:p w:rsidR="00000000" w:rsidRDefault="00000000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</w:pPr>
            <w:r>
              <w:rPr>
                <w:sz w:val="20"/>
              </w:rPr>
              <w:object w:dxaOrig="1123" w:dyaOrig="10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54.75pt" o:ole="" fillcolor="window">
                  <v:imagedata r:id="rId7" o:title="" croptop="-46f" cropbottom="-46f" cropleft="-1312f" cropright="-1312f"/>
                </v:shape>
                <o:OLEObject Type="Embed" ProgID="Word.Picture.8" ShapeID="_x0000_i1025" DrawAspect="Content" ObjectID="_1396012131" r:id="rId8"/>
              </w:objec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right="228" w:hanging="1"/>
              <w:rPr>
                <w:rFonts w:ascii="Courier New" w:hAnsi="Courier New"/>
                <w:sz w:val="20"/>
              </w:rPr>
            </w:pPr>
            <w:r>
              <w:rPr>
                <w:noProof/>
              </w:rPr>
              <w:pict>
                <v:rect id="_x0000_s1027" style="position:absolute;margin-left:-6pt;margin-top:111.95pt;width:467.7pt;height:4.25pt;z-index:-2;mso-position-horizontal-relative:margin;mso-position-vertical-relative:page" fillcolor="black" stroked="f" strokeweight="0">
                  <v:fill color2="black"/>
                  <w10:wrap anchorx="margin" anchory="page"/>
                  <w10:anchorlock/>
                </v:rect>
              </w:pict>
            </w:r>
          </w:p>
        </w:tc>
        <w:tc>
          <w:tcPr>
            <w:tcW w:w="4534" w:type="dxa"/>
          </w:tcPr>
          <w:p w:rsidR="00000000" w:rsidRDefault="00000000">
            <w:pPr>
              <w:tabs>
                <w:tab w:val="right" w:pos="3195"/>
              </w:tabs>
              <w:ind w:right="228" w:hanging="1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>Convention contre</w:t>
            </w:r>
          </w:p>
          <w:p w:rsidR="00000000" w:rsidRDefault="00000000">
            <w:pPr>
              <w:tabs>
                <w:tab w:val="right" w:pos="3195"/>
              </w:tabs>
              <w:ind w:right="228" w:hanging="1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>la torture et autres peines</w:t>
            </w:r>
          </w:p>
          <w:p w:rsidR="00000000" w:rsidRDefault="00000000">
            <w:pPr>
              <w:tabs>
                <w:tab w:val="right" w:pos="3195"/>
              </w:tabs>
              <w:ind w:right="228" w:hanging="1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 xml:space="preserve">ou traitements cruels, </w: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right="228" w:hanging="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32"/>
              </w:rPr>
              <w:t>inhumains ou dégradants</w:t>
            </w:r>
          </w:p>
        </w:tc>
        <w:tc>
          <w:tcPr>
            <w:tcW w:w="3402" w:type="dxa"/>
          </w:tcPr>
          <w:p w:rsidR="00000000" w:rsidRDefault="00000000">
            <w:pPr>
              <w:tabs>
                <w:tab w:val="right" w:pos="3195"/>
              </w:tabs>
              <w:ind w:right="227"/>
            </w:pPr>
            <w:r>
              <w:t>Distr.</w:t>
            </w:r>
          </w:p>
          <w:p w:rsidR="00000000" w:rsidRDefault="00000000">
            <w:pPr>
              <w:tabs>
                <w:tab w:val="right" w:pos="3195"/>
              </w:tabs>
              <w:ind w:right="227"/>
            </w:pPr>
            <w:r>
              <w:t>GÉNÉRALE</w:t>
            </w:r>
          </w:p>
          <w:p w:rsidR="00000000" w:rsidRDefault="00000000">
            <w:pPr>
              <w:tabs>
                <w:tab w:val="right" w:pos="3195"/>
              </w:tabs>
              <w:ind w:right="227"/>
            </w:pPr>
          </w:p>
          <w:p w:rsidR="00000000" w:rsidRDefault="00000000">
            <w:pPr>
              <w:tabs>
                <w:tab w:val="right" w:pos="3195"/>
              </w:tabs>
              <w:ind w:right="227"/>
            </w:pPr>
            <w:r>
              <w:t>CAT/C/CR/28/3</w:t>
            </w:r>
          </w:p>
          <w:p w:rsidR="00000000" w:rsidRDefault="00000000">
            <w:pPr>
              <w:tabs>
                <w:tab w:val="right" w:pos="3195"/>
              </w:tabs>
              <w:ind w:right="227"/>
            </w:pPr>
            <w:r>
              <w:t>12 juin 2002</w:t>
            </w:r>
          </w:p>
          <w:p w:rsidR="00000000" w:rsidRDefault="00000000">
            <w:pPr>
              <w:tabs>
                <w:tab w:val="right" w:pos="3195"/>
              </w:tabs>
              <w:ind w:right="227"/>
            </w:pPr>
          </w:p>
          <w:p w:rsidR="00000000" w:rsidRDefault="00000000">
            <w:pPr>
              <w:tabs>
                <w:tab w:val="right" w:pos="3195"/>
              </w:tabs>
              <w:ind w:right="227"/>
            </w:pPr>
            <w:r>
              <w:t>FRANÇAIS</w:t>
            </w:r>
          </w:p>
          <w:p w:rsidR="00000000" w:rsidRDefault="00000000">
            <w:pPr>
              <w:tabs>
                <w:tab w:val="right" w:pos="3195"/>
              </w:tabs>
              <w:ind w:right="227"/>
            </w:pPr>
            <w:r>
              <w:t>Original: ANGLAIS</w:t>
            </w:r>
          </w:p>
        </w:tc>
      </w:tr>
    </w:tbl>
    <w:p w:rsidR="00000000" w:rsidRDefault="00000000">
      <w:pPr>
        <w:tabs>
          <w:tab w:val="left" w:pos="0"/>
        </w:tabs>
        <w:ind w:right="227"/>
      </w:pPr>
    </w:p>
    <w:p w:rsidR="00000000" w:rsidRDefault="00000000">
      <w:pPr>
        <w:tabs>
          <w:tab w:val="left" w:pos="0"/>
        </w:tabs>
        <w:ind w:right="227"/>
      </w:pPr>
      <w:r>
        <w:t>COMITÉ CONTRE LA TORTURE</w:t>
      </w:r>
    </w:p>
    <w:p w:rsidR="00000000" w:rsidRDefault="00000000">
      <w:pPr>
        <w:tabs>
          <w:tab w:val="left" w:pos="0"/>
        </w:tabs>
        <w:ind w:right="228" w:hanging="1"/>
      </w:pPr>
      <w:r>
        <w:t>Vingt</w:t>
      </w:r>
      <w:r>
        <w:noBreakHyphen/>
        <w:t>huitième session</w:t>
      </w:r>
    </w:p>
    <w:p w:rsidR="00000000" w:rsidRDefault="00000000">
      <w:pPr>
        <w:tabs>
          <w:tab w:val="left" w:pos="0"/>
        </w:tabs>
        <w:spacing w:after="360"/>
      </w:pPr>
      <w:r>
        <w:t>29 avril</w:t>
      </w:r>
      <w:r>
        <w:noBreakHyphen/>
        <w:t>17 mai 2002</w:t>
      </w:r>
    </w:p>
    <w:p w:rsidR="00000000" w:rsidRDefault="00000000">
      <w:pPr>
        <w:tabs>
          <w:tab w:val="left" w:pos="0"/>
        </w:tabs>
        <w:spacing w:after="240"/>
        <w:ind w:right="227"/>
        <w:jc w:val="center"/>
      </w:pPr>
      <w:r>
        <w:t>EXAMEN DES RAPPORTS PRÉSENTÉS PAR LES ÉTATS PARTIES</w:t>
      </w:r>
      <w:r>
        <w:br/>
        <w:t>EN APPLICATION DE L’ARTICLE 19 DE LA CONVENTION</w:t>
      </w:r>
    </w:p>
    <w:p w:rsidR="00000000" w:rsidRDefault="00000000">
      <w:pPr>
        <w:tabs>
          <w:tab w:val="left" w:pos="0"/>
        </w:tabs>
        <w:spacing w:after="240"/>
        <w:ind w:right="227"/>
        <w:jc w:val="center"/>
        <w:rPr>
          <w:u w:val="single"/>
        </w:rPr>
      </w:pPr>
      <w:r>
        <w:rPr>
          <w:u w:val="single"/>
        </w:rPr>
        <w:t>Conclusions et recommandations du Comité contre la torture</w:t>
      </w:r>
    </w:p>
    <w:p w:rsidR="00000000" w:rsidRDefault="00000000">
      <w:pPr>
        <w:tabs>
          <w:tab w:val="left" w:pos="0"/>
        </w:tabs>
        <w:spacing w:after="240"/>
        <w:ind w:right="227"/>
        <w:jc w:val="center"/>
        <w:rPr>
          <w:u w:val="single"/>
        </w:rPr>
      </w:pPr>
      <w:r>
        <w:rPr>
          <w:u w:val="single"/>
        </w:rPr>
        <w:t>Norvège</w:t>
      </w:r>
    </w:p>
    <w:p w:rsidR="00000000" w:rsidRDefault="00000000">
      <w:pPr>
        <w:tabs>
          <w:tab w:val="left" w:pos="0"/>
        </w:tabs>
        <w:spacing w:after="240"/>
      </w:pPr>
      <w:r>
        <w:t>1.</w:t>
      </w:r>
      <w:r>
        <w:tab/>
        <w:t>Le Comité a examiné le quatrième rapport périodique de la Norvège (CAT/C/55/Add.4) à ses 511</w:t>
      </w:r>
      <w:r>
        <w:rPr>
          <w:vertAlign w:val="superscript"/>
        </w:rPr>
        <w:t>e</w:t>
      </w:r>
      <w:r>
        <w:t>, 514</w:t>
      </w:r>
      <w:r>
        <w:rPr>
          <w:vertAlign w:val="superscript"/>
        </w:rPr>
        <w:t>e</w:t>
      </w:r>
      <w:r>
        <w:t>, et 519</w:t>
      </w:r>
      <w:r>
        <w:rPr>
          <w:vertAlign w:val="superscript"/>
        </w:rPr>
        <w:t>e</w:t>
      </w:r>
      <w:r>
        <w:t xml:space="preserve"> séances les 6, 7 et 10 mai 2002 (CAT/C/SR.511, 514 et 519) et a adopté les conclusions et recommandations ci</w:t>
      </w:r>
      <w:r>
        <w:noBreakHyphen/>
        <w:t>après.</w:t>
      </w:r>
    </w:p>
    <w:p w:rsidR="00000000" w:rsidRDefault="00000000">
      <w:pPr>
        <w:tabs>
          <w:tab w:val="left" w:pos="0"/>
        </w:tabs>
        <w:spacing w:after="240"/>
        <w:jc w:val="center"/>
        <w:rPr>
          <w:u w:val="single"/>
        </w:rPr>
      </w:pPr>
      <w:r>
        <w:t xml:space="preserve">A.  </w:t>
      </w:r>
      <w:r>
        <w:rPr>
          <w:u w:val="single"/>
        </w:rPr>
        <w:t>Introduction</w:t>
      </w:r>
    </w:p>
    <w:p w:rsidR="00000000" w:rsidRDefault="00000000">
      <w:pPr>
        <w:tabs>
          <w:tab w:val="left" w:pos="0"/>
        </w:tabs>
        <w:spacing w:after="240"/>
      </w:pPr>
      <w:r>
        <w:t>2.</w:t>
      </w:r>
      <w:r>
        <w:tab/>
        <w:t>Le Comité accueille avec satisfaction le quatrième rapport périodique de la Norvège qui a été soumis dans les délais et en totale conformité avec les directives du Comité concernant l’établissement des rapports périodiques des États parties. Le Comité rend hommage à l’État partie pour la ponctualité avec laquelle il présente ses rapports et se félicite du dialogue fructueux et constructif qui s’est instauré avec ce dernier.</w:t>
      </w:r>
    </w:p>
    <w:p w:rsidR="00000000" w:rsidRDefault="00000000">
      <w:pPr>
        <w:tabs>
          <w:tab w:val="left" w:pos="0"/>
        </w:tabs>
        <w:spacing w:after="240"/>
        <w:jc w:val="center"/>
      </w:pPr>
      <w:r>
        <w:t xml:space="preserve">B.  </w:t>
      </w:r>
      <w:r>
        <w:rPr>
          <w:u w:val="single"/>
        </w:rPr>
        <w:t>Aspects positifs</w:t>
      </w:r>
    </w:p>
    <w:p w:rsidR="00000000" w:rsidRDefault="00000000">
      <w:pPr>
        <w:tabs>
          <w:tab w:val="left" w:pos="0"/>
        </w:tabs>
        <w:spacing w:after="240"/>
      </w:pPr>
      <w:r>
        <w:t>3.</w:t>
      </w:r>
      <w:r>
        <w:tab/>
        <w:t>Le Comité félicite l’État partie de toujours respecter comme il le fait les droits de l’homme en général et les dispositions de la Convention en particulier.</w:t>
      </w:r>
    </w:p>
    <w:p w:rsidR="00000000" w:rsidRDefault="00000000">
      <w:pPr>
        <w:keepNext/>
        <w:tabs>
          <w:tab w:val="left" w:pos="0"/>
        </w:tabs>
        <w:spacing w:after="240"/>
      </w:pPr>
      <w:r>
        <w:t>4.</w:t>
      </w:r>
      <w:r>
        <w:tab/>
        <w:t>Le Comité prend note avec satisfaction:</w:t>
      </w:r>
    </w:p>
    <w:p w:rsidR="00000000" w:rsidRDefault="00000000">
      <w:pPr>
        <w:tabs>
          <w:tab w:val="left" w:pos="0"/>
        </w:tabs>
        <w:spacing w:after="240"/>
      </w:pPr>
      <w:r>
        <w:tab/>
        <w:t>a)</w:t>
      </w:r>
      <w:r>
        <w:tab/>
        <w:t>De l’adoption, dans le cadre de la suite à donner à la Conférence mondiale sur les droits de l’homme de 1993, d’un plan d’action en faveur des droits de l’homme pour la période 2000</w:t>
      </w:r>
      <w:r>
        <w:noBreakHyphen/>
        <w:t>2004, qui prévoit notamment des mesures destinées à renforcer l’application de la Convention dans la législation nationale;</w:t>
      </w:r>
    </w:p>
    <w:p w:rsidR="00000000" w:rsidRDefault="00000000">
      <w:pPr>
        <w:tabs>
          <w:tab w:val="left" w:pos="0"/>
        </w:tabs>
        <w:spacing w:after="200"/>
      </w:pPr>
      <w:r>
        <w:tab/>
        <w:t>b)</w:t>
      </w:r>
      <w:r>
        <w:tab/>
        <w:t>De la publication de directives concernant la notification de la famille et des avocats en cas d’arrestation, ainsi que le droit des personnes placées en garde à vue de bénéficier de services de santé;</w:t>
      </w:r>
    </w:p>
    <w:p w:rsidR="00000000" w:rsidRDefault="00000000">
      <w:pPr>
        <w:tabs>
          <w:tab w:val="left" w:pos="0"/>
        </w:tabs>
        <w:spacing w:after="200"/>
      </w:pPr>
      <w:r>
        <w:tab/>
        <w:t>c)</w:t>
      </w:r>
      <w:r>
        <w:tab/>
        <w:t>De la proposition tendant à introduire dans le Code pénal une nouvelle disposition interdisant la torture et en faisant une infraction pénale, conformément à l’article premier de la Convention;</w:t>
      </w:r>
    </w:p>
    <w:p w:rsidR="00000000" w:rsidRDefault="00000000">
      <w:pPr>
        <w:tabs>
          <w:tab w:val="left" w:pos="0"/>
        </w:tabs>
        <w:spacing w:after="200"/>
      </w:pPr>
      <w:r>
        <w:tab/>
        <w:t>d)</w:t>
      </w:r>
      <w:r>
        <w:tab/>
        <w:t>Des propositions de modification de la loi sur la procédure pénale visant à restreindre la pratique du régime cellulaire et de renforcer le contrôle judiciaire en la matière en imposant des limites réglementaires;</w:t>
      </w:r>
    </w:p>
    <w:p w:rsidR="00000000" w:rsidRDefault="00000000">
      <w:pPr>
        <w:tabs>
          <w:tab w:val="left" w:pos="0"/>
        </w:tabs>
        <w:spacing w:after="200"/>
      </w:pPr>
      <w:r>
        <w:tab/>
        <w:t>e)</w:t>
      </w:r>
      <w:r>
        <w:tab/>
        <w:t>Des travaux entrepris en vue d’évaluer la qualité des enquêtes menées par les groupes spéciaux;</w:t>
      </w:r>
    </w:p>
    <w:p w:rsidR="00000000" w:rsidRDefault="00000000">
      <w:pPr>
        <w:tabs>
          <w:tab w:val="left" w:pos="0"/>
        </w:tabs>
        <w:spacing w:after="200"/>
      </w:pPr>
      <w:r>
        <w:tab/>
        <w:t>f)</w:t>
      </w:r>
      <w:r>
        <w:tab/>
        <w:t>De la régularité et de la générosité des dons effectués par l’État partie au Fonds de contributions volontaires des Nations Unies pour les victimes de la torture;</w:t>
      </w:r>
    </w:p>
    <w:p w:rsidR="00000000" w:rsidRDefault="00000000">
      <w:pPr>
        <w:tabs>
          <w:tab w:val="left" w:pos="0"/>
        </w:tabs>
        <w:spacing w:after="200"/>
      </w:pPr>
      <w:r>
        <w:tab/>
        <w:t>g)</w:t>
      </w:r>
      <w:r>
        <w:tab/>
        <w:t>Du pourcentage élevé de femmes au sein de l’appareil judiciaire, des forces de police et du personnel pénitentiaire.</w:t>
      </w:r>
    </w:p>
    <w:p w:rsidR="00000000" w:rsidRDefault="00000000">
      <w:pPr>
        <w:keepNext/>
        <w:tabs>
          <w:tab w:val="left" w:pos="0"/>
        </w:tabs>
        <w:spacing w:after="200"/>
        <w:jc w:val="center"/>
        <w:rPr>
          <w:u w:val="single"/>
        </w:rPr>
      </w:pPr>
      <w:r>
        <w:t xml:space="preserve">C.  </w:t>
      </w:r>
      <w:r>
        <w:rPr>
          <w:u w:val="single"/>
        </w:rPr>
        <w:t>Sujets de préoccupation</w:t>
      </w:r>
    </w:p>
    <w:p w:rsidR="00000000" w:rsidRDefault="00000000">
      <w:pPr>
        <w:tabs>
          <w:tab w:val="left" w:pos="0"/>
        </w:tabs>
        <w:spacing w:after="200"/>
      </w:pPr>
      <w:r>
        <w:t>5.</w:t>
      </w:r>
      <w:r>
        <w:tab/>
        <w:t>Le Comité continue d’être préoccupé par le recours à l’emprisonnement cellulaire pendant la détention avant jugement.</w:t>
      </w:r>
    </w:p>
    <w:p w:rsidR="00000000" w:rsidRDefault="00000000">
      <w:pPr>
        <w:keepNext/>
        <w:tabs>
          <w:tab w:val="left" w:pos="0"/>
        </w:tabs>
        <w:spacing w:after="200"/>
        <w:jc w:val="center"/>
        <w:rPr>
          <w:u w:val="single"/>
        </w:rPr>
      </w:pPr>
      <w:r>
        <w:t xml:space="preserve">D.  </w:t>
      </w:r>
      <w:r>
        <w:rPr>
          <w:u w:val="single"/>
        </w:rPr>
        <w:t>Recommandations</w:t>
      </w:r>
    </w:p>
    <w:p w:rsidR="00000000" w:rsidRDefault="00000000">
      <w:pPr>
        <w:keepNext/>
        <w:tabs>
          <w:tab w:val="left" w:pos="0"/>
        </w:tabs>
        <w:spacing w:after="200"/>
      </w:pPr>
      <w:r>
        <w:t>6.</w:t>
      </w:r>
      <w:r>
        <w:tab/>
        <w:t>Le Comité recommande ce qui suit:</w:t>
      </w:r>
    </w:p>
    <w:p w:rsidR="00000000" w:rsidRDefault="00000000">
      <w:pPr>
        <w:tabs>
          <w:tab w:val="left" w:pos="0"/>
        </w:tabs>
        <w:spacing w:after="200"/>
      </w:pPr>
      <w:r>
        <w:tab/>
        <w:t>a)</w:t>
      </w:r>
      <w:r>
        <w:tab/>
        <w:t>L’adoption, ainsi qu’il est proposé ci</w:t>
      </w:r>
      <w:r>
        <w:noBreakHyphen/>
        <w:t>dessus, d’une loi introduisant le délit de torture dans le droit pénal norvégien, selon la définition de l’article premier de la Convention. Le Comité demande que des informations à ce sujet figurent dans le prochain rapport périodique de la Norvège;</w:t>
      </w:r>
    </w:p>
    <w:p w:rsidR="00000000" w:rsidRDefault="00000000">
      <w:pPr>
        <w:tabs>
          <w:tab w:val="left" w:pos="0"/>
        </w:tabs>
        <w:spacing w:after="200"/>
      </w:pPr>
      <w:r>
        <w:tab/>
        <w:t>b)</w:t>
      </w:r>
      <w:r>
        <w:tab/>
        <w:t>L’État partie devrait indiquer dans son prochain rapport périodique les mesures qu’il aura prises pour répondre à l’inquiétude persistante du Comité concernant le placement en régime cellulaire pendant la détention avant jugement;</w:t>
      </w:r>
    </w:p>
    <w:p w:rsidR="00000000" w:rsidRDefault="00000000">
      <w:pPr>
        <w:tabs>
          <w:tab w:val="left" w:pos="0"/>
        </w:tabs>
        <w:spacing w:after="200"/>
      </w:pPr>
      <w:r>
        <w:tab/>
        <w:t>c)</w:t>
      </w:r>
      <w:r>
        <w:tab/>
        <w:t xml:space="preserve">L’État partie devrait inclure, dans son prochain rapport périodique des informations sur la suite donnée aux propositions d’amendement de la loi sur la procédure pénale tendant à limiter la pratique de l’emprisonnement cellulaire; </w:t>
      </w:r>
    </w:p>
    <w:p w:rsidR="00000000" w:rsidRDefault="00000000">
      <w:pPr>
        <w:tabs>
          <w:tab w:val="left" w:pos="0"/>
        </w:tabs>
        <w:spacing w:after="200"/>
      </w:pPr>
      <w:r>
        <w:tab/>
        <w:t>d)</w:t>
      </w:r>
      <w:r>
        <w:tab/>
        <w:t>L’État partie devrait indiquer dans son prochain rapport périodique les modifications qu’il est proposé d’apporter à la loi sur les étrangers sur la base de la résolution 1373 (2001) du Conseil de sécurité sur la coopération internationale face aux menaces à la paix et à la sécurité internationales que font peser les actes de terrorisme;</w:t>
      </w:r>
    </w:p>
    <w:p w:rsidR="00000000" w:rsidRDefault="00000000">
      <w:pPr>
        <w:tabs>
          <w:tab w:val="left" w:pos="0"/>
        </w:tabs>
        <w:spacing w:after="120"/>
      </w:pPr>
      <w:r>
        <w:tab/>
        <w:t>e)</w:t>
      </w:r>
      <w:r>
        <w:tab/>
        <w:t>Les conclusions et recommandations du Comité devraient faire l’objet d’une large diffusion dans l’État partie, dans toutes les langues voulues.</w:t>
      </w:r>
    </w:p>
    <w:p w:rsidR="00000000" w:rsidRDefault="00000000">
      <w:pPr>
        <w:tabs>
          <w:tab w:val="left" w:pos="0"/>
        </w:tabs>
        <w:spacing w:after="200"/>
        <w:jc w:val="center"/>
      </w:pPr>
      <w:r>
        <w:t>-----</w:t>
      </w:r>
    </w:p>
    <w:sectPr w:rsidR="00000000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Gras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</w:pPr>
    <w:r>
      <w:t>GE.02</w:t>
    </w:r>
    <w:r>
      <w:noBreakHyphen/>
      <w:t>42553  (F)    020802    070802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t>CAT/C/CR/28/3</w:t>
    </w:r>
  </w:p>
  <w:p w:rsidR="00000000" w:rsidRDefault="00000000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320"/>
        <w:tab w:val="clear" w:pos="8640"/>
        <w:tab w:val="left" w:pos="6803"/>
      </w:tabs>
    </w:pPr>
    <w:r>
      <w:tab/>
      <w:t>CAT/C/CR/28/3</w:t>
    </w:r>
  </w:p>
  <w:p w:rsidR="00000000" w:rsidRDefault="00000000">
    <w:pPr>
      <w:pStyle w:val="Header"/>
      <w:tabs>
        <w:tab w:val="clear" w:pos="4320"/>
        <w:tab w:val="clear" w:pos="8640"/>
        <w:tab w:val="left" w:pos="6803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3</w:t>
    </w:r>
    <w:r>
      <w:fldChar w:fldCharType="end"/>
    </w:r>
  </w:p>
  <w:p w:rsidR="00000000" w:rsidRDefault="00000000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pStyle w:val="Rom2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pStyle w:val="Rom1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fr-FR" w:vendorID="9" w:dllVersion="512" w:checkStyle="1"/>
  <w:proofState w:spelling="clean"/>
  <w:attachedTemplate r:id="rId1"/>
  <w:doNotTrackMoves/>
  <w:defaultTabStop w:val="567"/>
  <w:hyphenationZone w:val="425"/>
  <w:evenAndOddHeaders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val="fr-FR" w:eastAsia="fr-FR"/>
    </w:rPr>
  </w:style>
  <w:style w:type="paragraph" w:styleId="Heading1">
    <w:name w:val="heading 1"/>
    <w:basedOn w:val="Normal"/>
    <w:next w:val="Normal"/>
    <w:qFormat/>
    <w:pPr>
      <w:keepNext/>
      <w:tabs>
        <w:tab w:val="right" w:pos="3195"/>
      </w:tabs>
      <w:spacing w:after="58"/>
      <w:ind w:firstLine="1561"/>
      <w:outlineLvl w:val="0"/>
    </w:pPr>
    <w:rPr>
      <w:rFonts w:ascii="Times New Roman Gras" w:hAnsi="Times New Roman Gras"/>
      <w:b/>
      <w:snapToGrid w:val="0"/>
      <w:sz w:val="72"/>
    </w:rPr>
  </w:style>
  <w:style w:type="paragraph" w:styleId="Heading2">
    <w:name w:val="heading 2"/>
    <w:basedOn w:val="Normal"/>
    <w:next w:val="Normal"/>
    <w:qFormat/>
    <w:pPr>
      <w:keepNext/>
      <w:spacing w:after="58"/>
      <w:ind w:left="-651" w:firstLine="142"/>
      <w:outlineLvl w:val="1"/>
    </w:pPr>
    <w:rPr>
      <w:rFonts w:ascii="Times New Roman Gras" w:hAnsi="Times New Roman Gras"/>
      <w:b/>
      <w:snapToGrid w:val="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customStyle="1" w:styleId="ParaNo">
    <w:name w:val="ParaNo."/>
    <w:basedOn w:val="Normal"/>
    <w:pPr>
      <w:numPr>
        <w:numId w:val="30"/>
      </w:numPr>
      <w:tabs>
        <w:tab w:val="clear" w:pos="36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customStyle="1" w:styleId="Rom1">
    <w:name w:val="Rom1"/>
    <w:basedOn w:val="Normal"/>
    <w:pPr>
      <w:numPr>
        <w:numId w:val="44"/>
      </w:numPr>
      <w:tabs>
        <w:tab w:val="clear" w:pos="504"/>
      </w:tabs>
      <w:ind w:left="1145" w:hanging="465"/>
    </w:pPr>
  </w:style>
  <w:style w:type="paragraph" w:customStyle="1" w:styleId="Rom2">
    <w:name w:val="Rom2"/>
    <w:basedOn w:val="Normal"/>
    <w:pPr>
      <w:numPr>
        <w:numId w:val="46"/>
      </w:numPr>
      <w:tabs>
        <w:tab w:val="clear" w:pos="927"/>
      </w:tabs>
      <w:ind w:left="1712" w:hanging="465"/>
    </w:pPr>
  </w:style>
  <w:style w:type="paragraph" w:styleId="FootnoteText">
    <w:name w:val="foot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customStyle="1" w:styleId="Style1">
    <w:name w:val="Style1"/>
    <w:basedOn w:val="Normal"/>
    <w:pPr>
      <w:tabs>
        <w:tab w:val="left" w:pos="567"/>
      </w:tabs>
    </w:pPr>
  </w:style>
  <w:style w:type="paragraph" w:styleId="BodyText">
    <w:name w:val="Body Text"/>
    <w:basedOn w:val="Normal"/>
    <w:semiHidden/>
    <w:rPr>
      <w:rFonts w:ascii="Arial" w:hAnsi="Arial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2000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598</Words>
  <Characters>3411</Characters>
  <Application>Microsoft Office Word</Application>
  <DocSecurity>4</DocSecurity>
  <Lines>28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ONU</Company>
  <LinksUpToDate>false</LinksUpToDate>
  <CharactersWithSpaces>4188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R.</dc:creator>
  <cp:keywords/>
  <dc:description/>
  <cp:lastModifiedBy>sipp</cp:lastModifiedBy>
  <cp:revision>2</cp:revision>
  <cp:lastPrinted>2002-08-07T12:23:00Z</cp:lastPrinted>
  <dcterms:created xsi:type="dcterms:W3CDTF">2002-08-07T12:26:00Z</dcterms:created>
  <dcterms:modified xsi:type="dcterms:W3CDTF">2002-08-07T12:26:00Z</dcterms:modified>
</cp:coreProperties>
</file>