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CB1743" w14:textId="77777777" w:rsidR="004B7D46" w:rsidRPr="0027002E" w:rsidRDefault="004B7D46" w:rsidP="004B7D46">
      <w:pPr>
        <w:spacing w:line="240" w:lineRule="auto"/>
        <w:rPr>
          <w:sz w:val="2"/>
          <w:lang w:val="es-ES_tradnl"/>
        </w:rPr>
        <w:sectPr w:rsidR="004B7D46" w:rsidRPr="0027002E" w:rsidSect="007756F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27002E">
        <w:rPr>
          <w:rStyle w:val="CommentReference"/>
          <w:szCs w:val="20"/>
          <w:lang w:val="es-ES_tradnl"/>
        </w:rPr>
        <w:commentReference w:id="0"/>
      </w:r>
      <w:bookmarkStart w:id="1" w:name="_GoBack"/>
      <w:bookmarkEnd w:id="1"/>
    </w:p>
    <w:p w14:paraId="04DB6D62" w14:textId="77777777" w:rsidR="007756F7" w:rsidRPr="0027002E" w:rsidRDefault="007756F7" w:rsidP="007756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rPr>
      </w:pPr>
      <w:r w:rsidRPr="0027002E">
        <w:rPr>
          <w:lang w:val="es-ES_tradnl"/>
        </w:rPr>
        <w:t>Comité para la Eliminación de la Discriminación contra la Mujer</w:t>
      </w:r>
      <w:bookmarkStart w:id="2" w:name="BeginPage"/>
      <w:bookmarkEnd w:id="2"/>
    </w:p>
    <w:p w14:paraId="70FFEF7D" w14:textId="77777777" w:rsidR="007756F7" w:rsidRPr="0027002E" w:rsidRDefault="007756F7" w:rsidP="007756F7">
      <w:pPr>
        <w:pStyle w:val="Session"/>
        <w:rPr>
          <w:lang w:val="es-ES_tradnl"/>
        </w:rPr>
      </w:pPr>
      <w:r w:rsidRPr="0027002E">
        <w:rPr>
          <w:lang w:val="es-ES_tradnl"/>
        </w:rPr>
        <w:t>75º período de sesiones</w:t>
      </w:r>
    </w:p>
    <w:p w14:paraId="259372AB" w14:textId="77777777" w:rsidR="007756F7" w:rsidRPr="0027002E" w:rsidRDefault="007756F7" w:rsidP="007756F7">
      <w:pPr>
        <w:rPr>
          <w:lang w:val="es-ES_tradnl"/>
        </w:rPr>
      </w:pPr>
      <w:r w:rsidRPr="0027002E">
        <w:rPr>
          <w:lang w:val="es-ES_tradnl"/>
        </w:rPr>
        <w:t>10 a 28 de febrero de 2020</w:t>
      </w:r>
    </w:p>
    <w:p w14:paraId="24A2BF19" w14:textId="77777777" w:rsidR="007756F7" w:rsidRPr="0027002E" w:rsidRDefault="007756F7" w:rsidP="007756F7">
      <w:pPr>
        <w:pStyle w:val="AgendaItemNormal"/>
        <w:rPr>
          <w:lang w:val="es-ES_tradnl"/>
        </w:rPr>
      </w:pPr>
      <w:r w:rsidRPr="0027002E">
        <w:rPr>
          <w:lang w:val="es-ES_tradnl"/>
        </w:rPr>
        <w:t>Tema 2 del programa provisional</w:t>
      </w:r>
    </w:p>
    <w:p w14:paraId="1289E5AC" w14:textId="77777777" w:rsidR="007756F7" w:rsidRPr="0027002E" w:rsidRDefault="007756F7" w:rsidP="007756F7">
      <w:pPr>
        <w:pStyle w:val="AgendaTitleH2"/>
        <w:ind w:left="1267" w:right="0" w:hanging="1267"/>
        <w:rPr>
          <w:lang w:val="es-ES_tradnl"/>
        </w:rPr>
      </w:pPr>
      <w:r w:rsidRPr="0027002E">
        <w:rPr>
          <w:lang w:val="es-ES_tradnl"/>
        </w:rPr>
        <w:t>Aprobación del programa y organización de los trabajos</w:t>
      </w:r>
    </w:p>
    <w:p w14:paraId="4F3CA4D1" w14:textId="77777777" w:rsidR="007756F7" w:rsidRPr="0027002E" w:rsidRDefault="007756F7" w:rsidP="007756F7">
      <w:pPr>
        <w:pStyle w:val="SingleTxt"/>
        <w:spacing w:after="0" w:line="120" w:lineRule="exact"/>
        <w:rPr>
          <w:sz w:val="10"/>
          <w:lang w:val="es-ES_tradnl"/>
        </w:rPr>
      </w:pPr>
    </w:p>
    <w:p w14:paraId="648BBBA4" w14:textId="77777777" w:rsidR="007756F7" w:rsidRPr="0027002E" w:rsidRDefault="007756F7" w:rsidP="007756F7">
      <w:pPr>
        <w:pStyle w:val="SingleTxt"/>
        <w:spacing w:after="0" w:line="120" w:lineRule="exact"/>
        <w:rPr>
          <w:sz w:val="10"/>
          <w:lang w:val="es-ES_tradnl"/>
        </w:rPr>
      </w:pPr>
    </w:p>
    <w:p w14:paraId="5FAA7AFC" w14:textId="77777777" w:rsidR="007756F7" w:rsidRPr="0027002E" w:rsidRDefault="007756F7" w:rsidP="007756F7">
      <w:pPr>
        <w:pStyle w:val="SingleTxt"/>
        <w:spacing w:after="0" w:line="120" w:lineRule="exact"/>
        <w:rPr>
          <w:sz w:val="10"/>
          <w:lang w:val="es-ES_tradnl"/>
        </w:rPr>
      </w:pPr>
    </w:p>
    <w:p w14:paraId="2A3D11C8" w14:textId="77777777" w:rsidR="007756F7" w:rsidRPr="0027002E" w:rsidRDefault="007756F7" w:rsidP="007756F7">
      <w:pPr>
        <w:pStyle w:val="TitleHCH"/>
        <w:ind w:right="1260"/>
        <w:rPr>
          <w:lang w:val="es-ES_tradnl"/>
        </w:rPr>
      </w:pPr>
      <w:r w:rsidRPr="0027002E">
        <w:rPr>
          <w:lang w:val="es-ES_tradnl"/>
        </w:rPr>
        <w:tab/>
      </w:r>
      <w:r w:rsidRPr="0027002E">
        <w:rPr>
          <w:lang w:val="es-ES_tradnl"/>
        </w:rPr>
        <w:tab/>
      </w:r>
      <w:r w:rsidRPr="0027002E">
        <w:rPr>
          <w:bCs/>
          <w:lang w:val="es-ES_tradnl"/>
        </w:rPr>
        <w:t>Programa provisional anotado</w:t>
      </w:r>
    </w:p>
    <w:p w14:paraId="03DFDF48" w14:textId="77777777" w:rsidR="007756F7" w:rsidRPr="0027002E" w:rsidRDefault="007756F7" w:rsidP="007756F7">
      <w:pPr>
        <w:pStyle w:val="SingleTxt"/>
        <w:spacing w:after="0" w:line="120" w:lineRule="exact"/>
        <w:rPr>
          <w:sz w:val="10"/>
          <w:lang w:val="es-ES_tradnl"/>
        </w:rPr>
      </w:pPr>
    </w:p>
    <w:p w14:paraId="3E85746B" w14:textId="77777777" w:rsidR="007756F7" w:rsidRPr="0027002E" w:rsidRDefault="007756F7" w:rsidP="007756F7">
      <w:pPr>
        <w:pStyle w:val="SingleTxt"/>
        <w:spacing w:after="0" w:line="120" w:lineRule="exact"/>
        <w:rPr>
          <w:sz w:val="10"/>
          <w:lang w:val="es-ES_tradnl"/>
        </w:rPr>
      </w:pPr>
    </w:p>
    <w:p w14:paraId="20D00D9B" w14:textId="77777777" w:rsidR="007756F7" w:rsidRPr="0027002E" w:rsidRDefault="007756F7" w:rsidP="007756F7">
      <w:pPr>
        <w:pStyle w:val="TitleH1"/>
        <w:ind w:right="1260"/>
        <w:rPr>
          <w:lang w:val="es-ES_tradnl"/>
        </w:rPr>
      </w:pPr>
      <w:r w:rsidRPr="0027002E">
        <w:rPr>
          <w:lang w:val="es-ES_tradnl"/>
        </w:rPr>
        <w:tab/>
      </w:r>
      <w:r w:rsidRPr="0027002E">
        <w:rPr>
          <w:lang w:val="es-ES_tradnl"/>
        </w:rPr>
        <w:tab/>
      </w:r>
      <w:r w:rsidRPr="0027002E">
        <w:rPr>
          <w:bCs/>
          <w:lang w:val="es-ES_tradnl"/>
        </w:rPr>
        <w:t>Programa provisional</w:t>
      </w:r>
    </w:p>
    <w:p w14:paraId="68A6B9E4" w14:textId="77777777" w:rsidR="007756F7" w:rsidRPr="0027002E" w:rsidRDefault="007756F7" w:rsidP="007756F7">
      <w:pPr>
        <w:pStyle w:val="SingleTxt"/>
        <w:spacing w:after="0" w:line="120" w:lineRule="exact"/>
        <w:rPr>
          <w:sz w:val="10"/>
          <w:lang w:val="es-ES_tradnl"/>
        </w:rPr>
      </w:pPr>
    </w:p>
    <w:p w14:paraId="5F363DB6" w14:textId="77777777" w:rsidR="007756F7" w:rsidRPr="0027002E" w:rsidRDefault="007756F7" w:rsidP="007756F7">
      <w:pPr>
        <w:pStyle w:val="SingleTxt"/>
        <w:spacing w:after="0" w:line="120" w:lineRule="exact"/>
        <w:rPr>
          <w:sz w:val="10"/>
          <w:lang w:val="es-ES_tradnl"/>
        </w:rPr>
      </w:pPr>
    </w:p>
    <w:p w14:paraId="3EEA5FCF" w14:textId="77777777" w:rsidR="007756F7" w:rsidRPr="0027002E" w:rsidRDefault="007756F7" w:rsidP="007756F7">
      <w:pPr>
        <w:pStyle w:val="SingleTxt"/>
        <w:jc w:val="left"/>
        <w:rPr>
          <w:lang w:val="es-ES_tradnl"/>
        </w:rPr>
      </w:pPr>
      <w:r w:rsidRPr="0027002E">
        <w:rPr>
          <w:lang w:val="es-ES_tradnl"/>
        </w:rPr>
        <w:t>1.</w:t>
      </w:r>
      <w:r w:rsidRPr="0027002E">
        <w:rPr>
          <w:lang w:val="es-ES_tradnl"/>
        </w:rPr>
        <w:tab/>
        <w:t>Apertura del período de sesiones.</w:t>
      </w:r>
    </w:p>
    <w:p w14:paraId="406A693B" w14:textId="77777777" w:rsidR="007756F7" w:rsidRPr="0027002E" w:rsidRDefault="007756F7" w:rsidP="007756F7">
      <w:pPr>
        <w:pStyle w:val="SingleTxt"/>
        <w:jc w:val="left"/>
        <w:rPr>
          <w:lang w:val="es-ES_tradnl"/>
        </w:rPr>
      </w:pPr>
      <w:r w:rsidRPr="0027002E">
        <w:rPr>
          <w:lang w:val="es-ES_tradnl"/>
        </w:rPr>
        <w:t>2.</w:t>
      </w:r>
      <w:r w:rsidRPr="0027002E">
        <w:rPr>
          <w:lang w:val="es-ES_tradnl"/>
        </w:rPr>
        <w:tab/>
        <w:t>Aprobación del programa y organización de los trabajos.</w:t>
      </w:r>
    </w:p>
    <w:p w14:paraId="4D53DEE4" w14:textId="5EDAC693" w:rsidR="007756F7" w:rsidRPr="0027002E" w:rsidRDefault="007756F7" w:rsidP="007756F7">
      <w:pPr>
        <w:pStyle w:val="SingleTxt"/>
        <w:ind w:left="1742" w:hanging="475"/>
        <w:jc w:val="left"/>
        <w:rPr>
          <w:lang w:val="es-ES_tradnl"/>
        </w:rPr>
      </w:pPr>
      <w:r w:rsidRPr="0027002E">
        <w:rPr>
          <w:lang w:val="es-ES_tradnl"/>
        </w:rPr>
        <w:t>3.</w:t>
      </w:r>
      <w:r w:rsidRPr="0027002E">
        <w:rPr>
          <w:lang w:val="es-ES_tradnl"/>
        </w:rPr>
        <w:tab/>
        <w:t>Informe de la Presidencia sobre las actividades realizadas entre los períodos de sesiones 7</w:t>
      </w:r>
      <w:r w:rsidR="0037466F">
        <w:rPr>
          <w:lang w:val="es-ES_tradnl"/>
        </w:rPr>
        <w:t>4</w:t>
      </w:r>
      <w:r w:rsidRPr="0027002E">
        <w:rPr>
          <w:lang w:val="es-ES_tradnl"/>
        </w:rPr>
        <w:t>º y 75º del Comité.</w:t>
      </w:r>
    </w:p>
    <w:p w14:paraId="259A9E3B" w14:textId="77777777" w:rsidR="007756F7" w:rsidRPr="0027002E" w:rsidRDefault="007756F7" w:rsidP="007756F7">
      <w:pPr>
        <w:pStyle w:val="SingleTxt"/>
        <w:ind w:left="1742" w:hanging="475"/>
        <w:jc w:val="left"/>
        <w:rPr>
          <w:lang w:val="es-ES_tradnl"/>
        </w:rPr>
      </w:pPr>
      <w:r w:rsidRPr="0027002E">
        <w:rPr>
          <w:lang w:val="es-ES_tradnl"/>
        </w:rPr>
        <w:t>4.</w:t>
      </w:r>
      <w:r w:rsidRPr="0027002E">
        <w:rPr>
          <w:lang w:val="es-ES_tradnl"/>
        </w:rPr>
        <w:tab/>
        <w:t>Examen de los informes presentados por los Estados partes en virtud del artículo 18 de la Convención sobre la Eliminación de Todas las Formas de Discriminación contra la Mujer.</w:t>
      </w:r>
    </w:p>
    <w:p w14:paraId="37B50943" w14:textId="77777777" w:rsidR="007756F7" w:rsidRPr="0027002E" w:rsidRDefault="007756F7" w:rsidP="007756F7">
      <w:pPr>
        <w:pStyle w:val="SingleTxt"/>
        <w:ind w:left="1742" w:hanging="475"/>
        <w:jc w:val="left"/>
        <w:rPr>
          <w:lang w:val="es-ES_tradnl"/>
        </w:rPr>
      </w:pPr>
      <w:r w:rsidRPr="0027002E">
        <w:rPr>
          <w:lang w:val="es-ES_tradnl"/>
        </w:rPr>
        <w:t>5.</w:t>
      </w:r>
      <w:r w:rsidRPr="0027002E">
        <w:rPr>
          <w:lang w:val="es-ES_tradnl"/>
        </w:rPr>
        <w:tab/>
        <w:t>Seguimiento del examen de los informes presentados por los Estados partes en virtud del artículo 18 de la Convención.</w:t>
      </w:r>
    </w:p>
    <w:p w14:paraId="37312249" w14:textId="77777777" w:rsidR="007756F7" w:rsidRPr="0027002E" w:rsidRDefault="007756F7" w:rsidP="007756F7">
      <w:pPr>
        <w:pStyle w:val="SingleTxt"/>
        <w:jc w:val="left"/>
        <w:rPr>
          <w:lang w:val="es-ES_tradnl"/>
        </w:rPr>
      </w:pPr>
      <w:r w:rsidRPr="0027002E">
        <w:rPr>
          <w:lang w:val="es-ES_tradnl"/>
        </w:rPr>
        <w:t>6.</w:t>
      </w:r>
      <w:r w:rsidRPr="0027002E">
        <w:rPr>
          <w:lang w:val="es-ES_tradnl"/>
        </w:rPr>
        <w:tab/>
        <w:t>Aplicación de los artículos 21 y 22 de la Convención.</w:t>
      </w:r>
    </w:p>
    <w:p w14:paraId="72FD2747" w14:textId="77777777" w:rsidR="007756F7" w:rsidRPr="0027002E" w:rsidRDefault="007756F7" w:rsidP="007756F7">
      <w:pPr>
        <w:pStyle w:val="SingleTxt"/>
        <w:jc w:val="left"/>
        <w:rPr>
          <w:lang w:val="es-ES_tradnl"/>
        </w:rPr>
      </w:pPr>
      <w:r w:rsidRPr="0027002E">
        <w:rPr>
          <w:lang w:val="es-ES_tradnl"/>
        </w:rPr>
        <w:t>7.</w:t>
      </w:r>
      <w:r w:rsidRPr="0027002E">
        <w:rPr>
          <w:lang w:val="es-ES_tradnl"/>
        </w:rPr>
        <w:tab/>
        <w:t>Medios de agilizar los trabajos del Comité.</w:t>
      </w:r>
    </w:p>
    <w:p w14:paraId="74D8CA0C" w14:textId="77777777" w:rsidR="007756F7" w:rsidRPr="0027002E" w:rsidRDefault="007756F7" w:rsidP="007756F7">
      <w:pPr>
        <w:pStyle w:val="SingleTxt"/>
        <w:ind w:left="1742" w:hanging="475"/>
        <w:jc w:val="left"/>
        <w:rPr>
          <w:lang w:val="es-ES_tradnl"/>
        </w:rPr>
      </w:pPr>
      <w:r w:rsidRPr="0027002E">
        <w:rPr>
          <w:lang w:val="es-ES_tradnl"/>
        </w:rPr>
        <w:t>8.</w:t>
      </w:r>
      <w:r w:rsidRPr="0027002E">
        <w:rPr>
          <w:lang w:val="es-ES_tradnl"/>
        </w:rPr>
        <w:tab/>
        <w:t>Actividades del Comité en relación con el Protocolo Facultativo de la Convención.</w:t>
      </w:r>
    </w:p>
    <w:p w14:paraId="3BCC26EB" w14:textId="77777777" w:rsidR="007756F7" w:rsidRPr="0027002E" w:rsidRDefault="007756F7" w:rsidP="007756F7">
      <w:pPr>
        <w:pStyle w:val="SingleTxt"/>
        <w:jc w:val="left"/>
        <w:rPr>
          <w:lang w:val="es-ES_tradnl"/>
        </w:rPr>
      </w:pPr>
      <w:r w:rsidRPr="0027002E">
        <w:rPr>
          <w:lang w:val="es-ES_tradnl"/>
        </w:rPr>
        <w:t>9.</w:t>
      </w:r>
      <w:r w:rsidRPr="0027002E">
        <w:rPr>
          <w:lang w:val="es-ES_tradnl"/>
        </w:rPr>
        <w:tab/>
        <w:t>Programa provisional del 76º período de sesiones del Comité.</w:t>
      </w:r>
    </w:p>
    <w:p w14:paraId="21FDE941" w14:textId="77777777" w:rsidR="007756F7" w:rsidRPr="0027002E" w:rsidRDefault="007756F7" w:rsidP="007756F7">
      <w:pPr>
        <w:pStyle w:val="SingleTxt"/>
        <w:jc w:val="left"/>
        <w:rPr>
          <w:lang w:val="es-ES_tradnl"/>
        </w:rPr>
      </w:pPr>
      <w:r w:rsidRPr="0027002E">
        <w:rPr>
          <w:lang w:val="es-ES_tradnl"/>
        </w:rPr>
        <w:t>10.</w:t>
      </w:r>
      <w:r w:rsidRPr="0027002E">
        <w:rPr>
          <w:lang w:val="es-ES_tradnl"/>
        </w:rPr>
        <w:tab/>
        <w:t>Aprobación del informe del Comité sobre su 75º período de sesiones.</w:t>
      </w:r>
    </w:p>
    <w:p w14:paraId="24EA1AF6" w14:textId="77777777" w:rsidR="007756F7" w:rsidRPr="0027002E" w:rsidRDefault="007756F7" w:rsidP="007756F7">
      <w:pPr>
        <w:pStyle w:val="SingleTxt"/>
        <w:spacing w:after="0" w:line="120" w:lineRule="exact"/>
        <w:rPr>
          <w:sz w:val="10"/>
          <w:lang w:val="es-ES_tradnl"/>
        </w:rPr>
      </w:pPr>
    </w:p>
    <w:p w14:paraId="4419199F" w14:textId="77777777" w:rsidR="007756F7" w:rsidRPr="0027002E" w:rsidRDefault="007756F7" w:rsidP="007756F7">
      <w:pPr>
        <w:pStyle w:val="SingleTxt"/>
        <w:spacing w:after="0" w:line="120" w:lineRule="exact"/>
        <w:rPr>
          <w:sz w:val="10"/>
          <w:lang w:val="es-ES_tradnl"/>
        </w:rPr>
      </w:pPr>
    </w:p>
    <w:p w14:paraId="11F8C2D4" w14:textId="77777777" w:rsidR="007756F7" w:rsidRPr="0027002E" w:rsidRDefault="007756F7" w:rsidP="007756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7002E">
        <w:rPr>
          <w:lang w:val="es-ES_tradnl"/>
        </w:rPr>
        <w:tab/>
      </w:r>
      <w:r w:rsidRPr="0027002E">
        <w:rPr>
          <w:lang w:val="es-ES_tradnl"/>
        </w:rPr>
        <w:tab/>
        <w:t>Anotaciones</w:t>
      </w:r>
    </w:p>
    <w:p w14:paraId="0F56FF3C" w14:textId="77777777" w:rsidR="007756F7" w:rsidRPr="0027002E" w:rsidRDefault="007756F7" w:rsidP="007756F7">
      <w:pPr>
        <w:pStyle w:val="SingleTxt"/>
        <w:spacing w:after="0" w:line="120" w:lineRule="exact"/>
        <w:rPr>
          <w:sz w:val="10"/>
          <w:lang w:val="es-ES_tradnl"/>
        </w:rPr>
      </w:pPr>
    </w:p>
    <w:p w14:paraId="178A4776" w14:textId="77777777" w:rsidR="007756F7" w:rsidRPr="0027002E" w:rsidRDefault="007756F7" w:rsidP="007756F7">
      <w:pPr>
        <w:pStyle w:val="SingleTxt"/>
        <w:spacing w:after="0" w:line="120" w:lineRule="exact"/>
        <w:rPr>
          <w:sz w:val="10"/>
          <w:lang w:val="es-ES_tradnl"/>
        </w:rPr>
      </w:pPr>
    </w:p>
    <w:p w14:paraId="2EE44938" w14:textId="77777777" w:rsidR="007756F7" w:rsidRPr="0027002E" w:rsidRDefault="007756F7" w:rsidP="00775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002E">
        <w:rPr>
          <w:lang w:val="es-ES_tradnl"/>
        </w:rPr>
        <w:tab/>
        <w:t>1.</w:t>
      </w:r>
      <w:r w:rsidRPr="0027002E">
        <w:rPr>
          <w:lang w:val="es-ES_tradnl"/>
        </w:rPr>
        <w:tab/>
      </w:r>
      <w:r w:rsidRPr="0027002E">
        <w:rPr>
          <w:bCs/>
          <w:lang w:val="es-ES_tradnl"/>
        </w:rPr>
        <w:t>Apertura del período de sesiones</w:t>
      </w:r>
    </w:p>
    <w:p w14:paraId="06D9AA89" w14:textId="77777777" w:rsidR="007756F7" w:rsidRPr="0027002E" w:rsidRDefault="007756F7" w:rsidP="007756F7">
      <w:pPr>
        <w:pStyle w:val="SingleTxt"/>
        <w:spacing w:after="0" w:line="120" w:lineRule="exact"/>
        <w:rPr>
          <w:sz w:val="10"/>
          <w:lang w:val="es-ES_tradnl"/>
        </w:rPr>
      </w:pPr>
    </w:p>
    <w:p w14:paraId="676FFE4B" w14:textId="77777777" w:rsidR="007756F7" w:rsidRPr="0027002E" w:rsidRDefault="007756F7" w:rsidP="007756F7">
      <w:pPr>
        <w:pStyle w:val="SingleTxt"/>
        <w:rPr>
          <w:lang w:val="es-ES_tradnl"/>
        </w:rPr>
      </w:pPr>
      <w:r w:rsidRPr="0027002E">
        <w:rPr>
          <w:lang w:val="es-ES_tradnl"/>
        </w:rPr>
        <w:t>La Presidencia del Comité para la Eliminación de la Discriminación contra la Mujer inaugurará el 75º período de sesiones del Comité.</w:t>
      </w:r>
    </w:p>
    <w:p w14:paraId="4E7B69BF" w14:textId="77777777" w:rsidR="007756F7" w:rsidRPr="0027002E" w:rsidRDefault="007756F7" w:rsidP="007756F7">
      <w:pPr>
        <w:pStyle w:val="SingleTxt"/>
        <w:spacing w:after="0" w:line="120" w:lineRule="exact"/>
        <w:rPr>
          <w:sz w:val="10"/>
          <w:lang w:val="es-ES_tradnl"/>
        </w:rPr>
      </w:pPr>
    </w:p>
    <w:p w14:paraId="6F94B0CE" w14:textId="77777777" w:rsidR="007756F7" w:rsidRPr="0027002E" w:rsidRDefault="007756F7" w:rsidP="00775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002E">
        <w:rPr>
          <w:lang w:val="es-ES_tradnl"/>
        </w:rPr>
        <w:lastRenderedPageBreak/>
        <w:tab/>
        <w:t>2.</w:t>
      </w:r>
      <w:r w:rsidRPr="0027002E">
        <w:rPr>
          <w:lang w:val="es-ES_tradnl"/>
        </w:rPr>
        <w:tab/>
      </w:r>
      <w:r w:rsidRPr="0027002E">
        <w:rPr>
          <w:bCs/>
          <w:lang w:val="es-ES_tradnl"/>
        </w:rPr>
        <w:t>Aprobación del programa y organización de los trabajos</w:t>
      </w:r>
    </w:p>
    <w:p w14:paraId="364FC8AC" w14:textId="77777777" w:rsidR="007756F7" w:rsidRPr="0027002E" w:rsidRDefault="007756F7" w:rsidP="007756F7">
      <w:pPr>
        <w:pStyle w:val="SingleTxt"/>
        <w:keepNext/>
        <w:keepLines/>
        <w:spacing w:after="0" w:line="120" w:lineRule="exact"/>
        <w:rPr>
          <w:sz w:val="10"/>
          <w:lang w:val="es-ES_tradnl"/>
        </w:rPr>
      </w:pPr>
    </w:p>
    <w:p w14:paraId="2DD22F73" w14:textId="77777777" w:rsidR="007756F7" w:rsidRPr="0027002E" w:rsidRDefault="007756F7" w:rsidP="007756F7">
      <w:pPr>
        <w:pStyle w:val="SingleTxt"/>
        <w:rPr>
          <w:lang w:val="es-ES_tradnl"/>
        </w:rPr>
      </w:pPr>
      <w:r w:rsidRPr="0027002E">
        <w:rPr>
          <w:lang w:val="es-ES_tradnl"/>
        </w:rPr>
        <w:t>El artículo 9 del Reglamento dispone que el primer tema sustantivo del programa provisional de cada período de sesiones será la aprobación del programa. En el artículo 7 se establece que el Secretario General, en consulta con la Presidencia del Comité, preparará el programa provisional de cada período de sesiones, de conformidad con las disposiciones pertinentes de los artículos 17 a 22 de la Convención.</w:t>
      </w:r>
    </w:p>
    <w:p w14:paraId="737314C2" w14:textId="77777777" w:rsidR="007756F7" w:rsidRPr="0027002E" w:rsidRDefault="007756F7" w:rsidP="007756F7">
      <w:pPr>
        <w:pStyle w:val="SingleTxt"/>
        <w:rPr>
          <w:lang w:val="es-ES_tradnl"/>
        </w:rPr>
      </w:pPr>
      <w:r w:rsidRPr="0027002E">
        <w:rPr>
          <w:lang w:val="es-ES_tradnl"/>
        </w:rPr>
        <w:t>En su 74º período de sesiones, el Comité aprobó el programa provisional de su 75º período de sesiones.</w:t>
      </w:r>
    </w:p>
    <w:p w14:paraId="20F04958" w14:textId="77777777" w:rsidR="007756F7" w:rsidRPr="0027002E" w:rsidRDefault="007756F7" w:rsidP="007756F7">
      <w:pPr>
        <w:pStyle w:val="SingleTxt"/>
        <w:spacing w:after="0" w:line="120" w:lineRule="exact"/>
        <w:rPr>
          <w:sz w:val="10"/>
          <w:lang w:val="es-ES_tradnl"/>
        </w:rPr>
      </w:pPr>
    </w:p>
    <w:p w14:paraId="3D3A79FA" w14:textId="77777777" w:rsidR="007756F7" w:rsidRPr="0027002E" w:rsidRDefault="007756F7" w:rsidP="00775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002E">
        <w:rPr>
          <w:lang w:val="es-ES_tradnl"/>
        </w:rPr>
        <w:tab/>
        <w:t>3.</w:t>
      </w:r>
      <w:r w:rsidRPr="0027002E">
        <w:rPr>
          <w:lang w:val="es-ES_tradnl"/>
        </w:rPr>
        <w:tab/>
      </w:r>
      <w:r w:rsidRPr="0027002E">
        <w:rPr>
          <w:bCs/>
          <w:lang w:val="es-ES_tradnl"/>
        </w:rPr>
        <w:t>Informe de la Presidencia sobre las actividades realizadas entre los períodos de sesiones 74º y 75º del Comité</w:t>
      </w:r>
    </w:p>
    <w:p w14:paraId="076650D4" w14:textId="77777777" w:rsidR="007756F7" w:rsidRPr="0027002E" w:rsidRDefault="007756F7" w:rsidP="007756F7">
      <w:pPr>
        <w:pStyle w:val="SingleTxt"/>
        <w:spacing w:after="0" w:line="120" w:lineRule="exact"/>
        <w:rPr>
          <w:sz w:val="10"/>
          <w:lang w:val="es-ES_tradnl"/>
        </w:rPr>
      </w:pPr>
    </w:p>
    <w:p w14:paraId="7B3782CB" w14:textId="77777777" w:rsidR="007756F7" w:rsidRPr="0027002E" w:rsidRDefault="007756F7" w:rsidP="007756F7">
      <w:pPr>
        <w:pStyle w:val="SingleTxt"/>
        <w:rPr>
          <w:lang w:val="es-ES_tradnl"/>
        </w:rPr>
      </w:pPr>
      <w:r w:rsidRPr="0027002E">
        <w:rPr>
          <w:lang w:val="es-ES_tradnl"/>
        </w:rPr>
        <w:t>La Presidencia informará al Comité sobre las actividades y los acontecimientos relacionados con la labor del Comité que hayan ocurrido desde el período de sesiones anterior.</w:t>
      </w:r>
    </w:p>
    <w:p w14:paraId="1BA1A547" w14:textId="77777777" w:rsidR="007756F7" w:rsidRPr="0027002E" w:rsidRDefault="007756F7" w:rsidP="007756F7">
      <w:pPr>
        <w:pStyle w:val="SingleTxt"/>
        <w:spacing w:after="0" w:line="120" w:lineRule="exact"/>
        <w:rPr>
          <w:sz w:val="10"/>
          <w:lang w:val="es-ES_tradnl"/>
        </w:rPr>
      </w:pPr>
    </w:p>
    <w:p w14:paraId="234E4E44" w14:textId="77777777" w:rsidR="007756F7" w:rsidRPr="0027002E" w:rsidRDefault="007756F7" w:rsidP="000A1F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002E">
        <w:rPr>
          <w:lang w:val="es-ES_tradnl"/>
        </w:rPr>
        <w:tab/>
      </w:r>
      <w:r w:rsidRPr="0027002E">
        <w:rPr>
          <w:lang w:val="es-ES_tradnl"/>
        </w:rPr>
        <w:tab/>
        <w:t>Documentación</w:t>
      </w:r>
    </w:p>
    <w:p w14:paraId="0E1D4665" w14:textId="77777777" w:rsidR="007756F7" w:rsidRPr="0027002E" w:rsidRDefault="007756F7" w:rsidP="007756F7">
      <w:pPr>
        <w:pStyle w:val="SingleTxt"/>
        <w:spacing w:after="0" w:line="120" w:lineRule="exact"/>
        <w:rPr>
          <w:sz w:val="10"/>
          <w:lang w:val="es-ES_tradnl"/>
        </w:rPr>
      </w:pPr>
    </w:p>
    <w:p w14:paraId="1422534E" w14:textId="0C381455" w:rsidR="007756F7" w:rsidRPr="0027002E" w:rsidRDefault="007756F7" w:rsidP="007756F7">
      <w:pPr>
        <w:pStyle w:val="SingleTxt"/>
        <w:rPr>
          <w:lang w:val="es-ES_tradnl"/>
        </w:rPr>
      </w:pPr>
      <w:r w:rsidRPr="0027002E">
        <w:rPr>
          <w:lang w:val="es-ES_tradnl"/>
        </w:rPr>
        <w:t>Programa provisional anotado (</w:t>
      </w:r>
      <w:hyperlink r:id="rId15" w:history="1">
        <w:r w:rsidRPr="0027002E">
          <w:rPr>
            <w:rStyle w:val="Hyperlink"/>
            <w:lang w:val="es-ES_tradnl"/>
          </w:rPr>
          <w:t>CEDAW/C/75/1</w:t>
        </w:r>
      </w:hyperlink>
      <w:r w:rsidRPr="0027002E">
        <w:rPr>
          <w:lang w:val="es-ES_tradnl"/>
        </w:rPr>
        <w:t>)</w:t>
      </w:r>
    </w:p>
    <w:p w14:paraId="03E29D2C" w14:textId="77777777" w:rsidR="007756F7" w:rsidRPr="0027002E" w:rsidRDefault="007756F7" w:rsidP="007756F7">
      <w:pPr>
        <w:pStyle w:val="SingleTxt"/>
        <w:spacing w:after="0" w:line="120" w:lineRule="exact"/>
        <w:rPr>
          <w:sz w:val="10"/>
          <w:lang w:val="es-ES_tradnl"/>
        </w:rPr>
      </w:pPr>
    </w:p>
    <w:p w14:paraId="27B45F8D" w14:textId="77777777" w:rsidR="007756F7" w:rsidRPr="0027002E" w:rsidRDefault="007756F7" w:rsidP="00775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002E">
        <w:rPr>
          <w:lang w:val="es-ES_tradnl"/>
        </w:rPr>
        <w:tab/>
        <w:t>4.</w:t>
      </w:r>
      <w:r w:rsidRPr="0027002E">
        <w:rPr>
          <w:lang w:val="es-ES_tradnl"/>
        </w:rPr>
        <w:tab/>
      </w:r>
      <w:r w:rsidRPr="0027002E">
        <w:rPr>
          <w:bCs/>
          <w:lang w:val="es-ES_tradnl"/>
        </w:rPr>
        <w:t>Examen de los informes presentados por los Estados partes en virtud del artículo 18 de la Convención sobre la Eliminación de Todas las Formas de Discriminación contra la Mujer</w:t>
      </w:r>
    </w:p>
    <w:p w14:paraId="4DC27166" w14:textId="77777777" w:rsidR="007756F7" w:rsidRPr="0027002E" w:rsidRDefault="007756F7" w:rsidP="007756F7">
      <w:pPr>
        <w:pStyle w:val="SingleTxt"/>
        <w:spacing w:after="0" w:line="120" w:lineRule="exact"/>
        <w:rPr>
          <w:sz w:val="10"/>
          <w:lang w:val="es-ES_tradnl"/>
        </w:rPr>
      </w:pPr>
    </w:p>
    <w:p w14:paraId="37853357" w14:textId="77777777" w:rsidR="007756F7" w:rsidRPr="0027002E" w:rsidRDefault="007756F7" w:rsidP="007756F7">
      <w:pPr>
        <w:pStyle w:val="SingleTxt"/>
        <w:rPr>
          <w:lang w:val="es-ES_tradnl"/>
        </w:rPr>
      </w:pPr>
      <w:r w:rsidRPr="0027002E">
        <w:rPr>
          <w:lang w:val="es-ES_tradnl"/>
        </w:rPr>
        <w:t>El artículo 18 de la Convención dispone que los Estados partes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0C0F6FEB" w14:textId="77777777" w:rsidR="007756F7" w:rsidRPr="0027002E" w:rsidRDefault="007756F7" w:rsidP="007756F7">
      <w:pPr>
        <w:pStyle w:val="SingleTxt"/>
        <w:rPr>
          <w:lang w:val="es-ES_tradnl"/>
        </w:rPr>
      </w:pPr>
      <w:r w:rsidRPr="0027002E">
        <w:rPr>
          <w:lang w:val="es-ES_tradnl"/>
        </w:rPr>
        <w:t>Está previsto que en su 75º período de sesiones el Comité examine los informes de los siguientes Estados partes: Afganistán, Bulgaria, Eritrea, Kiribati, Letonia, Pakistán, República de Moldova y Zimbabwe.</w:t>
      </w:r>
    </w:p>
    <w:p w14:paraId="47453FA5" w14:textId="77777777" w:rsidR="007756F7" w:rsidRPr="0027002E" w:rsidRDefault="007756F7" w:rsidP="007756F7">
      <w:pPr>
        <w:pStyle w:val="SingleTxt"/>
        <w:rPr>
          <w:lang w:val="es-ES_tradnl"/>
        </w:rPr>
      </w:pPr>
      <w:r w:rsidRPr="0027002E">
        <w:rPr>
          <w:lang w:val="es-ES_tradnl"/>
        </w:rPr>
        <w:t>El artículo 51 del Reglamento dispone que los representantes de los Estados partes podrán asistir a las sesiones del Comité en las que se vayan a examinar sus respectivos informes para participar en las deliberaciones y responder a las preguntas relativas a dichos informes.</w:t>
      </w:r>
    </w:p>
    <w:p w14:paraId="46A77C66" w14:textId="77777777" w:rsidR="007756F7" w:rsidRPr="0027002E" w:rsidRDefault="007756F7" w:rsidP="007756F7">
      <w:pPr>
        <w:pStyle w:val="SingleTxt"/>
        <w:rPr>
          <w:lang w:val="es-ES_tradnl"/>
        </w:rPr>
      </w:pPr>
      <w:r w:rsidRPr="0027002E">
        <w:rPr>
          <w:lang w:val="es-ES_tradnl"/>
        </w:rPr>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225C3EA1" w14:textId="5E70A9A3" w:rsidR="007756F7" w:rsidRPr="0027002E" w:rsidRDefault="007756F7" w:rsidP="007756F7">
      <w:pPr>
        <w:pStyle w:val="SingleTxt"/>
        <w:rPr>
          <w:lang w:val="es-ES_tradnl"/>
        </w:rPr>
      </w:pPr>
      <w:r w:rsidRPr="0027002E">
        <w:rPr>
          <w:lang w:val="es-ES_tradnl"/>
        </w:rPr>
        <w:t>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75º período de sesiones se reunió en Ginebra del 22 al 26 de julio de 2019. El Comité tendrá ante sí el informe del grupo de trabajo anterior al período de sesiones (</w:t>
      </w:r>
      <w:hyperlink r:id="rId16" w:history="1">
        <w:r w:rsidRPr="0027002E">
          <w:rPr>
            <w:rStyle w:val="Hyperlink"/>
            <w:lang w:val="es-ES_tradnl"/>
          </w:rPr>
          <w:t>CEDAW/C/PSWG/75/1</w:t>
        </w:r>
      </w:hyperlink>
      <w:r w:rsidRPr="0027002E">
        <w:rPr>
          <w:lang w:val="es-ES_tradnl"/>
        </w:rPr>
        <w:t>) y las respuestas de los Estados partes a las listas de cuestiones y preguntas.</w:t>
      </w:r>
    </w:p>
    <w:p w14:paraId="47DB7DB4" w14:textId="77777777" w:rsidR="007756F7" w:rsidRPr="0027002E" w:rsidRDefault="007756F7" w:rsidP="007756F7">
      <w:pPr>
        <w:pStyle w:val="SingleTxt"/>
        <w:spacing w:after="0" w:line="120" w:lineRule="exact"/>
        <w:rPr>
          <w:sz w:val="10"/>
          <w:lang w:val="es-ES_tradnl"/>
        </w:rPr>
      </w:pPr>
    </w:p>
    <w:p w14:paraId="4A724CB7" w14:textId="77777777" w:rsidR="007756F7" w:rsidRPr="0027002E" w:rsidRDefault="007756F7" w:rsidP="000A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002E">
        <w:rPr>
          <w:lang w:val="es-ES_tradnl"/>
        </w:rPr>
        <w:lastRenderedPageBreak/>
        <w:tab/>
      </w:r>
      <w:r w:rsidRPr="0027002E">
        <w:rPr>
          <w:lang w:val="es-ES_tradnl"/>
        </w:rPr>
        <w:tab/>
        <w:t>Documentación</w:t>
      </w:r>
    </w:p>
    <w:p w14:paraId="1DF5D8A8" w14:textId="77777777" w:rsidR="007756F7" w:rsidRPr="0027002E" w:rsidRDefault="007756F7" w:rsidP="007756F7">
      <w:pPr>
        <w:pStyle w:val="SingleTxt"/>
        <w:keepNext/>
        <w:keepLines/>
        <w:spacing w:after="0" w:line="120" w:lineRule="exact"/>
        <w:rPr>
          <w:sz w:val="10"/>
          <w:lang w:val="es-ES_tradnl"/>
        </w:rPr>
      </w:pPr>
    </w:p>
    <w:p w14:paraId="7B856624" w14:textId="77777777" w:rsidR="007756F7" w:rsidRPr="0027002E" w:rsidRDefault="007756F7" w:rsidP="007756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7002E">
        <w:rPr>
          <w:lang w:val="es-ES_tradnl"/>
        </w:rPr>
        <w:tab/>
      </w:r>
      <w:r w:rsidRPr="0027002E">
        <w:rPr>
          <w:lang w:val="es-ES_tradnl"/>
        </w:rPr>
        <w:tab/>
        <w:t>Informes</w:t>
      </w:r>
    </w:p>
    <w:p w14:paraId="47AC6D5C" w14:textId="77777777" w:rsidR="007756F7" w:rsidRPr="0027002E" w:rsidRDefault="007756F7" w:rsidP="00431D59">
      <w:pPr>
        <w:pStyle w:val="SingleTxt"/>
        <w:keepNext/>
        <w:keepLines/>
        <w:spacing w:after="0" w:line="120" w:lineRule="exact"/>
        <w:jc w:val="left"/>
        <w:rPr>
          <w:sz w:val="10"/>
          <w:lang w:val="es-ES_tradnl"/>
        </w:rPr>
      </w:pPr>
    </w:p>
    <w:p w14:paraId="3CEC4D0C" w14:textId="2328CB3A" w:rsidR="007756F7" w:rsidRPr="0027002E" w:rsidRDefault="007756F7" w:rsidP="00CF6134">
      <w:pPr>
        <w:pStyle w:val="SingleTxt"/>
        <w:jc w:val="left"/>
        <w:rPr>
          <w:lang w:val="es-ES_tradnl"/>
        </w:rPr>
      </w:pPr>
      <w:r w:rsidRPr="0027002E">
        <w:rPr>
          <w:lang w:val="es-ES_tradnl"/>
        </w:rPr>
        <w:t>Tercer informe periódico del Afganistán (</w:t>
      </w:r>
      <w:hyperlink r:id="rId17" w:history="1">
        <w:r w:rsidRPr="0027002E">
          <w:rPr>
            <w:rStyle w:val="Hyperlink"/>
            <w:lang w:val="es-ES_tradnl"/>
          </w:rPr>
          <w:t>CEDAW/C/AFG/3</w:t>
        </w:r>
      </w:hyperlink>
      <w:r w:rsidRPr="0027002E">
        <w:rPr>
          <w:lang w:val="es-ES_tradnl"/>
        </w:rPr>
        <w:t>)</w:t>
      </w:r>
    </w:p>
    <w:p w14:paraId="50548B0B" w14:textId="6F0930F5" w:rsidR="007756F7" w:rsidRPr="0027002E" w:rsidRDefault="007756F7" w:rsidP="00CF6134">
      <w:pPr>
        <w:pStyle w:val="SingleTxt"/>
        <w:jc w:val="left"/>
        <w:rPr>
          <w:lang w:val="es-ES_tradnl"/>
        </w:rPr>
      </w:pPr>
      <w:r w:rsidRPr="0027002E">
        <w:rPr>
          <w:lang w:val="es-ES_tradnl"/>
        </w:rPr>
        <w:t>Octavo informe periódico de Bulgaria, presentado conforme al procedimiento simplificado (</w:t>
      </w:r>
      <w:hyperlink r:id="rId18" w:history="1">
        <w:r w:rsidRPr="0027002E">
          <w:rPr>
            <w:rStyle w:val="Hyperlink"/>
            <w:lang w:val="es-ES_tradnl"/>
          </w:rPr>
          <w:t>CEDAW/C/BGR/8</w:t>
        </w:r>
      </w:hyperlink>
      <w:r w:rsidRPr="0027002E">
        <w:rPr>
          <w:lang w:val="es-ES_tradnl"/>
        </w:rPr>
        <w:t>)</w:t>
      </w:r>
    </w:p>
    <w:p w14:paraId="5666FBFD" w14:textId="4EA80C62" w:rsidR="007756F7" w:rsidRPr="0027002E" w:rsidRDefault="007756F7" w:rsidP="00CF6134">
      <w:pPr>
        <w:pStyle w:val="SingleTxt"/>
        <w:jc w:val="left"/>
        <w:rPr>
          <w:lang w:val="es-ES_tradnl"/>
        </w:rPr>
      </w:pPr>
      <w:r w:rsidRPr="0027002E">
        <w:rPr>
          <w:lang w:val="es-ES_tradnl"/>
        </w:rPr>
        <w:t>Sexto informe periódico de Eritrea (</w:t>
      </w:r>
      <w:hyperlink r:id="rId19" w:history="1">
        <w:r w:rsidRPr="0027002E">
          <w:rPr>
            <w:rStyle w:val="Hyperlink"/>
            <w:lang w:val="es-ES_tradnl"/>
          </w:rPr>
          <w:t>CEDAW/C/ERI/6</w:t>
        </w:r>
      </w:hyperlink>
      <w:r w:rsidRPr="0027002E">
        <w:rPr>
          <w:lang w:val="es-ES_tradnl"/>
        </w:rPr>
        <w:t>)</w:t>
      </w:r>
    </w:p>
    <w:p w14:paraId="47DDEE54" w14:textId="1FEFDC4D" w:rsidR="007756F7" w:rsidRPr="0027002E" w:rsidRDefault="007756F7" w:rsidP="00CF6134">
      <w:pPr>
        <w:pStyle w:val="SingleTxt"/>
        <w:jc w:val="left"/>
        <w:rPr>
          <w:lang w:val="es-ES_tradnl"/>
        </w:rPr>
      </w:pPr>
      <w:r w:rsidRPr="0027002E">
        <w:rPr>
          <w:lang w:val="es-ES_tradnl"/>
        </w:rPr>
        <w:t>Informes periódicos inicial, segundo y tercero combinados de Kiribati (</w:t>
      </w:r>
      <w:hyperlink r:id="rId20" w:history="1">
        <w:r w:rsidRPr="0027002E">
          <w:rPr>
            <w:rStyle w:val="Hyperlink"/>
            <w:lang w:val="es-ES_tradnl"/>
          </w:rPr>
          <w:t>CEDAW/C/KIR/1-3</w:t>
        </w:r>
      </w:hyperlink>
      <w:r w:rsidRPr="0027002E">
        <w:rPr>
          <w:lang w:val="es-ES_tradnl"/>
        </w:rPr>
        <w:t>)</w:t>
      </w:r>
    </w:p>
    <w:p w14:paraId="280CE90E" w14:textId="4FE34180" w:rsidR="007756F7" w:rsidRPr="0027002E" w:rsidRDefault="007756F7" w:rsidP="00CF6134">
      <w:pPr>
        <w:pStyle w:val="SingleTxt"/>
        <w:jc w:val="left"/>
        <w:rPr>
          <w:lang w:val="es-ES_tradnl"/>
        </w:rPr>
      </w:pPr>
      <w:r w:rsidRPr="0027002E">
        <w:rPr>
          <w:lang w:val="es-ES_tradnl"/>
        </w:rPr>
        <w:t>Informes periódicos cuarto, quinto, sexto y séptimo combinados de Letonia (</w:t>
      </w:r>
      <w:hyperlink r:id="rId21" w:history="1">
        <w:r w:rsidRPr="0027002E">
          <w:rPr>
            <w:rStyle w:val="Hyperlink"/>
            <w:lang w:val="es-ES_tradnl"/>
          </w:rPr>
          <w:t>CEDAW/C/LVA/4-7</w:t>
        </w:r>
      </w:hyperlink>
      <w:r w:rsidRPr="0027002E">
        <w:rPr>
          <w:lang w:val="es-ES_tradnl"/>
        </w:rPr>
        <w:t>)</w:t>
      </w:r>
    </w:p>
    <w:p w14:paraId="12557E14" w14:textId="5C54A8EF" w:rsidR="007756F7" w:rsidRPr="0027002E" w:rsidRDefault="007756F7" w:rsidP="00CF6134">
      <w:pPr>
        <w:pStyle w:val="SingleTxt"/>
        <w:jc w:val="left"/>
        <w:rPr>
          <w:lang w:val="es-ES_tradnl"/>
        </w:rPr>
      </w:pPr>
      <w:r w:rsidRPr="0027002E">
        <w:rPr>
          <w:lang w:val="es-ES_tradnl"/>
        </w:rPr>
        <w:t>Quinto informe periódico del Pakistán (</w:t>
      </w:r>
      <w:hyperlink r:id="rId22" w:history="1">
        <w:r w:rsidRPr="0027002E">
          <w:rPr>
            <w:rStyle w:val="Hyperlink"/>
            <w:lang w:val="es-ES_tradnl"/>
          </w:rPr>
          <w:t>CEDAW/C/PAK/5</w:t>
        </w:r>
      </w:hyperlink>
      <w:r w:rsidRPr="0027002E">
        <w:rPr>
          <w:lang w:val="es-ES_tradnl"/>
        </w:rPr>
        <w:t>)</w:t>
      </w:r>
    </w:p>
    <w:p w14:paraId="74D27D62" w14:textId="36E1C612" w:rsidR="007756F7" w:rsidRPr="0027002E" w:rsidRDefault="007756F7" w:rsidP="00CF6134">
      <w:pPr>
        <w:pStyle w:val="SingleTxt"/>
        <w:jc w:val="left"/>
        <w:rPr>
          <w:lang w:val="es-ES_tradnl"/>
        </w:rPr>
      </w:pPr>
      <w:r w:rsidRPr="0027002E">
        <w:rPr>
          <w:lang w:val="es-ES_tradnl"/>
        </w:rPr>
        <w:t>Sexto informe periódico de la República de Moldova (</w:t>
      </w:r>
      <w:hyperlink r:id="rId23" w:history="1">
        <w:r w:rsidRPr="0027002E">
          <w:rPr>
            <w:rStyle w:val="Hyperlink"/>
            <w:lang w:val="es-ES_tradnl"/>
          </w:rPr>
          <w:t>CEDAW/C/MDA/6</w:t>
        </w:r>
      </w:hyperlink>
      <w:r w:rsidRPr="0027002E">
        <w:rPr>
          <w:lang w:val="es-ES_tradnl"/>
        </w:rPr>
        <w:t>)</w:t>
      </w:r>
    </w:p>
    <w:p w14:paraId="4A211AAD" w14:textId="0E7873F0" w:rsidR="007756F7" w:rsidRPr="0027002E" w:rsidRDefault="007756F7" w:rsidP="00CF6134">
      <w:pPr>
        <w:pStyle w:val="SingleTxt"/>
        <w:jc w:val="left"/>
        <w:rPr>
          <w:lang w:val="es-ES_tradnl"/>
        </w:rPr>
      </w:pPr>
      <w:r w:rsidRPr="0027002E">
        <w:rPr>
          <w:lang w:val="es-ES_tradnl"/>
        </w:rPr>
        <w:t>Sexto informe periódico de Zimbabwe (</w:t>
      </w:r>
      <w:hyperlink r:id="rId24" w:history="1">
        <w:r w:rsidRPr="0027002E">
          <w:rPr>
            <w:rStyle w:val="Hyperlink"/>
            <w:lang w:val="es-ES_tradnl"/>
          </w:rPr>
          <w:t>CEDAW/C/ZWE/6</w:t>
        </w:r>
      </w:hyperlink>
      <w:r w:rsidRPr="0027002E">
        <w:rPr>
          <w:lang w:val="es-ES_tradnl"/>
        </w:rPr>
        <w:t>)</w:t>
      </w:r>
    </w:p>
    <w:p w14:paraId="45B373E2" w14:textId="77777777" w:rsidR="007756F7" w:rsidRPr="0027002E" w:rsidRDefault="007756F7" w:rsidP="007756F7">
      <w:pPr>
        <w:pStyle w:val="SingleTxt"/>
        <w:spacing w:after="0" w:line="120" w:lineRule="exact"/>
        <w:rPr>
          <w:sz w:val="10"/>
          <w:lang w:val="es-ES_tradnl"/>
        </w:rPr>
      </w:pPr>
    </w:p>
    <w:p w14:paraId="10717CD9" w14:textId="77777777" w:rsidR="007756F7" w:rsidRPr="0027002E" w:rsidRDefault="007756F7" w:rsidP="00431D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002E">
        <w:rPr>
          <w:lang w:val="es-ES_tradnl"/>
        </w:rPr>
        <w:tab/>
      </w:r>
      <w:r w:rsidRPr="0027002E">
        <w:rPr>
          <w:lang w:val="es-ES_tradnl"/>
        </w:rPr>
        <w:tab/>
        <w:t>Listas de cuestiones y preguntas</w:t>
      </w:r>
    </w:p>
    <w:p w14:paraId="6CCF38D7" w14:textId="77777777" w:rsidR="007756F7" w:rsidRPr="0027002E" w:rsidRDefault="007756F7" w:rsidP="007756F7">
      <w:pPr>
        <w:pStyle w:val="SingleTxt"/>
        <w:spacing w:after="0" w:line="120" w:lineRule="exact"/>
        <w:rPr>
          <w:sz w:val="10"/>
          <w:lang w:val="es-ES_tradnl"/>
        </w:rPr>
      </w:pPr>
    </w:p>
    <w:p w14:paraId="64C49028" w14:textId="3E047808" w:rsidR="007756F7" w:rsidRPr="0027002E" w:rsidRDefault="007756F7" w:rsidP="007756F7">
      <w:pPr>
        <w:pStyle w:val="SingleTxt"/>
        <w:rPr>
          <w:lang w:val="es-ES_tradnl"/>
        </w:rPr>
      </w:pPr>
      <w:r w:rsidRPr="0027002E">
        <w:rPr>
          <w:lang w:val="es-ES_tradnl"/>
        </w:rPr>
        <w:t>Afganistán (</w:t>
      </w:r>
      <w:hyperlink r:id="rId25" w:history="1">
        <w:r w:rsidRPr="0027002E">
          <w:rPr>
            <w:rStyle w:val="Hyperlink"/>
            <w:lang w:val="es-ES_tradnl"/>
          </w:rPr>
          <w:t>CEDAW/C/AFG/Q/3</w:t>
        </w:r>
      </w:hyperlink>
      <w:r w:rsidRPr="0027002E">
        <w:rPr>
          <w:lang w:val="es-ES_tradnl"/>
        </w:rPr>
        <w:t>)</w:t>
      </w:r>
    </w:p>
    <w:p w14:paraId="63DB38B4" w14:textId="4C7DAD70" w:rsidR="007756F7" w:rsidRPr="0027002E" w:rsidRDefault="007756F7" w:rsidP="007756F7">
      <w:pPr>
        <w:pStyle w:val="SingleTxt"/>
        <w:rPr>
          <w:lang w:val="es-ES_tradnl"/>
        </w:rPr>
      </w:pPr>
      <w:r w:rsidRPr="0027002E">
        <w:rPr>
          <w:lang w:val="es-ES_tradnl"/>
        </w:rPr>
        <w:t>Bulgaria (</w:t>
      </w:r>
      <w:hyperlink r:id="rId26" w:history="1">
        <w:r w:rsidRPr="0027002E">
          <w:rPr>
            <w:rStyle w:val="Hyperlink"/>
            <w:lang w:val="es-ES_tradnl"/>
          </w:rPr>
          <w:t>CEDAW/C/BGR/QPR/8</w:t>
        </w:r>
      </w:hyperlink>
      <w:r w:rsidRPr="0027002E">
        <w:rPr>
          <w:lang w:val="es-ES_tradnl"/>
        </w:rPr>
        <w:t>)</w:t>
      </w:r>
    </w:p>
    <w:p w14:paraId="6C1B39FD" w14:textId="0C73760F" w:rsidR="007756F7" w:rsidRPr="00192FEB" w:rsidRDefault="007756F7" w:rsidP="007756F7">
      <w:pPr>
        <w:pStyle w:val="SingleTxt"/>
        <w:rPr>
          <w:lang w:val="en-US"/>
        </w:rPr>
      </w:pPr>
      <w:r w:rsidRPr="00192FEB">
        <w:rPr>
          <w:lang w:val="en-US"/>
        </w:rPr>
        <w:t>Eritrea (</w:t>
      </w:r>
      <w:hyperlink r:id="rId27" w:history="1">
        <w:r w:rsidRPr="00192FEB">
          <w:rPr>
            <w:rStyle w:val="Hyperlink"/>
            <w:lang w:val="en-US"/>
          </w:rPr>
          <w:t>CEDAW/C/ERI/Q/6</w:t>
        </w:r>
      </w:hyperlink>
      <w:r w:rsidRPr="00192FEB">
        <w:rPr>
          <w:lang w:val="en-US"/>
        </w:rPr>
        <w:t>)</w:t>
      </w:r>
    </w:p>
    <w:p w14:paraId="6B8C8EA0" w14:textId="4484E528" w:rsidR="007756F7" w:rsidRPr="00192FEB" w:rsidRDefault="007756F7" w:rsidP="007756F7">
      <w:pPr>
        <w:pStyle w:val="SingleTxt"/>
        <w:rPr>
          <w:lang w:val="en-US"/>
        </w:rPr>
      </w:pPr>
      <w:r w:rsidRPr="00192FEB">
        <w:rPr>
          <w:lang w:val="en-US"/>
        </w:rPr>
        <w:t>Kiribati (</w:t>
      </w:r>
      <w:hyperlink r:id="rId28" w:history="1">
        <w:r w:rsidRPr="00192FEB">
          <w:rPr>
            <w:rStyle w:val="Hyperlink"/>
            <w:lang w:val="en-US"/>
          </w:rPr>
          <w:t>CEDAW/C/KIR/Q/1-3</w:t>
        </w:r>
      </w:hyperlink>
      <w:r w:rsidRPr="00192FEB">
        <w:rPr>
          <w:lang w:val="en-US"/>
        </w:rPr>
        <w:t>)</w:t>
      </w:r>
    </w:p>
    <w:p w14:paraId="0A4889BD" w14:textId="395802DA" w:rsidR="007756F7" w:rsidRPr="00192FEB" w:rsidRDefault="007756F7" w:rsidP="007756F7">
      <w:pPr>
        <w:pStyle w:val="SingleTxt"/>
        <w:rPr>
          <w:lang w:val="en-US"/>
        </w:rPr>
      </w:pPr>
      <w:r w:rsidRPr="00192FEB">
        <w:rPr>
          <w:lang w:val="en-US"/>
        </w:rPr>
        <w:t>Letonia (</w:t>
      </w:r>
      <w:hyperlink r:id="rId29" w:history="1">
        <w:r w:rsidRPr="00192FEB">
          <w:rPr>
            <w:rStyle w:val="Hyperlink"/>
            <w:lang w:val="en-US"/>
          </w:rPr>
          <w:t>CEDAW/C/LVA/Q/4-7</w:t>
        </w:r>
      </w:hyperlink>
      <w:r w:rsidRPr="00192FEB">
        <w:rPr>
          <w:lang w:val="en-US"/>
        </w:rPr>
        <w:t>)</w:t>
      </w:r>
    </w:p>
    <w:p w14:paraId="1BD8C3A5" w14:textId="00723E70" w:rsidR="007756F7" w:rsidRPr="0027002E" w:rsidRDefault="007756F7" w:rsidP="007756F7">
      <w:pPr>
        <w:pStyle w:val="SingleTxt"/>
        <w:rPr>
          <w:lang w:val="es-ES_tradnl"/>
        </w:rPr>
      </w:pPr>
      <w:r w:rsidRPr="0027002E">
        <w:rPr>
          <w:lang w:val="es-ES_tradnl"/>
        </w:rPr>
        <w:t>Pakistán (</w:t>
      </w:r>
      <w:hyperlink r:id="rId30" w:history="1">
        <w:r w:rsidRPr="0027002E">
          <w:rPr>
            <w:rStyle w:val="Hyperlink"/>
            <w:lang w:val="es-ES_tradnl"/>
          </w:rPr>
          <w:t>CEDAW/C/PAK/Q/5</w:t>
        </w:r>
      </w:hyperlink>
      <w:r w:rsidRPr="0027002E">
        <w:rPr>
          <w:lang w:val="es-ES_tradnl"/>
        </w:rPr>
        <w:t>)</w:t>
      </w:r>
    </w:p>
    <w:p w14:paraId="65D65C51" w14:textId="39D20EFA" w:rsidR="007756F7" w:rsidRPr="0027002E" w:rsidRDefault="007756F7" w:rsidP="007756F7">
      <w:pPr>
        <w:pStyle w:val="SingleTxt"/>
        <w:rPr>
          <w:lang w:val="es-ES_tradnl"/>
        </w:rPr>
      </w:pPr>
      <w:r w:rsidRPr="0027002E">
        <w:rPr>
          <w:lang w:val="es-ES_tradnl"/>
        </w:rPr>
        <w:t>República de Moldova (</w:t>
      </w:r>
      <w:hyperlink r:id="rId31" w:history="1">
        <w:r w:rsidRPr="0027002E">
          <w:rPr>
            <w:rStyle w:val="Hyperlink"/>
            <w:lang w:val="es-ES_tradnl"/>
          </w:rPr>
          <w:t>CEDAW/C/MDA/Q/6</w:t>
        </w:r>
      </w:hyperlink>
      <w:r w:rsidRPr="0027002E">
        <w:rPr>
          <w:lang w:val="es-ES_tradnl"/>
        </w:rPr>
        <w:t>)</w:t>
      </w:r>
    </w:p>
    <w:p w14:paraId="6BA08549" w14:textId="4A9560D1" w:rsidR="007756F7" w:rsidRPr="002B57E4" w:rsidRDefault="007756F7" w:rsidP="007756F7">
      <w:pPr>
        <w:pStyle w:val="SingleTxt"/>
        <w:rPr>
          <w:lang w:val="en-US"/>
        </w:rPr>
      </w:pPr>
      <w:r w:rsidRPr="002B57E4">
        <w:rPr>
          <w:lang w:val="en-US"/>
        </w:rPr>
        <w:t>Zimbabwe (</w:t>
      </w:r>
      <w:hyperlink r:id="rId32" w:history="1">
        <w:r w:rsidRPr="002B57E4">
          <w:rPr>
            <w:rStyle w:val="Hyperlink"/>
            <w:lang w:val="en-US"/>
          </w:rPr>
          <w:t>CEDAW/C/ZWE/Q/6</w:t>
        </w:r>
      </w:hyperlink>
      <w:r w:rsidRPr="002B57E4">
        <w:rPr>
          <w:lang w:val="en-US"/>
        </w:rPr>
        <w:t>)</w:t>
      </w:r>
    </w:p>
    <w:p w14:paraId="3D191A5F" w14:textId="77777777" w:rsidR="007756F7" w:rsidRPr="002B57E4" w:rsidRDefault="007756F7" w:rsidP="007756F7">
      <w:pPr>
        <w:pStyle w:val="SingleTxt"/>
        <w:spacing w:after="0" w:line="120" w:lineRule="exact"/>
        <w:rPr>
          <w:sz w:val="10"/>
          <w:lang w:val="en-US"/>
        </w:rPr>
      </w:pPr>
    </w:p>
    <w:p w14:paraId="071595C4" w14:textId="77777777" w:rsidR="007756F7" w:rsidRPr="0027002E" w:rsidRDefault="007756F7" w:rsidP="007756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E4">
        <w:rPr>
          <w:lang w:val="en-US"/>
        </w:rPr>
        <w:tab/>
      </w:r>
      <w:r w:rsidRPr="002B57E4">
        <w:rPr>
          <w:lang w:val="en-US"/>
        </w:rPr>
        <w:tab/>
      </w:r>
      <w:r w:rsidRPr="0027002E">
        <w:rPr>
          <w:lang w:val="es-ES_tradnl"/>
        </w:rPr>
        <w:t>Respuestas a las listas de cuestiones y preguntas</w:t>
      </w:r>
    </w:p>
    <w:p w14:paraId="621F3F37" w14:textId="77777777" w:rsidR="007756F7" w:rsidRPr="0027002E" w:rsidRDefault="007756F7" w:rsidP="007756F7">
      <w:pPr>
        <w:pStyle w:val="SingleTxt"/>
        <w:spacing w:after="0" w:line="120" w:lineRule="exact"/>
        <w:rPr>
          <w:sz w:val="10"/>
          <w:lang w:val="es-ES_tradnl"/>
        </w:rPr>
      </w:pPr>
    </w:p>
    <w:p w14:paraId="63C917F7" w14:textId="5FB0089E" w:rsidR="007756F7" w:rsidRPr="0027002E" w:rsidRDefault="007756F7" w:rsidP="007756F7">
      <w:pPr>
        <w:pStyle w:val="SingleTxt"/>
        <w:rPr>
          <w:lang w:val="es-ES_tradnl"/>
        </w:rPr>
      </w:pPr>
      <w:r w:rsidRPr="0027002E">
        <w:rPr>
          <w:lang w:val="es-ES_tradnl"/>
        </w:rPr>
        <w:t>Afganistán (</w:t>
      </w:r>
      <w:hyperlink r:id="rId33" w:history="1">
        <w:r w:rsidRPr="0027002E">
          <w:rPr>
            <w:rStyle w:val="Hyperlink"/>
            <w:lang w:val="es-ES_tradnl"/>
          </w:rPr>
          <w:t>CEDAW/C/AFG/Q/3/Add.1</w:t>
        </w:r>
      </w:hyperlink>
      <w:r w:rsidRPr="0027002E">
        <w:rPr>
          <w:lang w:val="es-ES_tradnl"/>
        </w:rPr>
        <w:t>)</w:t>
      </w:r>
    </w:p>
    <w:p w14:paraId="34A949A7" w14:textId="7F47754E" w:rsidR="007756F7" w:rsidRPr="002B57E4" w:rsidRDefault="007756F7" w:rsidP="007756F7">
      <w:pPr>
        <w:pStyle w:val="SingleTxt"/>
        <w:rPr>
          <w:lang w:val="en-US"/>
        </w:rPr>
      </w:pPr>
      <w:r w:rsidRPr="002B57E4">
        <w:rPr>
          <w:lang w:val="en-US"/>
        </w:rPr>
        <w:t>Eritrea (</w:t>
      </w:r>
      <w:hyperlink r:id="rId34" w:history="1">
        <w:r w:rsidRPr="002B57E4">
          <w:rPr>
            <w:rStyle w:val="Hyperlink"/>
            <w:lang w:val="en-US"/>
          </w:rPr>
          <w:t>CEDAW/C/ERI/Q/6/Add.1</w:t>
        </w:r>
      </w:hyperlink>
      <w:r w:rsidRPr="002B57E4">
        <w:rPr>
          <w:lang w:val="en-US"/>
        </w:rPr>
        <w:t>)</w:t>
      </w:r>
    </w:p>
    <w:p w14:paraId="5D7B6D39" w14:textId="736C1E5B" w:rsidR="007756F7" w:rsidRPr="002B57E4" w:rsidRDefault="007756F7" w:rsidP="007756F7">
      <w:pPr>
        <w:pStyle w:val="SingleTxt"/>
        <w:rPr>
          <w:lang w:val="en-US"/>
        </w:rPr>
      </w:pPr>
      <w:r w:rsidRPr="002B57E4">
        <w:rPr>
          <w:lang w:val="en-US"/>
        </w:rPr>
        <w:t>Kiribati (</w:t>
      </w:r>
      <w:hyperlink r:id="rId35" w:history="1">
        <w:r w:rsidRPr="002B57E4">
          <w:rPr>
            <w:rStyle w:val="Hyperlink"/>
            <w:lang w:val="en-US"/>
          </w:rPr>
          <w:t>CEDAW/C/KIR/Q/1-3/Add.1</w:t>
        </w:r>
      </w:hyperlink>
      <w:r w:rsidRPr="002B57E4">
        <w:rPr>
          <w:lang w:val="en-US"/>
        </w:rPr>
        <w:t>)</w:t>
      </w:r>
    </w:p>
    <w:p w14:paraId="631A1093" w14:textId="15D56DFD" w:rsidR="007756F7" w:rsidRPr="002B57E4" w:rsidRDefault="007756F7" w:rsidP="007756F7">
      <w:pPr>
        <w:pStyle w:val="SingleTxt"/>
        <w:rPr>
          <w:lang w:val="en-US"/>
        </w:rPr>
      </w:pPr>
      <w:r w:rsidRPr="002B57E4">
        <w:rPr>
          <w:lang w:val="en-US"/>
        </w:rPr>
        <w:t>Letonia (</w:t>
      </w:r>
      <w:hyperlink r:id="rId36" w:history="1">
        <w:r w:rsidRPr="002B57E4">
          <w:rPr>
            <w:rStyle w:val="Hyperlink"/>
            <w:lang w:val="en-US"/>
          </w:rPr>
          <w:t>CEDAW/C/LVA/Q/4-7/Add.1</w:t>
        </w:r>
      </w:hyperlink>
      <w:r w:rsidRPr="002B57E4">
        <w:rPr>
          <w:lang w:val="en-US"/>
        </w:rPr>
        <w:t>)</w:t>
      </w:r>
    </w:p>
    <w:p w14:paraId="79FAD4AE" w14:textId="37E95029" w:rsidR="007756F7" w:rsidRPr="0027002E" w:rsidRDefault="007756F7" w:rsidP="007756F7">
      <w:pPr>
        <w:pStyle w:val="SingleTxt"/>
        <w:rPr>
          <w:lang w:val="es-ES_tradnl"/>
        </w:rPr>
      </w:pPr>
      <w:r w:rsidRPr="0027002E">
        <w:rPr>
          <w:lang w:val="es-ES_tradnl"/>
        </w:rPr>
        <w:t>Pakistán (</w:t>
      </w:r>
      <w:hyperlink r:id="rId37" w:history="1">
        <w:r w:rsidRPr="0027002E">
          <w:rPr>
            <w:rStyle w:val="Hyperlink"/>
            <w:lang w:val="es-ES_tradnl"/>
          </w:rPr>
          <w:t>CEDAW/C/PAK/Q/5/Add.1</w:t>
        </w:r>
      </w:hyperlink>
      <w:r w:rsidRPr="0027002E">
        <w:rPr>
          <w:lang w:val="es-ES_tradnl"/>
        </w:rPr>
        <w:t>)</w:t>
      </w:r>
    </w:p>
    <w:p w14:paraId="26BE0C07" w14:textId="0CB51927" w:rsidR="007756F7" w:rsidRPr="0027002E" w:rsidRDefault="007756F7" w:rsidP="007756F7">
      <w:pPr>
        <w:pStyle w:val="SingleTxt"/>
        <w:rPr>
          <w:lang w:val="es-ES_tradnl"/>
        </w:rPr>
      </w:pPr>
      <w:r w:rsidRPr="0027002E">
        <w:rPr>
          <w:lang w:val="es-ES_tradnl"/>
        </w:rPr>
        <w:t>República de Moldova (</w:t>
      </w:r>
      <w:hyperlink r:id="rId38" w:history="1">
        <w:r w:rsidRPr="0027002E">
          <w:rPr>
            <w:rStyle w:val="Hyperlink"/>
            <w:lang w:val="es-ES_tradnl"/>
          </w:rPr>
          <w:t>CEDAW/C/MDA/Q/6/Add.1</w:t>
        </w:r>
      </w:hyperlink>
      <w:r w:rsidRPr="0027002E">
        <w:rPr>
          <w:lang w:val="es-ES_tradnl"/>
        </w:rPr>
        <w:t>)</w:t>
      </w:r>
    </w:p>
    <w:p w14:paraId="63E022E9" w14:textId="1A92A1FF" w:rsidR="007756F7" w:rsidRPr="002B57E4" w:rsidRDefault="007756F7" w:rsidP="007756F7">
      <w:pPr>
        <w:pStyle w:val="SingleTxt"/>
        <w:rPr>
          <w:lang w:val="en-US"/>
        </w:rPr>
      </w:pPr>
      <w:r w:rsidRPr="002B57E4">
        <w:rPr>
          <w:lang w:val="en-US"/>
        </w:rPr>
        <w:t>Zimbabwe (</w:t>
      </w:r>
      <w:hyperlink r:id="rId39" w:history="1">
        <w:r w:rsidRPr="002B57E4">
          <w:rPr>
            <w:rStyle w:val="Hyperlink"/>
            <w:lang w:val="en-US"/>
          </w:rPr>
          <w:t>CEDAW/C/ZWE/Q/6/Add.1</w:t>
        </w:r>
      </w:hyperlink>
      <w:r w:rsidRPr="002B57E4">
        <w:rPr>
          <w:lang w:val="en-US"/>
        </w:rPr>
        <w:t>)</w:t>
      </w:r>
    </w:p>
    <w:p w14:paraId="57834BBD" w14:textId="77777777" w:rsidR="007756F7" w:rsidRPr="002B57E4" w:rsidRDefault="007756F7" w:rsidP="007756F7">
      <w:pPr>
        <w:pStyle w:val="SingleTxt"/>
        <w:spacing w:after="0" w:line="120" w:lineRule="exact"/>
        <w:rPr>
          <w:sz w:val="10"/>
          <w:lang w:val="en-US"/>
        </w:rPr>
      </w:pPr>
    </w:p>
    <w:p w14:paraId="62FD825A" w14:textId="77777777" w:rsidR="007756F7" w:rsidRPr="0027002E" w:rsidRDefault="007756F7" w:rsidP="00CF61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2B57E4">
        <w:rPr>
          <w:lang w:val="en-US"/>
        </w:rPr>
        <w:tab/>
      </w:r>
      <w:r w:rsidRPr="0027002E">
        <w:rPr>
          <w:lang w:val="es-ES_tradnl"/>
        </w:rPr>
        <w:t>5.</w:t>
      </w:r>
      <w:r w:rsidRPr="0027002E">
        <w:rPr>
          <w:lang w:val="es-ES_tradnl"/>
        </w:rPr>
        <w:tab/>
      </w:r>
      <w:r w:rsidRPr="0027002E">
        <w:rPr>
          <w:bCs/>
          <w:lang w:val="es-ES_tradnl"/>
        </w:rPr>
        <w:t>Seguimiento del examen de los informes presentados por los Estados partes en virtud del artículo 18 de la Convención</w:t>
      </w:r>
    </w:p>
    <w:p w14:paraId="327E97BB" w14:textId="77777777" w:rsidR="007756F7" w:rsidRPr="0027002E" w:rsidRDefault="007756F7" w:rsidP="007756F7">
      <w:pPr>
        <w:pStyle w:val="SingleTxt"/>
        <w:spacing w:after="0" w:line="120" w:lineRule="exact"/>
        <w:rPr>
          <w:sz w:val="10"/>
          <w:lang w:val="es-ES_tradnl"/>
        </w:rPr>
      </w:pPr>
    </w:p>
    <w:p w14:paraId="3D8F9D07" w14:textId="77777777" w:rsidR="007756F7" w:rsidRPr="0027002E" w:rsidRDefault="007756F7" w:rsidP="007756F7">
      <w:pPr>
        <w:pStyle w:val="SingleTxt"/>
        <w:rPr>
          <w:lang w:val="es-ES_tradnl"/>
        </w:rPr>
      </w:pPr>
      <w:r w:rsidRPr="0027002E">
        <w:rPr>
          <w:lang w:val="es-ES_tradnl"/>
        </w:rPr>
        <w:t>El Comité examinará cuestiones relacionadas con el seguimiento de las observaciones finales.</w:t>
      </w:r>
    </w:p>
    <w:p w14:paraId="4987E2F2" w14:textId="77777777" w:rsidR="007756F7" w:rsidRPr="0027002E" w:rsidRDefault="007756F7" w:rsidP="007756F7">
      <w:pPr>
        <w:pStyle w:val="SingleTxt"/>
        <w:spacing w:after="0" w:line="120" w:lineRule="exact"/>
        <w:rPr>
          <w:sz w:val="10"/>
          <w:lang w:val="es-ES_tradnl"/>
        </w:rPr>
      </w:pPr>
    </w:p>
    <w:p w14:paraId="4C8AD096" w14:textId="77777777" w:rsidR="00B707D7" w:rsidRDefault="00B707D7">
      <w:pPr>
        <w:suppressAutoHyphens w:val="0"/>
        <w:spacing w:after="200" w:line="276" w:lineRule="auto"/>
        <w:rPr>
          <w:b/>
          <w:spacing w:val="2"/>
          <w:kern w:val="14"/>
          <w:lang w:val="es-ES_tradnl"/>
        </w:rPr>
      </w:pPr>
      <w:r>
        <w:rPr>
          <w:lang w:val="es-ES_tradnl"/>
        </w:rPr>
        <w:br w:type="page"/>
      </w:r>
    </w:p>
    <w:p w14:paraId="7D1A29BD" w14:textId="176D05F9" w:rsidR="007756F7" w:rsidRPr="0027002E" w:rsidRDefault="007756F7" w:rsidP="00775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002E">
        <w:rPr>
          <w:lang w:val="es-ES_tradnl"/>
        </w:rPr>
        <w:lastRenderedPageBreak/>
        <w:tab/>
        <w:t>6.</w:t>
      </w:r>
      <w:r w:rsidRPr="0027002E">
        <w:rPr>
          <w:lang w:val="es-ES_tradnl"/>
        </w:rPr>
        <w:tab/>
      </w:r>
      <w:r w:rsidRPr="0027002E">
        <w:rPr>
          <w:bCs/>
          <w:lang w:val="es-ES_tradnl"/>
        </w:rPr>
        <w:t>Aplicación de los artículos 21 y 22 de la Convención</w:t>
      </w:r>
    </w:p>
    <w:p w14:paraId="6FC030F7" w14:textId="77777777" w:rsidR="007756F7" w:rsidRPr="0027002E" w:rsidRDefault="007756F7" w:rsidP="007756F7">
      <w:pPr>
        <w:pStyle w:val="SingleTxt"/>
        <w:spacing w:after="0" w:line="120" w:lineRule="exact"/>
        <w:rPr>
          <w:sz w:val="10"/>
          <w:lang w:val="es-ES_tradnl"/>
        </w:rPr>
      </w:pPr>
    </w:p>
    <w:p w14:paraId="3B2376EE" w14:textId="77777777" w:rsidR="007756F7" w:rsidRPr="0027002E" w:rsidRDefault="007756F7" w:rsidP="007756F7">
      <w:pPr>
        <w:pStyle w:val="SingleTxt"/>
        <w:rPr>
          <w:lang w:val="es-ES_tradnl"/>
        </w:rPr>
      </w:pPr>
      <w:r w:rsidRPr="0027002E">
        <w:rPr>
          <w:lang w:val="es-ES_tradnl"/>
        </w:rPr>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5A966466" w14:textId="77777777" w:rsidR="007756F7" w:rsidRPr="0027002E" w:rsidRDefault="007756F7" w:rsidP="007756F7">
      <w:pPr>
        <w:pStyle w:val="SingleTxt"/>
        <w:keepNext/>
        <w:keepLines/>
        <w:rPr>
          <w:lang w:val="es-ES_tradnl"/>
        </w:rPr>
      </w:pPr>
      <w:r w:rsidRPr="0027002E">
        <w:rPr>
          <w:lang w:val="es-ES_tradnl"/>
        </w:rPr>
        <w:t>El artículo 22 de la Convención dispone que los organismos especializados tendrán derecho a estar representados en el examen de la aplicación de las disposiciones de la Convención que correspondan a la esfera de sus actividades, y el Comité podrá invitarlos a que presenten informes sobre la aplicación de la Convención en esas áreas.</w:t>
      </w:r>
    </w:p>
    <w:p w14:paraId="56967206" w14:textId="77777777" w:rsidR="007756F7" w:rsidRPr="0027002E" w:rsidRDefault="007756F7" w:rsidP="007756F7">
      <w:pPr>
        <w:pStyle w:val="SingleTxt"/>
        <w:spacing w:after="0" w:line="120" w:lineRule="exact"/>
        <w:rPr>
          <w:sz w:val="10"/>
          <w:lang w:val="es-ES_tradnl"/>
        </w:rPr>
      </w:pPr>
    </w:p>
    <w:p w14:paraId="64A12944" w14:textId="77777777" w:rsidR="007756F7" w:rsidRPr="0027002E" w:rsidRDefault="007756F7" w:rsidP="007756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7002E">
        <w:rPr>
          <w:lang w:val="es-ES_tradnl"/>
        </w:rPr>
        <w:tab/>
      </w:r>
      <w:r w:rsidRPr="0027002E">
        <w:rPr>
          <w:lang w:val="es-ES_tradnl"/>
        </w:rPr>
        <w:tab/>
        <w:t>Documentación</w:t>
      </w:r>
    </w:p>
    <w:p w14:paraId="15B914C9" w14:textId="77777777" w:rsidR="007756F7" w:rsidRPr="0027002E" w:rsidRDefault="007756F7" w:rsidP="007756F7">
      <w:pPr>
        <w:pStyle w:val="SingleTxt"/>
        <w:spacing w:after="0" w:line="120" w:lineRule="exact"/>
        <w:rPr>
          <w:sz w:val="10"/>
          <w:lang w:val="es-ES_tradnl"/>
        </w:rPr>
      </w:pPr>
    </w:p>
    <w:p w14:paraId="785F18E4" w14:textId="77777777" w:rsidR="007756F7" w:rsidRPr="0027002E" w:rsidRDefault="007756F7" w:rsidP="007756F7">
      <w:pPr>
        <w:pStyle w:val="SingleTxt"/>
        <w:rPr>
          <w:lang w:val="es-ES_tradnl"/>
        </w:rPr>
      </w:pPr>
      <w:r w:rsidRPr="0027002E">
        <w:rPr>
          <w:lang w:val="es-ES_tradnl"/>
        </w:rPr>
        <w:t>Informes presentados por los organismos especializados del sistema de las Naciones Unidas sobre la aplicación de la Convención en la esfera de sus actividades</w:t>
      </w:r>
    </w:p>
    <w:p w14:paraId="734AD3AB" w14:textId="77777777" w:rsidR="007756F7" w:rsidRPr="0027002E" w:rsidRDefault="007756F7" w:rsidP="007756F7">
      <w:pPr>
        <w:pStyle w:val="SingleTxt"/>
        <w:spacing w:after="0" w:line="120" w:lineRule="exact"/>
        <w:rPr>
          <w:sz w:val="10"/>
          <w:lang w:val="es-ES_tradnl"/>
        </w:rPr>
      </w:pPr>
    </w:p>
    <w:p w14:paraId="18A7363E" w14:textId="77777777" w:rsidR="007756F7" w:rsidRPr="0027002E" w:rsidRDefault="007756F7" w:rsidP="00775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002E">
        <w:rPr>
          <w:lang w:val="es-ES_tradnl"/>
        </w:rPr>
        <w:tab/>
        <w:t>7.</w:t>
      </w:r>
      <w:r w:rsidRPr="0027002E">
        <w:rPr>
          <w:lang w:val="es-ES_tradnl"/>
        </w:rPr>
        <w:tab/>
      </w:r>
      <w:r w:rsidRPr="0027002E">
        <w:rPr>
          <w:bCs/>
          <w:lang w:val="es-ES_tradnl"/>
        </w:rPr>
        <w:t>Medios de agilizar los trabajos del Comité</w:t>
      </w:r>
    </w:p>
    <w:p w14:paraId="61D8AA62" w14:textId="77777777" w:rsidR="007756F7" w:rsidRPr="0027002E" w:rsidRDefault="007756F7" w:rsidP="007756F7">
      <w:pPr>
        <w:pStyle w:val="SingleTxt"/>
        <w:spacing w:after="0" w:line="120" w:lineRule="exact"/>
        <w:rPr>
          <w:sz w:val="10"/>
          <w:lang w:val="es-ES_tradnl"/>
        </w:rPr>
      </w:pPr>
    </w:p>
    <w:p w14:paraId="500D64D7" w14:textId="77777777" w:rsidR="007756F7" w:rsidRPr="0027002E" w:rsidRDefault="007756F7" w:rsidP="007756F7">
      <w:pPr>
        <w:pStyle w:val="SingleTxt"/>
        <w:rPr>
          <w:lang w:val="es-ES_tradnl"/>
        </w:rPr>
      </w:pPr>
      <w:r w:rsidRPr="0027002E">
        <w:rPr>
          <w:lang w:val="es-ES_tradnl"/>
        </w:rPr>
        <w:t>El Comité examinará cuestiones relacionadas con sus métodos de trabajo.</w:t>
      </w:r>
    </w:p>
    <w:p w14:paraId="2CE273E2" w14:textId="77777777" w:rsidR="007756F7" w:rsidRPr="0027002E" w:rsidRDefault="007756F7" w:rsidP="007756F7">
      <w:pPr>
        <w:pStyle w:val="SingleTxt"/>
        <w:spacing w:after="0" w:line="120" w:lineRule="exact"/>
        <w:rPr>
          <w:sz w:val="10"/>
          <w:lang w:val="es-ES_tradnl"/>
        </w:rPr>
      </w:pPr>
    </w:p>
    <w:p w14:paraId="06846E89" w14:textId="77777777" w:rsidR="007756F7" w:rsidRPr="0027002E" w:rsidRDefault="007756F7" w:rsidP="00775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002E">
        <w:rPr>
          <w:lang w:val="es-ES_tradnl"/>
        </w:rPr>
        <w:tab/>
        <w:t>8.</w:t>
      </w:r>
      <w:r w:rsidRPr="0027002E">
        <w:rPr>
          <w:lang w:val="es-ES_tradnl"/>
        </w:rPr>
        <w:tab/>
      </w:r>
      <w:r w:rsidRPr="0027002E">
        <w:rPr>
          <w:bCs/>
          <w:lang w:val="es-ES_tradnl"/>
        </w:rPr>
        <w:t>Actividades del Comité en relación con el Protocolo Facultativo de la Convención</w:t>
      </w:r>
    </w:p>
    <w:p w14:paraId="2191318C" w14:textId="77777777" w:rsidR="007756F7" w:rsidRPr="0027002E" w:rsidRDefault="007756F7" w:rsidP="007756F7">
      <w:pPr>
        <w:pStyle w:val="SingleTxt"/>
        <w:spacing w:after="0" w:line="120" w:lineRule="exact"/>
        <w:rPr>
          <w:sz w:val="10"/>
          <w:lang w:val="es-ES_tradnl"/>
        </w:rPr>
      </w:pPr>
    </w:p>
    <w:p w14:paraId="5A268F0A" w14:textId="77777777" w:rsidR="007756F7" w:rsidRPr="0027002E" w:rsidRDefault="007756F7" w:rsidP="007756F7">
      <w:pPr>
        <w:pStyle w:val="SingleTxt"/>
        <w:rPr>
          <w:lang w:val="es-ES_tradnl"/>
        </w:rPr>
      </w:pPr>
      <w:r w:rsidRPr="0027002E">
        <w:rPr>
          <w:lang w:val="es-ES_tradnl"/>
        </w:rPr>
        <w:t>El 46º período de sesiones del Grupo de Trabajo sobre las Comunicaciones presentadas en virtud del Protocolo Facultativo se celebrará del 4 al 7 de febrero de 2020 en Ginebra.</w:t>
      </w:r>
    </w:p>
    <w:p w14:paraId="144A61E8" w14:textId="77777777" w:rsidR="007756F7" w:rsidRPr="0027002E" w:rsidRDefault="007756F7" w:rsidP="007756F7">
      <w:pPr>
        <w:pStyle w:val="SingleTxt"/>
        <w:rPr>
          <w:lang w:val="es-ES_tradnl"/>
        </w:rPr>
      </w:pPr>
      <w:r w:rsidRPr="0027002E">
        <w:rPr>
          <w:lang w:val="es-ES_tradnl"/>
        </w:rPr>
        <w:t>El 15º período de sesiones del Grupo de Trabajo sobre Investigaciones con arreglo al Protocolo Facultativo se celebrará los días 6 y 7 de febrero de 2020 en Ginebra.</w:t>
      </w:r>
    </w:p>
    <w:p w14:paraId="049AAAA5" w14:textId="77777777" w:rsidR="007756F7" w:rsidRPr="0027002E" w:rsidRDefault="007756F7" w:rsidP="007756F7">
      <w:pPr>
        <w:pStyle w:val="SingleTxt"/>
        <w:rPr>
          <w:lang w:val="es-ES_tradnl"/>
        </w:rPr>
      </w:pPr>
      <w:r w:rsidRPr="0027002E">
        <w:rPr>
          <w:lang w:val="es-ES_tradnl"/>
        </w:rPr>
        <w:t>En su 75º período de sesiones, el Comité continuará cumpliendo su mandato en virtud de los artículos 2 y 8 del Protocolo Facultativo de la Convención.</w:t>
      </w:r>
    </w:p>
    <w:p w14:paraId="3C91399C" w14:textId="77777777" w:rsidR="007756F7" w:rsidRPr="0027002E" w:rsidRDefault="007756F7" w:rsidP="007756F7">
      <w:pPr>
        <w:pStyle w:val="SingleTxt"/>
        <w:spacing w:after="0" w:line="120" w:lineRule="exact"/>
        <w:rPr>
          <w:sz w:val="10"/>
          <w:lang w:val="es-ES_tradnl"/>
        </w:rPr>
      </w:pPr>
    </w:p>
    <w:p w14:paraId="2A5BDBF5" w14:textId="77777777" w:rsidR="007756F7" w:rsidRPr="0027002E" w:rsidRDefault="007756F7" w:rsidP="00775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002E">
        <w:rPr>
          <w:lang w:val="es-ES_tradnl"/>
        </w:rPr>
        <w:tab/>
        <w:t>9.</w:t>
      </w:r>
      <w:r w:rsidRPr="0027002E">
        <w:rPr>
          <w:lang w:val="es-ES_tradnl"/>
        </w:rPr>
        <w:tab/>
      </w:r>
      <w:r w:rsidRPr="0027002E">
        <w:rPr>
          <w:bCs/>
          <w:lang w:val="es-ES_tradnl"/>
        </w:rPr>
        <w:t>Programa provisional del 76º período de sesiones del Comité</w:t>
      </w:r>
    </w:p>
    <w:p w14:paraId="21120805" w14:textId="77777777" w:rsidR="007756F7" w:rsidRPr="0027002E" w:rsidRDefault="007756F7" w:rsidP="007756F7">
      <w:pPr>
        <w:pStyle w:val="SingleTxt"/>
        <w:spacing w:after="0" w:line="120" w:lineRule="exact"/>
        <w:rPr>
          <w:sz w:val="10"/>
          <w:lang w:val="es-ES_tradnl"/>
        </w:rPr>
      </w:pPr>
    </w:p>
    <w:p w14:paraId="4BCA5C44" w14:textId="77777777" w:rsidR="007756F7" w:rsidRPr="0027002E" w:rsidRDefault="007756F7" w:rsidP="007756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7002E">
        <w:rPr>
          <w:lang w:val="es-ES_tradnl"/>
        </w:rPr>
        <w:tab/>
      </w:r>
      <w:r w:rsidRPr="0027002E">
        <w:rPr>
          <w:lang w:val="es-ES_tradnl"/>
        </w:rPr>
        <w:tab/>
        <w:t>Documentación</w:t>
      </w:r>
    </w:p>
    <w:p w14:paraId="2D427C3D" w14:textId="77777777" w:rsidR="007756F7" w:rsidRPr="0027002E" w:rsidRDefault="007756F7" w:rsidP="007756F7">
      <w:pPr>
        <w:pStyle w:val="SingleTxt"/>
        <w:spacing w:after="0" w:line="120" w:lineRule="exact"/>
        <w:rPr>
          <w:sz w:val="10"/>
          <w:lang w:val="es-ES_tradnl"/>
        </w:rPr>
      </w:pPr>
    </w:p>
    <w:p w14:paraId="6AA4FA56" w14:textId="065D694A" w:rsidR="007756F7" w:rsidRPr="0027002E" w:rsidRDefault="007756F7" w:rsidP="007756F7">
      <w:pPr>
        <w:pStyle w:val="SingleTxt"/>
        <w:rPr>
          <w:lang w:val="es-ES_tradnl"/>
        </w:rPr>
      </w:pPr>
      <w:r w:rsidRPr="0027002E">
        <w:rPr>
          <w:lang w:val="es-ES_tradnl"/>
        </w:rPr>
        <w:t>Programa provisional anotado del 76º período de sesiones (</w:t>
      </w:r>
      <w:hyperlink r:id="rId40" w:history="1">
        <w:r w:rsidRPr="0027002E">
          <w:rPr>
            <w:rStyle w:val="Hyperlink"/>
            <w:lang w:val="es-ES_tradnl"/>
          </w:rPr>
          <w:t>CEDAW/C/76/1</w:t>
        </w:r>
      </w:hyperlink>
      <w:r w:rsidRPr="0027002E">
        <w:rPr>
          <w:lang w:val="es-ES_tradnl"/>
        </w:rPr>
        <w:t>)</w:t>
      </w:r>
    </w:p>
    <w:p w14:paraId="5624AEB3" w14:textId="77777777" w:rsidR="007756F7" w:rsidRPr="0027002E" w:rsidRDefault="007756F7" w:rsidP="007756F7">
      <w:pPr>
        <w:pStyle w:val="SingleTxt"/>
        <w:spacing w:after="0" w:line="120" w:lineRule="exact"/>
        <w:rPr>
          <w:sz w:val="10"/>
          <w:lang w:val="es-ES_tradnl"/>
        </w:rPr>
      </w:pPr>
    </w:p>
    <w:p w14:paraId="584EF3B9" w14:textId="77777777" w:rsidR="007756F7" w:rsidRPr="0027002E" w:rsidRDefault="007756F7" w:rsidP="00431D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002E">
        <w:rPr>
          <w:lang w:val="es-ES_tradnl"/>
        </w:rPr>
        <w:tab/>
        <w:t>10.</w:t>
      </w:r>
      <w:r w:rsidRPr="0027002E">
        <w:rPr>
          <w:lang w:val="es-ES_tradnl"/>
        </w:rPr>
        <w:tab/>
        <w:t>Aprobación del informe del Comité sobre su 75º período de sesiones</w:t>
      </w:r>
    </w:p>
    <w:p w14:paraId="67E8F338" w14:textId="77777777" w:rsidR="007756F7" w:rsidRPr="0027002E" w:rsidRDefault="007756F7" w:rsidP="007756F7">
      <w:pPr>
        <w:pStyle w:val="SingleTxt"/>
        <w:rPr>
          <w:lang w:val="es-ES_tradnl" w:eastAsia="zh-CN"/>
        </w:rPr>
      </w:pPr>
      <w:r w:rsidRPr="0027002E">
        <w:rPr>
          <w:noProof/>
          <w:w w:val="100"/>
          <w:lang w:val="es-ES_tradnl" w:eastAsia="zh-CN"/>
        </w:rPr>
        <mc:AlternateContent>
          <mc:Choice Requires="wps">
            <w:drawing>
              <wp:anchor distT="0" distB="0" distL="114300" distR="114300" simplePos="0" relativeHeight="251659264" behindDoc="0" locked="0" layoutInCell="1" allowOverlap="1" wp14:anchorId="6EC7A493" wp14:editId="7C01978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40ADC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756F7" w:rsidRPr="0027002E" w:rsidSect="00D97DD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8T17:13:00Z" w:initials="Start">
    <w:p w14:paraId="7609E095" w14:textId="77777777" w:rsidR="004B7D46" w:rsidRPr="007756F7" w:rsidRDefault="004B7D46">
      <w:pPr>
        <w:pStyle w:val="CommentText"/>
        <w:rPr>
          <w:lang w:val="en-US"/>
        </w:rPr>
      </w:pPr>
      <w:r>
        <w:fldChar w:fldCharType="begin"/>
      </w:r>
      <w:r w:rsidRPr="007756F7">
        <w:rPr>
          <w:rStyle w:val="CommentReference"/>
          <w:lang w:val="en-US"/>
        </w:rPr>
        <w:instrText xml:space="preserve"> </w:instrText>
      </w:r>
      <w:r w:rsidRPr="007756F7">
        <w:rPr>
          <w:lang w:val="en-US"/>
        </w:rPr>
        <w:instrText>PAGE \# "'Page: '#'</w:instrText>
      </w:r>
      <w:r w:rsidRPr="007756F7">
        <w:rPr>
          <w:lang w:val="en-US"/>
        </w:rPr>
        <w:br/>
        <w:instrText>'"</w:instrText>
      </w:r>
      <w:r w:rsidRPr="007756F7">
        <w:rPr>
          <w:rStyle w:val="CommentReference"/>
          <w:lang w:val="en-US"/>
        </w:rPr>
        <w:instrText xml:space="preserve"> </w:instrText>
      </w:r>
      <w:r>
        <w:fldChar w:fldCharType="end"/>
      </w:r>
      <w:r>
        <w:rPr>
          <w:rStyle w:val="CommentReference"/>
        </w:rPr>
        <w:annotationRef/>
      </w:r>
      <w:r w:rsidRPr="007756F7">
        <w:rPr>
          <w:lang w:val="en-US"/>
        </w:rPr>
        <w:t>&lt;&lt;ODS JOB NO&gt;&gt;N1940411S&lt;&lt;ODS JOB NO&gt;&gt;</w:t>
      </w:r>
    </w:p>
    <w:p w14:paraId="73F9AED2" w14:textId="77777777" w:rsidR="004B7D46" w:rsidRPr="002B57E4" w:rsidRDefault="004B7D46">
      <w:pPr>
        <w:pStyle w:val="CommentText"/>
        <w:rPr>
          <w:lang w:val="en-US"/>
        </w:rPr>
      </w:pPr>
      <w:r w:rsidRPr="002B57E4">
        <w:rPr>
          <w:lang w:val="en-US"/>
        </w:rPr>
        <w:t>&lt;&lt;ODS DOC SYMBOL1&gt;&gt;CEDAW/C/75/1&lt;&lt;ODS DOC SYMBOL1&gt;&gt;</w:t>
      </w:r>
    </w:p>
    <w:p w14:paraId="4CB4AC18" w14:textId="77777777" w:rsidR="004B7D46" w:rsidRPr="002B57E4" w:rsidRDefault="004B7D46">
      <w:pPr>
        <w:pStyle w:val="CommentText"/>
        <w:rPr>
          <w:lang w:val="en-US"/>
        </w:rPr>
      </w:pPr>
      <w:r w:rsidRPr="002B57E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B4AC1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95C80" w14:textId="77777777" w:rsidR="00090524" w:rsidRDefault="00090524" w:rsidP="00101B18">
      <w:r>
        <w:separator/>
      </w:r>
    </w:p>
  </w:endnote>
  <w:endnote w:type="continuationSeparator" w:id="0">
    <w:p w14:paraId="46973216" w14:textId="77777777" w:rsidR="00090524" w:rsidRDefault="0009052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B7D46" w14:paraId="246E00CA" w14:textId="77777777" w:rsidTr="004B7D46">
      <w:tc>
        <w:tcPr>
          <w:tcW w:w="4920" w:type="dxa"/>
          <w:shd w:val="clear" w:color="auto" w:fill="auto"/>
          <w:vAlign w:val="bottom"/>
        </w:tcPr>
        <w:p w14:paraId="040BD585" w14:textId="77777777" w:rsidR="004B7D46" w:rsidRPr="004B7D46" w:rsidRDefault="004B7D46" w:rsidP="004B7D46">
          <w:pPr>
            <w:pStyle w:val="Footer"/>
            <w:rPr>
              <w:color w:val="000000"/>
            </w:rPr>
          </w:pPr>
          <w:r>
            <w:fldChar w:fldCharType="begin"/>
          </w:r>
          <w:r>
            <w:instrText xml:space="preserve"> PAGE  \* Arabic  \* MERGEFORMAT </w:instrText>
          </w:r>
          <w:r>
            <w:fldChar w:fldCharType="separate"/>
          </w:r>
          <w:r>
            <w:t>3</w:t>
          </w:r>
          <w:r>
            <w:fldChar w:fldCharType="end"/>
          </w:r>
          <w:r>
            <w:t>/</w:t>
          </w:r>
          <w:r w:rsidR="00421B26">
            <w:fldChar w:fldCharType="begin"/>
          </w:r>
          <w:r w:rsidR="00421B26">
            <w:instrText xml:space="preserve"> NUMPAGES  \* Arabic  \* MERGEFORMAT </w:instrText>
          </w:r>
          <w:r w:rsidR="00421B26">
            <w:fldChar w:fldCharType="separate"/>
          </w:r>
          <w:r>
            <w:t>4</w:t>
          </w:r>
          <w:r w:rsidR="00421B26">
            <w:fldChar w:fldCharType="end"/>
          </w:r>
        </w:p>
      </w:tc>
      <w:tc>
        <w:tcPr>
          <w:tcW w:w="4920" w:type="dxa"/>
          <w:shd w:val="clear" w:color="auto" w:fill="auto"/>
          <w:vAlign w:val="bottom"/>
        </w:tcPr>
        <w:p w14:paraId="550B0FE7" w14:textId="16B3BCBF" w:rsidR="004B7D46" w:rsidRPr="004B7D46" w:rsidRDefault="004B7D46" w:rsidP="004B7D4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21B26">
            <w:rPr>
              <w:b w:val="0"/>
              <w:color w:val="000000"/>
              <w:sz w:val="14"/>
            </w:rPr>
            <w:t>19-21341</w:t>
          </w:r>
          <w:r>
            <w:rPr>
              <w:b w:val="0"/>
              <w:color w:val="000000"/>
              <w:sz w:val="14"/>
            </w:rPr>
            <w:fldChar w:fldCharType="end"/>
          </w:r>
        </w:p>
      </w:tc>
    </w:tr>
  </w:tbl>
  <w:p w14:paraId="2B210021" w14:textId="77777777" w:rsidR="004B7D46" w:rsidRPr="004B7D46" w:rsidRDefault="004B7D46" w:rsidP="004B7D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B7D46" w14:paraId="46D1991A" w14:textId="77777777" w:rsidTr="004B7D46">
      <w:tc>
        <w:tcPr>
          <w:tcW w:w="4920" w:type="dxa"/>
          <w:shd w:val="clear" w:color="auto" w:fill="auto"/>
          <w:vAlign w:val="bottom"/>
        </w:tcPr>
        <w:p w14:paraId="4B447D01" w14:textId="6327E2E3" w:rsidR="004B7D46" w:rsidRPr="004B7D46" w:rsidRDefault="004B7D46" w:rsidP="004B7D4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21B26">
            <w:rPr>
              <w:b w:val="0"/>
              <w:color w:val="000000"/>
              <w:sz w:val="14"/>
            </w:rPr>
            <w:t>19-21341</w:t>
          </w:r>
          <w:r>
            <w:rPr>
              <w:b w:val="0"/>
              <w:color w:val="000000"/>
              <w:sz w:val="14"/>
            </w:rPr>
            <w:fldChar w:fldCharType="end"/>
          </w:r>
        </w:p>
      </w:tc>
      <w:tc>
        <w:tcPr>
          <w:tcW w:w="4920" w:type="dxa"/>
          <w:shd w:val="clear" w:color="auto" w:fill="auto"/>
          <w:vAlign w:val="bottom"/>
        </w:tcPr>
        <w:p w14:paraId="1D7C5B91" w14:textId="77777777" w:rsidR="004B7D46" w:rsidRPr="004B7D46" w:rsidRDefault="004B7D46" w:rsidP="004B7D46">
          <w:pPr>
            <w:pStyle w:val="Footer"/>
            <w:jc w:val="right"/>
          </w:pPr>
          <w:r>
            <w:fldChar w:fldCharType="begin"/>
          </w:r>
          <w:r>
            <w:instrText xml:space="preserve"> PAGE  \* Arabic  \* MERGEFORMAT </w:instrText>
          </w:r>
          <w:r>
            <w:fldChar w:fldCharType="separate"/>
          </w:r>
          <w:r>
            <w:t>2</w:t>
          </w:r>
          <w:r>
            <w:fldChar w:fldCharType="end"/>
          </w:r>
          <w:r>
            <w:t>/</w:t>
          </w:r>
          <w:r w:rsidR="00421B26">
            <w:fldChar w:fldCharType="begin"/>
          </w:r>
          <w:r w:rsidR="00421B26">
            <w:instrText xml:space="preserve"> NUMPAGES  \* Arabic  \* MERGEFORMAT </w:instrText>
          </w:r>
          <w:r w:rsidR="00421B26">
            <w:fldChar w:fldCharType="separate"/>
          </w:r>
          <w:r>
            <w:t>4</w:t>
          </w:r>
          <w:r w:rsidR="00421B26">
            <w:fldChar w:fldCharType="end"/>
          </w:r>
        </w:p>
      </w:tc>
    </w:tr>
  </w:tbl>
  <w:p w14:paraId="71EB4299" w14:textId="77777777" w:rsidR="004B7D46" w:rsidRPr="004B7D46" w:rsidRDefault="004B7D46" w:rsidP="004B7D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FBDFF" w14:textId="77777777" w:rsidR="004B7D46" w:rsidRPr="004B7D46" w:rsidRDefault="004B7D46" w:rsidP="004B7D46">
    <w:pPr>
      <w:pStyle w:val="Footer"/>
      <w:spacing w:line="120" w:lineRule="exact"/>
      <w:rPr>
        <w:b w:val="0"/>
        <w:sz w:val="10"/>
      </w:rPr>
    </w:pPr>
    <w:r>
      <w:rPr>
        <w:b w:val="0"/>
        <w:sz w:val="10"/>
      </w:rPr>
      <w:drawing>
        <wp:anchor distT="0" distB="0" distL="114300" distR="114300" simplePos="0" relativeHeight="251658240" behindDoc="0" locked="0" layoutInCell="1" allowOverlap="1" wp14:anchorId="560E90B5" wp14:editId="07D25F7A">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75/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5/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B7D46" w14:paraId="0C7439CF" w14:textId="77777777" w:rsidTr="004B7D46">
      <w:tc>
        <w:tcPr>
          <w:tcW w:w="3830" w:type="dxa"/>
          <w:shd w:val="clear" w:color="auto" w:fill="auto"/>
        </w:tcPr>
        <w:p w14:paraId="4E1886AD" w14:textId="0FC97867" w:rsidR="004B7D46" w:rsidRDefault="004B7D46" w:rsidP="004B7D46">
          <w:pPr>
            <w:pStyle w:val="ReleaseDate0"/>
          </w:pPr>
          <w:r>
            <w:t>19-21341 (S)    181219    1</w:t>
          </w:r>
          <w:r w:rsidR="000A1F0A">
            <w:t>9</w:t>
          </w:r>
          <w:r>
            <w:t>1219</w:t>
          </w:r>
        </w:p>
        <w:p w14:paraId="1DF366AE" w14:textId="77777777" w:rsidR="004B7D46" w:rsidRPr="004B7D46" w:rsidRDefault="004B7D46" w:rsidP="004B7D4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*1921341*</w:t>
          </w:r>
        </w:p>
      </w:tc>
      <w:tc>
        <w:tcPr>
          <w:tcW w:w="4920" w:type="dxa"/>
          <w:shd w:val="clear" w:color="auto" w:fill="auto"/>
        </w:tcPr>
        <w:p w14:paraId="1DB6E4CC" w14:textId="77777777" w:rsidR="004B7D46" w:rsidRDefault="004B7D46" w:rsidP="004B7D46">
          <w:pPr>
            <w:pStyle w:val="Footer"/>
            <w:jc w:val="right"/>
            <w:rPr>
              <w:b w:val="0"/>
              <w:sz w:val="20"/>
            </w:rPr>
          </w:pPr>
          <w:r>
            <w:rPr>
              <w:b w:val="0"/>
              <w:sz w:val="20"/>
            </w:rPr>
            <w:drawing>
              <wp:inline distT="0" distB="0" distL="0" distR="0" wp14:anchorId="2CA57821" wp14:editId="62FE554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1DA698D" w14:textId="77777777" w:rsidR="004B7D46" w:rsidRPr="004B7D46" w:rsidRDefault="004B7D46" w:rsidP="004B7D4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66DEB" w14:textId="77777777" w:rsidR="00090524" w:rsidRDefault="00090524" w:rsidP="00101B18">
      <w:r>
        <w:separator/>
      </w:r>
    </w:p>
  </w:footnote>
  <w:footnote w:type="continuationSeparator" w:id="0">
    <w:p w14:paraId="3ACEA653" w14:textId="77777777" w:rsidR="00090524" w:rsidRDefault="00090524"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7D46" w14:paraId="757EAA0C" w14:textId="77777777" w:rsidTr="004B7D46">
      <w:trPr>
        <w:trHeight w:hRule="exact" w:val="864"/>
      </w:trPr>
      <w:tc>
        <w:tcPr>
          <w:tcW w:w="4920" w:type="dxa"/>
          <w:shd w:val="clear" w:color="auto" w:fill="auto"/>
          <w:vAlign w:val="bottom"/>
        </w:tcPr>
        <w:p w14:paraId="21D1ADD1" w14:textId="35E19816" w:rsidR="004B7D46" w:rsidRPr="004B7D46" w:rsidRDefault="004B7D46" w:rsidP="004B7D46">
          <w:pPr>
            <w:pStyle w:val="Header"/>
            <w:spacing w:after="80"/>
            <w:rPr>
              <w:b/>
            </w:rPr>
          </w:pPr>
          <w:r>
            <w:rPr>
              <w:b/>
            </w:rPr>
            <w:fldChar w:fldCharType="begin"/>
          </w:r>
          <w:r>
            <w:rPr>
              <w:b/>
            </w:rPr>
            <w:instrText xml:space="preserve"> DOCVARIABLE "sss1" \* MERGEFORMAT </w:instrText>
          </w:r>
          <w:r>
            <w:rPr>
              <w:b/>
            </w:rPr>
            <w:fldChar w:fldCharType="separate"/>
          </w:r>
          <w:r w:rsidR="00421B26">
            <w:rPr>
              <w:b/>
            </w:rPr>
            <w:t>CEDAW/C/75/1</w:t>
          </w:r>
          <w:r>
            <w:rPr>
              <w:b/>
            </w:rPr>
            <w:fldChar w:fldCharType="end"/>
          </w:r>
        </w:p>
      </w:tc>
      <w:tc>
        <w:tcPr>
          <w:tcW w:w="4920" w:type="dxa"/>
          <w:shd w:val="clear" w:color="auto" w:fill="auto"/>
          <w:vAlign w:val="bottom"/>
        </w:tcPr>
        <w:p w14:paraId="040601C6" w14:textId="77777777" w:rsidR="004B7D46" w:rsidRDefault="004B7D46" w:rsidP="004B7D46">
          <w:pPr>
            <w:pStyle w:val="Header"/>
          </w:pPr>
        </w:p>
      </w:tc>
    </w:tr>
  </w:tbl>
  <w:p w14:paraId="174E7324" w14:textId="77777777" w:rsidR="004B7D46" w:rsidRPr="004B7D46" w:rsidRDefault="004B7D46" w:rsidP="004B7D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7D46" w14:paraId="662B0969" w14:textId="77777777" w:rsidTr="004B7D46">
      <w:trPr>
        <w:trHeight w:hRule="exact" w:val="864"/>
      </w:trPr>
      <w:tc>
        <w:tcPr>
          <w:tcW w:w="4920" w:type="dxa"/>
          <w:shd w:val="clear" w:color="auto" w:fill="auto"/>
          <w:vAlign w:val="bottom"/>
        </w:tcPr>
        <w:p w14:paraId="268A47D3" w14:textId="77777777" w:rsidR="004B7D46" w:rsidRDefault="004B7D46" w:rsidP="004B7D46">
          <w:pPr>
            <w:pStyle w:val="Header"/>
          </w:pPr>
        </w:p>
      </w:tc>
      <w:tc>
        <w:tcPr>
          <w:tcW w:w="4920" w:type="dxa"/>
          <w:shd w:val="clear" w:color="auto" w:fill="auto"/>
          <w:vAlign w:val="bottom"/>
        </w:tcPr>
        <w:p w14:paraId="21F24418" w14:textId="158DAC56" w:rsidR="004B7D46" w:rsidRPr="004B7D46" w:rsidRDefault="004B7D46" w:rsidP="004B7D46">
          <w:pPr>
            <w:pStyle w:val="Header"/>
            <w:spacing w:after="80"/>
            <w:jc w:val="right"/>
            <w:rPr>
              <w:b/>
            </w:rPr>
          </w:pPr>
          <w:r>
            <w:rPr>
              <w:b/>
            </w:rPr>
            <w:fldChar w:fldCharType="begin"/>
          </w:r>
          <w:r>
            <w:rPr>
              <w:b/>
            </w:rPr>
            <w:instrText xml:space="preserve"> DOCVARIABLE "sss1" \* MERGEFORMAT </w:instrText>
          </w:r>
          <w:r>
            <w:rPr>
              <w:b/>
            </w:rPr>
            <w:fldChar w:fldCharType="separate"/>
          </w:r>
          <w:r w:rsidR="00421B26">
            <w:rPr>
              <w:b/>
            </w:rPr>
            <w:t>CEDAW/C/75/1</w:t>
          </w:r>
          <w:r>
            <w:rPr>
              <w:b/>
            </w:rPr>
            <w:fldChar w:fldCharType="end"/>
          </w:r>
        </w:p>
      </w:tc>
    </w:tr>
  </w:tbl>
  <w:p w14:paraId="1C14DFEE" w14:textId="77777777" w:rsidR="004B7D46" w:rsidRPr="004B7D46" w:rsidRDefault="004B7D46" w:rsidP="004B7D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B7D46" w14:paraId="0C571DAA" w14:textId="77777777" w:rsidTr="004B7D46">
      <w:trPr>
        <w:gridAfter w:val="1"/>
        <w:wAfter w:w="15" w:type="dxa"/>
        <w:trHeight w:hRule="exact" w:val="864"/>
      </w:trPr>
      <w:tc>
        <w:tcPr>
          <w:tcW w:w="1267" w:type="dxa"/>
          <w:tcBorders>
            <w:bottom w:val="single" w:sz="4" w:space="0" w:color="auto"/>
          </w:tcBorders>
          <w:shd w:val="clear" w:color="auto" w:fill="auto"/>
          <w:vAlign w:val="bottom"/>
        </w:tcPr>
        <w:p w14:paraId="2B610125" w14:textId="77777777" w:rsidR="004B7D46" w:rsidRDefault="004B7D46" w:rsidP="004B7D46">
          <w:pPr>
            <w:pStyle w:val="Header"/>
            <w:spacing w:after="120"/>
          </w:pPr>
        </w:p>
      </w:tc>
      <w:tc>
        <w:tcPr>
          <w:tcW w:w="2059" w:type="dxa"/>
          <w:tcBorders>
            <w:bottom w:val="single" w:sz="4" w:space="0" w:color="auto"/>
          </w:tcBorders>
          <w:shd w:val="clear" w:color="auto" w:fill="auto"/>
          <w:vAlign w:val="bottom"/>
        </w:tcPr>
        <w:p w14:paraId="4375B8EA" w14:textId="77777777" w:rsidR="004B7D46" w:rsidRPr="004B7D46" w:rsidRDefault="004B7D46" w:rsidP="004B7D4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643C5FF" w14:textId="77777777" w:rsidR="004B7D46" w:rsidRDefault="004B7D46" w:rsidP="004B7D46">
          <w:pPr>
            <w:pStyle w:val="Header"/>
            <w:spacing w:after="120"/>
          </w:pPr>
        </w:p>
      </w:tc>
      <w:tc>
        <w:tcPr>
          <w:tcW w:w="6480" w:type="dxa"/>
          <w:gridSpan w:val="3"/>
          <w:tcBorders>
            <w:bottom w:val="single" w:sz="4" w:space="0" w:color="auto"/>
          </w:tcBorders>
          <w:shd w:val="clear" w:color="auto" w:fill="auto"/>
          <w:vAlign w:val="bottom"/>
        </w:tcPr>
        <w:p w14:paraId="410F8B13" w14:textId="77777777" w:rsidR="004B7D46" w:rsidRPr="004B7D46" w:rsidRDefault="004B7D46" w:rsidP="004B7D46">
          <w:pPr>
            <w:spacing w:after="80" w:line="240" w:lineRule="auto"/>
            <w:jc w:val="right"/>
            <w:rPr>
              <w:position w:val="-4"/>
            </w:rPr>
          </w:pPr>
          <w:r>
            <w:rPr>
              <w:position w:val="-4"/>
              <w:sz w:val="40"/>
            </w:rPr>
            <w:t>CEDAW</w:t>
          </w:r>
          <w:r>
            <w:rPr>
              <w:position w:val="-4"/>
            </w:rPr>
            <w:t>/C/75/1</w:t>
          </w:r>
        </w:p>
      </w:tc>
    </w:tr>
    <w:tr w:rsidR="004B7D46" w:rsidRPr="004B7D46" w14:paraId="7E07DC99" w14:textId="77777777" w:rsidTr="004B7D46">
      <w:trPr>
        <w:trHeight w:hRule="exact" w:val="2880"/>
      </w:trPr>
      <w:tc>
        <w:tcPr>
          <w:tcW w:w="1267" w:type="dxa"/>
          <w:tcBorders>
            <w:top w:val="single" w:sz="4" w:space="0" w:color="auto"/>
            <w:bottom w:val="single" w:sz="12" w:space="0" w:color="auto"/>
          </w:tcBorders>
          <w:shd w:val="clear" w:color="auto" w:fill="auto"/>
        </w:tcPr>
        <w:p w14:paraId="0519BA5C" w14:textId="77777777" w:rsidR="004B7D46" w:rsidRPr="004B7D46" w:rsidRDefault="004B7D46" w:rsidP="004B7D46">
          <w:pPr>
            <w:pStyle w:val="Header"/>
            <w:spacing w:before="120"/>
            <w:jc w:val="center"/>
          </w:pPr>
          <w:r>
            <w:t xml:space="preserve"> </w:t>
          </w:r>
          <w:r>
            <w:drawing>
              <wp:inline distT="0" distB="0" distL="0" distR="0" wp14:anchorId="236A2D21" wp14:editId="3B520E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0F065B" w14:textId="77777777" w:rsidR="004B7D46" w:rsidRPr="004B7D46" w:rsidRDefault="004B7D46" w:rsidP="004B7D4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673ADF9" w14:textId="77777777" w:rsidR="004B7D46" w:rsidRPr="007756F7" w:rsidRDefault="004B7D46" w:rsidP="004B7D46">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3EE5E5ED" w14:textId="77777777" w:rsidR="004B7D46" w:rsidRDefault="004B7D46" w:rsidP="004B7D46">
          <w:pPr>
            <w:pStyle w:val="Distribution"/>
            <w:spacing w:before="240"/>
          </w:pPr>
          <w:r>
            <w:t>Distr. general</w:t>
          </w:r>
        </w:p>
        <w:p w14:paraId="14B27EFB" w14:textId="77777777" w:rsidR="004B7D46" w:rsidRDefault="004B7D46" w:rsidP="004B7D46">
          <w:pPr>
            <w:pStyle w:val="Publication"/>
          </w:pPr>
          <w:r>
            <w:t>11 de diciembre de 2019</w:t>
          </w:r>
        </w:p>
        <w:p w14:paraId="58533B97" w14:textId="25363916" w:rsidR="000A1F0A" w:rsidRDefault="002B57E4" w:rsidP="000A1F0A">
          <w:pPr>
            <w:pStyle w:val="Original"/>
          </w:pPr>
          <w:r>
            <w:t>Español</w:t>
          </w:r>
        </w:p>
        <w:p w14:paraId="2F51FD6A" w14:textId="23BE586E" w:rsidR="000A1F0A" w:rsidRDefault="000A1F0A" w:rsidP="000A1F0A">
          <w:pPr>
            <w:pStyle w:val="Original"/>
          </w:pPr>
          <w:r>
            <w:t>Original: inglés</w:t>
          </w:r>
        </w:p>
        <w:p w14:paraId="7773A797" w14:textId="77777777" w:rsidR="000A1F0A" w:rsidRDefault="000A1F0A" w:rsidP="000A1F0A">
          <w:r>
            <w:t>Español, francés e inglés únicamente</w:t>
          </w:r>
        </w:p>
        <w:p w14:paraId="1EBE1A68" w14:textId="77777777" w:rsidR="004B7D46" w:rsidRPr="004B7D46" w:rsidRDefault="004B7D46" w:rsidP="004B7D46"/>
      </w:tc>
    </w:tr>
  </w:tbl>
  <w:p w14:paraId="0EA6CB1A" w14:textId="77777777" w:rsidR="004B7D46" w:rsidRPr="007756F7" w:rsidRDefault="004B7D46" w:rsidP="004B7D46">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revisionView w:markup="0"/>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341*"/>
    <w:docVar w:name="CreationDt" w:val="18/12/2019 5:13: PM"/>
    <w:docVar w:name="DocCategory" w:val="Doc"/>
    <w:docVar w:name="DocType" w:val="Final"/>
    <w:docVar w:name="DutyStation" w:val="New York"/>
    <w:docVar w:name="FooterJN" w:val="19-21341"/>
    <w:docVar w:name="jobn" w:val="19-21341 (S)"/>
    <w:docVar w:name="jobnDT" w:val="19-21341 (S)   181219"/>
    <w:docVar w:name="jobnDTDT" w:val="19-21341 (S)   181219   181219"/>
    <w:docVar w:name="JobNo" w:val="1921341S"/>
    <w:docVar w:name="JobNo2" w:val="19404115:13: PM"/>
    <w:docVar w:name="LocalDrive" w:val="0"/>
    <w:docVar w:name="OandT" w:val="EF/Ana Puga"/>
    <w:docVar w:name="sss1" w:val="CEDAW/C/75/1"/>
    <w:docVar w:name="sss2" w:val="-"/>
    <w:docVar w:name="Symbol1" w:val="CEDAW/C/75/1"/>
    <w:docVar w:name="Symbol2" w:val="-"/>
  </w:docVars>
  <w:rsids>
    <w:rsidRoot w:val="00F55452"/>
    <w:rsid w:val="00002584"/>
    <w:rsid w:val="00034446"/>
    <w:rsid w:val="00044715"/>
    <w:rsid w:val="00054C15"/>
    <w:rsid w:val="0006491F"/>
    <w:rsid w:val="00067B89"/>
    <w:rsid w:val="00071D43"/>
    <w:rsid w:val="00082144"/>
    <w:rsid w:val="00087728"/>
    <w:rsid w:val="00090524"/>
    <w:rsid w:val="000A1F0A"/>
    <w:rsid w:val="000B7D6F"/>
    <w:rsid w:val="000F1F99"/>
    <w:rsid w:val="00101B18"/>
    <w:rsid w:val="00117EA0"/>
    <w:rsid w:val="0012246C"/>
    <w:rsid w:val="00122A56"/>
    <w:rsid w:val="00123230"/>
    <w:rsid w:val="0012520F"/>
    <w:rsid w:val="00134FEE"/>
    <w:rsid w:val="00146C6A"/>
    <w:rsid w:val="00147570"/>
    <w:rsid w:val="00151388"/>
    <w:rsid w:val="0015194A"/>
    <w:rsid w:val="00166A0D"/>
    <w:rsid w:val="001755E3"/>
    <w:rsid w:val="00192FEB"/>
    <w:rsid w:val="001D5969"/>
    <w:rsid w:val="001E2D5D"/>
    <w:rsid w:val="001E4B50"/>
    <w:rsid w:val="002058FC"/>
    <w:rsid w:val="00241B93"/>
    <w:rsid w:val="002478A0"/>
    <w:rsid w:val="0026284E"/>
    <w:rsid w:val="0027002E"/>
    <w:rsid w:val="002A2A3D"/>
    <w:rsid w:val="002A4DBF"/>
    <w:rsid w:val="002A5E20"/>
    <w:rsid w:val="002B57E4"/>
    <w:rsid w:val="002D1584"/>
    <w:rsid w:val="002E10B7"/>
    <w:rsid w:val="002F1E16"/>
    <w:rsid w:val="002F41E7"/>
    <w:rsid w:val="00304428"/>
    <w:rsid w:val="00321A17"/>
    <w:rsid w:val="00356DCA"/>
    <w:rsid w:val="00366D21"/>
    <w:rsid w:val="0037097F"/>
    <w:rsid w:val="0037466F"/>
    <w:rsid w:val="0039127C"/>
    <w:rsid w:val="00395DAE"/>
    <w:rsid w:val="00397528"/>
    <w:rsid w:val="003A675A"/>
    <w:rsid w:val="003B24AA"/>
    <w:rsid w:val="003B2FA1"/>
    <w:rsid w:val="003D096D"/>
    <w:rsid w:val="003F61E1"/>
    <w:rsid w:val="00415E1D"/>
    <w:rsid w:val="00421B26"/>
    <w:rsid w:val="00425C2E"/>
    <w:rsid w:val="00431D59"/>
    <w:rsid w:val="00431E47"/>
    <w:rsid w:val="00440C93"/>
    <w:rsid w:val="0046679F"/>
    <w:rsid w:val="00480B84"/>
    <w:rsid w:val="004876F0"/>
    <w:rsid w:val="004B64F9"/>
    <w:rsid w:val="004B7D46"/>
    <w:rsid w:val="004C1A25"/>
    <w:rsid w:val="0050521B"/>
    <w:rsid w:val="00515991"/>
    <w:rsid w:val="005225EC"/>
    <w:rsid w:val="00524ACF"/>
    <w:rsid w:val="00525097"/>
    <w:rsid w:val="00526D83"/>
    <w:rsid w:val="005509B6"/>
    <w:rsid w:val="00567A9B"/>
    <w:rsid w:val="00575391"/>
    <w:rsid w:val="00584413"/>
    <w:rsid w:val="00593927"/>
    <w:rsid w:val="005C1E53"/>
    <w:rsid w:val="005D094D"/>
    <w:rsid w:val="005E62F1"/>
    <w:rsid w:val="005F1F5F"/>
    <w:rsid w:val="00622288"/>
    <w:rsid w:val="00632C10"/>
    <w:rsid w:val="00657C5A"/>
    <w:rsid w:val="006651C2"/>
    <w:rsid w:val="00690698"/>
    <w:rsid w:val="006A6C2F"/>
    <w:rsid w:val="006C5097"/>
    <w:rsid w:val="006E4A4B"/>
    <w:rsid w:val="00703106"/>
    <w:rsid w:val="00714870"/>
    <w:rsid w:val="007459AE"/>
    <w:rsid w:val="007526FF"/>
    <w:rsid w:val="007531A5"/>
    <w:rsid w:val="00753D8A"/>
    <w:rsid w:val="00771C9E"/>
    <w:rsid w:val="007756F7"/>
    <w:rsid w:val="00783685"/>
    <w:rsid w:val="007E5535"/>
    <w:rsid w:val="00807B29"/>
    <w:rsid w:val="00816133"/>
    <w:rsid w:val="0082045E"/>
    <w:rsid w:val="008222A3"/>
    <w:rsid w:val="00840664"/>
    <w:rsid w:val="008B3FC7"/>
    <w:rsid w:val="008B5866"/>
    <w:rsid w:val="008F3462"/>
    <w:rsid w:val="00935932"/>
    <w:rsid w:val="009559A6"/>
    <w:rsid w:val="00962BC3"/>
    <w:rsid w:val="00963A3B"/>
    <w:rsid w:val="009900BA"/>
    <w:rsid w:val="00993CB7"/>
    <w:rsid w:val="009D0EE3"/>
    <w:rsid w:val="00A1038C"/>
    <w:rsid w:val="00A2494D"/>
    <w:rsid w:val="00A31C1D"/>
    <w:rsid w:val="00A536A1"/>
    <w:rsid w:val="00A64B9C"/>
    <w:rsid w:val="00AB0B7D"/>
    <w:rsid w:val="00AB0C12"/>
    <w:rsid w:val="00AD5F2F"/>
    <w:rsid w:val="00AE6EE8"/>
    <w:rsid w:val="00AF3F9D"/>
    <w:rsid w:val="00AF4336"/>
    <w:rsid w:val="00B114E4"/>
    <w:rsid w:val="00B707D7"/>
    <w:rsid w:val="00B858D5"/>
    <w:rsid w:val="00BA729B"/>
    <w:rsid w:val="00BB462D"/>
    <w:rsid w:val="00BC724B"/>
    <w:rsid w:val="00BC7B7F"/>
    <w:rsid w:val="00BD113B"/>
    <w:rsid w:val="00C026EE"/>
    <w:rsid w:val="00C07FF6"/>
    <w:rsid w:val="00C32BC2"/>
    <w:rsid w:val="00C35B42"/>
    <w:rsid w:val="00C43505"/>
    <w:rsid w:val="00C5036A"/>
    <w:rsid w:val="00C53E4D"/>
    <w:rsid w:val="00CA24CC"/>
    <w:rsid w:val="00CB06FB"/>
    <w:rsid w:val="00CB63C5"/>
    <w:rsid w:val="00CD622F"/>
    <w:rsid w:val="00CF6134"/>
    <w:rsid w:val="00D0035F"/>
    <w:rsid w:val="00D26BCA"/>
    <w:rsid w:val="00D3073B"/>
    <w:rsid w:val="00D30EED"/>
    <w:rsid w:val="00D81043"/>
    <w:rsid w:val="00D90D42"/>
    <w:rsid w:val="00DB32F0"/>
    <w:rsid w:val="00DB66DE"/>
    <w:rsid w:val="00DB78B3"/>
    <w:rsid w:val="00DC6913"/>
    <w:rsid w:val="00DC7881"/>
    <w:rsid w:val="00DD5701"/>
    <w:rsid w:val="00E0603A"/>
    <w:rsid w:val="00E10C78"/>
    <w:rsid w:val="00E117BC"/>
    <w:rsid w:val="00E343A6"/>
    <w:rsid w:val="00E35925"/>
    <w:rsid w:val="00E443AC"/>
    <w:rsid w:val="00E47A1E"/>
    <w:rsid w:val="00E517AD"/>
    <w:rsid w:val="00E60E3F"/>
    <w:rsid w:val="00E631F5"/>
    <w:rsid w:val="00E7105F"/>
    <w:rsid w:val="00E7558A"/>
    <w:rsid w:val="00E818DE"/>
    <w:rsid w:val="00E930D6"/>
    <w:rsid w:val="00ED471D"/>
    <w:rsid w:val="00EE37EC"/>
    <w:rsid w:val="00EF2DFA"/>
    <w:rsid w:val="00EF3B59"/>
    <w:rsid w:val="00F067AF"/>
    <w:rsid w:val="00F0704E"/>
    <w:rsid w:val="00F272D7"/>
    <w:rsid w:val="00F313F6"/>
    <w:rsid w:val="00F5012D"/>
    <w:rsid w:val="00F55452"/>
    <w:rsid w:val="00F67677"/>
    <w:rsid w:val="00F73093"/>
    <w:rsid w:val="00F82CB6"/>
    <w:rsid w:val="00F873D4"/>
    <w:rsid w:val="00F90EE0"/>
    <w:rsid w:val="00FA3D05"/>
    <w:rsid w:val="00FA5CC9"/>
    <w:rsid w:val="00FB0A2C"/>
    <w:rsid w:val="00FB22B3"/>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21AE6C7"/>
  <w15:chartTrackingRefBased/>
  <w15:docId w15:val="{8803FA82-D899-457F-BA6B-9F5E6BC10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00B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900B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900B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900B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900B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900B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900B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900B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900B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900B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900B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900BA"/>
    <w:pPr>
      <w:spacing w:line="360" w:lineRule="exact"/>
    </w:pPr>
    <w:rPr>
      <w:spacing w:val="-3"/>
      <w:w w:val="99"/>
      <w:sz w:val="34"/>
    </w:rPr>
  </w:style>
  <w:style w:type="paragraph" w:customStyle="1" w:styleId="H23">
    <w:name w:val="_ H_2/3"/>
    <w:basedOn w:val="H1"/>
    <w:next w:val="SingleTxt"/>
    <w:qFormat/>
    <w:rsid w:val="009900BA"/>
    <w:pPr>
      <w:spacing w:line="240" w:lineRule="exact"/>
      <w:outlineLvl w:val="1"/>
    </w:pPr>
    <w:rPr>
      <w:spacing w:val="2"/>
      <w:sz w:val="20"/>
    </w:rPr>
  </w:style>
  <w:style w:type="paragraph" w:customStyle="1" w:styleId="H4">
    <w:name w:val="_ H_4"/>
    <w:basedOn w:val="Normal"/>
    <w:next w:val="SingleTxt"/>
    <w:qFormat/>
    <w:rsid w:val="009900BA"/>
    <w:pPr>
      <w:keepNext/>
      <w:keepLines/>
      <w:tabs>
        <w:tab w:val="right" w:pos="360"/>
      </w:tabs>
      <w:outlineLvl w:val="3"/>
    </w:pPr>
    <w:rPr>
      <w:i/>
      <w:spacing w:val="3"/>
      <w:kern w:val="14"/>
    </w:rPr>
  </w:style>
  <w:style w:type="paragraph" w:customStyle="1" w:styleId="H56">
    <w:name w:val="_ H_5/6"/>
    <w:basedOn w:val="Normal"/>
    <w:next w:val="Normal"/>
    <w:qFormat/>
    <w:rsid w:val="009900BA"/>
    <w:pPr>
      <w:keepNext/>
      <w:keepLines/>
      <w:tabs>
        <w:tab w:val="right" w:pos="360"/>
      </w:tabs>
      <w:outlineLvl w:val="4"/>
    </w:pPr>
    <w:rPr>
      <w:kern w:val="14"/>
    </w:rPr>
  </w:style>
  <w:style w:type="paragraph" w:customStyle="1" w:styleId="DualTxt">
    <w:name w:val="__Dual Txt"/>
    <w:basedOn w:val="Normal"/>
    <w:qFormat/>
    <w:rsid w:val="009900B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900B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900BA"/>
    <w:pPr>
      <w:spacing w:line="540" w:lineRule="exact"/>
    </w:pPr>
    <w:rPr>
      <w:spacing w:val="-8"/>
      <w:w w:val="96"/>
      <w:sz w:val="57"/>
    </w:rPr>
  </w:style>
  <w:style w:type="paragraph" w:customStyle="1" w:styleId="SS">
    <w:name w:val="__S_S"/>
    <w:basedOn w:val="HCh0"/>
    <w:next w:val="Normal"/>
    <w:qFormat/>
    <w:rsid w:val="009900BA"/>
    <w:pPr>
      <w:ind w:left="1267" w:right="1267"/>
    </w:pPr>
  </w:style>
  <w:style w:type="paragraph" w:customStyle="1" w:styleId="SingleTxt">
    <w:name w:val="__Single Txt"/>
    <w:basedOn w:val="Normal"/>
    <w:qFormat/>
    <w:rsid w:val="009900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900B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900B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900B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900BA"/>
    <w:rPr>
      <w:rFonts w:ascii="Tahoma" w:hAnsi="Tahoma" w:cs="Tahoma"/>
      <w:sz w:val="16"/>
      <w:szCs w:val="16"/>
    </w:rPr>
  </w:style>
  <w:style w:type="character" w:customStyle="1" w:styleId="BalloonTextChar">
    <w:name w:val="Balloon Text Char"/>
    <w:basedOn w:val="DefaultParagraphFont"/>
    <w:link w:val="BalloonText"/>
    <w:semiHidden/>
    <w:rsid w:val="009900BA"/>
    <w:rPr>
      <w:rFonts w:ascii="Tahoma" w:eastAsiaTheme="minorHAnsi" w:hAnsi="Tahoma" w:cs="Tahoma"/>
      <w:spacing w:val="4"/>
      <w:w w:val="103"/>
      <w:sz w:val="16"/>
      <w:szCs w:val="16"/>
      <w:lang w:val="es-ES" w:eastAsia="en-US"/>
    </w:rPr>
  </w:style>
  <w:style w:type="paragraph" w:customStyle="1" w:styleId="Bullet1">
    <w:name w:val="Bullet 1"/>
    <w:basedOn w:val="Normal"/>
    <w:qFormat/>
    <w:rsid w:val="009900BA"/>
    <w:pPr>
      <w:numPr>
        <w:numId w:val="45"/>
      </w:numPr>
      <w:spacing w:after="120"/>
      <w:ind w:right="1264"/>
      <w:jc w:val="both"/>
    </w:pPr>
  </w:style>
  <w:style w:type="paragraph" w:customStyle="1" w:styleId="Bullet2">
    <w:name w:val="Bullet 2"/>
    <w:basedOn w:val="Normal"/>
    <w:qFormat/>
    <w:rsid w:val="009900BA"/>
    <w:pPr>
      <w:numPr>
        <w:numId w:val="46"/>
      </w:numPr>
      <w:spacing w:after="120"/>
      <w:ind w:right="1264"/>
      <w:jc w:val="both"/>
    </w:pPr>
  </w:style>
  <w:style w:type="paragraph" w:customStyle="1" w:styleId="Bullet3">
    <w:name w:val="Bullet 3"/>
    <w:basedOn w:val="SingleTxt"/>
    <w:qFormat/>
    <w:rsid w:val="009900BA"/>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900B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900B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900BA"/>
    <w:pPr>
      <w:spacing w:after="80"/>
    </w:pPr>
  </w:style>
  <w:style w:type="character" w:customStyle="1" w:styleId="EndnoteTextChar">
    <w:name w:val="Endnote Text Char"/>
    <w:basedOn w:val="DefaultParagraphFont"/>
    <w:link w:val="EndnoteText"/>
    <w:semiHidden/>
    <w:rsid w:val="009900BA"/>
    <w:rPr>
      <w:rFonts w:ascii="Times New Roman" w:eastAsiaTheme="minorHAnsi" w:hAnsi="Times New Roman" w:cs="Times New Roman"/>
      <w:spacing w:val="5"/>
      <w:w w:val="104"/>
      <w:sz w:val="17"/>
      <w:lang w:val="es-ES" w:eastAsia="en-US"/>
    </w:rPr>
  </w:style>
  <w:style w:type="paragraph" w:styleId="Footer">
    <w:name w:val="footer"/>
    <w:link w:val="FooterChar"/>
    <w:qFormat/>
    <w:rsid w:val="009900B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900BA"/>
    <w:rPr>
      <w:rFonts w:ascii="Times New Roman" w:eastAsiaTheme="minorHAnsi" w:hAnsi="Times New Roman" w:cs="Times New Roman"/>
      <w:b/>
      <w:noProof/>
      <w:sz w:val="17"/>
      <w:lang w:val="en-US" w:eastAsia="en-US"/>
    </w:rPr>
  </w:style>
  <w:style w:type="character" w:styleId="FootnoteReference">
    <w:name w:val="footnote reference"/>
    <w:semiHidden/>
    <w:rsid w:val="009900B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900B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900BA"/>
    <w:rPr>
      <w:rFonts w:ascii="Times New Roman" w:eastAsiaTheme="minorHAnsi" w:hAnsi="Times New Roman" w:cs="Times New Roman"/>
      <w:spacing w:val="5"/>
      <w:w w:val="104"/>
      <w:sz w:val="17"/>
      <w:lang w:val="es-ES" w:eastAsia="en-US"/>
    </w:rPr>
  </w:style>
  <w:style w:type="paragraph" w:styleId="Header">
    <w:name w:val="header"/>
    <w:link w:val="HeaderChar"/>
    <w:qFormat/>
    <w:rsid w:val="009900B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9900B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900B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900B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900B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900B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900B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900B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900B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900B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900BA"/>
    <w:rPr>
      <w:rFonts w:ascii="Cambria" w:eastAsia="Times New Roman" w:hAnsi="Cambria" w:cs="Times New Roman"/>
      <w:i/>
      <w:iCs/>
      <w:spacing w:val="5"/>
      <w:w w:val="103"/>
      <w:sz w:val="20"/>
      <w:szCs w:val="20"/>
      <w:lang w:val="es-ES" w:eastAsia="en-US"/>
    </w:rPr>
  </w:style>
  <w:style w:type="character" w:styleId="LineNumber">
    <w:name w:val="line number"/>
    <w:qFormat/>
    <w:rsid w:val="009900B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900BA"/>
    <w:pPr>
      <w:spacing w:line="240" w:lineRule="auto"/>
    </w:pPr>
  </w:style>
  <w:style w:type="paragraph" w:customStyle="1" w:styleId="Original">
    <w:name w:val="Original"/>
    <w:next w:val="Normal"/>
    <w:autoRedefine/>
    <w:qFormat/>
    <w:rsid w:val="009900B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900B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900BA"/>
    <w:pPr>
      <w:tabs>
        <w:tab w:val="right" w:pos="9965"/>
      </w:tabs>
      <w:spacing w:line="210" w:lineRule="exact"/>
    </w:pPr>
    <w:rPr>
      <w:spacing w:val="5"/>
      <w:w w:val="104"/>
      <w:kern w:val="14"/>
      <w:sz w:val="17"/>
    </w:rPr>
  </w:style>
  <w:style w:type="paragraph" w:customStyle="1" w:styleId="SmallX">
    <w:name w:val="SmallX"/>
    <w:basedOn w:val="Small"/>
    <w:next w:val="Normal"/>
    <w:qFormat/>
    <w:rsid w:val="009900B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900B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900B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900B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900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900BA"/>
    <w:pPr>
      <w:spacing w:line="300" w:lineRule="exact"/>
    </w:pPr>
    <w:rPr>
      <w:spacing w:val="-2"/>
      <w:sz w:val="28"/>
    </w:rPr>
  </w:style>
  <w:style w:type="paragraph" w:styleId="Caption">
    <w:name w:val="caption"/>
    <w:basedOn w:val="Normal"/>
    <w:next w:val="Normal"/>
    <w:uiPriority w:val="35"/>
    <w:semiHidden/>
    <w:unhideWhenUsed/>
    <w:rsid w:val="009900BA"/>
    <w:pPr>
      <w:spacing w:line="240" w:lineRule="auto"/>
    </w:pPr>
    <w:rPr>
      <w:b/>
      <w:bCs/>
      <w:color w:val="4F81BD"/>
      <w:sz w:val="18"/>
      <w:szCs w:val="18"/>
    </w:rPr>
  </w:style>
  <w:style w:type="character" w:styleId="CommentReference">
    <w:name w:val="annotation reference"/>
    <w:semiHidden/>
    <w:rsid w:val="009900BA"/>
    <w:rPr>
      <w:sz w:val="6"/>
    </w:rPr>
  </w:style>
  <w:style w:type="paragraph" w:customStyle="1" w:styleId="HdBanner">
    <w:name w:val="Hd Banner"/>
    <w:basedOn w:val="Normal"/>
    <w:next w:val="Normal"/>
    <w:qFormat/>
    <w:rsid w:val="009900B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900B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900BA"/>
    <w:pPr>
      <w:spacing w:before="240"/>
    </w:pPr>
    <w:rPr>
      <w:b/>
      <w:spacing w:val="-2"/>
      <w:w w:val="100"/>
    </w:rPr>
  </w:style>
  <w:style w:type="paragraph" w:customStyle="1" w:styleId="HdChapterBdLg">
    <w:name w:val="Hd Chapter Bd Lg"/>
    <w:basedOn w:val="HdChapterBD"/>
    <w:next w:val="Normal"/>
    <w:qFormat/>
    <w:rsid w:val="009900BA"/>
    <w:rPr>
      <w:spacing w:val="-3"/>
      <w:w w:val="99"/>
      <w:kern w:val="14"/>
      <w:sz w:val="34"/>
      <w:szCs w:val="34"/>
    </w:rPr>
  </w:style>
  <w:style w:type="paragraph" w:customStyle="1" w:styleId="JournalHeading1">
    <w:name w:val="Journal_Heading1"/>
    <w:basedOn w:val="Normal"/>
    <w:next w:val="Normal"/>
    <w:qFormat/>
    <w:rsid w:val="009900BA"/>
    <w:pPr>
      <w:keepNext/>
      <w:spacing w:before="190" w:line="270" w:lineRule="exact"/>
    </w:pPr>
    <w:rPr>
      <w:b/>
      <w:kern w:val="14"/>
      <w:sz w:val="24"/>
    </w:rPr>
  </w:style>
  <w:style w:type="paragraph" w:customStyle="1" w:styleId="JournalHeading2">
    <w:name w:val="Journal_Heading2"/>
    <w:basedOn w:val="Normal"/>
    <w:next w:val="Normal"/>
    <w:qFormat/>
    <w:rsid w:val="009900BA"/>
    <w:pPr>
      <w:keepNext/>
      <w:keepLines/>
      <w:spacing w:before="240"/>
      <w:outlineLvl w:val="1"/>
    </w:pPr>
    <w:rPr>
      <w:b/>
      <w:spacing w:val="2"/>
      <w:kern w:val="14"/>
    </w:rPr>
  </w:style>
  <w:style w:type="paragraph" w:customStyle="1" w:styleId="JournalHeading4">
    <w:name w:val="Journal_Heading4"/>
    <w:basedOn w:val="Normal"/>
    <w:next w:val="Normal"/>
    <w:qFormat/>
    <w:rsid w:val="009900BA"/>
    <w:pPr>
      <w:keepNext/>
      <w:keepLines/>
      <w:spacing w:before="240"/>
      <w:outlineLvl w:val="3"/>
    </w:pPr>
    <w:rPr>
      <w:i/>
      <w:kern w:val="14"/>
    </w:rPr>
  </w:style>
  <w:style w:type="paragraph" w:customStyle="1" w:styleId="NormalBullet">
    <w:name w:val="Normal Bullet"/>
    <w:basedOn w:val="Normal"/>
    <w:next w:val="Normal"/>
    <w:qFormat/>
    <w:rsid w:val="009900BA"/>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9900BA"/>
    <w:pPr>
      <w:tabs>
        <w:tab w:val="left" w:leader="dot" w:pos="2218"/>
        <w:tab w:val="left" w:pos="2707"/>
        <w:tab w:val="right" w:leader="dot" w:pos="9835"/>
      </w:tabs>
    </w:pPr>
    <w:rPr>
      <w:kern w:val="14"/>
    </w:rPr>
  </w:style>
  <w:style w:type="paragraph" w:customStyle="1" w:styleId="ReleaseDate0">
    <w:name w:val="ReleaseDate"/>
    <w:next w:val="Footer"/>
    <w:autoRedefine/>
    <w:qFormat/>
    <w:rsid w:val="009900B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900B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B7D46"/>
    <w:pPr>
      <w:spacing w:line="240" w:lineRule="auto"/>
    </w:pPr>
    <w:rPr>
      <w:szCs w:val="20"/>
    </w:rPr>
  </w:style>
  <w:style w:type="character" w:customStyle="1" w:styleId="CommentTextChar">
    <w:name w:val="Comment Text Char"/>
    <w:basedOn w:val="DefaultParagraphFont"/>
    <w:link w:val="CommentText"/>
    <w:uiPriority w:val="99"/>
    <w:semiHidden/>
    <w:rsid w:val="004B7D4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B7D46"/>
    <w:rPr>
      <w:b/>
      <w:bCs/>
    </w:rPr>
  </w:style>
  <w:style w:type="character" w:customStyle="1" w:styleId="CommentSubjectChar">
    <w:name w:val="Comment Subject Char"/>
    <w:basedOn w:val="CommentTextChar"/>
    <w:link w:val="CommentSubject"/>
    <w:uiPriority w:val="99"/>
    <w:semiHidden/>
    <w:rsid w:val="004B7D46"/>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0A1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BGR/8" TargetMode="External"/><Relationship Id="rId26" Type="http://schemas.openxmlformats.org/officeDocument/2006/relationships/hyperlink" Target="https://undocs.org/sp/CEDAW/C/BGR/QPR/8" TargetMode="External"/><Relationship Id="rId39" Type="http://schemas.openxmlformats.org/officeDocument/2006/relationships/hyperlink" Target="https://undocs.org/sp/CEDAW/C/ZWE/Q/6/Add.1" TargetMode="External"/><Relationship Id="rId3" Type="http://schemas.openxmlformats.org/officeDocument/2006/relationships/settings" Target="settings.xml"/><Relationship Id="rId21" Type="http://schemas.openxmlformats.org/officeDocument/2006/relationships/hyperlink" Target="https://undocs.org/sp/CEDAW/C/LVA/4-7" TargetMode="External"/><Relationship Id="rId34" Type="http://schemas.openxmlformats.org/officeDocument/2006/relationships/hyperlink" Target="https://undocs.org/sp/CEDAW/C/ERI/Q/6/Add.1"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AFG/3" TargetMode="External"/><Relationship Id="rId25" Type="http://schemas.openxmlformats.org/officeDocument/2006/relationships/hyperlink" Target="https://undocs.org/sp/CEDAW/C/AFG/Q/3" TargetMode="External"/><Relationship Id="rId33" Type="http://schemas.openxmlformats.org/officeDocument/2006/relationships/hyperlink" Target="https://undocs.org/sp/CEDAW/C/AFG/Q/3/Add.1" TargetMode="External"/><Relationship Id="rId38" Type="http://schemas.openxmlformats.org/officeDocument/2006/relationships/hyperlink" Target="https://undocs.org/sp/CEDAW/C/MDA/Q/6/Add.1" TargetMode="External"/><Relationship Id="rId2" Type="http://schemas.openxmlformats.org/officeDocument/2006/relationships/styles" Target="styles.xml"/><Relationship Id="rId16" Type="http://schemas.openxmlformats.org/officeDocument/2006/relationships/hyperlink" Target="https://undocs.org/sp/CEDAW/C/PSWG/75/1" TargetMode="External"/><Relationship Id="rId20" Type="http://schemas.openxmlformats.org/officeDocument/2006/relationships/hyperlink" Target="https://undocs.org/sp/CEDAW/C/KIR/1-3" TargetMode="External"/><Relationship Id="rId29" Type="http://schemas.openxmlformats.org/officeDocument/2006/relationships/hyperlink" Target="https://undocs.org/sp/CEDAW/C/LVA/Q/4-7"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ZWE/6" TargetMode="External"/><Relationship Id="rId32" Type="http://schemas.openxmlformats.org/officeDocument/2006/relationships/hyperlink" Target="https://undocs.org/sp/CEDAW/C/ZWE/Q/6" TargetMode="External"/><Relationship Id="rId37" Type="http://schemas.openxmlformats.org/officeDocument/2006/relationships/hyperlink" Target="https://undocs.org/sp/CEDAW/C/PAK/Q/5/Add.1" TargetMode="External"/><Relationship Id="rId40" Type="http://schemas.openxmlformats.org/officeDocument/2006/relationships/hyperlink" Target="https://undocs.org/sp/CEDAW/C/76/1" TargetMode="External"/><Relationship Id="rId5" Type="http://schemas.openxmlformats.org/officeDocument/2006/relationships/footnotes" Target="footnotes.xml"/><Relationship Id="rId15" Type="http://schemas.openxmlformats.org/officeDocument/2006/relationships/hyperlink" Target="https://undocs.org/sp/CEDAW/C/75/1" TargetMode="External"/><Relationship Id="rId23" Type="http://schemas.openxmlformats.org/officeDocument/2006/relationships/hyperlink" Target="https://undocs.org/sp/CEDAW/C/MDA/6" TargetMode="External"/><Relationship Id="rId28" Type="http://schemas.openxmlformats.org/officeDocument/2006/relationships/hyperlink" Target="https://undocs.org/sp/CEDAW/C/KIR/Q/1-3" TargetMode="External"/><Relationship Id="rId36" Type="http://schemas.openxmlformats.org/officeDocument/2006/relationships/hyperlink" Target="https://undocs.org/sp/CEDAW/C/LVA/Q/4-7/Add.1" TargetMode="External"/><Relationship Id="rId10" Type="http://schemas.openxmlformats.org/officeDocument/2006/relationships/footer" Target="footer2.xml"/><Relationship Id="rId19" Type="http://schemas.openxmlformats.org/officeDocument/2006/relationships/hyperlink" Target="https://undocs.org/sp/CEDAW/C/ERI/6" TargetMode="External"/><Relationship Id="rId31" Type="http://schemas.openxmlformats.org/officeDocument/2006/relationships/hyperlink" Target="https://undocs.org/sp/CEDAW/C/MDA/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PAK/5" TargetMode="External"/><Relationship Id="rId27" Type="http://schemas.openxmlformats.org/officeDocument/2006/relationships/hyperlink" Target="https://undocs.org/sp/CEDAW/C/ERI/Q/6" TargetMode="External"/><Relationship Id="rId30" Type="http://schemas.openxmlformats.org/officeDocument/2006/relationships/hyperlink" Target="https://undocs.org/sp/CEDAW/C/PAK/Q/5" TargetMode="External"/><Relationship Id="rId35" Type="http://schemas.openxmlformats.org/officeDocument/2006/relationships/hyperlink" Target="https://undocs.org/sp/CEDAW/C/KIR/Q/1-3/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1379</Words>
  <Characters>7864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Eduardo Alfaro</cp:lastModifiedBy>
  <cp:revision>3</cp:revision>
  <cp:lastPrinted>2019-12-19T17:34:00Z</cp:lastPrinted>
  <dcterms:created xsi:type="dcterms:W3CDTF">2019-12-19T17:34:00Z</dcterms:created>
  <dcterms:modified xsi:type="dcterms:W3CDTF">2019-12-19T17:34:00Z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1921341</vt:lpwstr>
  </property>
  <property fmtid="{D5CDD505-2E9C-101B-9397-08002B2CF9AE}" pid="3" name="ODSRefJobNo">
    <vt:lpwstr>1940411</vt:lpwstr>
  </property>
  <property fmtid="{D5CDD505-2E9C-101B-9397-08002B2CF9AE}" pid="4" name="Symbol1">
    <vt:lpwstr>CEDAW/C/75/1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EF</vt:lpwstr>
  </property>
  <property fmtid="{D5CDD505-2E9C-101B-9397-08002B2CF9AE}" pid="11" name="Translator">
    <vt:lpwstr>Ana Puga</vt:lpwstr>
  </property>
  <property fmtid="{D5CDD505-2E9C-101B-9397-08002B2CF9AE}" pid="12" name="Release Date">
    <vt:lpwstr>181219</vt:lpwstr>
  </property>
  <property fmtid="{D5CDD505-2E9C-101B-9397-08002B2CF9AE}" pid="13" name="Session1">
    <vt:lpwstr>75º período de sesiones_x000d_</vt:lpwstr>
  </property>
  <property fmtid="{D5CDD505-2E9C-101B-9397-08002B2CF9AE}" pid="14" name="Agenda1">
    <vt:lpwstr>Tema 2 del programa provisional_x000d_</vt:lpwstr>
  </property>
  <property fmtid="{D5CDD505-2E9C-101B-9397-08002B2CF9AE}" pid="15" name="Agenda Title1">
    <vt:lpwstr>Aprobación del programa y organización de los trabajos_x000d_</vt:lpwstr>
  </property>
  <property fmtid="{D5CDD505-2E9C-101B-9397-08002B2CF9AE}" pid="16" name="Title1">
    <vt:lpwstr>		Programa provisional anotado_x000d_</vt:lpwstr>
  </property>
  <property fmtid="{D5CDD505-2E9C-101B-9397-08002B2CF9AE}" pid="17" name="Title2">
    <vt:lpwstr>		Programa provisional_x000d_</vt:lpwstr>
  </property>
</Properties>
</file>